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78740</wp:posOffset>
            </wp:positionV>
            <wp:extent cx="17233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3390" cy="7620"/>
                    </a:xfrm>
                    <a:prstGeom prst="rect">
                      <a:avLst/>
                    </a:prstGeom>
                    <a:noFill/>
                  </pic:spPr>
                </pic:pic>
              </a:graphicData>
            </a:graphic>
          </wp:anchor>
        </w:drawing>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FORM 10-K</w:t>
      </w:r>
    </w:p>
    <w:p>
      <w:pPr>
        <w:spacing w:after="0" w:line="11" w:lineRule="exact"/>
        <w:rPr>
          <w:sz w:val="24"/>
          <w:szCs w:val="24"/>
          <w:color w:val="auto"/>
        </w:rPr>
      </w:pPr>
    </w:p>
    <w:p>
      <w:pPr>
        <w:ind w:left="720" w:hanging="697"/>
        <w:spacing w:after="0"/>
        <w:tabs>
          <w:tab w:leader="none" w:pos="72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5"/>
          <w:szCs w:val="15"/>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17233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3390" cy="7620"/>
                    </a:xfrm>
                    <a:prstGeom prst="rect">
                      <a:avLst/>
                    </a:prstGeom>
                    <a:noFill/>
                  </pic:spPr>
                </pic:pic>
              </a:graphicData>
            </a:graphic>
          </wp:anchor>
        </w:drawing>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2011</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ind w:left="720" w:hanging="697"/>
        <w:spacing w:after="0" w:line="218" w:lineRule="auto"/>
        <w:tabs>
          <w:tab w:leader="none" w:pos="72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113" w:lineRule="exact"/>
        <w:rPr>
          <w:sz w:val="24"/>
          <w:szCs w:val="24"/>
          <w:color w:val="auto"/>
        </w:rPr>
      </w:pPr>
    </w:p>
    <w:p>
      <w:pPr>
        <w:ind w:left="40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1-07533</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3"/>
          <w:szCs w:val="33"/>
          <w:b w:val="1"/>
          <w:bCs w:val="1"/>
          <w:color w:val="auto"/>
        </w:rPr>
        <w:t>FEDERAL REALTY INVESTMENT TRUST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Declaration of Trust)</w:t>
      </w:r>
    </w:p>
    <w:p>
      <w:pPr>
        <w:spacing w:after="0" w:line="126"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3800" w:type="dxa"/>
            <w:vAlign w:val="bottom"/>
          </w:tcPr>
          <w:p>
            <w:pPr>
              <w:jc w:val="center"/>
              <w:ind w:right="386"/>
              <w:spacing w:after="0"/>
              <w:rPr>
                <w:sz w:val="20"/>
                <w:szCs w:val="20"/>
                <w:color w:val="auto"/>
              </w:rPr>
            </w:pPr>
            <w:r>
              <w:rPr>
                <w:rFonts w:ascii="Arial" w:cs="Arial" w:eastAsia="Arial" w:hAnsi="Arial"/>
                <w:sz w:val="16"/>
                <w:szCs w:val="16"/>
                <w:b w:val="1"/>
                <w:bCs w:val="1"/>
                <w:color w:val="auto"/>
                <w:w w:val="99"/>
              </w:rPr>
              <w:t>Maryland</w:t>
            </w:r>
          </w:p>
        </w:tc>
        <w:tc>
          <w:tcPr>
            <w:tcW w:w="4760" w:type="dxa"/>
            <w:vAlign w:val="bottom"/>
          </w:tcPr>
          <w:p>
            <w:pPr>
              <w:jc w:val="right"/>
              <w:ind w:right="465"/>
              <w:spacing w:after="0"/>
              <w:rPr>
                <w:sz w:val="20"/>
                <w:szCs w:val="20"/>
                <w:color w:val="auto"/>
              </w:rPr>
            </w:pPr>
            <w:r>
              <w:rPr>
                <w:rFonts w:ascii="Arial" w:cs="Arial" w:eastAsia="Arial" w:hAnsi="Arial"/>
                <w:sz w:val="16"/>
                <w:szCs w:val="16"/>
                <w:b w:val="1"/>
                <w:bCs w:val="1"/>
                <w:color w:val="auto"/>
              </w:rPr>
              <w:t>52-0782497</w:t>
            </w:r>
          </w:p>
        </w:tc>
      </w:tr>
      <w:tr>
        <w:trPr>
          <w:trHeight w:val="199"/>
        </w:trPr>
        <w:tc>
          <w:tcPr>
            <w:tcW w:w="3800" w:type="dxa"/>
            <w:vAlign w:val="bottom"/>
          </w:tcPr>
          <w:p>
            <w:pPr>
              <w:jc w:val="center"/>
              <w:ind w:right="386"/>
              <w:spacing w:after="0"/>
              <w:rPr>
                <w:sz w:val="20"/>
                <w:szCs w:val="20"/>
                <w:color w:val="auto"/>
              </w:rPr>
            </w:pPr>
            <w:r>
              <w:rPr>
                <w:rFonts w:ascii="Arial" w:cs="Arial" w:eastAsia="Arial" w:hAnsi="Arial"/>
                <w:sz w:val="13"/>
                <w:szCs w:val="13"/>
                <w:b w:val="1"/>
                <w:bCs w:val="1"/>
                <w:color w:val="auto"/>
                <w:w w:val="93"/>
              </w:rPr>
              <w:t>(State of Organization)</w:t>
            </w:r>
          </w:p>
        </w:tc>
        <w:tc>
          <w:tcPr>
            <w:tcW w:w="4760" w:type="dxa"/>
            <w:vAlign w:val="bottom"/>
          </w:tcPr>
          <w:p>
            <w:pPr>
              <w:jc w:val="center"/>
              <w:ind w:left="2785"/>
              <w:spacing w:after="0"/>
              <w:rPr>
                <w:sz w:val="20"/>
                <w:szCs w:val="20"/>
                <w:color w:val="auto"/>
              </w:rPr>
            </w:pPr>
            <w:r>
              <w:rPr>
                <w:rFonts w:ascii="Arial" w:cs="Arial" w:eastAsia="Arial" w:hAnsi="Arial"/>
                <w:sz w:val="13"/>
                <w:szCs w:val="13"/>
                <w:b w:val="1"/>
                <w:bCs w:val="1"/>
                <w:color w:val="auto"/>
                <w:w w:val="93"/>
              </w:rPr>
              <w:t>(IRS Employer Identification No.)</w:t>
            </w:r>
          </w:p>
        </w:tc>
      </w:tr>
      <w:tr>
        <w:trPr>
          <w:trHeight w:val="342"/>
        </w:trPr>
        <w:tc>
          <w:tcPr>
            <w:tcW w:w="3800" w:type="dxa"/>
            <w:vAlign w:val="bottom"/>
          </w:tcPr>
          <w:p>
            <w:pPr>
              <w:jc w:val="center"/>
              <w:ind w:right="386"/>
              <w:spacing w:after="0"/>
              <w:rPr>
                <w:sz w:val="20"/>
                <w:szCs w:val="20"/>
                <w:color w:val="auto"/>
              </w:rPr>
            </w:pPr>
            <w:r>
              <w:rPr>
                <w:rFonts w:ascii="Arial" w:cs="Arial" w:eastAsia="Arial" w:hAnsi="Arial"/>
                <w:sz w:val="16"/>
                <w:szCs w:val="16"/>
                <w:b w:val="1"/>
                <w:bCs w:val="1"/>
                <w:color w:val="auto"/>
                <w:w w:val="93"/>
              </w:rPr>
              <w:t>1626 East Jefferson Street, Rockville, Maryland</w:t>
            </w:r>
          </w:p>
        </w:tc>
        <w:tc>
          <w:tcPr>
            <w:tcW w:w="4760" w:type="dxa"/>
            <w:vAlign w:val="bottom"/>
          </w:tcPr>
          <w:p>
            <w:pPr>
              <w:jc w:val="right"/>
              <w:ind w:right="665"/>
              <w:spacing w:after="0"/>
              <w:rPr>
                <w:sz w:val="20"/>
                <w:szCs w:val="20"/>
                <w:color w:val="auto"/>
              </w:rPr>
            </w:pPr>
            <w:r>
              <w:rPr>
                <w:rFonts w:ascii="Arial" w:cs="Arial" w:eastAsia="Arial" w:hAnsi="Arial"/>
                <w:sz w:val="16"/>
                <w:szCs w:val="16"/>
                <w:b w:val="1"/>
                <w:bCs w:val="1"/>
                <w:color w:val="auto"/>
              </w:rPr>
              <w:t>20852</w:t>
            </w:r>
          </w:p>
        </w:tc>
      </w:tr>
      <w:tr>
        <w:trPr>
          <w:trHeight w:val="199"/>
        </w:trPr>
        <w:tc>
          <w:tcPr>
            <w:tcW w:w="3800" w:type="dxa"/>
            <w:vAlign w:val="bottom"/>
          </w:tcPr>
          <w:p>
            <w:pPr>
              <w:jc w:val="center"/>
              <w:ind w:right="366"/>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4760" w:type="dxa"/>
            <w:vAlign w:val="bottom"/>
          </w:tcPr>
          <w:p>
            <w:pPr>
              <w:jc w:val="center"/>
              <w:ind w:left="2805"/>
              <w:spacing w:after="0"/>
              <w:rPr>
                <w:sz w:val="20"/>
                <w:szCs w:val="20"/>
                <w:color w:val="auto"/>
              </w:rPr>
            </w:pPr>
            <w:r>
              <w:rPr>
                <w:rFonts w:ascii="Arial" w:cs="Arial" w:eastAsia="Arial" w:hAnsi="Arial"/>
                <w:sz w:val="13"/>
                <w:szCs w:val="13"/>
                <w:b w:val="1"/>
                <w:bCs w:val="1"/>
                <w:color w:val="auto"/>
                <w:w w:val="93"/>
              </w:rPr>
              <w:t>(Zip Code)</w:t>
            </w:r>
          </w:p>
        </w:tc>
      </w:tr>
      <w:tr>
        <w:trPr>
          <w:trHeight w:val="256"/>
        </w:trPr>
        <w:tc>
          <w:tcPr>
            <w:tcW w:w="3800" w:type="dxa"/>
            <w:vAlign w:val="bottom"/>
          </w:tcPr>
          <w:p>
            <w:pPr>
              <w:spacing w:after="0"/>
              <w:rPr>
                <w:sz w:val="22"/>
                <w:szCs w:val="22"/>
                <w:color w:val="auto"/>
              </w:rPr>
            </w:pPr>
          </w:p>
        </w:tc>
        <w:tc>
          <w:tcPr>
            <w:tcW w:w="4760" w:type="dxa"/>
            <w:vAlign w:val="bottom"/>
          </w:tcPr>
          <w:p>
            <w:pPr>
              <w:jc w:val="right"/>
              <w:ind w:right="3225"/>
              <w:spacing w:after="0"/>
              <w:rPr>
                <w:sz w:val="20"/>
                <w:szCs w:val="20"/>
                <w:color w:val="auto"/>
              </w:rPr>
            </w:pPr>
            <w:r>
              <w:rPr>
                <w:rFonts w:ascii="Arial" w:cs="Arial" w:eastAsia="Arial" w:hAnsi="Arial"/>
                <w:sz w:val="16"/>
                <w:szCs w:val="16"/>
                <w:b w:val="1"/>
                <w:bCs w:val="1"/>
                <w:color w:val="auto"/>
              </w:rPr>
              <w:t>(301) 998-8100</w:t>
            </w: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Title of Each Class</w:t>
            </w:r>
          </w:p>
        </w:tc>
        <w:tc>
          <w:tcPr>
            <w:tcW w:w="2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Name of Each Exchange On Which Registered</w:t>
            </w:r>
          </w:p>
        </w:tc>
      </w:tr>
      <w:tr>
        <w:trPr>
          <w:trHeight w:val="250"/>
        </w:trPr>
        <w:tc>
          <w:tcPr>
            <w:tcW w:w="6220" w:type="dxa"/>
            <w:vAlign w:val="bottom"/>
            <w:gridSpan w:val="3"/>
          </w:tcPr>
          <w:p>
            <w:pPr>
              <w:jc w:val="center"/>
              <w:ind w:right="740"/>
              <w:spacing w:after="0"/>
              <w:rPr>
                <w:sz w:val="20"/>
                <w:szCs w:val="20"/>
                <w:color w:val="auto"/>
              </w:rPr>
            </w:pPr>
            <w:r>
              <w:rPr>
                <w:rFonts w:ascii="Arial" w:cs="Arial" w:eastAsia="Arial" w:hAnsi="Arial"/>
                <w:sz w:val="16"/>
                <w:szCs w:val="16"/>
                <w:color w:val="auto"/>
                <w:w w:val="91"/>
              </w:rPr>
              <w:t>Common Shares of Beneficial Interest, $.01 par value per share, with associated</w:t>
            </w:r>
          </w:p>
        </w:tc>
        <w:tc>
          <w:tcPr>
            <w:tcW w:w="840" w:type="dxa"/>
            <w:vAlign w:val="bottom"/>
          </w:tcPr>
          <w:p>
            <w:pPr>
              <w:spacing w:after="0"/>
              <w:rPr>
                <w:sz w:val="21"/>
                <w:szCs w:val="21"/>
                <w:color w:val="auto"/>
              </w:rPr>
            </w:pPr>
          </w:p>
        </w:tc>
        <w:tc>
          <w:tcPr>
            <w:tcW w:w="3260" w:type="dxa"/>
            <w:vAlign w:val="bottom"/>
            <w:gridSpan w:val="2"/>
          </w:tcPr>
          <w:p>
            <w:pPr>
              <w:jc w:val="center"/>
              <w:spacing w:after="0"/>
              <w:rPr>
                <w:sz w:val="20"/>
                <w:szCs w:val="20"/>
                <w:color w:val="auto"/>
              </w:rPr>
            </w:pPr>
            <w:r>
              <w:rPr>
                <w:rFonts w:ascii="Arial" w:cs="Arial" w:eastAsia="Arial" w:hAnsi="Arial"/>
                <w:sz w:val="16"/>
                <w:szCs w:val="16"/>
                <w:color w:val="auto"/>
                <w:w w:val="93"/>
              </w:rPr>
              <w:t>New York Stock Exchange</w:t>
            </w:r>
          </w:p>
        </w:tc>
      </w:tr>
      <w:tr>
        <w:trPr>
          <w:trHeight w:val="208"/>
        </w:trPr>
        <w:tc>
          <w:tcPr>
            <w:tcW w:w="6220" w:type="dxa"/>
            <w:vAlign w:val="bottom"/>
            <w:gridSpan w:val="3"/>
          </w:tcPr>
          <w:p>
            <w:pPr>
              <w:jc w:val="center"/>
              <w:ind w:right="740"/>
              <w:spacing w:after="0"/>
              <w:rPr>
                <w:sz w:val="20"/>
                <w:szCs w:val="20"/>
                <w:color w:val="auto"/>
              </w:rPr>
            </w:pPr>
            <w:r>
              <w:rPr>
                <w:rFonts w:ascii="Arial" w:cs="Arial" w:eastAsia="Arial" w:hAnsi="Arial"/>
                <w:sz w:val="16"/>
                <w:szCs w:val="16"/>
                <w:color w:val="auto"/>
                <w:w w:val="90"/>
              </w:rPr>
              <w:t>Common Share Purchase Rights</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0"/>
        </w:trPr>
        <w:tc>
          <w:tcPr>
            <w:tcW w:w="62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53"/>
        </w:trPr>
        <w:tc>
          <w:tcPr>
            <w:tcW w:w="8400" w:type="dxa"/>
            <w:vAlign w:val="bottom"/>
            <w:gridSpan w:val="5"/>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Yes</w:t>
            </w:r>
          </w:p>
        </w:tc>
        <w:tc>
          <w:tcPr>
            <w:tcW w:w="19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6"/>
        </w:trPr>
        <w:tc>
          <w:tcPr>
            <w:tcW w:w="840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192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20" w:lineRule="exact"/>
        <w:rPr>
          <w:sz w:val="24"/>
          <w:szCs w:val="24"/>
          <w:color w:val="auto"/>
        </w:rPr>
      </w:pPr>
    </w:p>
    <w:p>
      <w:pPr>
        <w:spacing w:after="0" w:line="27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54"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4"/>
          <w:szCs w:val="24"/>
          <w:color w:val="auto"/>
        </w:rPr>
      </w:pPr>
    </w:p>
    <w:p>
      <w:pPr>
        <w:ind w:right="100"/>
        <w:spacing w:after="0" w:line="211"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1" w:lineRule="exact"/>
        <w:rPr>
          <w:sz w:val="24"/>
          <w:szCs w:val="24"/>
          <w:color w:val="auto"/>
        </w:rPr>
      </w:pPr>
    </w:p>
    <w:p>
      <w:pPr>
        <w:ind w:right="2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sectPr>
      </w:pP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6" w:lineRule="exact"/>
        <w:rPr>
          <w:sz w:val="24"/>
          <w:szCs w:val="24"/>
          <w:color w:val="auto"/>
        </w:rPr>
      </w:pPr>
    </w:p>
    <w:p>
      <w:pPr>
        <w:sectPr>
          <w:pgSz w:w="11900" w:h="16838" w:orient="portrait"/>
          <w:cols w:equalWidth="0" w:num="4">
            <w:col w:w="1700" w:space="720"/>
            <w:col w:w="3980" w:space="720"/>
            <w:col w:w="3280" w:space="720"/>
            <w:col w:w="280"/>
          </w:cols>
          <w:pgMar w:left="240" w:top="226" w:right="25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700" w:space="720"/>
            <w:col w:w="3980" w:space="720"/>
            <w:col w:w="3280" w:space="720"/>
            <w:col w:w="280"/>
          </w:cols>
          <w:pgMar w:left="240" w:top="226" w:right="25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73" w:lineRule="exact"/>
        <w:rPr>
          <w:sz w:val="24"/>
          <w:szCs w:val="24"/>
          <w:color w:val="auto"/>
        </w:rPr>
      </w:pPr>
    </w:p>
    <w:p>
      <w:pPr>
        <w:sectPr>
          <w:pgSz w:w="11900" w:h="16838" w:orient="portrait"/>
          <w:cols w:equalWidth="0" w:num="5">
            <w:col w:w="7480" w:space="220"/>
            <w:col w:w="140" w:space="80"/>
            <w:col w:w="240" w:space="160"/>
            <w:col w:w="140" w:space="80"/>
            <w:col w:w="2860"/>
          </w:cols>
          <w:pgMar w:left="240" w:top="226" w:right="259" w:bottom="1440" w:gutter="0" w:footer="0" w:header="0"/>
          <w:type w:val="continuous"/>
        </w:sectPr>
      </w:pPr>
    </w:p>
    <w:p>
      <w:pPr>
        <w:ind w:right="120"/>
        <w:spacing w:after="0" w:line="287" w:lineRule="auto"/>
        <w:rPr>
          <w:sz w:val="20"/>
          <w:szCs w:val="20"/>
          <w:color w:val="auto"/>
        </w:rPr>
      </w:pPr>
      <w:r>
        <w:rPr>
          <w:rFonts w:ascii="Arial" w:cs="Arial" w:eastAsia="Arial" w:hAnsi="Arial"/>
          <w:sz w:val="16"/>
          <w:szCs w:val="16"/>
          <w:color w:val="auto"/>
        </w:rPr>
        <w:t>The aggregate market value of the Registrant's common shares held by non-affiliates of the Registrant, based upon the closing sales price of the Registrant's common shares on June 30, 2011 was $5.3 billion.</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February 9, 2012 was 63,672,252.</w:t>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FEDERAL REALTY INVESTMENT TRUST</w:t>
      </w:r>
    </w:p>
    <w:p>
      <w:pPr>
        <w:spacing w:after="0" w:line="160"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ANNUAL REPORT ON FORM 10-K</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FISCAL YEAR ENDED DECEMBER 31, 2011</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3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Portions of the Registrant’s Proxy Statement to be filed with the Securities and Exchange Commission for the Registrant’s 2011 annual meeting of shareholders to be held in May 2012 will be incorporated by reference into Part III hereof.</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6740" w:type="dxa"/>
            <w:vAlign w:val="bottom"/>
          </w:tcPr>
          <w:p>
            <w:pPr>
              <w:ind w:left="2300"/>
              <w:spacing w:after="0"/>
              <w:rPr>
                <w:sz w:val="20"/>
                <w:szCs w:val="20"/>
                <w:color w:val="auto"/>
              </w:rPr>
            </w:pPr>
            <w:r>
              <w:rPr>
                <w:rFonts w:ascii="Arial" w:cs="Arial" w:eastAsia="Arial" w:hAnsi="Arial"/>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7"/>
        </w:trPr>
        <w:tc>
          <w:tcPr>
            <w:tcW w:w="1000" w:type="dxa"/>
            <w:vAlign w:val="bottom"/>
          </w:tcPr>
          <w:p>
            <w:pPr>
              <w:spacing w:after="0"/>
              <w:rPr>
                <w:sz w:val="20"/>
                <w:szCs w:val="20"/>
                <w:color w:val="auto"/>
              </w:rPr>
            </w:pPr>
            <w:r>
              <w:rPr>
                <w:rFonts w:ascii="Arial" w:cs="Arial" w:eastAsia="Arial" w:hAnsi="Arial"/>
                <w:sz w:val="16"/>
                <w:szCs w:val="16"/>
                <w:color w:val="auto"/>
              </w:rPr>
              <w:t>PART I</w:t>
            </w: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color w:val="auto"/>
              </w:rPr>
              <w:t>Item 1.</w:t>
            </w:r>
          </w:p>
        </w:tc>
        <w:tc>
          <w:tcPr>
            <w:tcW w:w="6740" w:type="dxa"/>
            <w:vAlign w:val="bottom"/>
          </w:tcPr>
          <w:p>
            <w:pPr>
              <w:ind w:left="20"/>
              <w:spacing w:after="0"/>
              <w:rPr>
                <w:sz w:val="20"/>
                <w:szCs w:val="20"/>
                <w:color w:val="auto"/>
              </w:rPr>
            </w:pPr>
            <w:r>
              <w:rPr>
                <w:rFonts w:ascii="Arial" w:cs="Arial" w:eastAsia="Arial" w:hAnsi="Arial"/>
                <w:sz w:val="16"/>
                <w:szCs w:val="16"/>
                <w:color w:val="auto"/>
              </w:rPr>
              <w:t>Business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80" w:type="dxa"/>
            <w:vAlign w:val="bottom"/>
          </w:tcPr>
          <w:p>
            <w:pPr>
              <w:spacing w:after="0"/>
              <w:rPr>
                <w:sz w:val="18"/>
                <w:szCs w:val="18"/>
                <w:color w:val="auto"/>
              </w:rPr>
            </w:pPr>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1A.</w:t>
            </w:r>
          </w:p>
        </w:tc>
        <w:tc>
          <w:tcPr>
            <w:tcW w:w="6740" w:type="dxa"/>
            <w:vAlign w:val="bottom"/>
          </w:tcPr>
          <w:p>
            <w:pPr>
              <w:ind w:left="20"/>
              <w:spacing w:after="0"/>
              <w:rPr>
                <w:sz w:val="20"/>
                <w:szCs w:val="20"/>
                <w:color w:val="auto"/>
              </w:rPr>
            </w:pPr>
            <w:r>
              <w:rPr>
                <w:rFonts w:ascii="Arial" w:cs="Arial" w:eastAsia="Arial" w:hAnsi="Arial"/>
                <w:sz w:val="16"/>
                <w:szCs w:val="16"/>
                <w:color w:val="auto"/>
              </w:rPr>
              <w:t>Risk Factors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80" w:type="dxa"/>
            <w:vAlign w:val="bottom"/>
          </w:tcPr>
          <w:p>
            <w:pPr>
              <w:spacing w:after="0"/>
              <w:rPr>
                <w:sz w:val="19"/>
                <w:szCs w:val="19"/>
                <w:color w:val="auto"/>
              </w:rPr>
            </w:pPr>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1B.</w:t>
            </w:r>
          </w:p>
        </w:tc>
        <w:tc>
          <w:tcPr>
            <w:tcW w:w="6740" w:type="dxa"/>
            <w:vAlign w:val="bottom"/>
          </w:tcPr>
          <w:p>
            <w:pPr>
              <w:ind w:left="20"/>
              <w:spacing w:after="0"/>
              <w:rPr>
                <w:sz w:val="20"/>
                <w:szCs w:val="20"/>
                <w:color w:val="auto"/>
              </w:rPr>
            </w:pPr>
            <w:r>
              <w:rPr>
                <w:rFonts w:ascii="Arial" w:cs="Arial" w:eastAsia="Arial" w:hAnsi="Arial"/>
                <w:sz w:val="16"/>
                <w:szCs w:val="16"/>
                <w:color w:val="auto"/>
              </w:rPr>
              <w:t>Unresolved Staff Comments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15">
              <w:r>
                <w:rPr>
                  <w:rFonts w:ascii="Arial" w:cs="Arial" w:eastAsia="Arial" w:hAnsi="Arial"/>
                  <w:sz w:val="16"/>
                  <w:szCs w:val="16"/>
                  <w:color w:val="0000FF"/>
                  <w:w w:val="78"/>
                </w:rPr>
                <w:t>15</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2.</w:t>
            </w:r>
          </w:p>
        </w:tc>
        <w:tc>
          <w:tcPr>
            <w:tcW w:w="6740" w:type="dxa"/>
            <w:vAlign w:val="bottom"/>
          </w:tcPr>
          <w:p>
            <w:pPr>
              <w:ind w:left="20"/>
              <w:spacing w:after="0"/>
              <w:rPr>
                <w:sz w:val="20"/>
                <w:szCs w:val="20"/>
                <w:color w:val="auto"/>
              </w:rPr>
            </w:pPr>
            <w:r>
              <w:rPr>
                <w:rFonts w:ascii="Arial" w:cs="Arial" w:eastAsia="Arial" w:hAnsi="Arial"/>
                <w:sz w:val="16"/>
                <w:szCs w:val="16"/>
                <w:color w:val="auto"/>
              </w:rPr>
              <w:t>Properties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15">
              <w:r>
                <w:rPr>
                  <w:rFonts w:ascii="Arial" w:cs="Arial" w:eastAsia="Arial" w:hAnsi="Arial"/>
                  <w:sz w:val="16"/>
                  <w:szCs w:val="16"/>
                  <w:color w:val="0000FF"/>
                  <w:w w:val="78"/>
                </w:rPr>
                <w:t>15</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3.</w:t>
            </w:r>
          </w:p>
        </w:tc>
        <w:tc>
          <w:tcPr>
            <w:tcW w:w="6740" w:type="dxa"/>
            <w:vAlign w:val="bottom"/>
          </w:tcPr>
          <w:p>
            <w:pPr>
              <w:ind w:left="20"/>
              <w:spacing w:after="0"/>
              <w:rPr>
                <w:sz w:val="20"/>
                <w:szCs w:val="20"/>
                <w:color w:val="auto"/>
              </w:rPr>
            </w:pPr>
            <w:r>
              <w:rPr>
                <w:rFonts w:ascii="Arial" w:cs="Arial" w:eastAsia="Arial" w:hAnsi="Arial"/>
                <w:sz w:val="16"/>
                <w:szCs w:val="16"/>
                <w:color w:val="auto"/>
              </w:rPr>
              <w:t>Legal Proceedings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2">
              <w:r>
                <w:rPr>
                  <w:rFonts w:ascii="Arial" w:cs="Arial" w:eastAsia="Arial" w:hAnsi="Arial"/>
                  <w:sz w:val="16"/>
                  <w:szCs w:val="16"/>
                  <w:color w:val="0000FF"/>
                  <w:w w:val="78"/>
                </w:rPr>
                <w:t>23</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4.</w:t>
            </w:r>
          </w:p>
        </w:tc>
        <w:tc>
          <w:tcPr>
            <w:tcW w:w="6740" w:type="dxa"/>
            <w:vAlign w:val="bottom"/>
          </w:tcPr>
          <w:p>
            <w:pPr>
              <w:ind w:left="20"/>
              <w:spacing w:after="0"/>
              <w:rPr>
                <w:sz w:val="20"/>
                <w:szCs w:val="20"/>
                <w:color w:val="auto"/>
              </w:rPr>
            </w:pPr>
            <w:r>
              <w:rPr>
                <w:rFonts w:ascii="Arial" w:cs="Arial" w:eastAsia="Arial" w:hAnsi="Arial"/>
                <w:sz w:val="16"/>
                <w:szCs w:val="16"/>
                <w:color w:val="auto"/>
              </w:rPr>
              <w:t>Mine Safety Disclosures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23</w:t>
              </w:r>
            </w:hyperlink>
          </w:p>
        </w:tc>
      </w:tr>
      <w:tr>
        <w:trPr>
          <w:trHeight w:val="556"/>
        </w:trPr>
        <w:tc>
          <w:tcPr>
            <w:tcW w:w="1000" w:type="dxa"/>
            <w:vAlign w:val="bottom"/>
          </w:tcPr>
          <w:p>
            <w:pPr>
              <w:spacing w:after="0"/>
              <w:rPr>
                <w:sz w:val="20"/>
                <w:szCs w:val="20"/>
                <w:color w:val="auto"/>
              </w:rPr>
            </w:pPr>
            <w:r>
              <w:rPr>
                <w:rFonts w:ascii="Arial" w:cs="Arial" w:eastAsia="Arial" w:hAnsi="Arial"/>
                <w:sz w:val="16"/>
                <w:szCs w:val="16"/>
                <w:color w:val="auto"/>
              </w:rPr>
              <w:t>PART II</w:t>
            </w: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6"/>
                <w:szCs w:val="16"/>
                <w:color w:val="auto"/>
              </w:rPr>
              <w:t>Item 5.</w:t>
            </w:r>
          </w:p>
        </w:tc>
        <w:tc>
          <w:tcPr>
            <w:tcW w:w="6740" w:type="dxa"/>
            <w:vAlign w:val="bottom"/>
          </w:tcPr>
          <w:p>
            <w:pPr>
              <w:ind w:left="20"/>
              <w:spacing w:after="0"/>
              <w:rPr>
                <w:sz w:val="20"/>
                <w:szCs w:val="20"/>
                <w:color w:val="auto"/>
              </w:rPr>
            </w:pPr>
            <w:r>
              <w:rPr>
                <w:rFonts w:ascii="Arial" w:cs="Arial" w:eastAsia="Arial" w:hAnsi="Arial"/>
                <w:sz w:val="16"/>
                <w:szCs w:val="16"/>
                <w:color w:val="auto"/>
                <w:w w:val="97"/>
              </w:rPr>
              <w:t>Market for Our Common Equity and Related Shareholder Matters and Issuer Purchases of Equity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2"/>
        </w:trPr>
        <w:tc>
          <w:tcPr>
            <w:tcW w:w="1000" w:type="dxa"/>
            <w:vAlign w:val="bottom"/>
          </w:tcPr>
          <w:p>
            <w:pPr>
              <w:spacing w:after="0"/>
              <w:rPr>
                <w:sz w:val="14"/>
                <w:szCs w:val="14"/>
                <w:color w:val="auto"/>
              </w:rPr>
            </w:pPr>
          </w:p>
        </w:tc>
        <w:tc>
          <w:tcPr>
            <w:tcW w:w="6740" w:type="dxa"/>
            <w:vAlign w:val="bottom"/>
          </w:tcPr>
          <w:p>
            <w:pPr>
              <w:ind w:left="20"/>
              <w:spacing w:after="0" w:line="172" w:lineRule="exact"/>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0000FF"/>
            </w:tcBorders>
            <w:gridSpan w:val="2"/>
          </w:tcPr>
          <w:p>
            <w:pPr>
              <w:spacing w:after="0" w:line="172" w:lineRule="exact"/>
              <w:rPr>
                <w:rFonts w:ascii="Arial" w:cs="Arial" w:eastAsia="Arial" w:hAnsi="Arial"/>
                <w:sz w:val="16"/>
                <w:szCs w:val="16"/>
                <w:color w:val="0000FF"/>
                <w:w w:val="78"/>
              </w:rPr>
            </w:pPr>
            <w:hyperlink w:anchor="page24">
              <w:r>
                <w:rPr>
                  <w:rFonts w:ascii="Arial" w:cs="Arial" w:eastAsia="Arial" w:hAnsi="Arial"/>
                  <w:sz w:val="16"/>
                  <w:szCs w:val="16"/>
                  <w:color w:val="0000FF"/>
                  <w:w w:val="78"/>
                </w:rPr>
                <w:t>24</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6.</w:t>
            </w:r>
          </w:p>
        </w:tc>
        <w:tc>
          <w:tcPr>
            <w:tcW w:w="6740" w:type="dxa"/>
            <w:vAlign w:val="bottom"/>
          </w:tcPr>
          <w:p>
            <w:pPr>
              <w:ind w:left="20"/>
              <w:spacing w:after="0"/>
              <w:rPr>
                <w:sz w:val="20"/>
                <w:szCs w:val="20"/>
                <w:color w:val="auto"/>
              </w:rPr>
            </w:pPr>
            <w:r>
              <w:rPr>
                <w:rFonts w:ascii="Arial" w:cs="Arial" w:eastAsia="Arial" w:hAnsi="Arial"/>
                <w:sz w:val="16"/>
                <w:szCs w:val="16"/>
                <w:color w:val="auto"/>
              </w:rPr>
              <w:t>Selected Financial Data</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26</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7.</w:t>
            </w:r>
          </w:p>
        </w:tc>
        <w:tc>
          <w:tcPr>
            <w:tcW w:w="6740" w:type="dxa"/>
            <w:vAlign w:val="bottom"/>
          </w:tcPr>
          <w:p>
            <w:pPr>
              <w:ind w:left="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28</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7A.</w:t>
            </w:r>
          </w:p>
        </w:tc>
        <w:tc>
          <w:tcPr>
            <w:tcW w:w="6740" w:type="dxa"/>
            <w:vAlign w:val="bottom"/>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49</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8.</w:t>
            </w:r>
          </w:p>
        </w:tc>
        <w:tc>
          <w:tcPr>
            <w:tcW w:w="6740" w:type="dxa"/>
            <w:vAlign w:val="bottom"/>
          </w:tcPr>
          <w:p>
            <w:pPr>
              <w:ind w:left="20"/>
              <w:spacing w:after="0"/>
              <w:rPr>
                <w:sz w:val="20"/>
                <w:szCs w:val="20"/>
                <w:color w:val="auto"/>
              </w:rPr>
            </w:pPr>
            <w:r>
              <w:rPr>
                <w:rFonts w:ascii="Arial" w:cs="Arial" w:eastAsia="Arial" w:hAnsi="Arial"/>
                <w:sz w:val="16"/>
                <w:szCs w:val="16"/>
                <w:color w:val="auto"/>
              </w:rPr>
              <w:t>Financial Statements and Supplementary Data</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9.</w:t>
            </w:r>
          </w:p>
        </w:tc>
        <w:tc>
          <w:tcPr>
            <w:tcW w:w="6740" w:type="dxa"/>
            <w:vAlign w:val="bottom"/>
          </w:tcPr>
          <w:p>
            <w:pPr>
              <w:ind w:left="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9A.</w:t>
            </w:r>
          </w:p>
        </w:tc>
        <w:tc>
          <w:tcPr>
            <w:tcW w:w="674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0">
              <w:r>
                <w:rPr>
                  <w:rFonts w:ascii="Arial" w:cs="Arial" w:eastAsia="Arial" w:hAnsi="Arial"/>
                  <w:sz w:val="16"/>
                  <w:szCs w:val="16"/>
                  <w:color w:val="0000FF"/>
                  <w:w w:val="78"/>
                </w:rPr>
                <w:t>50</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9B.</w:t>
            </w:r>
          </w:p>
        </w:tc>
        <w:tc>
          <w:tcPr>
            <w:tcW w:w="6740" w:type="dxa"/>
            <w:vAlign w:val="bottom"/>
          </w:tcPr>
          <w:p>
            <w:pPr>
              <w:ind w:left="20"/>
              <w:spacing w:after="0"/>
              <w:rPr>
                <w:sz w:val="20"/>
                <w:szCs w:val="20"/>
                <w:color w:val="auto"/>
              </w:rPr>
            </w:pPr>
            <w:r>
              <w:rPr>
                <w:rFonts w:ascii="Arial" w:cs="Arial" w:eastAsia="Arial" w:hAnsi="Arial"/>
                <w:sz w:val="16"/>
                <w:szCs w:val="16"/>
                <w:color w:val="auto"/>
              </w:rPr>
              <w:t>Other Information</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2">
              <w:r>
                <w:rPr>
                  <w:rFonts w:ascii="Arial" w:cs="Arial" w:eastAsia="Arial" w:hAnsi="Arial"/>
                  <w:sz w:val="16"/>
                  <w:szCs w:val="16"/>
                  <w:color w:val="0000FF"/>
                  <w:w w:val="78"/>
                </w:rPr>
                <w:t>52</w:t>
              </w:r>
            </w:hyperlink>
          </w:p>
        </w:tc>
      </w:tr>
      <w:tr>
        <w:trPr>
          <w:trHeight w:val="556"/>
        </w:trPr>
        <w:tc>
          <w:tcPr>
            <w:tcW w:w="1000" w:type="dxa"/>
            <w:vAlign w:val="bottom"/>
          </w:tcPr>
          <w:p>
            <w:pPr>
              <w:spacing w:after="0"/>
              <w:rPr>
                <w:sz w:val="20"/>
                <w:szCs w:val="20"/>
                <w:color w:val="auto"/>
              </w:rPr>
            </w:pPr>
            <w:r>
              <w:rPr>
                <w:rFonts w:ascii="Arial" w:cs="Arial" w:eastAsia="Arial" w:hAnsi="Arial"/>
                <w:sz w:val="16"/>
                <w:szCs w:val="16"/>
                <w:color w:val="auto"/>
              </w:rPr>
              <w:t>PART III</w:t>
            </w: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color w:val="auto"/>
              </w:rPr>
              <w:t>Item 10.</w:t>
            </w:r>
          </w:p>
        </w:tc>
        <w:tc>
          <w:tcPr>
            <w:tcW w:w="6740" w:type="dxa"/>
            <w:vAlign w:val="bottom"/>
          </w:tcPr>
          <w:p>
            <w:pPr>
              <w:ind w:left="20"/>
              <w:spacing w:after="0"/>
              <w:rPr>
                <w:sz w:val="20"/>
                <w:szCs w:val="20"/>
                <w:color w:val="auto"/>
              </w:rPr>
            </w:pPr>
            <w:r>
              <w:rPr>
                <w:rFonts w:ascii="Arial" w:cs="Arial" w:eastAsia="Arial" w:hAnsi="Arial"/>
                <w:sz w:val="16"/>
                <w:szCs w:val="16"/>
                <w:color w:val="auto"/>
              </w:rPr>
              <w:t>Trustees, Executive Officers and Corporate Governance</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2">
              <w:r>
                <w:rPr>
                  <w:rFonts w:ascii="Arial" w:cs="Arial" w:eastAsia="Arial" w:hAnsi="Arial"/>
                  <w:sz w:val="16"/>
                  <w:szCs w:val="16"/>
                  <w:color w:val="0000FF"/>
                  <w:w w:val="78"/>
                </w:rPr>
                <w:t>52</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11.</w:t>
            </w:r>
          </w:p>
        </w:tc>
        <w:tc>
          <w:tcPr>
            <w:tcW w:w="6740" w:type="dxa"/>
            <w:vAlign w:val="bottom"/>
          </w:tcPr>
          <w:p>
            <w:pPr>
              <w:ind w:left="20"/>
              <w:spacing w:after="0"/>
              <w:rPr>
                <w:sz w:val="20"/>
                <w:szCs w:val="20"/>
                <w:color w:val="auto"/>
              </w:rPr>
            </w:pPr>
            <w:r>
              <w:rPr>
                <w:rFonts w:ascii="Arial" w:cs="Arial" w:eastAsia="Arial" w:hAnsi="Arial"/>
                <w:sz w:val="16"/>
                <w:szCs w:val="16"/>
                <w:color w:val="auto"/>
              </w:rPr>
              <w:t>Executive Compensation</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12.</w:t>
            </w:r>
          </w:p>
        </w:tc>
        <w:tc>
          <w:tcPr>
            <w:tcW w:w="6740" w:type="dxa"/>
            <w:vAlign w:val="bottom"/>
          </w:tcPr>
          <w:p>
            <w:pPr>
              <w:ind w:left="20"/>
              <w:spacing w:after="0"/>
              <w:rPr>
                <w:sz w:val="20"/>
                <w:szCs w:val="20"/>
                <w:color w:val="auto"/>
              </w:rPr>
            </w:pPr>
            <w:r>
              <w:rPr>
                <w:rFonts w:ascii="Arial" w:cs="Arial" w:eastAsia="Arial" w:hAnsi="Arial"/>
                <w:sz w:val="16"/>
                <w:szCs w:val="16"/>
                <w:color w:val="auto"/>
                <w:w w:val="93"/>
              </w:rPr>
              <w:t>Security Ownership of Certain Beneficial Owners and Management and Related Shareholder Matters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13.</w:t>
            </w:r>
          </w:p>
        </w:tc>
        <w:tc>
          <w:tcPr>
            <w:tcW w:w="6740" w:type="dxa"/>
            <w:vAlign w:val="bottom"/>
          </w:tcPr>
          <w:p>
            <w:pPr>
              <w:ind w:left="20"/>
              <w:spacing w:after="0"/>
              <w:rPr>
                <w:sz w:val="20"/>
                <w:szCs w:val="20"/>
                <w:color w:val="auto"/>
              </w:rPr>
            </w:pPr>
            <w:r>
              <w:rPr>
                <w:rFonts w:ascii="Arial" w:cs="Arial" w:eastAsia="Arial" w:hAnsi="Arial"/>
                <w:sz w:val="16"/>
                <w:szCs w:val="16"/>
                <w:color w:val="auto"/>
              </w:rPr>
              <w:t>Certain Relationships and Related Transactions, and Trustee Independence</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r>
      <w:tr>
        <w:trPr>
          <w:trHeight w:val="226"/>
        </w:trPr>
        <w:tc>
          <w:tcPr>
            <w:tcW w:w="1000" w:type="dxa"/>
            <w:vAlign w:val="bottom"/>
          </w:tcPr>
          <w:p>
            <w:pPr>
              <w:spacing w:after="0"/>
              <w:rPr>
                <w:sz w:val="20"/>
                <w:szCs w:val="20"/>
                <w:color w:val="auto"/>
              </w:rPr>
            </w:pPr>
            <w:r>
              <w:rPr>
                <w:rFonts w:ascii="Arial" w:cs="Arial" w:eastAsia="Arial" w:hAnsi="Arial"/>
                <w:sz w:val="16"/>
                <w:szCs w:val="16"/>
                <w:color w:val="auto"/>
              </w:rPr>
              <w:t>Item 14.</w:t>
            </w:r>
          </w:p>
        </w:tc>
        <w:tc>
          <w:tcPr>
            <w:tcW w:w="6740" w:type="dxa"/>
            <w:vAlign w:val="bottom"/>
          </w:tcPr>
          <w:p>
            <w:pPr>
              <w:ind w:left="20"/>
              <w:spacing w:after="0"/>
              <w:rPr>
                <w:sz w:val="20"/>
                <w:szCs w:val="20"/>
                <w:color w:val="auto"/>
              </w:rPr>
            </w:pPr>
            <w:r>
              <w:rPr>
                <w:rFonts w:ascii="Arial" w:cs="Arial" w:eastAsia="Arial" w:hAnsi="Arial"/>
                <w:sz w:val="16"/>
                <w:szCs w:val="16"/>
                <w:color w:val="auto"/>
              </w:rPr>
              <w:t>Principal Accountant Fees and Services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r>
      <w:tr>
        <w:trPr>
          <w:trHeight w:val="556"/>
        </w:trPr>
        <w:tc>
          <w:tcPr>
            <w:tcW w:w="1000" w:type="dxa"/>
            <w:vAlign w:val="bottom"/>
          </w:tcPr>
          <w:p>
            <w:pPr>
              <w:spacing w:after="0"/>
              <w:rPr>
                <w:sz w:val="20"/>
                <w:szCs w:val="20"/>
                <w:color w:val="auto"/>
              </w:rPr>
            </w:pPr>
            <w:r>
              <w:rPr>
                <w:rFonts w:ascii="Arial" w:cs="Arial" w:eastAsia="Arial" w:hAnsi="Arial"/>
                <w:sz w:val="16"/>
                <w:szCs w:val="16"/>
                <w:color w:val="auto"/>
              </w:rPr>
              <w:t>PART IV</w:t>
            </w:r>
          </w:p>
        </w:tc>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color w:val="auto"/>
              </w:rPr>
              <w:t>Item 15.</w:t>
            </w:r>
          </w:p>
        </w:tc>
        <w:tc>
          <w:tcPr>
            <w:tcW w:w="6740" w:type="dxa"/>
            <w:vAlign w:val="bottom"/>
          </w:tcPr>
          <w:p>
            <w:pPr>
              <w:ind w:left="20"/>
              <w:spacing w:after="0"/>
              <w:rPr>
                <w:sz w:val="20"/>
                <w:szCs w:val="20"/>
                <w:color w:val="auto"/>
              </w:rPr>
            </w:pPr>
            <w:r>
              <w:rPr>
                <w:rFonts w:ascii="Arial" w:cs="Arial" w:eastAsia="Arial" w:hAnsi="Arial"/>
                <w:sz w:val="16"/>
                <w:szCs w:val="16"/>
                <w:color w:val="auto"/>
              </w:rPr>
              <w:t>Exhibits and Financial Statement Schedules</w:t>
            </w: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r>
      <w:tr>
        <w:trPr>
          <w:trHeight w:val="520"/>
        </w:trPr>
        <w:tc>
          <w:tcPr>
            <w:tcW w:w="1000" w:type="dxa"/>
            <w:vAlign w:val="bottom"/>
          </w:tcPr>
          <w:p>
            <w:pPr>
              <w:spacing w:after="0"/>
              <w:rPr>
                <w:sz w:val="20"/>
                <w:szCs w:val="20"/>
                <w:color w:val="auto"/>
              </w:rPr>
            </w:pPr>
            <w:r>
              <w:rPr>
                <w:rFonts w:ascii="Arial" w:cs="Arial" w:eastAsia="Arial" w:hAnsi="Arial"/>
                <w:sz w:val="16"/>
                <w:szCs w:val="16"/>
                <w:color w:val="auto"/>
                <w:w w:val="94"/>
              </w:rPr>
              <w:t>SIGNATURES</w:t>
            </w:r>
          </w:p>
        </w:tc>
        <w:tc>
          <w:tcPr>
            <w:tcW w:w="6740" w:type="dxa"/>
            <w:vAlign w:val="bottom"/>
          </w:tcPr>
          <w:p>
            <w:pPr>
              <w:spacing w:after="0"/>
              <w:rPr>
                <w:sz w:val="24"/>
                <w:szCs w:val="24"/>
                <w:color w:val="auto"/>
              </w:rPr>
            </w:pPr>
          </w:p>
        </w:tc>
        <w:tc>
          <w:tcPr>
            <w:tcW w:w="160" w:type="dxa"/>
            <w:vAlign w:val="bottom"/>
            <w:tcBorders>
              <w:bottom w:val="single" w:sz="8" w:color="0000FF"/>
            </w:tcBorders>
            <w:gridSpan w:val="2"/>
          </w:tcPr>
          <w:p>
            <w:pPr>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54</w:t>
              </w:r>
            </w:hyperlink>
          </w:p>
        </w:tc>
      </w:tr>
      <w:tr>
        <w:trPr>
          <w:trHeight w:val="851"/>
        </w:trPr>
        <w:tc>
          <w:tcPr>
            <w:tcW w:w="1000" w:type="dxa"/>
            <w:vAlign w:val="bottom"/>
          </w:tcPr>
          <w:p>
            <w:pPr>
              <w:spacing w:after="0"/>
              <w:rPr>
                <w:sz w:val="24"/>
                <w:szCs w:val="24"/>
                <w:color w:val="auto"/>
              </w:rPr>
            </w:pPr>
          </w:p>
        </w:tc>
        <w:tc>
          <w:tcPr>
            <w:tcW w:w="6740" w:type="dxa"/>
            <w:vAlign w:val="bottom"/>
          </w:tcPr>
          <w:p>
            <w:pPr>
              <w:ind w:left="31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00"/>
          </w:cols>
          <w:pgMar w:left="240" w:top="127" w:right="359" w:bottom="1440" w:gutter="0" w:footer="0" w:header="0"/>
        </w:sectPr>
      </w:pPr>
    </w:p>
    <w:bookmarkStart w:id="2" w:name="page3"/>
    <w:bookmarkEnd w:id="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00" w:lineRule="exact"/>
        <w:rPr>
          <w:sz w:val="20"/>
          <w:szCs w:val="20"/>
          <w:color w:val="auto"/>
        </w:rPr>
      </w:pPr>
    </w:p>
    <w:p>
      <w:pPr>
        <w:spacing w:after="0" w:line="35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References to “we,” “us,” “our” or the “Trust” refer to Federal Realty Investment Trust and our business and operations conducted through our directly or indirectly 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90"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2011, we owned or had a majority interest in community and neighborhood shopping centers and mixed-use properties which are operated as 87 predominantly retail real estate projects comprising approximately 19.3 million square feet. In total, the real estate projects were 93.4% leased and 92.4% occupied at December 31, 2011. A joint venture in which we own a 30% interest owned seven retail real estate projects totaling approximately 1.0 million square feet as of December 31, 2011. In total, the joint venture properties in which we own an interest were 90.9% leased and occupied at December 31, 2011. We have paid quarterly dividends to our shareholders continuously since our founding in 1962 and have increased our dividends per common share for 44 consecutive years.</w:t>
      </w:r>
    </w:p>
    <w:p>
      <w:pPr>
        <w:spacing w:after="0" w:line="10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Objectives and Strategies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primary business objective is to own, manage, acquire and redevelop a portfolio of high quality retail properties that will:</w:t>
      </w:r>
    </w:p>
    <w:p>
      <w:pPr>
        <w:spacing w:after="0" w:line="24" w:lineRule="exact"/>
        <w:rPr>
          <w:sz w:val="20"/>
          <w:szCs w:val="20"/>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protect investor capital;</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increasing cash flow for distribution to shareholders;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generate higher internal growth than our peers;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potential for capital appreciation.</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portfolio includes, and we continue to acquire and redevelop, high quality retail in many formats ranging from regional community and neighborhood shopping centers that generally are anchored by grocery stores to mixed-use properties that are typically centered around a retail component but may also include office, residential and/or hotel components.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Strategies</w:t>
      </w:r>
    </w:p>
    <w:p>
      <w:pPr>
        <w:spacing w:after="0" w:line="86" w:lineRule="exact"/>
        <w:rPr>
          <w:sz w:val="20"/>
          <w:szCs w:val="20"/>
          <w:color w:val="auto"/>
        </w:rPr>
      </w:pPr>
    </w:p>
    <w:p>
      <w:pPr>
        <w:ind w:right="200"/>
        <w:spacing w:after="0" w:line="277" w:lineRule="auto"/>
        <w:rPr>
          <w:sz w:val="20"/>
          <w:szCs w:val="20"/>
          <w:color w:val="auto"/>
        </w:rPr>
      </w:pPr>
      <w:r>
        <w:rPr>
          <w:rFonts w:ascii="Arial" w:cs="Arial" w:eastAsia="Arial" w:hAnsi="Arial"/>
          <w:sz w:val="15"/>
          <w:szCs w:val="15"/>
          <w:color w:val="auto"/>
        </w:rPr>
        <w:t>Our core operating strategy is to actively manage our properties to maximize rents and maintain occupancy levels by attracting and retaining a strong and diverse base of tenants and replacing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1" w:lineRule="exact"/>
        <w:rPr>
          <w:sz w:val="20"/>
          <w:szCs w:val="20"/>
          <w:color w:val="auto"/>
        </w:rPr>
      </w:pPr>
    </w:p>
    <w:p>
      <w:pPr>
        <w:ind w:left="580" w:hanging="287"/>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increasing rental rates through the renewal of expiring leases or the leasing of space to new tenants at higher rental rates while limiting vacancy and down-time;</w:t>
      </w:r>
    </w:p>
    <w:p>
      <w:pPr>
        <w:spacing w:after="0" w:line="23" w:lineRule="exact"/>
        <w:rPr>
          <w:rFonts w:ascii="Arial" w:cs="Arial" w:eastAsia="Arial" w:hAnsi="Arial"/>
          <w:sz w:val="15"/>
          <w:szCs w:val="15"/>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maintaining a diversified tenant base, thereby limiting exposure to any one tenant’s financial or operating difficulties;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minimizing overhead and operating costs;</w:t>
      </w:r>
    </w:p>
    <w:p>
      <w:pPr>
        <w:spacing w:after="0" w:line="12" w:lineRule="exact"/>
        <w:rPr>
          <w:rFonts w:ascii="Arial" w:cs="Arial" w:eastAsia="Arial" w:hAnsi="Arial"/>
          <w:sz w:val="16"/>
          <w:szCs w:val="16"/>
          <w:color w:val="auto"/>
        </w:rPr>
      </w:pPr>
    </w:p>
    <w:p>
      <w:pPr>
        <w:ind w:left="580" w:right="400" w:hanging="287"/>
        <w:spacing w:after="0" w:line="256"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developing local and regional market expertise in order to capitalize on market and retailing trends;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leveraging the contacts and experience of our management team to build and maintain long-term relationships with tenants, investors and financing sources;</w:t>
      </w:r>
    </w:p>
    <w:p>
      <w:pPr>
        <w:spacing w:after="0" w:line="23" w:lineRule="exact"/>
        <w:rPr>
          <w:rFonts w:ascii="Arial" w:cs="Arial" w:eastAsia="Arial" w:hAnsi="Arial"/>
          <w:sz w:val="15"/>
          <w:szCs w:val="15"/>
          <w:color w:val="auto"/>
        </w:rPr>
      </w:pPr>
    </w:p>
    <w:p>
      <w:pPr>
        <w:ind w:left="580" w:hanging="287"/>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providing exceptional customer service;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ind w:left="580" w:right="80" w:hanging="287"/>
        <w:spacing w:after="0" w:line="287"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Strategies</w:t>
      </w:r>
    </w:p>
    <w:p>
      <w:pPr>
        <w:spacing w:after="0" w:line="8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580" w:right="500" w:hanging="287"/>
        <w:spacing w:after="0" w:line="256"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renovating, expanding, reconfiguring and/or retenanting our existing properties to take advantage of under-utilized land or existing square footage to increase revenue;</w:t>
      </w:r>
    </w:p>
    <w:p>
      <w:pPr>
        <w:ind w:left="580" w:hanging="287"/>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w:t>
      </w:r>
    </w:p>
    <w:p>
      <w:pPr>
        <w:spacing w:after="0" w:line="12" w:lineRule="exact"/>
        <w:rPr>
          <w:rFonts w:ascii="Arial" w:cs="Arial" w:eastAsia="Arial" w:hAnsi="Arial"/>
          <w:sz w:val="16"/>
          <w:szCs w:val="16"/>
          <w:color w:val="auto"/>
        </w:rPr>
      </w:pPr>
    </w:p>
    <w:p>
      <w:pPr>
        <w:ind w:left="580" w:right="20" w:hanging="287"/>
        <w:spacing w:after="0" w:line="273"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580" w:right="240" w:hanging="287"/>
        <w:spacing w:after="0" w:line="27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developing the retail portions of mixed-use properties and developing or otherwise investing in other portions of mixed-use properties we already own in order to capitalize on the overall value created in these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Criteria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When we evaluate potential redevelopment, retenanting, expansion, acquisition and development opportunities, we consider such factors as:</w:t>
      </w:r>
    </w:p>
    <w:p>
      <w:pPr>
        <w:spacing w:after="0" w:line="24" w:lineRule="exact"/>
        <w:rPr>
          <w:sz w:val="20"/>
          <w:szCs w:val="20"/>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anticipated growth rate of operating income generated by the property;</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tenant mix at the property, tenant sales performance and the creditworthiness of those tenants;</w:t>
      </w:r>
    </w:p>
    <w:p>
      <w:pPr>
        <w:spacing w:after="0" w:line="12" w:lineRule="exact"/>
        <w:rPr>
          <w:rFonts w:ascii="Arial" w:cs="Arial" w:eastAsia="Arial" w:hAnsi="Arial"/>
          <w:sz w:val="16"/>
          <w:szCs w:val="16"/>
          <w:color w:val="auto"/>
        </w:rPr>
      </w:pPr>
    </w:p>
    <w:p>
      <w:pPr>
        <w:ind w:left="580" w:right="260" w:hanging="287"/>
        <w:spacing w:after="0" w:line="25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geographic area in which the property is located, including the population density and household incomes, as well as the population and income trends in that geographic area;</w:t>
      </w:r>
    </w:p>
    <w:p>
      <w:pPr>
        <w:ind w:left="580" w:right="940" w:hanging="287"/>
        <w:spacing w:after="0" w:line="25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competitive conditions in the vicinity of the property, including competition for tenants and the ability of others to create competing properties through redevelopment, new construction or renovation;</w:t>
      </w:r>
    </w:p>
    <w:p>
      <w:pPr>
        <w:ind w:left="580" w:hanging="287"/>
        <w:spacing w:after="0" w:line="25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access to and visibility of the property from existing roadways and the potential for new, widened or realigned, roadways within the property’s trade area, which may affect access and commuting and shopping patterns;</w:t>
      </w: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level and success of our existing investments in the market area;</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current market value of the land, buildings and other improvements and the potential for increasing those market values;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physical condition of the land, buildings and other improvements, including the structural and environmental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Strategies</w:t>
      </w:r>
    </w:p>
    <w:p>
      <w:pPr>
        <w:spacing w:after="0" w:line="86"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580" w:hanging="287"/>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a prudent level of overall leverage and an appropriate pool of unencumbered properties that is sufficient to support our unsecured borrowings;</w:t>
      </w:r>
    </w:p>
    <w:p>
      <w:pPr>
        <w:spacing w:after="0" w:line="23" w:lineRule="exact"/>
        <w:rPr>
          <w:rFonts w:ascii="Arial" w:cs="Arial" w:eastAsia="Arial" w:hAnsi="Arial"/>
          <w:sz w:val="15"/>
          <w:szCs w:val="15"/>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managing our exposure to variable-rate debt;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maintaining an available line of credit to fund operating and investing needs on a short-term basis;</w:t>
      </w:r>
    </w:p>
    <w:p>
      <w:pPr>
        <w:spacing w:after="0" w:line="12" w:lineRule="exact"/>
        <w:rPr>
          <w:rFonts w:ascii="Arial" w:cs="Arial" w:eastAsia="Arial" w:hAnsi="Arial"/>
          <w:sz w:val="16"/>
          <w:szCs w:val="16"/>
          <w:color w:val="auto"/>
        </w:rPr>
      </w:pPr>
    </w:p>
    <w:p>
      <w:pPr>
        <w:ind w:left="580" w:right="120" w:hanging="287"/>
        <w:spacing w:after="0" w:line="256"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taking advantage of market opportunities to refinance existing debt, reduce interest costs and manage our debt maturity schedule so that a significant portion of our debt does not mature in any one year;</w:t>
      </w:r>
    </w:p>
    <w:p>
      <w:pPr>
        <w:ind w:left="580" w:right="520" w:hanging="287"/>
        <w:spacing w:after="0" w:line="256"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12" w:lineRule="exact"/>
        <w:rPr>
          <w:rFonts w:ascii="Arial" w:cs="Arial" w:eastAsia="Arial" w:hAnsi="Arial"/>
          <w:sz w:val="16"/>
          <w:szCs w:val="16"/>
          <w:color w:val="auto"/>
        </w:rPr>
      </w:pPr>
    </w:p>
    <w:p>
      <w:pPr>
        <w:ind w:left="580" w:right="120" w:hanging="287"/>
        <w:spacing w:after="0" w:line="256"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sale of our equity or debt securities through public offerings, including our at the market ("ATM") equity program in which we may from time to time offer and sell common shares, or private placements,</w:t>
      </w: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incurrence of indebtedness through unsecured or secured borrowings,</w:t>
      </w:r>
    </w:p>
    <w:p>
      <w:pPr>
        <w:spacing w:after="0" w:line="12" w:lineRule="exact"/>
        <w:rPr>
          <w:rFonts w:ascii="Arial" w:cs="Arial" w:eastAsia="Arial" w:hAnsi="Arial"/>
          <w:sz w:val="16"/>
          <w:szCs w:val="16"/>
          <w:color w:val="auto"/>
        </w:rPr>
      </w:pPr>
    </w:p>
    <w:p>
      <w:pPr>
        <w:ind w:left="580" w:right="200" w:hanging="287"/>
        <w:spacing w:after="0" w:line="26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27" w:right="259" w:bottom="1440" w:gutter="0" w:footer="0" w:header="0"/>
        </w:sectPr>
      </w:pPr>
    </w:p>
    <w:bookmarkStart w:id="4" w:name="page5"/>
    <w:bookmarkEnd w:id="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of these units have the right to exchange their units for cash or the same number of our common shares, at our option), or</w:t>
      </w:r>
    </w:p>
    <w:p>
      <w:pPr>
        <w:spacing w:after="0" w:line="25" w:lineRule="exact"/>
        <w:rPr>
          <w:sz w:val="20"/>
          <w:szCs w:val="20"/>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use of joint venture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90"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At February 9, 2012, we had 254 full-time employees and 162 part-time employees. None of our employees are represented by a collective bargaining unit. We believe that our relationship with our employees is good.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Status</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22" w:lineRule="exact"/>
        <w:rPr>
          <w:sz w:val="20"/>
          <w:szCs w:val="20"/>
          <w:color w:val="auto"/>
        </w:rPr>
      </w:pPr>
    </w:p>
    <w:p>
      <w:pPr>
        <w:ind w:right="20"/>
        <w:spacing w:after="0" w:line="362" w:lineRule="auto"/>
        <w:rPr>
          <w:sz w:val="20"/>
          <w:szCs w:val="20"/>
          <w:color w:val="auto"/>
        </w:rPr>
      </w:pPr>
      <w:r>
        <w:rPr>
          <w:rFonts w:ascii="Arial" w:cs="Arial" w:eastAsia="Arial" w:hAnsi="Arial"/>
          <w:sz w:val="14"/>
          <w:szCs w:val="14"/>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 Affecting Our Properties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and our properties are subject to a variety of federal, state and local environmental, health, safety and similar laws, including without limitation:</w:t>
      </w:r>
    </w:p>
    <w:p>
      <w:pPr>
        <w:spacing w:after="0" w:line="24" w:lineRule="exact"/>
        <w:rPr>
          <w:sz w:val="20"/>
          <w:szCs w:val="20"/>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which we refer to as CERCLA;</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Resource Conservation &amp; Recovery Act;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Clean Water Act;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Clean Air Act;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Toxic Substances Control Act;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Occupational Safety &amp; Health Act;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Americans with Disabilities Act.</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2"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1" w:lineRule="exact"/>
        <w:rPr>
          <w:sz w:val="20"/>
          <w:szCs w:val="20"/>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 the number of properties available for acquisition;</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the cost of properties available for acquisition;</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interfere with our ability to attract and retain tenants, leading to increased vacancy rates and/or reduced rents;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adversely affect our ability to minimize expenses of operation.</w:t>
      </w:r>
    </w:p>
    <w:p>
      <w:pPr>
        <w:spacing w:after="0" w:line="14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internet marketing and telemarketing.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9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6"/>
          <w:szCs w:val="16"/>
          <w:i w:val="1"/>
          <w:iCs w:val="1"/>
          <w:color w:val="auto"/>
        </w:rPr>
        <w:t xml:space="preserve">www.federalrealty.com </w:t>
      </w:r>
      <w:r>
        <w:rPr>
          <w:rFonts w:ascii="Arial" w:cs="Arial" w:eastAsia="Arial" w:hAnsi="Arial"/>
          <w:sz w:val="16"/>
          <w:szCs w:val="16"/>
          <w:color w:val="auto"/>
        </w:rPr>
        <w:t>as soon as reasonably practicable after we electronically file the material with, or furnish the material to, the Securities and Exchange Commission, or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Amendments to the Code of Ethics or Code of Business Conduct or waivers that apply to any of our executive officers or our senior financial officers will be disclosed in that section of our website as well.</w:t>
      </w:r>
    </w:p>
    <w:p>
      <w:pPr>
        <w:spacing w:after="0" w:line="10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You may obtain a printed copy of any of the foregoing materials from us by writing to us at Investor Relations, Federal Realty Investment Trust, 1626 East Jefferson Street, Rockville, Maryland 20852.</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40" w:top="127" w:right="279" w:bottom="1440" w:gutter="0" w:footer="0" w:header="0"/>
        </w:sectPr>
      </w:pPr>
    </w:p>
    <w:bookmarkStart w:id="6" w:name="page7"/>
    <w:bookmarkEnd w:id="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from our properties may be reduced or limited if the retail operations of our tenants are not successful.</w:t>
      </w:r>
    </w:p>
    <w:p>
      <w:pPr>
        <w:spacing w:after="0" w:line="9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The current economic conditions may impact the success of our tenants’ retail operations and therefore the amount of rent and expense reimbursements we receive from our tenants. We have seen some tenants experiencing declining sales, vacating early, failing to pay rent on a timely basis or filing for bankruptcy, as well as seeking rent relief from us as landlord.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net income depends on the success and continued presence of our “anchor” tenants.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current economic conditions, we have seen a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collect balances due from tenants that file for bankruptcy protection.</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difficulty or delay in renewing leases or re-leasing space.</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which may include decreases in rental rates. As a result, our results of operations and our net income could be reduced.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amount of debt we have and the restrictions imposed by that debt could adversely affect our business and financial condition.</w:t>
      </w:r>
    </w:p>
    <w:p>
      <w:pPr>
        <w:spacing w:after="0" w:line="9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December 31, 2011, we had approximately $2.1 billion of debt outstanding. Of that outstanding debt, approximately $725.4 million was secured by all or a portion of 21 of our real estate projects and approximately $63.1 million represented capital lease obligations on four of our properties. In addition, we own a 30% interest in a joint venture that had $57.4 million of debt secured by four properties as of December 31, 2011. Approximately $2.1 billion (99.6%) of our debt as of December 31, 2011 is fixed rate debt, which includes all of our property secured debt, our capital lease obligations and our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$275.0 million term loan as the rate is effectively fixed by two interest rate swap agreements. Our unconsolidated joint venture’s debt of $57.4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1" w:lineRule="exact"/>
        <w:rPr>
          <w:sz w:val="20"/>
          <w:szCs w:val="20"/>
          <w:color w:val="auto"/>
        </w:rPr>
      </w:pPr>
    </w:p>
    <w:p>
      <w:pPr>
        <w:ind w:left="580" w:right="420" w:hanging="287"/>
        <w:spacing w:after="0" w:line="25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580" w:hanging="28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make distributions on our outstanding common shares and preferred shares;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it difficult to satisfy our debt service requirements;</w:t>
      </w:r>
    </w:p>
    <w:p>
      <w:pPr>
        <w:spacing w:after="0" w:line="12" w:lineRule="exact"/>
        <w:rPr>
          <w:rFonts w:ascii="Arial" w:cs="Arial" w:eastAsia="Arial" w:hAnsi="Arial"/>
          <w:sz w:val="16"/>
          <w:szCs w:val="16"/>
          <w:color w:val="auto"/>
        </w:rPr>
      </w:pPr>
    </w:p>
    <w:p>
      <w:pPr>
        <w:ind w:left="580" w:right="200" w:hanging="287"/>
        <w:spacing w:after="0" w:line="25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debt upon refinancing or on our variable rate, unhedged debt, if interest rates rise;</w:t>
      </w:r>
    </w:p>
    <w:p>
      <w:pPr>
        <w:ind w:left="580" w:hanging="28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in our business and the factors that affect the profitability of our business;</w:t>
      </w:r>
    </w:p>
    <w:p>
      <w:pPr>
        <w:spacing w:after="0" w:line="12" w:lineRule="exact"/>
        <w:rPr>
          <w:rFonts w:ascii="Arial" w:cs="Arial" w:eastAsia="Arial" w:hAnsi="Arial"/>
          <w:sz w:val="16"/>
          <w:szCs w:val="16"/>
          <w:color w:val="auto"/>
        </w:rPr>
      </w:pPr>
    </w:p>
    <w:p>
      <w:pPr>
        <w:ind w:left="580" w:right="100" w:hanging="287"/>
        <w:spacing w:after="0" w:line="25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580" w:hanging="28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limit our flexibility in conducting our business, which may place us at a disadvantage compared to competitors with less debt or debt with less restrictive terms.</w:t>
      </w:r>
    </w:p>
    <w:p>
      <w:pPr>
        <w:spacing w:after="0" w:line="16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1" w:lineRule="exact"/>
        <w:rPr>
          <w:sz w:val="20"/>
          <w:szCs w:val="20"/>
          <w:color w:val="auto"/>
        </w:rPr>
      </w:pPr>
    </w:p>
    <w:p>
      <w:pPr>
        <w:ind w:right="520"/>
        <w:spacing w:after="0" w:line="292" w:lineRule="auto"/>
        <w:rPr>
          <w:sz w:val="20"/>
          <w:szCs w:val="20"/>
          <w:color w:val="auto"/>
        </w:rPr>
      </w:pPr>
      <w:r>
        <w:rPr>
          <w:rFonts w:ascii="Arial" w:cs="Arial" w:eastAsia="Arial" w:hAnsi="Arial"/>
          <w:sz w:val="16"/>
          <w:szCs w:val="16"/>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w:t>
      </w:r>
    </w:p>
    <w:p>
      <w:pPr>
        <w:spacing w:after="0" w:line="23"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relating to the maintenance of property securing a mortgage;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our ability to pledge assets or create liens;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our ability to incur additional debt;</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our ability to amend or modify existing leases at properties securing a mortgage;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our ability to enter into transactions with affiliates;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restricting our ability to consolidate, merge or sell all or substantially all of our assets.</w:t>
      </w:r>
    </w:p>
    <w:p>
      <w:pPr>
        <w:spacing w:after="0" w:line="148"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As of December 31, 2011,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development activities have inherent risks.</w:t>
      </w:r>
    </w:p>
    <w:p>
      <w:pPr>
        <w:spacing w:after="0" w:line="9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Santana Row in San Jose, California, Assembly Row in Somerville, Massachusetts, and Pike &amp; Rose (Mid-Pike Plaza) in Rockville,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27" w:right="259" w:bottom="1440" w:gutter="0" w:footer="0" w:header="0"/>
        </w:sectPr>
      </w:pPr>
    </w:p>
    <w:bookmarkStart w:id="8" w:name="page9"/>
    <w:bookmarkEnd w:id="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any new projects are not successful, it may adversely affect our financial condition and results of operations.</w:t>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2012, we expect to start construction on Assembly Row, Pike &amp; Rose and additional residential units at Santana Row and anticipate investing approximately $500 million in these projects over the next few years. While the significant size of the development investment poses a risk in itself, there are a number of other risks associated with these projects. At Assembly Row, we are dependent on the performance of third parties to deliver significant aspects of the project that are critical to our success. In addition at this project, our projected investment assumes that we will receive public funding which has been committed but has not been entirely funded. At both Assembly Row and Pike &amp; Rose, a substantial amount of our investment is related to infrastructure, the value of which may be negatively impacted if we do not complete subsequent phases. Furthermore, with respect to residential development at Pike &amp; Rose and Santana Row, we will be delivering these units into a residential environment in 2014-2015 that is uncertain.</w:t>
      </w:r>
    </w:p>
    <w:p>
      <w:pPr>
        <w:spacing w:after="0" w:line="122" w:lineRule="exact"/>
        <w:rPr>
          <w:sz w:val="20"/>
          <w:szCs w:val="20"/>
          <w:color w:val="auto"/>
        </w:rPr>
      </w:pPr>
    </w:p>
    <w:p>
      <w:pPr>
        <w:ind w:right="700"/>
        <w:spacing w:after="0" w:line="263" w:lineRule="auto"/>
        <w:rPr>
          <w:sz w:val="20"/>
          <w:szCs w:val="20"/>
          <w:color w:val="auto"/>
        </w:rPr>
      </w:pPr>
      <w:r>
        <w:rPr>
          <w:rFonts w:ascii="Arial" w:cs="Arial" w:eastAsia="Arial" w:hAnsi="Arial"/>
          <w:sz w:val="16"/>
          <w:szCs w:val="16"/>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contractor changes may delay the completion of development projects and increase overall costs;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time lag between commencement and stabilization subjects us to greater risks due to fluctuations in the general economy;</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or inability to obtain construction or permanent financing on favorable terms;</w:t>
      </w:r>
    </w:p>
    <w:p>
      <w:pPr>
        <w:spacing w:after="0" w:line="12" w:lineRule="exact"/>
        <w:rPr>
          <w:rFonts w:ascii="Arial" w:cs="Arial" w:eastAsia="Arial" w:hAnsi="Arial"/>
          <w:sz w:val="16"/>
          <w:szCs w:val="16"/>
          <w:color w:val="auto"/>
        </w:rPr>
      </w:pPr>
    </w:p>
    <w:p>
      <w:pPr>
        <w:ind w:left="580" w:right="260" w:hanging="287"/>
        <w:spacing w:after="0" w:line="256"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or inability to obtain public funding from governmental agencies to fund infrastructure projects; including expected public funding in connection with our development at Assembly Row;</w:t>
      </w: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expenditure of money and time on projects that may never be completed;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third-party developer of residential buildings may not deliver or may encounter delays in delivering residential space as planned;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difficulty securing key value-oriented anchor tenants may impact retail and residential occupancy rates;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inability to achieve projected rental rates or anticipated pace of lease-up;</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than estimated construction or operating costs, including labor and material costs; and</w:t>
      </w:r>
    </w:p>
    <w:p>
      <w:pPr>
        <w:spacing w:after="0" w:line="12" w:lineRule="exact"/>
        <w:rPr>
          <w:rFonts w:ascii="Arial" w:cs="Arial" w:eastAsia="Arial" w:hAnsi="Arial"/>
          <w:sz w:val="16"/>
          <w:szCs w:val="16"/>
          <w:color w:val="auto"/>
        </w:rPr>
      </w:pPr>
    </w:p>
    <w:p>
      <w:pPr>
        <w:ind w:left="580" w:right="180" w:hanging="287"/>
        <w:spacing w:after="0" w:line="27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Redevelopments and acquisitions may fail to perform as expected.</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entails risks that include the following, any of which could adversely affect our results of operations and our ability to meet our obligations:</w:t>
      </w:r>
    </w:p>
    <w:p>
      <w:pPr>
        <w:spacing w:after="0" w:line="1" w:lineRule="exact"/>
        <w:rPr>
          <w:sz w:val="20"/>
          <w:szCs w:val="20"/>
          <w:color w:val="auto"/>
        </w:rPr>
      </w:pPr>
    </w:p>
    <w:p>
      <w:pPr>
        <w:ind w:left="580" w:right="20" w:hanging="287"/>
        <w:spacing w:after="0" w:line="273"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integrate an acquisition into our existing operations successfully;</w:t>
      </w:r>
    </w:p>
    <w:p>
      <w:pPr>
        <w:spacing w:after="0" w:line="12" w:lineRule="exact"/>
        <w:rPr>
          <w:rFonts w:ascii="Arial" w:cs="Arial" w:eastAsia="Arial" w:hAnsi="Arial"/>
          <w:sz w:val="16"/>
          <w:szCs w:val="16"/>
          <w:color w:val="auto"/>
        </w:rPr>
      </w:pPr>
    </w:p>
    <w:p>
      <w:pPr>
        <w:ind w:left="580" w:right="80" w:hanging="287"/>
        <w:spacing w:after="0" w:line="25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580" w:right="40" w:hanging="287"/>
        <w:spacing w:after="0" w:line="25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ind w:left="580" w:right="160" w:hanging="287"/>
        <w:spacing w:after="0" w:line="27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grow will be limited if we cannot obtain additional capital.</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While we were able to consummate financings during 2009, 2010 and 2011, if economic</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127" w:right="259" w:bottom="1440" w:gutter="0" w:footer="0" w:header="0"/>
        </w:sectPr>
      </w:pPr>
    </w:p>
    <w:bookmarkStart w:id="9" w:name="page10"/>
    <w:bookmarkEnd w:id="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conditions and conditions in the capital markets are not favorable at the time we need to raise capital, we may need to obtain capital on less favorable terms than in recent years for debt financings.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Rising interest rates could adversely affect our cash flow and the market price of our outstanding debt and preferred shares.</w:t>
      </w:r>
    </w:p>
    <w:p>
      <w:pPr>
        <w:spacing w:after="0" w:line="9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Of our approximately $2.1 billion of debt outstanding as of December 31, 2011, approximately $284.4 million bears interest at variable rates of which $275.0 million is effectively fixed through two interest rate swap agreements. We have a $400.0 million revolving credit facility, of which no balance is outstanding at December 31, 2011, that bears interest at LIBOR plus 115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The interest rate on our $275.0 million term loan is currently fixed at 3.17% as a result of two interest rate swap agreements.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value of our debt and equity securities is subject to various factors that may cause significant fluctuations or volatility.</w:t>
      </w:r>
    </w:p>
    <w:p>
      <w:pPr>
        <w:spacing w:after="0" w:line="9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1" w:lineRule="exact"/>
        <w:rPr>
          <w:sz w:val="20"/>
          <w:szCs w:val="20"/>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economic and financial market conditions;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and trend of interest rates;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access the capital markets to raise additional capital;</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issuance of additional equity or debt securities;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our funds from operations (“FFO”) or earnings estimates;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our debt or analyst ratings;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financial condition and performance;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market perception of our business compared to other REITs; and/or</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market perception of REITs, in general, compared to other investment alternatives.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of our key management could adversely affect performance and the value of our common shares.</w:t>
      </w:r>
    </w:p>
    <w:p>
      <w:pPr>
        <w:spacing w:after="0" w:line="90"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performance and value are subject to general risks associated with the real estate industry.</w:t>
      </w:r>
    </w:p>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 w:lineRule="exact"/>
        <w:rPr>
          <w:sz w:val="20"/>
          <w:szCs w:val="20"/>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economic downturns in general, or in the areas where our properties are located;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adverse changes in local real estate market conditions, such as an oversupply or reduction in demand;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tenant preferences that reduce the attractiveness of our properties to tenants;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zoning or regulatory restrictions;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decreases in market rental rates;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conditions that may increase or decrease energy costs and other weather-related expenses;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the need to periodically repair, renovate and re-lease space;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ind w:left="580" w:right="260" w:hanging="287"/>
        <w:spacing w:after="0" w:line="271"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13" w:lineRule="exact"/>
        <w:rPr>
          <w:sz w:val="20"/>
          <w:szCs w:val="20"/>
          <w:color w:val="auto"/>
        </w:rPr>
      </w:pPr>
    </w:p>
    <w:p>
      <w:pPr>
        <w:ind w:right="680"/>
        <w:spacing w:after="0" w:line="287" w:lineRule="auto"/>
        <w:rPr>
          <w:sz w:val="20"/>
          <w:szCs w:val="20"/>
          <w:color w:val="auto"/>
        </w:rPr>
      </w:pPr>
      <w:r>
        <w:rPr>
          <w:rFonts w:ascii="Arial" w:cs="Arial" w:eastAsia="Arial" w:hAnsi="Arial"/>
          <w:sz w:val="16"/>
          <w:szCs w:val="16"/>
          <w:color w:val="auto"/>
        </w:rPr>
        <w:t>Each of these risks could result in decreases in market rental rates and increases in vacancy rates, which could adversely affect our financial condition and results of operation.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Many real estate costs are fixed, even if income from our properties decreases.</w:t>
      </w:r>
    </w:p>
    <w:p>
      <w:pPr>
        <w:spacing w:after="0" w:line="90"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may limit our ability to purchase new properties and generate sufficient income from tenants.</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properties available for acquisition;</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the cost of properties available for acquisition;</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rents payable to us;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interfere with our ability to attract and retain tenants;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lead to increased vacancy rates at our properties;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adversely affect our ability to minimize expenses of operation.</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and other forms of marketing of goods, such as direct mail and internet 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sell properties when appropriate because real estate investments are illiquid.</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insurance coverage on our properties may be inadequate.</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96"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limited flexibility in dealing with our jointly owned investments.</w:t>
      </w:r>
    </w:p>
    <w:p>
      <w:pPr>
        <w:spacing w:after="0" w:line="9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Our organizational documents do not limit the amount of funds that we may invest in properties and assets owned jointly with other persons or entities. As of December 31, 2011, we held five predominantly retail real estate projects jointly with other persons in addition to our joint venture with affiliates of a discretionary fund created and advised by ING Clarion Partners (“Clarion”) and properties owned in a “downREIT” structure.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2011, we held the managing general partnership or membership interest in all of our existing co-investments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14"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3" w:lineRule="exact"/>
        <w:rPr>
          <w:sz w:val="20"/>
          <w:szCs w:val="20"/>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new anchor tenant leases, modify existing anchor tenant leases or enforce remedies against anchor tenants;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certain repairs, renovations or other changes or improvements to properties;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 or finance the property with secured debt.</w:t>
      </w:r>
    </w:p>
    <w:p>
      <w:pPr>
        <w:spacing w:after="0" w:line="148" w:lineRule="exact"/>
        <w:rPr>
          <w:sz w:val="20"/>
          <w:szCs w:val="20"/>
          <w:color w:val="auto"/>
        </w:rPr>
      </w:pPr>
    </w:p>
    <w:p>
      <w:pPr>
        <w:jc w:val="both"/>
        <w:ind w:right="80"/>
        <w:spacing w:after="0" w:line="297" w:lineRule="auto"/>
        <w:rPr>
          <w:sz w:val="20"/>
          <w:szCs w:val="20"/>
          <w:color w:val="auto"/>
        </w:rPr>
      </w:pPr>
      <w:r>
        <w:rPr>
          <w:rFonts w:ascii="Arial" w:cs="Arial" w:eastAsia="Arial" w:hAnsi="Arial"/>
          <w:sz w:val="15"/>
          <w:szCs w:val="15"/>
          <w:color w:val="auto"/>
        </w:rPr>
        <w:t>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2011, this joint venture owned seven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laws and regulations could reduce the value or profitability of our properties.</w:t>
      </w:r>
    </w:p>
    <w:p>
      <w:pPr>
        <w:spacing w:after="0" w:line="90"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1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profitability.</w:t>
      </w:r>
    </w:p>
    <w:p>
      <w:pPr>
        <w:spacing w:after="0" w:line="16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9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87"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b w:val="1"/>
          <w:bCs w:val="1"/>
          <w:color w:val="auto"/>
        </w:rPr>
        <w:t>Failure to qualify as a REIT for federal income tax purposes would cause us to be taxed as a corporation, which would substantially reduce funds available for payment of distributions.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0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we fail to qualify as a REIT:</w:t>
      </w:r>
    </w:p>
    <w:p>
      <w:pPr>
        <w:spacing w:after="0" w:line="24" w:lineRule="exact"/>
        <w:rPr>
          <w:sz w:val="20"/>
          <w:szCs w:val="20"/>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would not be allowed a deduction for distributions to shareholders in computing taxable income;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would be subject to federal income tax at regular corporate rates;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could be subject to the federal alternative minimum tax;</w:t>
      </w:r>
    </w:p>
    <w:p>
      <w:pPr>
        <w:spacing w:after="0" w:line="12"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we are entitled to relief under specific statutory provisions, we could not elect to be taxed as a REIT for four taxable years following the year during which we were disqualified;</w:t>
      </w:r>
    </w:p>
    <w:p>
      <w:pPr>
        <w:ind w:left="580" w:right="100" w:hanging="287"/>
        <w:spacing w:after="0" w:line="256"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would no longer be required by law to make any distributions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required to incur additional debt to qualify as a REIT.</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requirements because:</w:t>
      </w:r>
    </w:p>
    <w:p>
      <w:pPr>
        <w:spacing w:after="0" w:line="24" w:lineRule="exact"/>
        <w:rPr>
          <w:sz w:val="20"/>
          <w:szCs w:val="20"/>
          <w:color w:val="auto"/>
        </w:rPr>
      </w:pPr>
    </w:p>
    <w:p>
      <w:pPr>
        <w:ind w:left="580" w:hanging="287"/>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income may not be matched by our related expenses at the time the income is considered received for purposes of determining taxable income;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148"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maintain our status as a REIT, we limit the amount of shares any one shareholder can own.</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9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cannot assure you we will continue to pay dividends at historical rates.</w:t>
      </w:r>
    </w:p>
    <w:p>
      <w:pPr>
        <w:spacing w:after="0" w:line="90"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financial condition and results of future operations;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performance of lease terms by tenants;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of our loan covenants; and</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acquire, finance, develop or redevelop and lease additional properties at attractive rates.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tax and anti-takeover provisions of our declaration of trust and bylaws may inhibit a change of our control.</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3" w:lineRule="exact"/>
        <w:rPr>
          <w:sz w:val="20"/>
          <w:szCs w:val="20"/>
          <w:color w:val="auto"/>
        </w:rPr>
      </w:pPr>
    </w:p>
    <w:p>
      <w:pPr>
        <w:ind w:left="580" w:hanging="287"/>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REIT ownership limit described above;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authorization of the issuance of our preferred shares with powers, preferences or rights to be determined by the Board of Trustees;</w:t>
      </w:r>
    </w:p>
    <w:p>
      <w:pPr>
        <w:spacing w:after="0" w:line="12" w:lineRule="exact"/>
        <w:rPr>
          <w:rFonts w:ascii="Arial" w:cs="Arial" w:eastAsia="Arial" w:hAnsi="Arial"/>
          <w:sz w:val="16"/>
          <w:szCs w:val="16"/>
          <w:color w:val="auto"/>
        </w:rPr>
      </w:pPr>
    </w:p>
    <w:p>
      <w:pPr>
        <w:ind w:left="580" w:right="280" w:hanging="287"/>
        <w:spacing w:after="0" w:line="25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580" w:right="220" w:hanging="287"/>
        <w:spacing w:after="0" w:line="27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Board of Trustees, without a shareholder vote, can classify or reclassify unissued shares of beneficial interest, including the reclassification of common shares into preferred shares and vice-versa;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7" w:right="2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two-thirds shareholder vote is required to approve some amendments to the declaration of trust;</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advance-notice requirements for proposals to be presented at shareholder meetings; and</w:t>
      </w:r>
    </w:p>
    <w:p>
      <w:pPr>
        <w:spacing w:after="0" w:line="12" w:lineRule="exact"/>
        <w:rPr>
          <w:rFonts w:ascii="Arial" w:cs="Arial" w:eastAsia="Arial" w:hAnsi="Arial"/>
          <w:sz w:val="16"/>
          <w:szCs w:val="16"/>
          <w:color w:val="auto"/>
        </w:rPr>
      </w:pPr>
    </w:p>
    <w:p>
      <w:pPr>
        <w:ind w:left="580" w:right="400" w:hanging="287"/>
        <w:spacing w:after="0" w:line="306"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amend or revise our business policies without your approval.</w:t>
      </w:r>
    </w:p>
    <w:p>
      <w:pPr>
        <w:spacing w:after="0" w:line="9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18"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disasters and severe weather conditions could have an adverse impact on our cash flow and operating results.</w:t>
      </w:r>
    </w:p>
    <w:p>
      <w:pPr>
        <w:spacing w:after="0" w:line="90" w:lineRule="exact"/>
        <w:rPr>
          <w:sz w:val="20"/>
          <w:szCs w:val="20"/>
          <w:color w:val="auto"/>
        </w:rPr>
      </w:pPr>
    </w:p>
    <w:p>
      <w:pPr>
        <w:ind w:right="280"/>
        <w:spacing w:after="0" w:line="283" w:lineRule="auto"/>
        <w:rPr>
          <w:sz w:val="20"/>
          <w:szCs w:val="20"/>
          <w:color w:val="auto"/>
        </w:rPr>
      </w:pPr>
      <w:r>
        <w:rPr>
          <w:rFonts w:ascii="Arial" w:cs="Arial" w:eastAsia="Arial" w:hAnsi="Arial"/>
          <w:sz w:val="15"/>
          <w:szCs w:val="15"/>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PROPERTIES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of December 31, 2011, we owned or had a majority ownership interest in community and neighborhood shopping centers and mixed-used properties which are operated as 87 predominantly retail real estate projects comprising approximately 19.3 million square feet. These properties are located primarily in densely populated and affluent communities in strategic metropolitan markets in the Northeast and Mid-Atlantic regions of the United States, as well as California. No single property accounted for over 10% of our 2011 total revenue. We believe that our properties are adequately covered by commercial general liability, fire, flood, earthquake, terrorism and business interruption insurance provided by reputable companies, with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7" w:right="2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commercially reasonable exclusions, deductibles and limits.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 Diversification</w:t>
      </w:r>
    </w:p>
    <w:p>
      <w:pPr>
        <w:spacing w:after="0" w:line="9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As of December 31, 2011, we had approximately 2,500 leases, with tenants ranging from sole proprietors to major national and international retailers. No one tenant or affiliated group of tenants accounted for more than 2.5% of our annualized base rent as of December 31, 2011. As a result of our tenant diversification, we believe our exposure to any one bankruptcy filing in the retail sector has not been and will not be significant, however, multiple filings by a number of retailers could have a significant impact.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Diversification</w:t>
      </w:r>
    </w:p>
    <w:p>
      <w:pPr>
        <w:spacing w:after="0" w:line="90" w:lineRule="exact"/>
        <w:rPr>
          <w:sz w:val="20"/>
          <w:szCs w:val="20"/>
          <w:color w:val="auto"/>
        </w:rPr>
      </w:pPr>
    </w:p>
    <w:p>
      <w:pPr>
        <w:ind w:right="560"/>
        <w:spacing w:after="0" w:line="287" w:lineRule="auto"/>
        <w:rPr>
          <w:sz w:val="20"/>
          <w:szCs w:val="20"/>
          <w:color w:val="auto"/>
        </w:rPr>
      </w:pPr>
      <w:r>
        <w:rPr>
          <w:rFonts w:ascii="Arial" w:cs="Arial" w:eastAsia="Arial" w:hAnsi="Arial"/>
          <w:sz w:val="16"/>
          <w:szCs w:val="16"/>
          <w:color w:val="auto"/>
        </w:rPr>
        <w:t>Our 87 real estate projects are located in 13 states and the District of Columbia. The following table shows the number of projects, the gross leasable area (“GLA”) of commercial space and the percentage of total portfolio gross leasable area of commercial space in each state as of December 31, 2011.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8"/>
              </w:rPr>
              <w:t>Percentage</w:t>
            </w:r>
          </w:p>
        </w:tc>
      </w:tr>
      <w:tr>
        <w:trPr>
          <w:trHeight w:val="135"/>
        </w:trPr>
        <w:tc>
          <w:tcPr>
            <w:tcW w:w="6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Gross</w:t>
            </w:r>
          </w:p>
        </w:tc>
      </w:tr>
      <w:tr>
        <w:trPr>
          <w:trHeight w:val="135"/>
        </w:trPr>
        <w:tc>
          <w:tcPr>
            <w:tcW w:w="6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335"/>
              <w:spacing w:after="0" w:line="135" w:lineRule="exact"/>
              <w:rPr>
                <w:sz w:val="20"/>
                <w:szCs w:val="20"/>
                <w:color w:val="auto"/>
              </w:rPr>
            </w:pPr>
            <w:r>
              <w:rPr>
                <w:rFonts w:ascii="Arial" w:cs="Arial" w:eastAsia="Arial" w:hAnsi="Arial"/>
                <w:sz w:val="13"/>
                <w:szCs w:val="13"/>
                <w:b w:val="1"/>
                <w:bCs w:val="1"/>
                <w:color w:val="auto"/>
                <w:w w:val="92"/>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Gross Leasable</w:t>
            </w:r>
          </w:p>
        </w:tc>
        <w:tc>
          <w:tcPr>
            <w:tcW w:w="1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Leasable</w:t>
            </w:r>
          </w:p>
        </w:tc>
      </w:tr>
      <w:tr>
        <w:trPr>
          <w:trHeight w:val="174"/>
        </w:trPr>
        <w:tc>
          <w:tcPr>
            <w:tcW w:w="6340" w:type="dxa"/>
            <w:vAlign w:val="bottom"/>
            <w:gridSpan w:val="2"/>
          </w:tcPr>
          <w:p>
            <w:pPr>
              <w:ind w:left="20"/>
              <w:spacing w:after="0"/>
              <w:rPr>
                <w:sz w:val="20"/>
                <w:szCs w:val="20"/>
                <w:color w:val="auto"/>
              </w:rPr>
            </w:pPr>
            <w:r>
              <w:rPr>
                <w:rFonts w:ascii="Arial" w:cs="Arial" w:eastAsia="Arial" w:hAnsi="Arial"/>
                <w:sz w:val="13"/>
                <w:szCs w:val="13"/>
                <w:b w:val="1"/>
                <w:bCs w:val="1"/>
                <w:color w:val="auto"/>
              </w:rPr>
              <w:t>State</w:t>
            </w:r>
          </w:p>
        </w:tc>
        <w:tc>
          <w:tcPr>
            <w:tcW w:w="1200" w:type="dxa"/>
            <w:vAlign w:val="bottom"/>
          </w:tcPr>
          <w:p>
            <w:pPr>
              <w:jc w:val="center"/>
              <w:ind w:left="315"/>
              <w:spacing w:after="0"/>
              <w:rPr>
                <w:sz w:val="20"/>
                <w:szCs w:val="20"/>
                <w:color w:val="auto"/>
              </w:rPr>
            </w:pPr>
            <w:r>
              <w:rPr>
                <w:rFonts w:ascii="Arial" w:cs="Arial" w:eastAsia="Arial" w:hAnsi="Arial"/>
                <w:sz w:val="13"/>
                <w:szCs w:val="13"/>
                <w:b w:val="1"/>
                <w:bCs w:val="1"/>
                <w:color w:val="auto"/>
                <w:w w:val="89"/>
              </w:rPr>
              <w:t>Projects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9"/>
              </w:rPr>
              <w:t>Area</w:t>
            </w:r>
          </w:p>
        </w:tc>
      </w:tr>
      <w:tr>
        <w:trPr>
          <w:trHeight w:val="226"/>
        </w:trPr>
        <w:tc>
          <w:tcPr>
            <w:tcW w:w="6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(In square feet)</w:t>
            </w:r>
          </w:p>
        </w:tc>
        <w:tc>
          <w:tcPr>
            <w:tcW w:w="1680" w:type="dxa"/>
            <w:vAlign w:val="bottom"/>
            <w:tcBorders>
              <w:top w:val="single" w:sz="8" w:color="auto"/>
            </w:tcBorders>
          </w:tcPr>
          <w:p>
            <w:pPr>
              <w:spacing w:after="0"/>
              <w:rPr>
                <w:sz w:val="19"/>
                <w:szCs w:val="19"/>
                <w:color w:val="auto"/>
              </w:rPr>
            </w:pPr>
          </w:p>
        </w:tc>
      </w:tr>
      <w:tr>
        <w:trPr>
          <w:trHeight w:val="231"/>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Maryland</w:t>
            </w:r>
          </w:p>
        </w:tc>
        <w:tc>
          <w:tcPr>
            <w:tcW w:w="1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4,024,000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Virginia</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3,579,000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2,943,000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Pennsylvania(1)</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2,289,000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1,388,000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Massachusetts</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1,386,000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1,200,000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Illinois</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752,000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Connecticut(1)</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301,000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Texas</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182,000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6"/>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6"/>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District of Columbia</w:t>
            </w:r>
          </w:p>
        </w:tc>
        <w:tc>
          <w:tcPr>
            <w:tcW w:w="1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168,000</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1200" w:type="dxa"/>
            <w:vAlign w:val="bottom"/>
          </w:tcPr>
          <w:p>
            <w:pPr>
              <w:spacing w:after="0"/>
              <w:rPr>
                <w:sz w:val="19"/>
                <w:szCs w:val="19"/>
                <w:color w:val="auto"/>
              </w:rPr>
            </w:pPr>
          </w:p>
        </w:tc>
        <w:tc>
          <w:tcPr>
            <w:tcW w:w="400" w:type="dxa"/>
            <w:vAlign w:val="bottom"/>
          </w:tcPr>
          <w:p>
            <w:pPr>
              <w:jc w:val="right"/>
              <w:ind w:right="3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153,000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6"/>
        </w:trPr>
        <w:tc>
          <w:tcPr>
            <w:tcW w:w="6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19,259,000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80" w:right="340" w:hanging="287"/>
        <w:spacing w:after="0" w:line="28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Additionally, we own two participating mortgages totaling approximately $29.4 million secured by multiple buildings in Manayunk, Pennsylvania, and an $11.7 million mortgage secured by a shopping center in Norwalk, Connecticut.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 Lease Terms and Lease Expirations</w:t>
      </w:r>
    </w:p>
    <w:p>
      <w:pPr>
        <w:spacing w:after="0" w:line="90"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2011, represented approximately 4.3% of total rental income.</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following table sets forth the schedule of lease expirations for our commercial leases in place as of December 31, 2011 for each of the 10 years beginning with 2012 and after 2021 in the aggregate assuming that none of the tenants exercise future renewal options. Annualized base rents reflect in-place contractual rents as of December 31, 2011.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Leased</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Percentage of</w:t>
            </w:r>
          </w:p>
        </w:tc>
        <w:tc>
          <w:tcPr>
            <w:tcW w:w="2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Annualized</w:t>
            </w:r>
          </w:p>
        </w:tc>
        <w:tc>
          <w:tcPr>
            <w:tcW w:w="1640" w:type="dxa"/>
            <w:vAlign w:val="bottom"/>
          </w:tcPr>
          <w:p>
            <w:pPr>
              <w:spacing w:after="0"/>
              <w:rPr>
                <w:sz w:val="13"/>
                <w:szCs w:val="13"/>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Square</w:t>
            </w: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Leased Square</w:t>
            </w:r>
          </w:p>
        </w:tc>
        <w:tc>
          <w:tcPr>
            <w:tcW w:w="220" w:type="dxa"/>
            <w:vAlign w:val="bottom"/>
          </w:tcPr>
          <w:p>
            <w:pPr>
              <w:spacing w:after="0"/>
              <w:rPr>
                <w:sz w:val="11"/>
                <w:szCs w:val="11"/>
                <w:color w:val="auto"/>
              </w:rPr>
            </w:pPr>
          </w:p>
        </w:tc>
        <w:tc>
          <w:tcPr>
            <w:tcW w:w="14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Base Rent</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Percentage of Annualized</w:t>
            </w: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Footage</w:t>
            </w: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Footage</w:t>
            </w:r>
          </w:p>
        </w:tc>
        <w:tc>
          <w:tcPr>
            <w:tcW w:w="220" w:type="dxa"/>
            <w:vAlign w:val="bottom"/>
          </w:tcPr>
          <w:p>
            <w:pPr>
              <w:spacing w:after="0"/>
              <w:rPr>
                <w:sz w:val="11"/>
                <w:szCs w:val="11"/>
                <w:color w:val="auto"/>
              </w:rPr>
            </w:pPr>
          </w:p>
        </w:tc>
        <w:tc>
          <w:tcPr>
            <w:tcW w:w="14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Represented by</w:t>
            </w: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Base Rent Represented by</w:t>
            </w:r>
          </w:p>
        </w:tc>
      </w:tr>
      <w:tr>
        <w:trPr>
          <w:trHeight w:val="174"/>
        </w:trPr>
        <w:tc>
          <w:tcPr>
            <w:tcW w:w="46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of Lease Expiration</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Expiring</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Expiring</w:t>
            </w:r>
          </w:p>
        </w:tc>
        <w:tc>
          <w:tcPr>
            <w:tcW w:w="22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Expiring Leases</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8"/>
              </w:rPr>
              <w:t>Expiring Leases</w:t>
            </w:r>
          </w:p>
        </w:tc>
      </w:tr>
      <w:tr>
        <w:trPr>
          <w:trHeight w:val="223"/>
        </w:trPr>
        <w:tc>
          <w:tcPr>
            <w:tcW w:w="4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1,319,000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33,423,000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2,141,000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51,869,000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2,273,000</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52,123,000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1,859,000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42,881,000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2,072,000</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51,965,000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2,077,000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45,232,000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1,025,000</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22,491,000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704,000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17,481,000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767,000</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20,984,000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914,000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25,137,000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6"/>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2,624,000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51,734,000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460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17,775,000</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415,320,000</w:t>
            </w: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Rollovers</w:t>
      </w:r>
    </w:p>
    <w:p>
      <w:pPr>
        <w:spacing w:after="0" w:line="9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For 2011, we signed leases for a total of 1,417,000 square feet of retail space including 1,294,000 square feet of comparable space leases (leases for which there was a prior tenant) at an average rental increase of 9% on a cash basis and 20% on a straight-line basis. New leases for comparable spaces were signed for 534,000 square feet at an average rental increase of 11% on a cash basis and 21% on a straight-line basis. Renewals for comparable spaces were signed for 760,000 square feet at an average rental increase of 7% on a cash basis and 19% on a straight-line basis.</w:t>
      </w:r>
    </w:p>
    <w:p>
      <w:pPr>
        <w:spacing w:after="0" w:line="4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For 2010, we signed leases for a total of 1,526,000 square feet of retail space including 1,455,000 square feet of comparable space leases (leases for which there was a prior tenant) at an average rental increase of 8% on a cash basis and 18% on a straight-line basis. New leases for comparable spaces were signed for 640,000 square feet at an average rental increase of 6% on a cash basis and 15% on a straight-line basis. Renewals for comparable spaces were signed for 816,000 square feet at an average rental increase of 9% on a cash basis and 20% on a straight-line basis.</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leases signed in 2011 generally become effective over the following two years though some may not become effective until 2014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1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2012,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Retail and Residential Properties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2011.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Average Rent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Year</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/Apartment</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 Square</w:t>
            </w:r>
          </w:p>
        </w:tc>
        <w:tc>
          <w:tcPr>
            <w:tcW w:w="11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160" w:type="dxa"/>
            <w:vAlign w:val="bottom"/>
          </w:tcPr>
          <w:p>
            <w:pPr>
              <w:spacing w:after="0"/>
              <w:rPr>
                <w:sz w:val="11"/>
                <w:szCs w:val="1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Property, City, State, Zip Code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Principal Tenant(s)</w:t>
            </w:r>
          </w:p>
        </w:tc>
      </w:tr>
      <w:tr>
        <w:trPr>
          <w:trHeight w:val="145"/>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California</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150 Post Street</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2"/>
              </w:rPr>
              <w:t>1908, 1965</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102,000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$41.48</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Brooks Brothers</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San Francisco, CA 94108</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H &amp; M</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Colorado Blvd</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1905-1988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1"/>
              </w:rPr>
              <w:t>1996/1998</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69,000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$39.21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83%</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Pottery Barn</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Pasadena, CA(3)</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Banana Republic</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Crow Canyon Commons</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1980-2006</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1"/>
              </w:rPr>
              <w:t>2005/2007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242,000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$19.55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89%</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Lucky</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San Ramon, CA(3)(10)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Loehmann’s Dress Shop</w:t>
            </w:r>
          </w:p>
        </w:tc>
      </w:tr>
      <w:tr>
        <w:trPr>
          <w:trHeight w:val="165"/>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Escondido Promenade</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1987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1"/>
              </w:rPr>
              <w:t>1996/2010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297,000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$22.24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96%</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TJ Maxx</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Escondido, CA 92029(4)</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Toys R Us</w:t>
            </w: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Dick's Sporting Goods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Ross Dress For Less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Fifth Avenue</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1888-1998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1996</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18,000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$47.21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Urban Outfitters</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San Diego, CA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Hermosa Avenue</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1922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24,000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$30.23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Hermosa Beach, CA</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Hollywood Blvd</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1921-1991</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1999</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140,000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$24.00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91%</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DSW</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Hollywood, CA(5)</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L.A. Fitness</w:t>
            </w:r>
          </w:p>
        </w:tc>
      </w:tr>
      <w:tr>
        <w:trPr>
          <w:trHeight w:val="165"/>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Fresh &amp; Easy</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Kings Court</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1960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1998</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79,000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$28.68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Lunardi’s Supermarket</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Los Gatos, CA 95032(3)(6)</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Old Town Center</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2"/>
              </w:rPr>
              <w:t>1962, 1998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96,000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$33.11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83%</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Gap</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Los Gatos, CA 95030</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Banana Republic</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Plaza El Segundo</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2006-2007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2011</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381,000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$33.55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H&amp;M</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El Segundo, CA 90245 (4)(10)</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Anthropologie</w:t>
            </w: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Best Buy</w:t>
            </w: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HomeGoods</w:t>
            </w: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Whole Foods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Santana Row—Retail</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2"/>
              </w:rPr>
              <w:t>2002, 2009</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645,000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$46.60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Crate &amp; Barrel</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San Jose, CA 95128</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Container Store</w:t>
            </w: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Best Buy</w:t>
            </w: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CineArts Theatre</w:t>
            </w:r>
          </w:p>
        </w:tc>
      </w:tr>
      <w:tr>
        <w:trPr>
          <w:trHeight w:val="165"/>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Hotel Valencia</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Santana Row—Residential</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1999-2009, 2011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w w:val="90"/>
              </w:rPr>
              <w:t>403 units</w:t>
            </w: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rPr>
              <w:t>N/A</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88%</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San Jose, CA 95128</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Third Street Promenade</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1888-2000</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1996-2000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208,000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$63.62</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Abercrombie &amp; Fitch</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Santa Monica, CA</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J. Crew</w:t>
            </w: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Old Navy</w:t>
            </w:r>
          </w:p>
        </w:tc>
      </w:tr>
      <w:tr>
        <w:trPr>
          <w:trHeight w:val="165"/>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Banana Republic</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Westgate</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1960-1966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2004</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642,000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$12.79</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95%</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Target</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San Jose, CA</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Burlington Coat Factory</w:t>
            </w: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Ross Dress For Less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Michaels Nordstrom Rack</w:t>
            </w:r>
          </w:p>
        </w:tc>
      </w:tr>
      <w:tr>
        <w:trPr>
          <w:trHeight w:val="147"/>
        </w:trPr>
        <w:tc>
          <w:tcPr>
            <w:tcW w:w="20" w:type="dxa"/>
            <w:vAlign w:val="bottom"/>
          </w:tcPr>
          <w:p>
            <w:pPr>
              <w:spacing w:after="0"/>
              <w:rPr>
                <w:sz w:val="12"/>
                <w:szCs w:val="12"/>
                <w:color w:val="auto"/>
              </w:rPr>
            </w:pPr>
          </w:p>
        </w:tc>
        <w:tc>
          <w:tcPr>
            <w:tcW w:w="3080" w:type="dxa"/>
            <w:vAlign w:val="bottom"/>
            <w:gridSpan w:val="6"/>
          </w:tcPr>
          <w:p>
            <w:pPr>
              <w:spacing w:after="0" w:line="148" w:lineRule="exact"/>
              <w:rPr>
                <w:sz w:val="20"/>
                <w:szCs w:val="20"/>
                <w:color w:val="auto"/>
              </w:rPr>
            </w:pPr>
            <w:r>
              <w:rPr>
                <w:rFonts w:ascii="Arial" w:cs="Arial" w:eastAsia="Arial" w:hAnsi="Arial"/>
                <w:sz w:val="13"/>
                <w:szCs w:val="13"/>
                <w:b w:val="1"/>
                <w:bCs w:val="1"/>
                <w:color w:val="auto"/>
              </w:rPr>
              <w:t>Connecticut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Bristol</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266,000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$12.33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95%</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Stop &amp; Shop</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Bristol, CT 06010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Greenwich Avenue</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1993</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1995</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35,000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$61.00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Saks Fifth Avenue</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Greenwich Avenue, 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District of Columbia</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Friendship Center</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1998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2001</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89"/>
              </w:rPr>
              <w:t>119,000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$28.67</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Maggiano’s</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Washington, DC 20015</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Nordstrom Rack</w:t>
            </w:r>
          </w:p>
        </w:tc>
      </w:tr>
      <w:tr>
        <w:trPr>
          <w:trHeight w:val="2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Sam’s Park &amp; Shop</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1930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49,000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$39.13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Petco</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Washington, DC 20008</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7"/>
        </w:trPr>
        <w:tc>
          <w:tcPr>
            <w:tcW w:w="20" w:type="dxa"/>
            <w:vAlign w:val="bottom"/>
          </w:tcPr>
          <w:p>
            <w:pPr>
              <w:spacing w:after="0"/>
              <w:rPr>
                <w:sz w:val="12"/>
                <w:szCs w:val="12"/>
                <w:color w:val="auto"/>
              </w:rPr>
            </w:pPr>
          </w:p>
        </w:tc>
        <w:tc>
          <w:tcPr>
            <w:tcW w:w="3080" w:type="dxa"/>
            <w:vAlign w:val="bottom"/>
            <w:gridSpan w:val="6"/>
          </w:tcPr>
          <w:p>
            <w:pPr>
              <w:spacing w:after="0" w:line="148" w:lineRule="exact"/>
              <w:rPr>
                <w:sz w:val="20"/>
                <w:szCs w:val="20"/>
                <w:color w:val="auto"/>
              </w:rPr>
            </w:pPr>
            <w:r>
              <w:rPr>
                <w:rFonts w:ascii="Arial" w:cs="Arial" w:eastAsia="Arial" w:hAnsi="Arial"/>
                <w:sz w:val="13"/>
                <w:szCs w:val="13"/>
                <w:b w:val="1"/>
                <w:bCs w:val="1"/>
                <w:color w:val="auto"/>
              </w:rPr>
              <w:t>Florida</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Courtyard Shops</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1990, 1998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2008</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130,000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$19.46</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Publix</w:t>
            </w:r>
          </w:p>
        </w:tc>
      </w:tr>
      <w:tr>
        <w:trPr>
          <w:trHeight w:val="165"/>
        </w:trPr>
        <w:tc>
          <w:tcPr>
            <w:tcW w:w="20" w:type="dxa"/>
            <w:vAlign w:val="bottom"/>
            <w:shd w:val="clear" w:color="auto" w:fill="CCEEFF"/>
          </w:tcPr>
          <w:p>
            <w:pPr>
              <w:spacing w:after="0"/>
              <w:rPr>
                <w:sz w:val="14"/>
                <w:szCs w:val="14"/>
                <w:color w:val="auto"/>
              </w:rPr>
            </w:pPr>
          </w:p>
        </w:tc>
        <w:tc>
          <w:tcPr>
            <w:tcW w:w="308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Wellington, FL 33414(10)</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r>
      <w:tr>
        <w:trPr>
          <w:trHeight w:val="23"/>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Average Rent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Year</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/Apartment</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 Square</w:t>
            </w:r>
          </w:p>
        </w:tc>
        <w:tc>
          <w:tcPr>
            <w:tcW w:w="11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160" w:type="dxa"/>
            <w:vAlign w:val="bottom"/>
          </w:tcPr>
          <w:p>
            <w:pPr>
              <w:spacing w:after="0"/>
              <w:rPr>
                <w:sz w:val="11"/>
                <w:szCs w:val="1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Property, City, State, Zip Code</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Principal Tenant(s)</w:t>
            </w:r>
          </w:p>
        </w:tc>
      </w:tr>
      <w:tr>
        <w:trPr>
          <w:trHeight w:val="141"/>
        </w:trPr>
        <w:tc>
          <w:tcPr>
            <w:tcW w:w="20" w:type="dxa"/>
            <w:vAlign w:val="bottom"/>
          </w:tcPr>
          <w:p>
            <w:pPr>
              <w:spacing w:after="0"/>
              <w:rPr>
                <w:sz w:val="12"/>
                <w:szCs w:val="12"/>
                <w:color w:val="auto"/>
              </w:rPr>
            </w:pPr>
          </w:p>
        </w:tc>
        <w:tc>
          <w:tcPr>
            <w:tcW w:w="3080" w:type="dxa"/>
            <w:vAlign w:val="bottom"/>
            <w:gridSpan w:val="4"/>
          </w:tcPr>
          <w:p>
            <w:pPr>
              <w:spacing w:after="0" w:line="141" w:lineRule="exact"/>
              <w:rPr>
                <w:sz w:val="20"/>
                <w:szCs w:val="20"/>
                <w:color w:val="auto"/>
              </w:rPr>
            </w:pPr>
            <w:r>
              <w:rPr>
                <w:rFonts w:ascii="Arial" w:cs="Arial" w:eastAsia="Arial" w:hAnsi="Arial"/>
                <w:sz w:val="13"/>
                <w:szCs w:val="13"/>
                <w:color w:val="auto"/>
              </w:rPr>
              <w:t>Del Mar Village</w:t>
            </w: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0"/>
              </w:rPr>
              <w:t>1982, 1984 &amp; 2007</w:t>
            </w:r>
          </w:p>
        </w:tc>
        <w:tc>
          <w:tcPr>
            <w:tcW w:w="10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89"/>
              </w:rPr>
              <w:t>2008</w:t>
            </w:r>
          </w:p>
        </w:tc>
        <w:tc>
          <w:tcPr>
            <w:tcW w:w="12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3"/>
                <w:szCs w:val="13"/>
                <w:color w:val="auto"/>
                <w:w w:val="93"/>
              </w:rPr>
              <w:t>179,000</w:t>
            </w:r>
          </w:p>
        </w:tc>
        <w:tc>
          <w:tcPr>
            <w:tcW w:w="12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3"/>
                <w:szCs w:val="13"/>
                <w:color w:val="auto"/>
                <w:w w:val="90"/>
              </w:rPr>
              <w:t>$16.04</w:t>
            </w:r>
          </w:p>
        </w:tc>
        <w:tc>
          <w:tcPr>
            <w:tcW w:w="1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2"/>
              </w:rPr>
              <w:t>89%</w:t>
            </w:r>
          </w:p>
        </w:tc>
        <w:tc>
          <w:tcPr>
            <w:tcW w:w="100" w:type="dxa"/>
            <w:vAlign w:val="bottom"/>
          </w:tcPr>
          <w:p>
            <w:pPr>
              <w:spacing w:after="0"/>
              <w:rPr>
                <w:sz w:val="12"/>
                <w:szCs w:val="12"/>
                <w:color w:val="auto"/>
              </w:rPr>
            </w:pPr>
          </w:p>
        </w:tc>
        <w:tc>
          <w:tcPr>
            <w:tcW w:w="2160" w:type="dxa"/>
            <w:vAlign w:val="bottom"/>
          </w:tcPr>
          <w:p>
            <w:pPr>
              <w:ind w:left="40"/>
              <w:spacing w:after="0" w:line="141" w:lineRule="exact"/>
              <w:rPr>
                <w:sz w:val="20"/>
                <w:szCs w:val="20"/>
                <w:color w:val="auto"/>
              </w:rPr>
            </w:pPr>
            <w:r>
              <w:rPr>
                <w:rFonts w:ascii="Arial" w:cs="Arial" w:eastAsia="Arial" w:hAnsi="Arial"/>
                <w:sz w:val="13"/>
                <w:szCs w:val="13"/>
                <w:color w:val="auto"/>
              </w:rPr>
              <w:t>Winn Dixie</w:t>
            </w:r>
          </w:p>
        </w:tc>
      </w:tr>
      <w:tr>
        <w:trPr>
          <w:trHeight w:val="165"/>
        </w:trPr>
        <w:tc>
          <w:tcPr>
            <w:tcW w:w="20" w:type="dxa"/>
            <w:vAlign w:val="bottom"/>
          </w:tcPr>
          <w:p>
            <w:pPr>
              <w:spacing w:after="0"/>
              <w:rPr>
                <w:sz w:val="14"/>
                <w:szCs w:val="14"/>
                <w:color w:val="auto"/>
              </w:rPr>
            </w:pPr>
          </w:p>
        </w:tc>
        <w:tc>
          <w:tcPr>
            <w:tcW w:w="3080" w:type="dxa"/>
            <w:vAlign w:val="bottom"/>
            <w:gridSpan w:val="4"/>
          </w:tcPr>
          <w:p>
            <w:pPr>
              <w:ind w:left="140"/>
              <w:spacing w:after="0"/>
              <w:rPr>
                <w:sz w:val="20"/>
                <w:szCs w:val="20"/>
                <w:color w:val="auto"/>
              </w:rPr>
            </w:pPr>
            <w:r>
              <w:rPr>
                <w:rFonts w:ascii="Arial" w:cs="Arial" w:eastAsia="Arial" w:hAnsi="Arial"/>
                <w:sz w:val="13"/>
                <w:szCs w:val="13"/>
                <w:color w:val="auto"/>
              </w:rPr>
              <w:t>Boca Raton, FL 33433</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CVS</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Tower Shops</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2011</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368,000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$15.13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92%</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Best Buy</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Davie, FL 33324</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DSW</w:t>
            </w:r>
          </w:p>
        </w:tc>
      </w:tr>
      <w:tr>
        <w:trPr>
          <w:trHeight w:val="135"/>
        </w:trPr>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Old Navy</w:t>
            </w:r>
          </w:p>
        </w:tc>
      </w:tr>
      <w:tr>
        <w:trPr>
          <w:trHeight w:val="135"/>
        </w:trPr>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Ross Dress For Less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47"/>
        </w:trPr>
        <w:tc>
          <w:tcPr>
            <w:tcW w:w="20" w:type="dxa"/>
            <w:vAlign w:val="bottom"/>
          </w:tcPr>
          <w:p>
            <w:pPr>
              <w:spacing w:after="0"/>
              <w:rPr>
                <w:sz w:val="12"/>
                <w:szCs w:val="12"/>
                <w:color w:val="auto"/>
              </w:rPr>
            </w:pPr>
          </w:p>
        </w:tc>
        <w:tc>
          <w:tcPr>
            <w:tcW w:w="3080" w:type="dxa"/>
            <w:vAlign w:val="bottom"/>
            <w:gridSpan w:val="4"/>
          </w:tcPr>
          <w:p>
            <w:pPr>
              <w:spacing w:after="0" w:line="148" w:lineRule="exact"/>
              <w:rPr>
                <w:sz w:val="20"/>
                <w:szCs w:val="20"/>
                <w:color w:val="auto"/>
              </w:rPr>
            </w:pPr>
            <w:r>
              <w:rPr>
                <w:rFonts w:ascii="Arial" w:cs="Arial" w:eastAsia="Arial" w:hAnsi="Arial"/>
                <w:sz w:val="13"/>
                <w:szCs w:val="13"/>
                <w:b w:val="1"/>
                <w:bCs w:val="1"/>
                <w:color w:val="auto"/>
              </w:rPr>
              <w:t>Illinois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Crossroads</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1959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168,000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$20.10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98%</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Golfsmith</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Highland Park, IL 60035</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Guitar Center</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Finley Square</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1974</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1995</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315,000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$10.67</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Downers Grove, IL 60515</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Petsmart</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Buy Buy Baby</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Garden Market</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1958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1994</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140,000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$12.55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Dominick’s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Western Springs, IL 60558</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North Lake Commons</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1989</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1994</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129,000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$12.46</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84%</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Dominick’s</w:t>
            </w:r>
          </w:p>
        </w:tc>
      </w:tr>
      <w:tr>
        <w:trPr>
          <w:trHeight w:val="165"/>
        </w:trPr>
        <w:tc>
          <w:tcPr>
            <w:tcW w:w="20" w:type="dxa"/>
            <w:vAlign w:val="bottom"/>
          </w:tcPr>
          <w:p>
            <w:pPr>
              <w:spacing w:after="0"/>
              <w:rPr>
                <w:sz w:val="14"/>
                <w:szCs w:val="14"/>
                <w:color w:val="auto"/>
              </w:rPr>
            </w:pPr>
          </w:p>
        </w:tc>
        <w:tc>
          <w:tcPr>
            <w:tcW w:w="3080" w:type="dxa"/>
            <w:vAlign w:val="bottom"/>
            <w:gridSpan w:val="4"/>
          </w:tcPr>
          <w:p>
            <w:pPr>
              <w:ind w:left="140"/>
              <w:spacing w:after="0"/>
              <w:rPr>
                <w:sz w:val="20"/>
                <w:szCs w:val="20"/>
                <w:color w:val="auto"/>
              </w:rPr>
            </w:pPr>
            <w:r>
              <w:rPr>
                <w:rFonts w:ascii="Arial" w:cs="Arial" w:eastAsia="Arial" w:hAnsi="Arial"/>
                <w:sz w:val="13"/>
                <w:szCs w:val="13"/>
                <w:color w:val="auto"/>
              </w:rPr>
              <w:t>Lake Zurich, IL 60047</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Maryland</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2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Bethesda Row</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0"/>
              </w:rPr>
              <w:t>1945-1991</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1"/>
              </w:rPr>
              <w:t>1993/2006</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534,000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$44.01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91%</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Apple Computer</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Bethesda, MD 20814(3)(10)</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9"/>
              </w:rPr>
              <w:t>2001</w:t>
            </w: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1"/>
              </w:rPr>
              <w:t>2008/2010</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Barnes &amp; Noble</w:t>
            </w: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Giant Food</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Landmark Theater</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Bethesda Row Residential</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w w:val="90"/>
              </w:rPr>
              <w:t>180 units</w:t>
            </w: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rPr>
              <w:t>N/A</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Bethesda, MD 20814</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Congressional Plaza</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1965</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1965</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328,000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$32.88</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Buy Buy Baby</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Rockville, MD 20852(4)</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Last Call Studio by Neiman Marcus</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Container Store The Fresh Market</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Congressional Plaza Residential</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1965</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w w:val="90"/>
              </w:rPr>
              <w:t>146 units</w:t>
            </w:r>
          </w:p>
        </w:tc>
        <w:tc>
          <w:tcPr>
            <w:tcW w:w="1360" w:type="dxa"/>
            <w:vAlign w:val="bottom"/>
            <w:gridSpan w:val="2"/>
            <w:shd w:val="clear" w:color="auto" w:fill="CCEEFF"/>
          </w:tcPr>
          <w:p>
            <w:pPr>
              <w:jc w:val="center"/>
              <w:ind w:right="120"/>
              <w:spacing w:after="0" w:line="144" w:lineRule="exact"/>
              <w:rPr>
                <w:sz w:val="20"/>
                <w:szCs w:val="20"/>
                <w:color w:val="auto"/>
              </w:rPr>
            </w:pPr>
            <w:r>
              <w:rPr>
                <w:rFonts w:ascii="Arial" w:cs="Arial" w:eastAsia="Arial" w:hAnsi="Arial"/>
                <w:sz w:val="13"/>
                <w:szCs w:val="13"/>
                <w:color w:val="auto"/>
              </w:rPr>
              <w:t>N/A</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Rockville, MD 20852(4)</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Courthouse Center</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1975</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36,000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$18.22</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93%</w:t>
            </w: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3080" w:type="dxa"/>
            <w:vAlign w:val="bottom"/>
            <w:gridSpan w:val="4"/>
          </w:tcPr>
          <w:p>
            <w:pPr>
              <w:ind w:left="140"/>
              <w:spacing w:after="0"/>
              <w:rPr>
                <w:sz w:val="20"/>
                <w:szCs w:val="20"/>
                <w:color w:val="auto"/>
              </w:rPr>
            </w:pPr>
            <w:r>
              <w:rPr>
                <w:rFonts w:ascii="Arial" w:cs="Arial" w:eastAsia="Arial" w:hAnsi="Arial"/>
                <w:sz w:val="13"/>
                <w:szCs w:val="13"/>
                <w:color w:val="auto"/>
              </w:rPr>
              <w:t>Rockville, MD 20852</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Federal Plaza</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1970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1989</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248,000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$32.88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Micro Center</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Rockville, MD 20852</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Ross Dress For Less</w:t>
            </w:r>
          </w:p>
        </w:tc>
      </w:tr>
      <w:tr>
        <w:trPr>
          <w:trHeight w:val="135"/>
        </w:trPr>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TJ Maxx</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Trader Joe’s</w:t>
            </w: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Free State Shopping Center</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1970</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2007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279,000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$16.01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Giant Food</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Bowie, MD 20715(8)</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TJ Maxx</w:t>
            </w: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Ross Dress For Less</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Office Depot</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Gaithersburg Square</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1966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207,000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$25.24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79%</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Bed, Bath &amp; Beyond</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Gaithersburg, MD 20878</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Ross Dress For Less</w:t>
            </w: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Governor Plaza</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1963</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1985</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267,000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$17.00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Aldi</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Glen Burnie, MD 21961</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L.A. Fitness</w:t>
            </w: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Dick’s Sporting Goods</w:t>
            </w:r>
          </w:p>
        </w:tc>
      </w:tr>
      <w:tr>
        <w:trPr>
          <w:trHeight w:val="149"/>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Laurel Centre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388,000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$18.63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83%</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Giant Food</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Laurel, MD 20707</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Mid-Pike Plaza</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1963</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1"/>
              </w:rPr>
              <w:t>1982/2007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271,000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$27.85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83%</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L.A. Fitness</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Rockville, MD 20852</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Toys R Us</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Montrose Crossing</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1960-1979, 1996,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2011</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357,000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$21.63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Giant Food</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Rockville, MD 20852 (4)(10)</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Sports Authority</w:t>
            </w:r>
          </w:p>
        </w:tc>
      </w:tr>
      <w:tr>
        <w:trPr>
          <w:trHeight w:val="135"/>
        </w:trPr>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Barnes &amp; Noble</w:t>
            </w:r>
          </w:p>
        </w:tc>
      </w:tr>
      <w:tr>
        <w:trPr>
          <w:trHeight w:val="165"/>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58"/>
        </w:trPr>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Perring Plaza</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1963</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1985</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395,000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$12.60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Burlington Coat Factory</w:t>
            </w:r>
          </w:p>
        </w:tc>
      </w:tr>
      <w:tr>
        <w:trPr>
          <w:trHeight w:val="135"/>
        </w:trPr>
        <w:tc>
          <w:tcPr>
            <w:tcW w:w="20" w:type="dxa"/>
            <w:vAlign w:val="bottom"/>
          </w:tcPr>
          <w:p>
            <w:pPr>
              <w:spacing w:after="0"/>
              <w:rPr>
                <w:sz w:val="11"/>
                <w:szCs w:val="11"/>
                <w:color w:val="auto"/>
              </w:rPr>
            </w:pPr>
          </w:p>
        </w:tc>
        <w:tc>
          <w:tcPr>
            <w:tcW w:w="30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Baltimore, MD 21134</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Home Depot</w:t>
            </w: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Shoppers Food Warehouse</w:t>
            </w: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Jo-Ann Stores</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Plaza Del Mercado</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1969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2004</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96,000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$20.05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92%</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3"/>
                <w:szCs w:val="13"/>
                <w:color w:val="auto"/>
              </w:rPr>
              <w:t>Silver Spring, MD 20906(8)(10)</w:t>
            </w: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4"/>
          </w:tcPr>
          <w:p>
            <w:pPr>
              <w:spacing w:after="0" w:line="144" w:lineRule="exact"/>
              <w:rPr>
                <w:sz w:val="20"/>
                <w:szCs w:val="20"/>
                <w:color w:val="auto"/>
              </w:rPr>
            </w:pPr>
            <w:r>
              <w:rPr>
                <w:rFonts w:ascii="Arial" w:cs="Arial" w:eastAsia="Arial" w:hAnsi="Arial"/>
                <w:sz w:val="13"/>
                <w:szCs w:val="13"/>
                <w:color w:val="auto"/>
              </w:rPr>
              <w:t>Quince Orchard</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89"/>
              </w:rPr>
              <w:t>1975</w:t>
            </w:r>
          </w:p>
        </w:tc>
        <w:tc>
          <w:tcPr>
            <w:tcW w:w="10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248,000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$20.12</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75%</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Magruders</w:t>
            </w:r>
          </w:p>
        </w:tc>
      </w:tr>
      <w:tr>
        <w:trPr>
          <w:trHeight w:val="165"/>
        </w:trPr>
        <w:tc>
          <w:tcPr>
            <w:tcW w:w="20" w:type="dxa"/>
            <w:vAlign w:val="bottom"/>
          </w:tcPr>
          <w:p>
            <w:pPr>
              <w:spacing w:after="0"/>
              <w:rPr>
                <w:sz w:val="14"/>
                <w:szCs w:val="14"/>
                <w:color w:val="auto"/>
              </w:rPr>
            </w:pPr>
          </w:p>
        </w:tc>
        <w:tc>
          <w:tcPr>
            <w:tcW w:w="3080" w:type="dxa"/>
            <w:vAlign w:val="bottom"/>
            <w:gridSpan w:val="4"/>
          </w:tcPr>
          <w:p>
            <w:pPr>
              <w:ind w:left="140"/>
              <w:spacing w:after="0"/>
              <w:rPr>
                <w:sz w:val="20"/>
                <w:szCs w:val="20"/>
                <w:color w:val="auto"/>
              </w:rPr>
            </w:pPr>
            <w:r>
              <w:rPr>
                <w:rFonts w:ascii="Arial" w:cs="Arial" w:eastAsia="Arial" w:hAnsi="Arial"/>
                <w:sz w:val="13"/>
                <w:szCs w:val="13"/>
                <w:color w:val="auto"/>
              </w:rPr>
              <w:t>Gaithersburg, MD 20877(3)</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Staples</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auto"/>
              </w:rPr>
              <w:t>Rockville Town Square</w:t>
            </w: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2006-2007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2006-2007</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181,000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$33.50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95%</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CVS</w:t>
            </w:r>
          </w:p>
        </w:tc>
      </w:tr>
      <w:tr>
        <w:trPr>
          <w:trHeight w:val="165"/>
        </w:trPr>
        <w:tc>
          <w:tcPr>
            <w:tcW w:w="20" w:type="dxa"/>
            <w:vAlign w:val="bottom"/>
            <w:shd w:val="clear" w:color="auto" w:fill="CCEEFF"/>
          </w:tcPr>
          <w:p>
            <w:pPr>
              <w:spacing w:after="0"/>
              <w:rPr>
                <w:sz w:val="14"/>
                <w:szCs w:val="14"/>
                <w:color w:val="auto"/>
              </w:rPr>
            </w:pPr>
          </w:p>
        </w:tc>
        <w:tc>
          <w:tcPr>
            <w:tcW w:w="30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Rockville, MD 20852 (7)</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Gold’s Gym</w:t>
            </w:r>
          </w:p>
        </w:tc>
      </w:tr>
      <w:tr>
        <w:trPr>
          <w:trHeight w:val="23"/>
        </w:trPr>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Property, 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8948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4840" cy="762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Rollingwood Apartments</w:t>
      </w:r>
    </w:p>
    <w:p>
      <w:pPr>
        <w:ind w:left="160"/>
        <w:spacing w:after="0" w:line="216" w:lineRule="auto"/>
        <w:rPr>
          <w:sz w:val="20"/>
          <w:szCs w:val="20"/>
          <w:color w:val="auto"/>
        </w:rPr>
      </w:pPr>
      <w:r>
        <w:rPr>
          <w:rFonts w:ascii="Arial" w:cs="Arial" w:eastAsia="Arial" w:hAnsi="Arial"/>
          <w:sz w:val="13"/>
          <w:szCs w:val="13"/>
          <w:color w:val="auto"/>
        </w:rPr>
        <w:t>Silver Spring, MD 20910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9 three-story buildings(10)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Average Rent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35"/>
        </w:trPr>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Year</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/Apartment</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 Square</w:t>
            </w:r>
          </w:p>
        </w:tc>
        <w:tc>
          <w:tcPr>
            <w:tcW w:w="11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160" w:type="dxa"/>
            <w:vAlign w:val="bottom"/>
          </w:tcPr>
          <w:p>
            <w:pPr>
              <w:spacing w:after="0"/>
              <w:rPr>
                <w:sz w:val="11"/>
                <w:szCs w:val="11"/>
                <w:color w:val="auto"/>
              </w:rPr>
            </w:pPr>
          </w:p>
        </w:tc>
      </w:tr>
      <w:tr>
        <w:trPr>
          <w:trHeight w:val="18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Principal Tenant(s)</w:t>
            </w:r>
          </w:p>
        </w:tc>
      </w:tr>
      <w:tr>
        <w:trPr>
          <w:trHeight w:val="171"/>
        </w:trPr>
        <w:tc>
          <w:tcPr>
            <w:tcW w:w="1040" w:type="dxa"/>
            <w:vAlign w:val="bottom"/>
          </w:tcPr>
          <w:p>
            <w:pPr>
              <w:jc w:val="center"/>
              <w:spacing w:after="0"/>
              <w:rPr>
                <w:sz w:val="20"/>
                <w:szCs w:val="20"/>
                <w:color w:val="auto"/>
              </w:rPr>
            </w:pPr>
            <w:r>
              <w:rPr>
                <w:rFonts w:ascii="Arial" w:cs="Arial" w:eastAsia="Arial" w:hAnsi="Arial"/>
                <w:sz w:val="13"/>
                <w:szCs w:val="13"/>
                <w:color w:val="auto"/>
                <w:w w:val="96"/>
              </w:rPr>
              <w:t>1960</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89"/>
              </w:rPr>
              <w:t>1971</w:t>
            </w: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282 units</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335"/>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88" w:lineRule="exact"/>
        <w:rPr>
          <w:sz w:val="20"/>
          <w:szCs w:val="20"/>
          <w:color w:val="auto"/>
        </w:rPr>
      </w:pPr>
    </w:p>
    <w:p>
      <w:pPr>
        <w:sectPr>
          <w:pgSz w:w="11900" w:h="16838" w:orient="portrait"/>
          <w:cols w:equalWidth="0" w:num="2">
            <w:col w:w="2380" w:space="720"/>
            <w:col w:w="8320"/>
          </w:cols>
          <w:pgMar w:left="240" w:top="127" w:right="239" w:bottom="1440" w:gutter="0" w:footer="0" w:header="0"/>
        </w:sectPr>
      </w:pPr>
    </w:p>
    <w:tbl>
      <w:tblPr>
        <w:tblLayout w:type="fixed"/>
        <w:tblInd w:w="0" w:type="dxa"/>
        <w:tblCellMar>
          <w:top w:w="0" w:type="dxa"/>
          <w:left w:w="0" w:type="dxa"/>
          <w:bottom w:w="0" w:type="dxa"/>
          <w:right w:w="0" w:type="dxa"/>
        </w:tblCellMar>
      </w:tblPr>
      <w:tr>
        <w:trPr>
          <w:trHeight w:val="149"/>
        </w:trPr>
        <w:tc>
          <w:tcPr>
            <w:tcW w:w="20" w:type="dxa"/>
            <w:vAlign w:val="bottom"/>
            <w:shd w:val="clear" w:color="auto" w:fill="CCEEFF"/>
          </w:tcPr>
          <w:p>
            <w:pPr>
              <w:spacing w:after="0"/>
              <w:rPr>
                <w:sz w:val="13"/>
                <w:szCs w:val="13"/>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THE AVENUE at White Marsh</w:t>
            </w:r>
          </w:p>
        </w:tc>
        <w:tc>
          <w:tcPr>
            <w:tcW w:w="1720" w:type="dxa"/>
            <w:vAlign w:val="bottom"/>
            <w:shd w:val="clear" w:color="auto" w:fill="CCEEFF"/>
          </w:tcPr>
          <w:p>
            <w:pPr>
              <w:jc w:val="center"/>
              <w:ind w:left="335"/>
              <w:spacing w:after="0"/>
              <w:rPr>
                <w:sz w:val="20"/>
                <w:szCs w:val="20"/>
                <w:color w:val="auto"/>
              </w:rPr>
            </w:pPr>
            <w:r>
              <w:rPr>
                <w:rFonts w:ascii="Arial" w:cs="Arial" w:eastAsia="Arial" w:hAnsi="Arial"/>
                <w:sz w:val="13"/>
                <w:szCs w:val="13"/>
                <w:color w:val="auto"/>
                <w:w w:val="96"/>
              </w:rPr>
              <w:t>1997</w:t>
            </w:r>
          </w:p>
        </w:tc>
        <w:tc>
          <w:tcPr>
            <w:tcW w:w="1160" w:type="dxa"/>
            <w:vAlign w:val="bottom"/>
            <w:shd w:val="clear" w:color="auto" w:fill="CCEEFF"/>
          </w:tcPr>
          <w:p>
            <w:pPr>
              <w:jc w:val="center"/>
              <w:ind w:right="115"/>
              <w:spacing w:after="0"/>
              <w:rPr>
                <w:sz w:val="20"/>
                <w:szCs w:val="20"/>
                <w:color w:val="auto"/>
              </w:rPr>
            </w:pPr>
            <w:r>
              <w:rPr>
                <w:rFonts w:ascii="Arial" w:cs="Arial" w:eastAsia="Arial" w:hAnsi="Arial"/>
                <w:sz w:val="13"/>
                <w:szCs w:val="13"/>
                <w:color w:val="auto"/>
                <w:w w:val="89"/>
              </w:rPr>
              <w:t>2007</w:t>
            </w:r>
          </w:p>
        </w:tc>
        <w:tc>
          <w:tcPr>
            <w:tcW w:w="1300" w:type="dxa"/>
            <w:vAlign w:val="bottom"/>
            <w:shd w:val="clear" w:color="auto" w:fill="CCEEFF"/>
          </w:tcPr>
          <w:p>
            <w:pPr>
              <w:jc w:val="center"/>
              <w:ind w:right="35"/>
              <w:spacing w:after="0"/>
              <w:rPr>
                <w:sz w:val="20"/>
                <w:szCs w:val="20"/>
                <w:color w:val="auto"/>
              </w:rPr>
            </w:pPr>
            <w:r>
              <w:rPr>
                <w:rFonts w:ascii="Arial" w:cs="Arial" w:eastAsia="Arial" w:hAnsi="Arial"/>
                <w:sz w:val="13"/>
                <w:szCs w:val="13"/>
                <w:color w:val="auto"/>
                <w:w w:val="93"/>
              </w:rPr>
              <w:t>298,000</w:t>
            </w:r>
          </w:p>
        </w:tc>
        <w:tc>
          <w:tcPr>
            <w:tcW w:w="130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$21.51</w:t>
            </w:r>
          </w:p>
        </w:tc>
        <w:tc>
          <w:tcPr>
            <w:tcW w:w="1000" w:type="dxa"/>
            <w:vAlign w:val="bottom"/>
            <w:shd w:val="clear" w:color="auto" w:fill="CCEEFF"/>
          </w:tcPr>
          <w:p>
            <w:pPr>
              <w:jc w:val="center"/>
              <w:ind w:left="155"/>
              <w:spacing w:after="0"/>
              <w:rPr>
                <w:sz w:val="20"/>
                <w:szCs w:val="20"/>
                <w:color w:val="auto"/>
              </w:rPr>
            </w:pPr>
            <w:r>
              <w:rPr>
                <w:rFonts w:ascii="Arial" w:cs="Arial" w:eastAsia="Arial" w:hAnsi="Arial"/>
                <w:sz w:val="13"/>
                <w:szCs w:val="13"/>
                <w:color w:val="auto"/>
                <w:w w:val="90"/>
              </w:rPr>
              <w:t>100%</w:t>
            </w:r>
          </w:p>
        </w:tc>
        <w:tc>
          <w:tcPr>
            <w:tcW w:w="2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AMC Loews</w:t>
            </w:r>
          </w:p>
        </w:tc>
      </w:tr>
      <w:tr>
        <w:trPr>
          <w:trHeight w:val="135"/>
        </w:trPr>
        <w:tc>
          <w:tcPr>
            <w:tcW w:w="20" w:type="dxa"/>
            <w:vAlign w:val="bottom"/>
            <w:shd w:val="clear" w:color="auto" w:fill="CCEEFF"/>
          </w:tcPr>
          <w:p>
            <w:pPr>
              <w:spacing w:after="0"/>
              <w:rPr>
                <w:sz w:val="11"/>
                <w:szCs w:val="11"/>
                <w:color w:val="auto"/>
              </w:rPr>
            </w:pPr>
          </w:p>
        </w:tc>
        <w:tc>
          <w:tcPr>
            <w:tcW w:w="254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rPr>
              <w:t>Baltimore, MD 21236(6)(10)</w:t>
            </w: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Old Navy</w:t>
            </w:r>
          </w:p>
        </w:tc>
      </w:tr>
      <w:tr>
        <w:trPr>
          <w:trHeight w:val="135"/>
        </w:trPr>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Barnes &amp; Noble</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A.C. Moore</w:t>
            </w: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The Shoppes at Nottingham Square</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0"/>
              </w:rPr>
              <w:t>2005-2006</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2007</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0"/>
              </w:rPr>
              <w:t>32,000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$43.92</w:t>
            </w:r>
          </w:p>
        </w:tc>
        <w:tc>
          <w:tcPr>
            <w:tcW w:w="1000" w:type="dxa"/>
            <w:vAlign w:val="bottom"/>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Baltimore, MD 21236</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White Marsh Other</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1985</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2007</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0"/>
              </w:rPr>
              <w:t>70,000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$29.27</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98%</w:t>
            </w:r>
          </w:p>
        </w:tc>
        <w:tc>
          <w:tcPr>
            <w:tcW w:w="2380" w:type="dxa"/>
            <w:vAlign w:val="bottom"/>
            <w:shd w:val="clear" w:color="auto" w:fill="CCEEFF"/>
          </w:tcPr>
          <w:p>
            <w:pPr>
              <w:spacing w:after="0"/>
              <w:rPr>
                <w:sz w:val="12"/>
                <w:szCs w:val="12"/>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Baltimore, MD 21236</w:t>
            </w: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White Marsh Plaza</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1987</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2007</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0"/>
              </w:rPr>
              <w:t>80,000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$20.39</w:t>
            </w:r>
          </w:p>
        </w:tc>
        <w:tc>
          <w:tcPr>
            <w:tcW w:w="1000" w:type="dxa"/>
            <w:vAlign w:val="bottom"/>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Giant Food</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Baltimore, MD 21236(10)</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Wildwood</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1958</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1969</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0"/>
              </w:rPr>
              <w:t>84,000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$84.98</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87%</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Bethesda, MD 20814(10)</w:t>
            </w: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Balducci’s</w:t>
            </w:r>
          </w:p>
        </w:tc>
      </w:tr>
      <w:tr>
        <w:trPr>
          <w:trHeight w:val="147"/>
        </w:trPr>
        <w:tc>
          <w:tcPr>
            <w:tcW w:w="20" w:type="dxa"/>
            <w:vAlign w:val="bottom"/>
          </w:tcPr>
          <w:p>
            <w:pPr>
              <w:spacing w:after="0"/>
              <w:rPr>
                <w:sz w:val="12"/>
                <w:szCs w:val="12"/>
                <w:color w:val="auto"/>
              </w:rPr>
            </w:pPr>
          </w:p>
        </w:tc>
        <w:tc>
          <w:tcPr>
            <w:tcW w:w="2540" w:type="dxa"/>
            <w:vAlign w:val="bottom"/>
            <w:gridSpan w:val="5"/>
          </w:tcPr>
          <w:p>
            <w:pPr>
              <w:spacing w:after="0" w:line="148" w:lineRule="exact"/>
              <w:rPr>
                <w:sz w:val="20"/>
                <w:szCs w:val="20"/>
                <w:color w:val="auto"/>
              </w:rPr>
            </w:pPr>
            <w:r>
              <w:rPr>
                <w:rFonts w:ascii="Arial" w:cs="Arial" w:eastAsia="Arial" w:hAnsi="Arial"/>
                <w:sz w:val="13"/>
                <w:szCs w:val="13"/>
                <w:b w:val="1"/>
                <w:bCs w:val="1"/>
                <w:color w:val="auto"/>
              </w:rPr>
              <w:t>Massachusetts</w:t>
            </w:r>
          </w:p>
        </w:tc>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38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Assembly Square Marketplace</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2005</w:t>
            </w:r>
          </w:p>
        </w:tc>
        <w:tc>
          <w:tcPr>
            <w:tcW w:w="1160" w:type="dxa"/>
            <w:vAlign w:val="bottom"/>
            <w:shd w:val="clear" w:color="auto" w:fill="CCEEFF"/>
          </w:tcPr>
          <w:p>
            <w:pPr>
              <w:jc w:val="center"/>
              <w:ind w:right="95"/>
              <w:spacing w:after="0" w:line="144" w:lineRule="exact"/>
              <w:rPr>
                <w:sz w:val="20"/>
                <w:szCs w:val="20"/>
                <w:color w:val="auto"/>
              </w:rPr>
            </w:pPr>
            <w:r>
              <w:rPr>
                <w:rFonts w:ascii="Arial" w:cs="Arial" w:eastAsia="Arial" w:hAnsi="Arial"/>
                <w:sz w:val="13"/>
                <w:szCs w:val="13"/>
                <w:color w:val="auto"/>
                <w:w w:val="90"/>
              </w:rPr>
              <w:t>2005-2011</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332,000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$17.20</w:t>
            </w:r>
          </w:p>
        </w:tc>
        <w:tc>
          <w:tcPr>
            <w:tcW w:w="1000" w:type="dxa"/>
            <w:vAlign w:val="bottom"/>
            <w:shd w:val="clear" w:color="auto" w:fill="CCEEFF"/>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shd w:val="clear" w:color="auto" w:fill="CCEEFF"/>
          </w:tcPr>
          <w:p>
            <w:pPr>
              <w:spacing w:after="0"/>
              <w:rPr>
                <w:sz w:val="11"/>
                <w:szCs w:val="11"/>
                <w:color w:val="auto"/>
              </w:rPr>
            </w:pPr>
          </w:p>
        </w:tc>
        <w:tc>
          <w:tcPr>
            <w:tcW w:w="254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rPr>
              <w:t>Somerville, MA 02145</w:t>
            </w: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Christmas Tree Shops</w:t>
            </w:r>
          </w:p>
        </w:tc>
      </w:tr>
      <w:tr>
        <w:trPr>
          <w:trHeight w:val="135"/>
        </w:trPr>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Kmart</w:t>
            </w:r>
          </w:p>
        </w:tc>
      </w:tr>
      <w:tr>
        <w:trPr>
          <w:trHeight w:val="135"/>
        </w:trPr>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Staples</w:t>
            </w:r>
          </w:p>
        </w:tc>
      </w:tr>
      <w:tr>
        <w:trPr>
          <w:trHeight w:val="135"/>
        </w:trPr>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TJ Maxx</w:t>
            </w:r>
          </w:p>
        </w:tc>
      </w:tr>
      <w:tr>
        <w:trPr>
          <w:trHeight w:val="135"/>
        </w:trPr>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A.C. Moore</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Sports Authority</w:t>
            </w: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Atlantic Plaza</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1960</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2004</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123,000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$16.51</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88%</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Stop &amp; Shop</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North Reading, MA 01864(8)(10)</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Sears</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Campus Plaza</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1970</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2004</w:t>
            </w:r>
          </w:p>
        </w:tc>
        <w:tc>
          <w:tcPr>
            <w:tcW w:w="1300" w:type="dxa"/>
            <w:vAlign w:val="bottom"/>
            <w:shd w:val="clear" w:color="auto" w:fill="CCEEFF"/>
          </w:tcPr>
          <w:p>
            <w:pPr>
              <w:jc w:val="center"/>
              <w:ind w:right="55"/>
              <w:spacing w:after="0" w:line="144" w:lineRule="exact"/>
              <w:rPr>
                <w:sz w:val="20"/>
                <w:szCs w:val="20"/>
                <w:color w:val="auto"/>
              </w:rPr>
            </w:pPr>
            <w:r>
              <w:rPr>
                <w:rFonts w:ascii="Arial" w:cs="Arial" w:eastAsia="Arial" w:hAnsi="Arial"/>
                <w:sz w:val="13"/>
                <w:szCs w:val="13"/>
                <w:color w:val="auto"/>
                <w:w w:val="89"/>
              </w:rPr>
              <w:t>117,000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$12.95</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97%</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Roche Brothers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Bridgewater, MA 02324(8)</w:t>
            </w: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Burlington Coat Factory</w:t>
            </w: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Chelsea Commons</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89"/>
              </w:rPr>
              <w:t>1962-1969, 2008</w:t>
            </w:r>
          </w:p>
        </w:tc>
        <w:tc>
          <w:tcPr>
            <w:tcW w:w="1160" w:type="dxa"/>
            <w:vAlign w:val="bottom"/>
          </w:tcPr>
          <w:p>
            <w:pPr>
              <w:jc w:val="center"/>
              <w:ind w:right="95"/>
              <w:spacing w:after="0" w:line="144" w:lineRule="exact"/>
              <w:rPr>
                <w:sz w:val="20"/>
                <w:szCs w:val="20"/>
                <w:color w:val="auto"/>
              </w:rPr>
            </w:pPr>
            <w:r>
              <w:rPr>
                <w:rFonts w:ascii="Arial" w:cs="Arial" w:eastAsia="Arial" w:hAnsi="Arial"/>
                <w:sz w:val="13"/>
                <w:szCs w:val="13"/>
                <w:color w:val="auto"/>
                <w:w w:val="90"/>
              </w:rPr>
              <w:t>2006-2008</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222,000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$11.03</w:t>
            </w:r>
          </w:p>
        </w:tc>
        <w:tc>
          <w:tcPr>
            <w:tcW w:w="1000" w:type="dxa"/>
            <w:vAlign w:val="bottom"/>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Sav-A-Lot</w:t>
            </w:r>
          </w:p>
        </w:tc>
      </w:tr>
      <w:tr>
        <w:trPr>
          <w:trHeight w:val="135"/>
        </w:trPr>
        <w:tc>
          <w:tcPr>
            <w:tcW w:w="20" w:type="dxa"/>
            <w:vAlign w:val="bottom"/>
          </w:tcPr>
          <w:p>
            <w:pPr>
              <w:spacing w:after="0"/>
              <w:rPr>
                <w:sz w:val="11"/>
                <w:szCs w:val="11"/>
                <w:color w:val="auto"/>
              </w:rPr>
            </w:pPr>
          </w:p>
        </w:tc>
        <w:tc>
          <w:tcPr>
            <w:tcW w:w="2540" w:type="dxa"/>
            <w:vAlign w:val="bottom"/>
            <w:gridSpan w:val="5"/>
          </w:tcPr>
          <w:p>
            <w:pPr>
              <w:ind w:left="140"/>
              <w:spacing w:after="0" w:line="135" w:lineRule="exact"/>
              <w:rPr>
                <w:sz w:val="20"/>
                <w:szCs w:val="20"/>
                <w:color w:val="auto"/>
              </w:rPr>
            </w:pPr>
            <w:r>
              <w:rPr>
                <w:rFonts w:ascii="Arial" w:cs="Arial" w:eastAsia="Arial" w:hAnsi="Arial"/>
                <w:sz w:val="13"/>
                <w:szCs w:val="13"/>
                <w:color w:val="auto"/>
              </w:rPr>
              <w:t>Chelsea, MA 02150(10)</w:t>
            </w: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Home Depot</w:t>
            </w: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Planet Fitness</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Dedham</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1959</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1993</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243,000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$15.87</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92%</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Star Market</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Dedham, MA 02026</w:t>
            </w: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Linden Square</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2"/>
              </w:rPr>
              <w:t>1960, 2008</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2006</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222,000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$42.91</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94%</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Roche Brothers Supermarket</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Wellesley, MA 02481</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CVS</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North Dartmouth</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2004</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2006</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0"/>
              </w:rPr>
              <w:t>48,000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$15.71</w:t>
            </w:r>
          </w:p>
        </w:tc>
        <w:tc>
          <w:tcPr>
            <w:tcW w:w="1000" w:type="dxa"/>
            <w:vAlign w:val="bottom"/>
            <w:shd w:val="clear" w:color="auto" w:fill="CCEEFF"/>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Stop &amp; Shop</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3"/>
                <w:szCs w:val="13"/>
                <w:color w:val="auto"/>
              </w:rPr>
              <w:t>North Dartmouth, MA 02747</w:t>
            </w: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Pleasant Shops</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1974</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2004</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130,000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$13.69</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94%</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Foodmaster</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Weymouth, MA 02190(8)</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Marshalls</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Queen Anne Plaza</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1967</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1994</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149,000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$16.16</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94%</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HomeGoods</w:t>
            </w:r>
          </w:p>
        </w:tc>
      </w:tr>
      <w:tr>
        <w:trPr>
          <w:trHeight w:val="135"/>
        </w:trPr>
        <w:tc>
          <w:tcPr>
            <w:tcW w:w="20" w:type="dxa"/>
            <w:vAlign w:val="bottom"/>
            <w:shd w:val="clear" w:color="auto" w:fill="CCEEFF"/>
          </w:tcPr>
          <w:p>
            <w:pPr>
              <w:spacing w:after="0"/>
              <w:rPr>
                <w:sz w:val="11"/>
                <w:szCs w:val="11"/>
                <w:color w:val="auto"/>
              </w:rPr>
            </w:pPr>
          </w:p>
        </w:tc>
        <w:tc>
          <w:tcPr>
            <w:tcW w:w="254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rPr>
              <w:t>Norwell, MA 02061</w:t>
            </w: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TJ Maxx</w:t>
            </w: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Hannaford</w:t>
            </w: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Saugus Plaza</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1976</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1996</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170,000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$11.39</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96%</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Kmart</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Saugus, MA 01906</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Super Stop &amp; Shop</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Michigan</w:t>
            </w:r>
          </w:p>
        </w:tc>
        <w:tc>
          <w:tcPr>
            <w:tcW w:w="17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Gratiot Plaza</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1964</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1973</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217,000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$11.73</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99%</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tcPr>
          <w:p>
            <w:pPr>
              <w:spacing w:after="0"/>
              <w:rPr>
                <w:sz w:val="11"/>
                <w:szCs w:val="11"/>
                <w:color w:val="auto"/>
              </w:rPr>
            </w:pPr>
          </w:p>
        </w:tc>
        <w:tc>
          <w:tcPr>
            <w:tcW w:w="2540" w:type="dxa"/>
            <w:vAlign w:val="bottom"/>
            <w:gridSpan w:val="5"/>
          </w:tcPr>
          <w:p>
            <w:pPr>
              <w:ind w:left="140"/>
              <w:spacing w:after="0" w:line="135" w:lineRule="exact"/>
              <w:rPr>
                <w:sz w:val="20"/>
                <w:szCs w:val="20"/>
                <w:color w:val="auto"/>
              </w:rPr>
            </w:pPr>
            <w:r>
              <w:rPr>
                <w:rFonts w:ascii="Arial" w:cs="Arial" w:eastAsia="Arial" w:hAnsi="Arial"/>
                <w:sz w:val="13"/>
                <w:szCs w:val="13"/>
                <w:color w:val="auto"/>
              </w:rPr>
              <w:t>Roseville, MI 48066</w:t>
            </w: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Best Buy</w:t>
            </w:r>
          </w:p>
        </w:tc>
      </w:t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Kroger</w:t>
            </w: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DSW</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North Carolina</w:t>
            </w:r>
          </w:p>
        </w:tc>
        <w:tc>
          <w:tcPr>
            <w:tcW w:w="17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Eastgate</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1963</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1986</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153,000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$21.74</w:t>
            </w:r>
          </w:p>
        </w:tc>
        <w:tc>
          <w:tcPr>
            <w:tcW w:w="1000" w:type="dxa"/>
            <w:vAlign w:val="bottom"/>
          </w:tcPr>
          <w:p>
            <w:pPr>
              <w:jc w:val="center"/>
              <w:ind w:left="155"/>
              <w:spacing w:after="0" w:line="144" w:lineRule="exact"/>
              <w:rPr>
                <w:sz w:val="20"/>
                <w:szCs w:val="20"/>
                <w:color w:val="auto"/>
              </w:rPr>
            </w:pPr>
            <w:r>
              <w:rPr>
                <w:rFonts w:ascii="Arial" w:cs="Arial" w:eastAsia="Arial" w:hAnsi="Arial"/>
                <w:sz w:val="13"/>
                <w:szCs w:val="13"/>
                <w:color w:val="auto"/>
                <w:w w:val="90"/>
              </w:rPr>
              <w:t>100%</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Stein Mart</w:t>
            </w:r>
          </w:p>
        </w:tc>
      </w:tr>
      <w:tr>
        <w:trPr>
          <w:trHeight w:val="165"/>
        </w:trPr>
        <w:tc>
          <w:tcPr>
            <w:tcW w:w="2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color w:val="auto"/>
              </w:rPr>
              <w:t>Chapel Hill, NC 27514</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Trader Joe’s</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New Jersey</w:t>
            </w:r>
          </w:p>
        </w:tc>
        <w:tc>
          <w:tcPr>
            <w:tcW w:w="17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Brick Plaza</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1958</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1989</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414,000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$15.16</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93%</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A&amp;P Supermarket</w:t>
            </w:r>
          </w:p>
        </w:tc>
      </w:tr>
      <w:tr>
        <w:trPr>
          <w:trHeight w:val="135"/>
        </w:trPr>
        <w:tc>
          <w:tcPr>
            <w:tcW w:w="20" w:type="dxa"/>
            <w:vAlign w:val="bottom"/>
          </w:tcPr>
          <w:p>
            <w:pPr>
              <w:spacing w:after="0"/>
              <w:rPr>
                <w:sz w:val="11"/>
                <w:szCs w:val="11"/>
                <w:color w:val="auto"/>
              </w:rPr>
            </w:pPr>
          </w:p>
        </w:tc>
        <w:tc>
          <w:tcPr>
            <w:tcW w:w="2540" w:type="dxa"/>
            <w:vAlign w:val="bottom"/>
            <w:gridSpan w:val="5"/>
          </w:tcPr>
          <w:p>
            <w:pPr>
              <w:ind w:left="140"/>
              <w:spacing w:after="0" w:line="135" w:lineRule="exact"/>
              <w:rPr>
                <w:sz w:val="20"/>
                <w:szCs w:val="20"/>
                <w:color w:val="auto"/>
              </w:rPr>
            </w:pPr>
            <w:r>
              <w:rPr>
                <w:rFonts w:ascii="Arial" w:cs="Arial" w:eastAsia="Arial" w:hAnsi="Arial"/>
                <w:sz w:val="13"/>
                <w:szCs w:val="13"/>
                <w:color w:val="auto"/>
              </w:rPr>
              <w:t>Brick Township, NJ 08723(3)(10)</w:t>
            </w: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Barnes &amp; Noble</w:t>
            </w:r>
          </w:p>
        </w:tc>
      </w:t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AMC Loews</w:t>
            </w: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Sports Authority</w:t>
            </w: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25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Ellisburg Circle</w:t>
            </w:r>
          </w:p>
        </w:tc>
        <w:tc>
          <w:tcPr>
            <w:tcW w:w="1720" w:type="dxa"/>
            <w:vAlign w:val="bottom"/>
            <w:shd w:val="clear" w:color="auto" w:fill="CCEEFF"/>
          </w:tcPr>
          <w:p>
            <w:pPr>
              <w:jc w:val="center"/>
              <w:ind w:left="335"/>
              <w:spacing w:after="0" w:line="144" w:lineRule="exact"/>
              <w:rPr>
                <w:sz w:val="20"/>
                <w:szCs w:val="20"/>
                <w:color w:val="auto"/>
              </w:rPr>
            </w:pPr>
            <w:r>
              <w:rPr>
                <w:rFonts w:ascii="Arial" w:cs="Arial" w:eastAsia="Arial" w:hAnsi="Arial"/>
                <w:sz w:val="13"/>
                <w:szCs w:val="13"/>
                <w:color w:val="auto"/>
                <w:w w:val="96"/>
              </w:rPr>
              <w:t>1959</w:t>
            </w:r>
          </w:p>
        </w:tc>
        <w:tc>
          <w:tcPr>
            <w:tcW w:w="1160" w:type="dxa"/>
            <w:vAlign w:val="bottom"/>
            <w:shd w:val="clear" w:color="auto" w:fill="CCEEFF"/>
          </w:tcPr>
          <w:p>
            <w:pPr>
              <w:jc w:val="center"/>
              <w:ind w:right="115"/>
              <w:spacing w:after="0" w:line="144" w:lineRule="exact"/>
              <w:rPr>
                <w:sz w:val="20"/>
                <w:szCs w:val="20"/>
                <w:color w:val="auto"/>
              </w:rPr>
            </w:pPr>
            <w:r>
              <w:rPr>
                <w:rFonts w:ascii="Arial" w:cs="Arial" w:eastAsia="Arial" w:hAnsi="Arial"/>
                <w:sz w:val="13"/>
                <w:szCs w:val="13"/>
                <w:color w:val="auto"/>
                <w:w w:val="89"/>
              </w:rPr>
              <w:t>1992</w:t>
            </w:r>
          </w:p>
        </w:tc>
        <w:tc>
          <w:tcPr>
            <w:tcW w:w="1300" w:type="dxa"/>
            <w:vAlign w:val="bottom"/>
            <w:shd w:val="clear" w:color="auto" w:fill="CCEEFF"/>
          </w:tcPr>
          <w:p>
            <w:pPr>
              <w:jc w:val="center"/>
              <w:ind w:right="35"/>
              <w:spacing w:after="0" w:line="144" w:lineRule="exact"/>
              <w:rPr>
                <w:sz w:val="20"/>
                <w:szCs w:val="20"/>
                <w:color w:val="auto"/>
              </w:rPr>
            </w:pPr>
            <w:r>
              <w:rPr>
                <w:rFonts w:ascii="Arial" w:cs="Arial" w:eastAsia="Arial" w:hAnsi="Arial"/>
                <w:sz w:val="13"/>
                <w:szCs w:val="13"/>
                <w:color w:val="auto"/>
                <w:w w:val="93"/>
              </w:rPr>
              <w:t>267,000</w:t>
            </w:r>
          </w:p>
        </w:tc>
        <w:tc>
          <w:tcPr>
            <w:tcW w:w="1300" w:type="dxa"/>
            <w:vAlign w:val="bottom"/>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$14.37</w:t>
            </w:r>
          </w:p>
        </w:tc>
        <w:tc>
          <w:tcPr>
            <w:tcW w:w="1000" w:type="dxa"/>
            <w:vAlign w:val="bottom"/>
            <w:shd w:val="clear" w:color="auto" w:fill="CCEEFF"/>
          </w:tcPr>
          <w:p>
            <w:pPr>
              <w:jc w:val="center"/>
              <w:ind w:left="135"/>
              <w:spacing w:after="0" w:line="144" w:lineRule="exact"/>
              <w:rPr>
                <w:sz w:val="20"/>
                <w:szCs w:val="20"/>
                <w:color w:val="auto"/>
              </w:rPr>
            </w:pPr>
            <w:r>
              <w:rPr>
                <w:rFonts w:ascii="Arial" w:cs="Arial" w:eastAsia="Arial" w:hAnsi="Arial"/>
                <w:sz w:val="13"/>
                <w:szCs w:val="13"/>
                <w:color w:val="auto"/>
                <w:w w:val="92"/>
              </w:rPr>
              <w:t>92%</w:t>
            </w:r>
          </w:p>
        </w:tc>
        <w:tc>
          <w:tcPr>
            <w:tcW w:w="23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Genuardi’s</w:t>
            </w:r>
          </w:p>
        </w:tc>
      </w:tr>
      <w:tr>
        <w:trPr>
          <w:trHeight w:val="135"/>
        </w:trPr>
        <w:tc>
          <w:tcPr>
            <w:tcW w:w="20" w:type="dxa"/>
            <w:vAlign w:val="bottom"/>
            <w:shd w:val="clear" w:color="auto" w:fill="CCEEFF"/>
          </w:tcPr>
          <w:p>
            <w:pPr>
              <w:spacing w:after="0"/>
              <w:rPr>
                <w:sz w:val="11"/>
                <w:szCs w:val="11"/>
                <w:color w:val="auto"/>
              </w:rPr>
            </w:pPr>
          </w:p>
        </w:tc>
        <w:tc>
          <w:tcPr>
            <w:tcW w:w="254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rPr>
              <w:t>Cherry Hill, NJ 08034</w:t>
            </w:r>
          </w:p>
        </w:tc>
        <w:tc>
          <w:tcPr>
            <w:tcW w:w="17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3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Buy Buy Baby</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Stein Mart</w:t>
            </w:r>
          </w:p>
        </w:tc>
      </w:tr>
      <w:tr>
        <w:trPr>
          <w:trHeight w:val="144"/>
        </w:trPr>
        <w:tc>
          <w:tcPr>
            <w:tcW w:w="20" w:type="dxa"/>
            <w:vAlign w:val="bottom"/>
          </w:tcPr>
          <w:p>
            <w:pPr>
              <w:spacing w:after="0"/>
              <w:rPr>
                <w:sz w:val="12"/>
                <w:szCs w:val="12"/>
                <w:color w:val="auto"/>
              </w:rPr>
            </w:pPr>
          </w:p>
        </w:tc>
        <w:tc>
          <w:tcPr>
            <w:tcW w:w="2540" w:type="dxa"/>
            <w:vAlign w:val="bottom"/>
            <w:gridSpan w:val="5"/>
          </w:tcPr>
          <w:p>
            <w:pPr>
              <w:spacing w:after="0" w:line="144" w:lineRule="exact"/>
              <w:rPr>
                <w:sz w:val="20"/>
                <w:szCs w:val="20"/>
                <w:color w:val="auto"/>
              </w:rPr>
            </w:pPr>
            <w:r>
              <w:rPr>
                <w:rFonts w:ascii="Arial" w:cs="Arial" w:eastAsia="Arial" w:hAnsi="Arial"/>
                <w:sz w:val="13"/>
                <w:szCs w:val="13"/>
                <w:color w:val="auto"/>
              </w:rPr>
              <w:t>Mercer Mall</w:t>
            </w:r>
          </w:p>
        </w:tc>
        <w:tc>
          <w:tcPr>
            <w:tcW w:w="1720" w:type="dxa"/>
            <w:vAlign w:val="bottom"/>
          </w:tcPr>
          <w:p>
            <w:pPr>
              <w:jc w:val="center"/>
              <w:ind w:left="335"/>
              <w:spacing w:after="0" w:line="144" w:lineRule="exact"/>
              <w:rPr>
                <w:sz w:val="20"/>
                <w:szCs w:val="20"/>
                <w:color w:val="auto"/>
              </w:rPr>
            </w:pPr>
            <w:r>
              <w:rPr>
                <w:rFonts w:ascii="Arial" w:cs="Arial" w:eastAsia="Arial" w:hAnsi="Arial"/>
                <w:sz w:val="13"/>
                <w:szCs w:val="13"/>
                <w:color w:val="auto"/>
                <w:w w:val="96"/>
              </w:rPr>
              <w:t>1975</w:t>
            </w:r>
          </w:p>
        </w:tc>
        <w:tc>
          <w:tcPr>
            <w:tcW w:w="1160" w:type="dxa"/>
            <w:vAlign w:val="bottom"/>
          </w:tcPr>
          <w:p>
            <w:pPr>
              <w:jc w:val="center"/>
              <w:ind w:right="115"/>
              <w:spacing w:after="0" w:line="144" w:lineRule="exact"/>
              <w:rPr>
                <w:sz w:val="20"/>
                <w:szCs w:val="20"/>
                <w:color w:val="auto"/>
              </w:rPr>
            </w:pPr>
            <w:r>
              <w:rPr>
                <w:rFonts w:ascii="Arial" w:cs="Arial" w:eastAsia="Arial" w:hAnsi="Arial"/>
                <w:sz w:val="13"/>
                <w:szCs w:val="13"/>
                <w:color w:val="auto"/>
                <w:w w:val="89"/>
              </w:rPr>
              <w:t>2003</w:t>
            </w:r>
          </w:p>
        </w:tc>
        <w:tc>
          <w:tcPr>
            <w:tcW w:w="1300" w:type="dxa"/>
            <w:vAlign w:val="bottom"/>
          </w:tcPr>
          <w:p>
            <w:pPr>
              <w:jc w:val="center"/>
              <w:ind w:right="35"/>
              <w:spacing w:after="0" w:line="144" w:lineRule="exact"/>
              <w:rPr>
                <w:sz w:val="20"/>
                <w:szCs w:val="20"/>
                <w:color w:val="auto"/>
              </w:rPr>
            </w:pPr>
            <w:r>
              <w:rPr>
                <w:rFonts w:ascii="Arial" w:cs="Arial" w:eastAsia="Arial" w:hAnsi="Arial"/>
                <w:sz w:val="13"/>
                <w:szCs w:val="13"/>
                <w:color w:val="auto"/>
                <w:w w:val="93"/>
              </w:rPr>
              <w:t>500,000</w:t>
            </w:r>
          </w:p>
        </w:tc>
        <w:tc>
          <w:tcPr>
            <w:tcW w:w="1300" w:type="dxa"/>
            <w:vAlign w:val="bottom"/>
          </w:tcPr>
          <w:p>
            <w:pPr>
              <w:jc w:val="right"/>
              <w:ind w:right="395"/>
              <w:spacing w:after="0" w:line="144" w:lineRule="exact"/>
              <w:rPr>
                <w:sz w:val="20"/>
                <w:szCs w:val="20"/>
                <w:color w:val="auto"/>
              </w:rPr>
            </w:pPr>
            <w:r>
              <w:rPr>
                <w:rFonts w:ascii="Arial" w:cs="Arial" w:eastAsia="Arial" w:hAnsi="Arial"/>
                <w:sz w:val="13"/>
                <w:szCs w:val="13"/>
                <w:color w:val="auto"/>
              </w:rPr>
              <w:t>$20.46</w:t>
            </w:r>
          </w:p>
        </w:tc>
        <w:tc>
          <w:tcPr>
            <w:tcW w:w="1000" w:type="dxa"/>
            <w:vAlign w:val="bottom"/>
          </w:tcPr>
          <w:p>
            <w:pPr>
              <w:jc w:val="center"/>
              <w:ind w:left="135"/>
              <w:spacing w:after="0" w:line="144" w:lineRule="exact"/>
              <w:rPr>
                <w:sz w:val="20"/>
                <w:szCs w:val="20"/>
                <w:color w:val="auto"/>
              </w:rPr>
            </w:pPr>
            <w:r>
              <w:rPr>
                <w:rFonts w:ascii="Arial" w:cs="Arial" w:eastAsia="Arial" w:hAnsi="Arial"/>
                <w:sz w:val="13"/>
                <w:szCs w:val="13"/>
                <w:color w:val="auto"/>
                <w:w w:val="92"/>
              </w:rPr>
              <w:t>97%</w:t>
            </w:r>
          </w:p>
        </w:tc>
        <w:tc>
          <w:tcPr>
            <w:tcW w:w="2380" w:type="dxa"/>
            <w:vAlign w:val="bottom"/>
          </w:tcPr>
          <w:p>
            <w:pPr>
              <w:ind w:left="260"/>
              <w:spacing w:after="0" w:line="144" w:lineRule="exact"/>
              <w:rPr>
                <w:sz w:val="20"/>
                <w:szCs w:val="20"/>
                <w:color w:val="auto"/>
              </w:rPr>
            </w:pPr>
            <w:r>
              <w:rPr>
                <w:rFonts w:ascii="Arial" w:cs="Arial" w:eastAsia="Arial" w:hAnsi="Arial"/>
                <w:sz w:val="13"/>
                <w:szCs w:val="13"/>
                <w:color w:val="auto"/>
              </w:rPr>
              <w:t>Raymour &amp; Flanigan</w:t>
            </w:r>
          </w:p>
        </w:tc>
      </w:tr>
      <w:tr>
        <w:trPr>
          <w:trHeight w:val="135"/>
        </w:trPr>
        <w:tc>
          <w:tcPr>
            <w:tcW w:w="20" w:type="dxa"/>
            <w:vAlign w:val="bottom"/>
          </w:tcPr>
          <w:p>
            <w:pPr>
              <w:spacing w:after="0"/>
              <w:rPr>
                <w:sz w:val="11"/>
                <w:szCs w:val="11"/>
                <w:color w:val="auto"/>
              </w:rPr>
            </w:pPr>
          </w:p>
        </w:tc>
        <w:tc>
          <w:tcPr>
            <w:tcW w:w="2540" w:type="dxa"/>
            <w:vAlign w:val="bottom"/>
            <w:gridSpan w:val="5"/>
          </w:tcPr>
          <w:p>
            <w:pPr>
              <w:ind w:left="140"/>
              <w:spacing w:after="0" w:line="135" w:lineRule="exact"/>
              <w:rPr>
                <w:sz w:val="20"/>
                <w:szCs w:val="20"/>
                <w:color w:val="auto"/>
              </w:rPr>
            </w:pPr>
            <w:r>
              <w:rPr>
                <w:rFonts w:ascii="Arial" w:cs="Arial" w:eastAsia="Arial" w:hAnsi="Arial"/>
                <w:sz w:val="13"/>
                <w:szCs w:val="13"/>
                <w:color w:val="auto"/>
              </w:rPr>
              <w:t>Lawrenceville, NJ 08648(3)(7)</w:t>
            </w: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DSW</w:t>
            </w:r>
          </w:p>
        </w:tc>
      </w:t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80" w:type="dxa"/>
            <w:vAlign w:val="bottom"/>
          </w:tcPr>
          <w:p>
            <w:pPr>
              <w:ind w:left="260"/>
              <w:spacing w:after="0" w:line="135" w:lineRule="exact"/>
              <w:rPr>
                <w:sz w:val="20"/>
                <w:szCs w:val="20"/>
                <w:color w:val="auto"/>
              </w:rPr>
            </w:pPr>
            <w:r>
              <w:rPr>
                <w:rFonts w:ascii="Arial" w:cs="Arial" w:eastAsia="Arial" w:hAnsi="Arial"/>
                <w:sz w:val="13"/>
                <w:szCs w:val="13"/>
                <w:color w:val="auto"/>
              </w:rPr>
              <w:t>TJ Maxx</w:t>
            </w:r>
          </w:p>
        </w:tc>
      </w:tr>
      <w:tr>
        <w:trPr>
          <w:trHeight w:val="165"/>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tcPr>
          <w:p>
            <w:pPr>
              <w:ind w:left="260"/>
              <w:spacing w:after="0"/>
              <w:rPr>
                <w:sz w:val="20"/>
                <w:szCs w:val="20"/>
                <w:color w:val="auto"/>
              </w:rPr>
            </w:pPr>
            <w:r>
              <w:rPr>
                <w:rFonts w:ascii="Arial" w:cs="Arial" w:eastAsia="Arial" w:hAnsi="Arial"/>
                <w:sz w:val="13"/>
                <w:szCs w:val="13"/>
                <w:color w:val="auto"/>
              </w:rPr>
              <w:t>Shop Rite</w:t>
            </w: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7" w:right="239" w:bottom="1440" w:gutter="0" w:footer="0" w:header="0"/>
          <w:type w:val="continuous"/>
        </w:sectPr>
      </w:pPr>
    </w:p>
    <w:bookmarkStart w:id="20" w:name="page21"/>
    <w:bookmarkEnd w:id="2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Average Rent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Year</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/Apartment</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 Square</w:t>
            </w:r>
          </w:p>
        </w:tc>
        <w:tc>
          <w:tcPr>
            <w:tcW w:w="11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160" w:type="dxa"/>
            <w:vAlign w:val="bottom"/>
          </w:tcPr>
          <w:p>
            <w:pPr>
              <w:spacing w:after="0"/>
              <w:rPr>
                <w:sz w:val="11"/>
                <w:szCs w:val="1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Property, City, State, Zip Code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Principal Tenant(s)</w:t>
            </w:r>
          </w:p>
        </w:tc>
      </w:tr>
      <w:tr>
        <w:trPr>
          <w:trHeight w:val="141"/>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Troy</w:t>
            </w:r>
          </w:p>
        </w:tc>
        <w:tc>
          <w:tcPr>
            <w:tcW w:w="10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6"/>
              </w:rPr>
              <w:t>1966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9"/>
              </w:rPr>
              <w:t>1980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3"/>
              </w:rPr>
              <w:t>207,000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0"/>
              </w:rPr>
              <w:t>$20.13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2"/>
              </w:rPr>
              <w:t>99%</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rPr>
              <w:t>Pathmark</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Parsippany-Troy, NJ 07054</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47"/>
        </w:trPr>
        <w:tc>
          <w:tcPr>
            <w:tcW w:w="20" w:type="dxa"/>
            <w:vAlign w:val="bottom"/>
          </w:tcPr>
          <w:p>
            <w:pPr>
              <w:spacing w:after="0"/>
              <w:rPr>
                <w:sz w:val="12"/>
                <w:szCs w:val="12"/>
                <w:color w:val="auto"/>
              </w:rPr>
            </w:pPr>
          </w:p>
        </w:tc>
        <w:tc>
          <w:tcPr>
            <w:tcW w:w="3080" w:type="dxa"/>
            <w:vAlign w:val="bottom"/>
            <w:gridSpan w:val="6"/>
          </w:tcPr>
          <w:p>
            <w:pPr>
              <w:spacing w:after="0" w:line="148" w:lineRule="exact"/>
              <w:rPr>
                <w:sz w:val="20"/>
                <w:szCs w:val="20"/>
                <w:color w:val="auto"/>
              </w:rPr>
            </w:pPr>
            <w:r>
              <w:rPr>
                <w:rFonts w:ascii="Arial" w:cs="Arial" w:eastAsia="Arial" w:hAnsi="Arial"/>
                <w:sz w:val="13"/>
                <w:szCs w:val="13"/>
                <w:b w:val="1"/>
                <w:bCs w:val="1"/>
                <w:color w:val="auto"/>
              </w:rPr>
              <w:t>New York</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Forest Hills</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1937-1987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48,000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$21.48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Midway Theatre</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Forest Hills, NY 11375</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Fresh Meadows</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1949</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406,000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$25.63</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AMC Loews</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Queens, NY 11365</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Kohl’s</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Greenlawn Plaza</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1975, 2004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2006</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106,000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$16.41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Waldbaum’s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Greenlawn, NY 11743(8)(10)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Tuesday Morning</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Hauppauge</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1963</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1998</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133,000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$24.81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Shop Rite</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Hauppauge, NY 11788(10)</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Huntington</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1962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1"/>
              </w:rPr>
              <w:t>1988/2007</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292,000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$20.46</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Huntington, NY 11746</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Buy Buy Baby</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Michaels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Huntington Square</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2"/>
              </w:rPr>
              <w:t>1980, 2007</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2010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74,000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$25.69</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93%</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Barnes &amp; Noble</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East Northport, NY 11731(3)</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Melville Mall</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1974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2006</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247,000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$18.53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Dick's Sporting Goods</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Huntington, NY 11747(9)(10)</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Kohl’s</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Marshalls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Waldbaum's</w:t>
            </w:r>
          </w:p>
        </w:tc>
      </w:tr>
      <w:tr>
        <w:trPr>
          <w:trHeight w:val="147"/>
        </w:trPr>
        <w:tc>
          <w:tcPr>
            <w:tcW w:w="20" w:type="dxa"/>
            <w:vAlign w:val="bottom"/>
          </w:tcPr>
          <w:p>
            <w:pPr>
              <w:spacing w:after="0"/>
              <w:rPr>
                <w:sz w:val="12"/>
                <w:szCs w:val="12"/>
                <w:color w:val="auto"/>
              </w:rPr>
            </w:pPr>
          </w:p>
        </w:tc>
        <w:tc>
          <w:tcPr>
            <w:tcW w:w="3080" w:type="dxa"/>
            <w:vAlign w:val="bottom"/>
            <w:gridSpan w:val="6"/>
          </w:tcPr>
          <w:p>
            <w:pPr>
              <w:spacing w:after="0" w:line="148" w:lineRule="exact"/>
              <w:rPr>
                <w:sz w:val="20"/>
                <w:szCs w:val="20"/>
                <w:color w:val="auto"/>
              </w:rPr>
            </w:pPr>
            <w:r>
              <w:rPr>
                <w:rFonts w:ascii="Arial" w:cs="Arial" w:eastAsia="Arial" w:hAnsi="Arial"/>
                <w:sz w:val="13"/>
                <w:szCs w:val="13"/>
                <w:b w:val="1"/>
                <w:bCs w:val="1"/>
                <w:color w:val="auto"/>
              </w:rPr>
              <w:t>Pennsylvania</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78"/>
        </w:trPr>
        <w:tc>
          <w:tcPr>
            <w:tcW w:w="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Andorra</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1988</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267,000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$14.23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96%</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Acme Markets</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Philadelphia, PA 19128</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Kohl’s</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Staples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Bala Cynwyd</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1955</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282,000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$19.95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98%</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Acme Markets</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Bala Cynwyd, PA 19004</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Lord &amp; Taylor</w:t>
            </w: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Michaels</w:t>
            </w: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L.A. Fitness</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Flourtown</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166,000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$22.92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48%</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Genuardi’s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Flourtown, PA 19031</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Lancaster</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1958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1980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127,000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$16.24</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Giant Food</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Lancaster, PA 17601(7)</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Michaels</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Langhorne Square</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1966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219,000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$14.62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95%</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Marshalls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Levittown, PA 19056</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Redner’s Warehouse Market</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Lawrence Park</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1972</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1980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353,000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$18.01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95%</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Acme Markets</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Broomall, PA 19008(10)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TJ Maxx</w:t>
            </w: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CHI</w:t>
            </w: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HomeGoods</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Northeast</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287,000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$11.34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Burlington Coat Factory</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Philadelphia, PA 19114</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Home Gallery</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Town Center of New Britain</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1969</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2006</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124,000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85"/>
              </w:rPr>
              <w:t>$9.45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77%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Giant Food</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New Britain, PA 18901</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Rite Aid</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Willow Grove</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1984</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212,000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$18.04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98%</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Home Goods</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3"/>
                <w:szCs w:val="13"/>
                <w:color w:val="auto"/>
              </w:rPr>
              <w:t>Willow Grove, PA 19090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Marshalls Barnes &amp; Noble</w:t>
            </w: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Wynnewood</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1948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1996</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252,000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$25.60</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tcPr>
          <w:p>
            <w:pPr>
              <w:spacing w:after="0"/>
              <w:rPr>
                <w:sz w:val="11"/>
                <w:szCs w:val="11"/>
                <w:color w:val="auto"/>
              </w:rPr>
            </w:pPr>
          </w:p>
        </w:tc>
        <w:tc>
          <w:tcPr>
            <w:tcW w:w="3080" w:type="dxa"/>
            <w:vAlign w:val="bottom"/>
            <w:gridSpan w:val="6"/>
          </w:tcPr>
          <w:p>
            <w:pPr>
              <w:ind w:left="140"/>
              <w:spacing w:after="0" w:line="135" w:lineRule="exact"/>
              <w:rPr>
                <w:sz w:val="20"/>
                <w:szCs w:val="20"/>
                <w:color w:val="auto"/>
              </w:rPr>
            </w:pPr>
            <w:r>
              <w:rPr>
                <w:rFonts w:ascii="Arial" w:cs="Arial" w:eastAsia="Arial" w:hAnsi="Arial"/>
                <w:sz w:val="13"/>
                <w:szCs w:val="13"/>
                <w:color w:val="auto"/>
              </w:rPr>
              <w:t>Wynnewood, PA 19096(10)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Genuardi’s</w:t>
            </w: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Old Navy</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Texas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Houston Street</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1890-1935</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1998</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182,000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$22.58</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Hotel Valencia</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San Antonio, TX 78205</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Walgreens</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Virginia</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r>
      <w:tr>
        <w:trPr>
          <w:trHeight w:val="78"/>
        </w:trPr>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160" w:type="dxa"/>
            <w:vAlign w:val="bottom"/>
            <w:tcBorders>
              <w:top w:val="single" w:sz="8" w:color="CCEEFF"/>
            </w:tcBorders>
            <w:shd w:val="clear" w:color="auto" w:fill="CCEEFF"/>
          </w:tcPr>
          <w:p>
            <w:pPr>
              <w:spacing w:after="0"/>
              <w:rPr>
                <w:sz w:val="6"/>
                <w:szCs w:val="6"/>
                <w:color w:val="auto"/>
              </w:rPr>
            </w:pPr>
          </w:p>
        </w:tc>
      </w:tr>
      <w:tr>
        <w:trPr>
          <w:trHeight w:val="144"/>
        </w:trPr>
        <w:tc>
          <w:tcPr>
            <w:tcW w:w="20" w:type="dxa"/>
            <w:vAlign w:val="bottom"/>
          </w:tcPr>
          <w:p>
            <w:pPr>
              <w:spacing w:after="0"/>
              <w:rPr>
                <w:sz w:val="12"/>
                <w:szCs w:val="12"/>
                <w:color w:val="auto"/>
              </w:rPr>
            </w:pPr>
          </w:p>
        </w:tc>
        <w:tc>
          <w:tcPr>
            <w:tcW w:w="3080" w:type="dxa"/>
            <w:vAlign w:val="bottom"/>
            <w:gridSpan w:val="6"/>
          </w:tcPr>
          <w:p>
            <w:pPr>
              <w:spacing w:after="0" w:line="144" w:lineRule="exact"/>
              <w:rPr>
                <w:sz w:val="20"/>
                <w:szCs w:val="20"/>
                <w:color w:val="auto"/>
              </w:rPr>
            </w:pPr>
            <w:r>
              <w:rPr>
                <w:rFonts w:ascii="Arial" w:cs="Arial" w:eastAsia="Arial" w:hAnsi="Arial"/>
                <w:sz w:val="13"/>
                <w:szCs w:val="13"/>
                <w:color w:val="auto"/>
              </w:rPr>
              <w:t>Barcroft Plaza</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3"/>
              </w:rPr>
              <w:t>1963, 1972 &amp;</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2006-2007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100,000</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$21.87</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88%</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Harris Teeter</w:t>
            </w:r>
          </w:p>
        </w:tc>
      </w:tr>
      <w:tr>
        <w:trPr>
          <w:trHeight w:val="165"/>
        </w:trPr>
        <w:tc>
          <w:tcPr>
            <w:tcW w:w="20" w:type="dxa"/>
            <w:vAlign w:val="bottom"/>
          </w:tcPr>
          <w:p>
            <w:pPr>
              <w:spacing w:after="0"/>
              <w:rPr>
                <w:sz w:val="14"/>
                <w:szCs w:val="14"/>
                <w:color w:val="auto"/>
              </w:rPr>
            </w:pPr>
          </w:p>
        </w:tc>
        <w:tc>
          <w:tcPr>
            <w:tcW w:w="3080" w:type="dxa"/>
            <w:vAlign w:val="bottom"/>
            <w:gridSpan w:val="6"/>
          </w:tcPr>
          <w:p>
            <w:pPr>
              <w:ind w:left="140"/>
              <w:spacing w:after="0"/>
              <w:rPr>
                <w:sz w:val="20"/>
                <w:szCs w:val="20"/>
                <w:color w:val="auto"/>
              </w:rPr>
            </w:pPr>
            <w:r>
              <w:rPr>
                <w:rFonts w:ascii="Arial" w:cs="Arial" w:eastAsia="Arial" w:hAnsi="Arial"/>
                <w:sz w:val="13"/>
                <w:szCs w:val="13"/>
                <w:color w:val="auto"/>
              </w:rPr>
              <w:t>Falls Church, VA 22041(8)(10)</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1990</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Bank of America</w:t>
            </w: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080" w:type="dxa"/>
            <w:vAlign w:val="bottom"/>
            <w:gridSpan w:val="6"/>
            <w:shd w:val="clear" w:color="auto" w:fill="CCEEFF"/>
          </w:tcPr>
          <w:p>
            <w:pPr>
              <w:spacing w:after="0" w:line="144" w:lineRule="exact"/>
              <w:rPr>
                <w:sz w:val="20"/>
                <w:szCs w:val="20"/>
                <w:color w:val="auto"/>
              </w:rPr>
            </w:pPr>
            <w:r>
              <w:rPr>
                <w:rFonts w:ascii="Arial" w:cs="Arial" w:eastAsia="Arial" w:hAnsi="Arial"/>
                <w:sz w:val="13"/>
                <w:szCs w:val="13"/>
                <w:color w:val="auto"/>
              </w:rPr>
              <w:t>Barracks Road</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1958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487,000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$21.66</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Anthropologie</w:t>
            </w: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6"/>
            <w:shd w:val="clear" w:color="auto" w:fill="CCEEFF"/>
          </w:tcPr>
          <w:p>
            <w:pPr>
              <w:ind w:left="140"/>
              <w:spacing w:after="0" w:line="135" w:lineRule="exact"/>
              <w:rPr>
                <w:sz w:val="20"/>
                <w:szCs w:val="20"/>
                <w:color w:val="auto"/>
              </w:rPr>
            </w:pPr>
            <w:r>
              <w:rPr>
                <w:rFonts w:ascii="Arial" w:cs="Arial" w:eastAsia="Arial" w:hAnsi="Arial"/>
                <w:sz w:val="13"/>
                <w:szCs w:val="13"/>
                <w:color w:val="auto"/>
              </w:rPr>
              <w:t>Charlottesville, VA 22905(10)</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Bed, Bath &amp; Beyond</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Harris Teeter</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Kroger</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Barnes &amp; Noble</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Old Navy</w:t>
            </w:r>
          </w:p>
        </w:tc>
      </w:tr>
      <w:tr>
        <w:trPr>
          <w:trHeight w:val="135"/>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Michaels</w:t>
            </w:r>
          </w:p>
        </w:tc>
      </w:tr>
      <w:tr>
        <w:trPr>
          <w:trHeight w:val="165"/>
        </w:trPr>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w:t>
            </w:r>
          </w:p>
        </w:tc>
      </w:tr>
      <w:tr>
        <w:trPr>
          <w:trHeight w:val="23"/>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2"/>
              </w:rPr>
              <w:t>Square Feet(1)</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Average Rent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Year</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Year</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/Apartment</w:t>
            </w: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 Square</w:t>
            </w:r>
          </w:p>
        </w:tc>
        <w:tc>
          <w:tcPr>
            <w:tcW w:w="112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Percentage</w:t>
            </w: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Property, City, State, Zip Code</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Principal Tenant(s)</w:t>
            </w:r>
          </w:p>
        </w:tc>
        <w:tc>
          <w:tcPr>
            <w:tcW w:w="0" w:type="dxa"/>
            <w:vAlign w:val="bottom"/>
          </w:tcPr>
          <w:p>
            <w:pPr>
              <w:spacing w:after="0"/>
              <w:rPr>
                <w:sz w:val="1"/>
                <w:szCs w:val="1"/>
                <w:color w:val="auto"/>
              </w:rPr>
            </w:pPr>
          </w:p>
        </w:tc>
      </w:tr>
      <w:tr>
        <w:trPr>
          <w:trHeight w:val="141"/>
        </w:trPr>
        <w:tc>
          <w:tcPr>
            <w:tcW w:w="310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Falls Plaza/Falls Plaza—East</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auto"/>
                <w:w w:val="90"/>
              </w:rPr>
              <w:t>1960-1962</w:t>
            </w:r>
          </w:p>
        </w:tc>
        <w:tc>
          <w:tcPr>
            <w:tcW w:w="12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auto"/>
                <w:w w:val="91"/>
              </w:rPr>
              <w:t>1967/1972</w:t>
            </w:r>
          </w:p>
        </w:tc>
        <w:tc>
          <w:tcPr>
            <w:tcW w:w="12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3"/>
                <w:szCs w:val="13"/>
                <w:color w:val="auto"/>
                <w:w w:val="93"/>
              </w:rPr>
              <w:t>144,000</w:t>
            </w:r>
          </w:p>
        </w:tc>
        <w:tc>
          <w:tcPr>
            <w:tcW w:w="1360" w:type="dxa"/>
            <w:vAlign w:val="bottom"/>
            <w:gridSpan w:val="2"/>
          </w:tcPr>
          <w:p>
            <w:pPr>
              <w:jc w:val="center"/>
              <w:ind w:left="55"/>
              <w:spacing w:after="0" w:line="141" w:lineRule="exact"/>
              <w:rPr>
                <w:sz w:val="20"/>
                <w:szCs w:val="20"/>
                <w:color w:val="auto"/>
              </w:rPr>
            </w:pPr>
            <w:r>
              <w:rPr>
                <w:rFonts w:ascii="Arial" w:cs="Arial" w:eastAsia="Arial" w:hAnsi="Arial"/>
                <w:sz w:val="13"/>
                <w:szCs w:val="13"/>
                <w:color w:val="auto"/>
                <w:w w:val="90"/>
              </w:rPr>
              <w:t>$29.69</w:t>
            </w:r>
          </w:p>
        </w:tc>
        <w:tc>
          <w:tcPr>
            <w:tcW w:w="1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1" w:lineRule="exact"/>
              <w:rPr>
                <w:sz w:val="20"/>
                <w:szCs w:val="20"/>
                <w:color w:val="auto"/>
              </w:rPr>
            </w:pPr>
            <w:r>
              <w:rPr>
                <w:rFonts w:ascii="Arial" w:cs="Arial" w:eastAsia="Arial" w:hAnsi="Arial"/>
                <w:sz w:val="13"/>
                <w:szCs w:val="13"/>
                <w:color w:val="auto"/>
              </w:rPr>
              <w:t>Giant Food</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Falls Church, VA 22046</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Idylwood Plaza</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1991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1994</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73,000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$41.90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96%</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Whole Foods</w:t>
            </w:r>
          </w:p>
        </w:tc>
        <w:tc>
          <w:tcPr>
            <w:tcW w:w="0" w:type="dxa"/>
            <w:vAlign w:val="bottom"/>
          </w:tcPr>
          <w:p>
            <w:pPr>
              <w:spacing w:after="0"/>
              <w:rPr>
                <w:sz w:val="1"/>
                <w:szCs w:val="1"/>
                <w:color w:val="auto"/>
              </w:rPr>
            </w:pPr>
          </w:p>
        </w:tc>
      </w:tr>
      <w:tr>
        <w:trPr>
          <w:trHeight w:val="168"/>
        </w:trPr>
        <w:tc>
          <w:tcPr>
            <w:tcW w:w="3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Falls Church, VA 22030(10)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Leesburg Plaza</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1967</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1998</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236,000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$22.25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97%</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Giant Food</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Leesburg, VA 20176(6)(10)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Pier 1 Imports</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Petsmart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Loehmann’s Plaza</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1971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1983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259,000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$26.25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Fairfax, VA 22042(10)</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Giant Food</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Loehmann’s Dress Shop</w:t>
            </w: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Mount Vernon/South Valley/</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0"/>
              </w:rPr>
              <w:t>1966-1974</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1"/>
              </w:rPr>
              <w:t>2003/2006</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572,000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$15.45</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94%</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Shoppers Food Warehouse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7770 Richmond Hwy</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Bed, Bath &amp; Beyond</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Alexandria, VA 22306(3)(6)(10)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Gold’s Gym Staples</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Old Keene Mill</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1968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1976</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92,000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$33.63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Whole Foods</w:t>
            </w:r>
          </w:p>
        </w:tc>
        <w:tc>
          <w:tcPr>
            <w:tcW w:w="0" w:type="dxa"/>
            <w:vAlign w:val="bottom"/>
          </w:tcPr>
          <w:p>
            <w:pPr>
              <w:spacing w:after="0"/>
              <w:rPr>
                <w:sz w:val="1"/>
                <w:szCs w:val="1"/>
                <w:color w:val="auto"/>
              </w:rPr>
            </w:pPr>
          </w:p>
        </w:tc>
      </w:tr>
      <w:tr>
        <w:trPr>
          <w:trHeight w:val="168"/>
        </w:trPr>
        <w:tc>
          <w:tcPr>
            <w:tcW w:w="3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Springfield, VA 22152</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Pan Am</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1979</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1993</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227,000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$20.27</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Fairfax, VA 22031</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Micro Center</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Safeway</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Pentagon Row</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2001-2002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1"/>
              </w:rPr>
              <w:t>1998/2010</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296,000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$34.55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99%</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Harris Teeter</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Arlington, VA 22202(10)</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Bed, Bath &amp; Beyond</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68"/>
        </w:trPr>
        <w:tc>
          <w:tcPr>
            <w:tcW w:w="2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Pike 7 Plaza</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1968</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1997</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164,000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$39.41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Vienna, VA 22180(6)</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Shoppers’ World</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0"/>
              </w:rPr>
              <w:t>1975-2001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2007</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169,000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$14.00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72%</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68"/>
        </w:trPr>
        <w:tc>
          <w:tcPr>
            <w:tcW w:w="3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Charlottesville, VA 22091(10)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Shops at Willow Lawn</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1957</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1983</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3"/>
              </w:rPr>
              <w:t>438,000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$16.41</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83%</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Kroger</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Richmond, VA 23230</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Old Navy</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40"/>
              <w:spacing w:after="0" w:line="135" w:lineRule="exact"/>
              <w:rPr>
                <w:sz w:val="20"/>
                <w:szCs w:val="20"/>
                <w:color w:val="auto"/>
              </w:rPr>
            </w:pPr>
            <w:r>
              <w:rPr>
                <w:rFonts w:ascii="Arial" w:cs="Arial" w:eastAsia="Arial" w:hAnsi="Arial"/>
                <w:sz w:val="13"/>
                <w:szCs w:val="13"/>
                <w:color w:val="auto"/>
              </w:rPr>
              <w:t>Ross Dress For Less</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ind w:left="4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Tower Shopping Center</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1960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1998</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112,000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$24.01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87%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68"/>
        </w:trPr>
        <w:tc>
          <w:tcPr>
            <w:tcW w:w="3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Springfield, VA 22150</w:t>
            </w: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Tyson’s Station</w:t>
            </w: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96"/>
              </w:rPr>
              <w:t>1954</w:t>
            </w:r>
          </w:p>
        </w:tc>
        <w:tc>
          <w:tcPr>
            <w:tcW w:w="12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color w:val="auto"/>
                <w:w w:val="89"/>
              </w:rPr>
              <w:t>1978</w:t>
            </w: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w w:val="90"/>
              </w:rPr>
              <w:t>49,000</w:t>
            </w:r>
          </w:p>
        </w:tc>
        <w:tc>
          <w:tcPr>
            <w:tcW w:w="1360" w:type="dxa"/>
            <w:vAlign w:val="bottom"/>
            <w:gridSpan w:val="2"/>
          </w:tcPr>
          <w:p>
            <w:pPr>
              <w:jc w:val="center"/>
              <w:ind w:left="55"/>
              <w:spacing w:after="0" w:line="144" w:lineRule="exact"/>
              <w:rPr>
                <w:sz w:val="20"/>
                <w:szCs w:val="20"/>
                <w:color w:val="auto"/>
              </w:rPr>
            </w:pPr>
            <w:r>
              <w:rPr>
                <w:rFonts w:ascii="Arial" w:cs="Arial" w:eastAsia="Arial" w:hAnsi="Arial"/>
                <w:sz w:val="13"/>
                <w:szCs w:val="13"/>
                <w:color w:val="auto"/>
                <w:w w:val="90"/>
              </w:rPr>
              <w:t>$40.37</w:t>
            </w: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2"/>
              </w:rPr>
              <w:t>96%</w:t>
            </w:r>
          </w:p>
        </w:tc>
        <w:tc>
          <w:tcPr>
            <w:tcW w:w="100" w:type="dxa"/>
            <w:vAlign w:val="bottom"/>
          </w:tcPr>
          <w:p>
            <w:pPr>
              <w:spacing w:after="0"/>
              <w:rPr>
                <w:sz w:val="12"/>
                <w:szCs w:val="12"/>
                <w:color w:val="auto"/>
              </w:rPr>
            </w:pPr>
          </w:p>
        </w:tc>
        <w:tc>
          <w:tcPr>
            <w:tcW w:w="2160" w:type="dxa"/>
            <w:vAlign w:val="bottom"/>
          </w:tcPr>
          <w:p>
            <w:pPr>
              <w:ind w:left="40"/>
              <w:spacing w:after="0" w:line="144"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65"/>
        </w:trPr>
        <w:tc>
          <w:tcPr>
            <w:tcW w:w="3100" w:type="dxa"/>
            <w:vAlign w:val="bottom"/>
            <w:gridSpan w:val="2"/>
          </w:tcPr>
          <w:p>
            <w:pPr>
              <w:ind w:left="160"/>
              <w:spacing w:after="0"/>
              <w:rPr>
                <w:sz w:val="20"/>
                <w:szCs w:val="20"/>
                <w:color w:val="auto"/>
              </w:rPr>
            </w:pPr>
            <w:r>
              <w:rPr>
                <w:rFonts w:ascii="Arial" w:cs="Arial" w:eastAsia="Arial" w:hAnsi="Arial"/>
                <w:sz w:val="13"/>
                <w:szCs w:val="13"/>
                <w:color w:val="auto"/>
              </w:rPr>
              <w:t>Falls Church, VA 22043</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1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Village at Shirlington</w:t>
            </w: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1940, 2006-2009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89"/>
              </w:rPr>
              <w:t>1995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261,000</w:t>
            </w:r>
          </w:p>
        </w:tc>
        <w:tc>
          <w:tcPr>
            <w:tcW w:w="1360" w:type="dxa"/>
            <w:vAlign w:val="bottom"/>
            <w:gridSpan w:val="2"/>
            <w:shd w:val="clear" w:color="auto" w:fill="CCEEFF"/>
          </w:tcPr>
          <w:p>
            <w:pPr>
              <w:jc w:val="center"/>
              <w:ind w:left="55"/>
              <w:spacing w:after="0" w:line="144" w:lineRule="exact"/>
              <w:rPr>
                <w:sz w:val="20"/>
                <w:szCs w:val="20"/>
                <w:color w:val="auto"/>
              </w:rPr>
            </w:pPr>
            <w:r>
              <w:rPr>
                <w:rFonts w:ascii="Arial" w:cs="Arial" w:eastAsia="Arial" w:hAnsi="Arial"/>
                <w:sz w:val="13"/>
                <w:szCs w:val="13"/>
                <w:color w:val="auto"/>
                <w:w w:val="90"/>
              </w:rPr>
              <w:t>$34.44</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97%</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AMC Loews</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Arlington, VA 22206(7)</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Carlyle Grand Café</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Harris Teeter</w:t>
            </w:r>
          </w:p>
        </w:tc>
        <w:tc>
          <w:tcPr>
            <w:tcW w:w="0" w:type="dxa"/>
            <w:vAlign w:val="bottom"/>
          </w:tcPr>
          <w:p>
            <w:pPr>
              <w:spacing w:after="0"/>
              <w:rPr>
                <w:sz w:val="1"/>
                <w:szCs w:val="1"/>
                <w:color w:val="auto"/>
              </w:rPr>
            </w:pPr>
          </w:p>
        </w:tc>
      </w:tr>
      <w:tr>
        <w:trPr>
          <w:trHeight w:val="153"/>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All Regions—Retail(11)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2"/>
              </w:rPr>
              <w:t>19,259,000</w:t>
            </w:r>
          </w:p>
        </w:tc>
        <w:tc>
          <w:tcPr>
            <w:tcW w:w="1360" w:type="dxa"/>
            <w:vAlign w:val="bottom"/>
            <w:gridSpan w:val="2"/>
            <w:vMerge w:val="restart"/>
          </w:tcPr>
          <w:p>
            <w:pPr>
              <w:jc w:val="center"/>
              <w:ind w:left="55"/>
              <w:spacing w:after="0"/>
              <w:rPr>
                <w:sz w:val="20"/>
                <w:szCs w:val="20"/>
                <w:color w:val="auto"/>
              </w:rPr>
            </w:pPr>
            <w:r>
              <w:rPr>
                <w:rFonts w:ascii="Arial" w:cs="Arial" w:eastAsia="Arial" w:hAnsi="Arial"/>
                <w:sz w:val="13"/>
                <w:szCs w:val="13"/>
                <w:b w:val="1"/>
                <w:bCs w:val="1"/>
                <w:color w:val="auto"/>
                <w:w w:val="90"/>
              </w:rPr>
              <w:t>$23.37</w:t>
            </w: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93%</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All Regions—Residential</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1,011 units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9"/>
              </w:rPr>
              <w:t>92%</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1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color w:val="auto"/>
        </w:rPr>
        <w:t>_____________________</w:t>
      </w:r>
    </w:p>
    <w:p>
      <w:pPr>
        <w:spacing w:after="0" w:line="70" w:lineRule="exact"/>
        <w:rPr>
          <w:sz w:val="20"/>
          <w:szCs w:val="20"/>
          <w:color w:val="auto"/>
        </w:rPr>
      </w:pPr>
    </w:p>
    <w:p>
      <w:pPr>
        <w:ind w:left="580" w:right="120" w:hanging="287"/>
        <w:spacing w:after="0" w:line="24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ind w:left="580" w:right="22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or a portion of this property is owned pursuant to a ground lease.</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the controlling interest in this center.</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a 90% general and limited partnership interests in these buildings.</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this property in a “downREIT” partnership, of which a wholly owned subsidiary of the Trust is the sole general partner, with third party partners holding operating partnership units.</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or a portion of this property is subject to a capital lease obligation.</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Properties acquired through a joint venture arrangement with affiliates of a discretionary fund created and advised by ING Clarion Partners.</w:t>
      </w:r>
    </w:p>
    <w:p>
      <w:pPr>
        <w:ind w:left="580" w:right="46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Trust controls Melville Mall through a 20 year master lease and secondary financing to the owner. Because the Trust controls the activities that most significantly impact this property and retains substantially all of the economic benefit and risk associated with it, we consolidate this property and its operations.</w:t>
      </w:r>
    </w:p>
    <w:p>
      <w:pPr>
        <w:ind w:left="580" w:hanging="287"/>
        <w:spacing w:after="0" w:line="23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or a portion of this property is encumbered by a mortgage loan.</w:t>
      </w:r>
    </w:p>
    <w:p>
      <w:pPr>
        <w:ind w:left="580" w:right="140" w:hanging="287"/>
        <w:spacing w:after="0" w:line="24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Aggregate information is calculated on a GLA weighted-average basis, excluding properties acquired through a joint venture arrangement with affiliates of a discretionary fund created and advised by ING Clarion Partners.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3"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219"/>
          </w:cols>
          <w:pgMar w:left="240" w:top="12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60" w:lineRule="exact"/>
        <w:rPr>
          <w:sz w:val="20"/>
          <w:szCs w:val="20"/>
          <w:color w:val="auto"/>
        </w:rPr>
      </w:pPr>
    </w:p>
    <w:p>
      <w:pPr>
        <w:jc w:val="center"/>
        <w:ind w:right="180"/>
        <w:spacing w:after="0"/>
        <w:tabs>
          <w:tab w:leader="none" w:pos="140" w:val="left"/>
        </w:tabs>
        <w:rPr>
          <w:sz w:val="20"/>
          <w:szCs w:val="20"/>
          <w:color w:val="auto"/>
        </w:rPr>
      </w:pPr>
      <w:r>
        <w:rPr>
          <w:rFonts w:ascii="Arial" w:cs="Arial" w:eastAsia="Arial" w:hAnsi="Arial"/>
          <w:sz w:val="16"/>
          <w:szCs w:val="16"/>
          <w:b w:val="1"/>
          <w:bCs w:val="1"/>
          <w:color w:val="auto"/>
        </w:rPr>
        <w:t>ITEM 5.</w:t>
        <w:tab/>
        <w:t>MARKET FOR OUR COMMON EQUITY AND RELATED SHAREHOLDER MATTERS AND ISSUER PURCHASES OF EQUITY SECURITIES</w:t>
      </w:r>
    </w:p>
    <w:p>
      <w:pPr>
        <w:spacing w:after="0" w:line="9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b w:val="1"/>
                <w:bCs w:val="1"/>
                <w:color w:val="auto"/>
              </w:rPr>
              <w:t>Price Per Share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83"/>
              <w:spacing w:after="0"/>
              <w:rPr>
                <w:sz w:val="20"/>
                <w:szCs w:val="20"/>
                <w:color w:val="auto"/>
              </w:rPr>
            </w:pPr>
            <w:r>
              <w:rPr>
                <w:rFonts w:ascii="Arial" w:cs="Arial" w:eastAsia="Arial" w:hAnsi="Arial"/>
                <w:sz w:val="13"/>
                <w:szCs w:val="13"/>
                <w:b w:val="1"/>
                <w:bCs w:val="1"/>
                <w:color w:val="auto"/>
                <w:w w:val="90"/>
              </w:rPr>
              <w:t>Dividends</w:t>
            </w:r>
          </w:p>
        </w:tc>
        <w:tc>
          <w:tcPr>
            <w:tcW w:w="0" w:type="dxa"/>
            <w:vAlign w:val="bottom"/>
          </w:tcPr>
          <w:p>
            <w:pPr>
              <w:spacing w:after="0"/>
              <w:rPr>
                <w:sz w:val="1"/>
                <w:szCs w:val="1"/>
                <w:color w:val="auto"/>
              </w:rPr>
            </w:pPr>
          </w:p>
        </w:tc>
      </w:tr>
      <w:tr>
        <w:trPr>
          <w:trHeight w:val="49"/>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vMerge w:val="restart"/>
          </w:tcPr>
          <w:p>
            <w:pPr>
              <w:jc w:val="center"/>
              <w:ind w:right="163"/>
              <w:spacing w:after="0" w:line="128" w:lineRule="exact"/>
              <w:rPr>
                <w:sz w:val="20"/>
                <w:szCs w:val="20"/>
                <w:color w:val="auto"/>
              </w:rPr>
            </w:pPr>
            <w:r>
              <w:rPr>
                <w:rFonts w:ascii="Arial" w:cs="Arial" w:eastAsia="Arial" w:hAnsi="Arial"/>
                <w:sz w:val="13"/>
                <w:szCs w:val="13"/>
                <w:b w:val="1"/>
                <w:bCs w:val="1"/>
                <w:color w:val="auto"/>
                <w:w w:val="90"/>
              </w:rPr>
              <w:t>Declared</w:t>
            </w:r>
          </w:p>
        </w:tc>
        <w:tc>
          <w:tcPr>
            <w:tcW w:w="0" w:type="dxa"/>
            <w:vAlign w:val="bottom"/>
          </w:tcPr>
          <w:p>
            <w:pPr>
              <w:spacing w:after="0"/>
              <w:rPr>
                <w:sz w:val="1"/>
                <w:szCs w:val="1"/>
                <w:color w:val="auto"/>
              </w:rPr>
            </w:pPr>
          </w:p>
        </w:tc>
      </w:tr>
      <w:tr>
        <w:trPr>
          <w:trHeight w:val="58"/>
        </w:trPr>
        <w:tc>
          <w:tcPr>
            <w:tcW w:w="7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High</w:t>
            </w:r>
          </w:p>
        </w:tc>
        <w:tc>
          <w:tcPr>
            <w:tcW w:w="460" w:type="dxa"/>
            <w:vAlign w:val="bottom"/>
          </w:tcPr>
          <w:p>
            <w:pPr>
              <w:spacing w:after="0"/>
              <w:rPr>
                <w:sz w:val="15"/>
                <w:szCs w:val="15"/>
                <w:color w:val="auto"/>
              </w:rPr>
            </w:pPr>
          </w:p>
        </w:tc>
        <w:tc>
          <w:tcPr>
            <w:tcW w:w="900" w:type="dxa"/>
            <w:vAlign w:val="bottom"/>
          </w:tcPr>
          <w:p>
            <w:pPr>
              <w:jc w:val="right"/>
              <w:ind w:right="480"/>
              <w:spacing w:after="0"/>
              <w:rPr>
                <w:sz w:val="20"/>
                <w:szCs w:val="20"/>
                <w:color w:val="auto"/>
              </w:rPr>
            </w:pPr>
            <w:r>
              <w:rPr>
                <w:rFonts w:ascii="Arial" w:cs="Arial" w:eastAsia="Arial" w:hAnsi="Arial"/>
                <w:sz w:val="13"/>
                <w:szCs w:val="13"/>
                <w:b w:val="1"/>
                <w:bCs w:val="1"/>
                <w:color w:val="auto"/>
              </w:rPr>
              <w:t>Low</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63"/>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Fourth quarter</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92.45</w:t>
            </w:r>
          </w:p>
        </w:tc>
        <w:tc>
          <w:tcPr>
            <w:tcW w:w="120" w:type="dxa"/>
            <w:vAlign w:val="bottom"/>
          </w:tcPr>
          <w:p>
            <w:pPr>
              <w:spacing w:after="0"/>
              <w:rPr>
                <w:sz w:val="19"/>
                <w:szCs w:val="19"/>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80.15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0.690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Third quarter</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90.55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0.690</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Second quarter</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88.12</w:t>
            </w:r>
          </w:p>
        </w:tc>
        <w:tc>
          <w:tcPr>
            <w:tcW w:w="120" w:type="dxa"/>
            <w:vAlign w:val="bottom"/>
          </w:tcPr>
          <w:p>
            <w:pPr>
              <w:spacing w:after="0"/>
              <w:rPr>
                <w:sz w:val="19"/>
                <w:szCs w:val="19"/>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80.21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0.670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First quarter</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84.18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76.14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0.670</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Fourth quarter</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84.32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0.670</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Third quarter</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83.32</w:t>
            </w:r>
          </w:p>
        </w:tc>
        <w:tc>
          <w:tcPr>
            <w:tcW w:w="120" w:type="dxa"/>
            <w:vAlign w:val="bottom"/>
          </w:tcPr>
          <w:p>
            <w:pPr>
              <w:spacing w:after="0"/>
              <w:rPr>
                <w:sz w:val="19"/>
                <w:szCs w:val="19"/>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68.91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0.670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Second quarter</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79.52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68.35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0.660</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First quarter</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74.11</w:t>
            </w:r>
          </w:p>
        </w:tc>
        <w:tc>
          <w:tcPr>
            <w:tcW w:w="120" w:type="dxa"/>
            <w:vAlign w:val="bottom"/>
          </w:tcPr>
          <w:p>
            <w:pPr>
              <w:spacing w:after="0"/>
              <w:rPr>
                <w:sz w:val="19"/>
                <w:szCs w:val="19"/>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63.07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0.660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On February 9, 2012, there were 3,508 holders of record of our common shares.</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44 consecutive years.</w:t>
      </w:r>
    </w:p>
    <w:p>
      <w:pPr>
        <w:spacing w:after="0" w:line="96"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Our total annual dividends paid per common share for 2011 and 2010 were $2.70 per share and $2.65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2012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income tax status of distributions per share paid to common shareholders:</w:t>
      </w:r>
    </w:p>
    <w:p>
      <w:pPr>
        <w:spacing w:after="0" w:line="324" w:lineRule="exact"/>
        <w:rPr>
          <w:sz w:val="20"/>
          <w:szCs w:val="20"/>
          <w:color w:val="auto"/>
        </w:rPr>
      </w:pPr>
    </w:p>
    <w:p>
      <w:pPr>
        <w:jc w:val="center"/>
        <w:ind w:left="8600"/>
        <w:spacing w:after="0"/>
        <w:rPr>
          <w:sz w:val="20"/>
          <w:szCs w:val="20"/>
          <w:color w:val="auto"/>
        </w:rPr>
      </w:pPr>
      <w:r>
        <w:rPr>
          <w:rFonts w:ascii="Arial" w:cs="Arial" w:eastAsia="Arial" w:hAnsi="Arial"/>
          <w:sz w:val="13"/>
          <w:szCs w:val="13"/>
          <w:b w:val="1"/>
          <w:bCs w:val="1"/>
          <w:color w:val="auto"/>
        </w:rPr>
        <w:t>Year Ended</w:t>
      </w:r>
    </w:p>
    <w:p>
      <w:pPr>
        <w:jc w:val="center"/>
        <w:ind w:left="86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10160</wp:posOffset>
            </wp:positionV>
            <wp:extent cx="18091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762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Ordinary dividend</w:t>
            </w:r>
          </w:p>
        </w:tc>
        <w:tc>
          <w:tcPr>
            <w:tcW w:w="5200" w:type="dxa"/>
            <w:vAlign w:val="bottom"/>
            <w:tcBorders>
              <w:bottom w:val="single" w:sz="8" w:color="CCEEFF"/>
            </w:tcBorders>
            <w:gridSpan w:val="2"/>
            <w:shd w:val="clear" w:color="auto" w:fill="CCEEFF"/>
          </w:tcPr>
          <w:p>
            <w:pPr>
              <w:jc w:val="right"/>
              <w:ind w:right="69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4"/>
              </w:rPr>
              <w:t>2.349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Ordinary dividend eligible for 15% tax rate</w:t>
            </w:r>
          </w:p>
        </w:tc>
        <w:tc>
          <w:tcPr>
            <w:tcW w:w="4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w w:val="94"/>
              </w:rPr>
              <w:t>0.027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0.025</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Return of capital</w:t>
            </w:r>
          </w:p>
        </w:tc>
        <w:tc>
          <w:tcPr>
            <w:tcW w:w="4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4"/>
              </w:rPr>
              <w:t>0.162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0.106</w:t>
            </w:r>
          </w:p>
        </w:tc>
        <w:tc>
          <w:tcPr>
            <w:tcW w:w="0" w:type="dxa"/>
            <w:vAlign w:val="bottom"/>
          </w:tcPr>
          <w:p>
            <w:pPr>
              <w:spacing w:after="0"/>
              <w:rPr>
                <w:sz w:val="1"/>
                <w:szCs w:val="1"/>
                <w:color w:val="auto"/>
              </w:rPr>
            </w:pPr>
          </w:p>
        </w:tc>
      </w:tr>
      <w:tr>
        <w:trPr>
          <w:trHeight w:val="220"/>
        </w:trPr>
        <w:tc>
          <w:tcPr>
            <w:tcW w:w="4240" w:type="dxa"/>
            <w:vAlign w:val="bottom"/>
          </w:tcPr>
          <w:p>
            <w:pPr>
              <w:ind w:left="20"/>
              <w:spacing w:after="0"/>
              <w:rPr>
                <w:sz w:val="20"/>
                <w:szCs w:val="20"/>
                <w:color w:val="auto"/>
              </w:rPr>
            </w:pPr>
            <w:r>
              <w:rPr>
                <w:rFonts w:ascii="Arial" w:cs="Arial" w:eastAsia="Arial" w:hAnsi="Arial"/>
                <w:sz w:val="16"/>
                <w:szCs w:val="16"/>
                <w:color w:val="auto"/>
              </w:rPr>
              <w:t>Capital gain</w:t>
            </w:r>
          </w:p>
        </w:tc>
        <w:tc>
          <w:tcPr>
            <w:tcW w:w="4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ind w:right="38"/>
              <w:spacing w:after="0"/>
              <w:rPr>
                <w:sz w:val="20"/>
                <w:szCs w:val="20"/>
                <w:color w:val="auto"/>
              </w:rPr>
            </w:pPr>
            <w:r>
              <w:rPr>
                <w:rFonts w:ascii="Arial" w:cs="Arial" w:eastAsia="Arial" w:hAnsi="Arial"/>
                <w:sz w:val="16"/>
                <w:szCs w:val="16"/>
                <w:color w:val="auto"/>
                <w:w w:val="94"/>
              </w:rPr>
              <w:t>0.162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jc w:val="right"/>
              <w:ind w:right="69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94"/>
              </w:rPr>
              <w:t>2.700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698"/>
              <w:spacing w:after="0"/>
              <w:rPr>
                <w:sz w:val="20"/>
                <w:szCs w:val="20"/>
                <w:color w:val="auto"/>
              </w:rPr>
            </w:pPr>
            <w:r>
              <w:rPr>
                <w:rFonts w:ascii="Arial" w:cs="Arial" w:eastAsia="Arial" w:hAnsi="Arial"/>
                <w:sz w:val="16"/>
                <w:szCs w:val="16"/>
                <w:color w:val="auto"/>
              </w:rPr>
              <w:t>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Shares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All other equity securities sold by us during 2011 that were not registered have been previously reported in a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 equity securities were purchased by us during the fourth quarter of 2011, and 13,975 restricted common shares were forfeited by former employees.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127" w:right="299" w:bottom="1440" w:gutter="0" w:footer="0" w:header="0"/>
        </w:sectPr>
      </w:pPr>
    </w:p>
    <w:bookmarkStart w:id="25" w:name="page26"/>
    <w:bookmarkEnd w:id="2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tab/>
        <w:t>SELECTED FINANCIAL DATA</w:t>
      </w:r>
    </w:p>
    <w:p>
      <w:pPr>
        <w:spacing w:after="0" w:line="90"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2007 through 2010 have been reclassified to conform to the 2011 presentation.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558"/>
              <w:spacing w:after="0"/>
              <w:rPr>
                <w:sz w:val="20"/>
                <w:szCs w:val="20"/>
                <w:color w:val="auto"/>
              </w:rPr>
            </w:pPr>
            <w:r>
              <w:rPr>
                <w:rFonts w:ascii="Arial" w:cs="Arial" w:eastAsia="Arial" w:hAnsi="Arial"/>
                <w:sz w:val="13"/>
                <w:szCs w:val="13"/>
                <w:b w:val="1"/>
                <w:bCs w:val="1"/>
                <w:color w:val="auto"/>
                <w:w w:val="90"/>
              </w:rPr>
              <w:t>Year Ended December 31,</w:t>
            </w: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2009</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w w:val="89"/>
              </w:rPr>
              <w:t>2008</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7"/>
          </w:tcPr>
          <w:p>
            <w:pPr>
              <w:jc w:val="right"/>
              <w:spacing w:after="0"/>
              <w:rPr>
                <w:sz w:val="20"/>
                <w:szCs w:val="20"/>
                <w:color w:val="auto"/>
              </w:rPr>
            </w:pPr>
            <w:r>
              <w:rPr>
                <w:rFonts w:ascii="Arial" w:cs="Arial" w:eastAsia="Arial" w:hAnsi="Arial"/>
                <w:sz w:val="13"/>
                <w:szCs w:val="13"/>
                <w:b w:val="1"/>
                <w:bCs w:val="1"/>
                <w:color w:val="auto"/>
              </w:rPr>
              <w:t>(In thousands, except per share data and ratios)</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Data:</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Rental income</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538,701</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522,651</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510,777</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499,100</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462,856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operating income(1)</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382,890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372,615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362,359</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353,373</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334,950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131,554</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125,851</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101,325</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119,655</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98,323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15,075</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12,572</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94,768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149,612</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128,237</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103,872</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135,153</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201,127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Trust</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143,917</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122,790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98,304</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129,787</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195,537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Net income available for common shareholders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143,376</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122,249</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97,763</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129,246</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195,095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244,711</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256,735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256,765</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228,285</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214,209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(196,369)</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(187,088)</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(127,341)</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3"/>
              </w:rPr>
              <w:t>(207,567)</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(151,439)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3,667</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(189,239)</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(56,186)</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Dividends declared on common shares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171,335</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163,382</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157,638</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148,444</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135,102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Weighted average number of common shares outstanding:</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62,438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59,704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58,665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56,108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62,603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59,830</w:t>
            </w: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58,889</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56,473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Earnings per common share, basic:</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340" w:type="dxa"/>
            <w:vAlign w:val="bottom"/>
          </w:tcPr>
          <w:p>
            <w:pPr>
              <w:spacing w:after="0"/>
              <w:rPr>
                <w:sz w:val="18"/>
                <w:szCs w:val="18"/>
                <w:color w:val="auto"/>
              </w:rPr>
            </w:pPr>
          </w:p>
        </w:tc>
        <w:tc>
          <w:tcPr>
            <w:tcW w:w="42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Earnings per common share, diluted:</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1.99</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40"/>
              <w:spacing w:after="0"/>
              <w:rPr>
                <w:sz w:val="20"/>
                <w:szCs w:val="20"/>
                <w:color w:val="auto"/>
              </w:rPr>
            </w:pPr>
            <w:r>
              <w:rPr>
                <w:rFonts w:ascii="Arial" w:cs="Arial" w:eastAsia="Arial" w:hAnsi="Arial"/>
                <w:sz w:val="16"/>
                <w:szCs w:val="16"/>
                <w:color w:val="auto"/>
              </w:rPr>
              <w:t>Gain on sale of real estate</w:t>
            </w: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2.72</w:t>
            </w:r>
          </w:p>
        </w:tc>
        <w:tc>
          <w:tcPr>
            <w:tcW w:w="220" w:type="dxa"/>
            <w:vAlign w:val="bottom"/>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7"/>
                <w:szCs w:val="17"/>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w w:val="95"/>
              </w:rPr>
              <w:t>Funds from operations available to common shareholders(2)</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251,576</w:t>
            </w:r>
          </w:p>
        </w:tc>
        <w:tc>
          <w:tcPr>
            <w:tcW w:w="22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239,210</w:t>
            </w:r>
          </w:p>
        </w:tc>
        <w:tc>
          <w:tcPr>
            <w:tcW w:w="120" w:type="dxa"/>
            <w:vAlign w:val="bottom"/>
          </w:tcPr>
          <w:p>
            <w:pPr>
              <w:spacing w:after="0"/>
              <w:rPr>
                <w:sz w:val="18"/>
                <w:szCs w:val="18"/>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211,065</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228,397</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206,037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EBITDA(3)(4)</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374,131</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352,481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328,491</w:t>
            </w:r>
          </w:p>
        </w:tc>
        <w:tc>
          <w:tcPr>
            <w:tcW w:w="760" w:type="dxa"/>
            <w:vAlign w:val="bottom"/>
            <w:tcBorders>
              <w:bottom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344,465</w:t>
            </w:r>
          </w:p>
        </w:tc>
        <w:tc>
          <w:tcPr>
            <w:tcW w:w="6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423,150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Adjusted EBITDA(3)(4)</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357,030</w:t>
            </w:r>
          </w:p>
        </w:tc>
        <w:tc>
          <w:tcPr>
            <w:tcW w:w="22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351,071</w:t>
            </w:r>
          </w:p>
        </w:tc>
        <w:tc>
          <w:tcPr>
            <w:tcW w:w="120" w:type="dxa"/>
            <w:vAlign w:val="bottom"/>
          </w:tcPr>
          <w:p>
            <w:pPr>
              <w:spacing w:after="0"/>
              <w:rPr>
                <w:sz w:val="19"/>
                <w:szCs w:val="19"/>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327,193</w:t>
            </w:r>
          </w:p>
        </w:tc>
        <w:tc>
          <w:tcPr>
            <w:tcW w:w="7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331,893</w:t>
            </w:r>
          </w:p>
        </w:tc>
        <w:tc>
          <w:tcPr>
            <w:tcW w:w="60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328,382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Ratio of EBITDA to combined fixed charges and preferred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dividends(3)(4)(5)</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x</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760" w:type="dxa"/>
            <w:vAlign w:val="bottom"/>
            <w:tcBorders>
              <w:bottom w:val="single" w:sz="8" w:color="CCEEFF"/>
            </w:tcBorders>
            <w:gridSpan w:val="2"/>
            <w:shd w:val="clear" w:color="auto" w:fill="CCEEFF"/>
          </w:tcPr>
          <w:p>
            <w:pPr>
              <w:jc w:val="right"/>
              <w:ind w:right="558"/>
              <w:spacing w:after="0"/>
              <w:rPr>
                <w:sz w:val="20"/>
                <w:szCs w:val="20"/>
                <w:color w:val="auto"/>
              </w:rPr>
            </w:pPr>
            <w:r>
              <w:rPr>
                <w:rFonts w:ascii="Arial" w:cs="Arial" w:eastAsia="Arial" w:hAnsi="Arial"/>
                <w:sz w:val="16"/>
                <w:szCs w:val="16"/>
                <w:color w:val="auto"/>
              </w:rPr>
              <w:t>x</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600" w:type="dxa"/>
            <w:vAlign w:val="bottom"/>
            <w:tcBorders>
              <w:bottom w:val="single" w:sz="8" w:color="CCEEFF"/>
            </w:tcBorders>
            <w:gridSpan w:val="2"/>
            <w:shd w:val="clear" w:color="auto" w:fill="CCEEFF"/>
          </w:tcPr>
          <w:p>
            <w:pPr>
              <w:jc w:val="right"/>
              <w:ind w:right="398"/>
              <w:spacing w:after="0"/>
              <w:rPr>
                <w:sz w:val="20"/>
                <w:szCs w:val="20"/>
                <w:color w:val="auto"/>
              </w:rPr>
            </w:pPr>
            <w:r>
              <w:rPr>
                <w:rFonts w:ascii="Arial" w:cs="Arial" w:eastAsia="Arial" w:hAnsi="Arial"/>
                <w:sz w:val="16"/>
                <w:szCs w:val="16"/>
                <w:color w:val="auto"/>
              </w:rPr>
              <w:t>x</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Ratio of Adjusted EBITDA to combined fixed charges 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6"/>
                <w:szCs w:val="16"/>
                <w:color w:val="auto"/>
              </w:rPr>
              <w:t>preferred share dividends(3)(4)(5)</w:t>
            </w:r>
          </w:p>
        </w:tc>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220" w:type="dxa"/>
            <w:vAlign w:val="bottom"/>
          </w:tcPr>
          <w:p>
            <w:pPr>
              <w:ind w:left="20"/>
              <w:spacing w:after="0"/>
              <w:rPr>
                <w:sz w:val="20"/>
                <w:szCs w:val="20"/>
                <w:color w:val="auto"/>
              </w:rPr>
            </w:pPr>
            <w:r>
              <w:rPr>
                <w:rFonts w:ascii="Arial" w:cs="Arial" w:eastAsia="Arial" w:hAnsi="Arial"/>
                <w:sz w:val="16"/>
                <w:szCs w:val="16"/>
                <w:color w:val="auto"/>
              </w:rPr>
              <w:t>x</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ind w:left="20"/>
              <w:spacing w:after="0"/>
              <w:rPr>
                <w:sz w:val="20"/>
                <w:szCs w:val="20"/>
                <w:color w:val="auto"/>
              </w:rPr>
            </w:pPr>
            <w:r>
              <w:rPr>
                <w:rFonts w:ascii="Arial" w:cs="Arial" w:eastAsia="Arial" w:hAnsi="Arial"/>
                <w:sz w:val="16"/>
                <w:szCs w:val="16"/>
                <w:color w:val="auto"/>
                <w:w w:val="99"/>
              </w:rPr>
              <w:t>x</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760" w:type="dxa"/>
            <w:vAlign w:val="bottom"/>
            <w:gridSpan w:val="2"/>
          </w:tcPr>
          <w:p>
            <w:pPr>
              <w:jc w:val="right"/>
              <w:ind w:right="558"/>
              <w:spacing w:after="0"/>
              <w:rPr>
                <w:sz w:val="20"/>
                <w:szCs w:val="20"/>
                <w:color w:val="auto"/>
              </w:rPr>
            </w:pPr>
            <w:r>
              <w:rPr>
                <w:rFonts w:ascii="Arial" w:cs="Arial" w:eastAsia="Arial" w:hAnsi="Arial"/>
                <w:sz w:val="16"/>
                <w:szCs w:val="16"/>
                <w:color w:val="auto"/>
              </w:rPr>
              <w:t>x</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600" w:type="dxa"/>
            <w:vAlign w:val="bottom"/>
            <w:gridSpan w:val="2"/>
          </w:tcPr>
          <w:p>
            <w:pPr>
              <w:jc w:val="right"/>
              <w:ind w:right="398"/>
              <w:spacing w:after="0"/>
              <w:rPr>
                <w:sz w:val="20"/>
                <w:szCs w:val="20"/>
                <w:color w:val="auto"/>
              </w:rPr>
            </w:pPr>
            <w:r>
              <w:rPr>
                <w:rFonts w:ascii="Arial" w:cs="Arial" w:eastAsia="Arial" w:hAnsi="Arial"/>
                <w:sz w:val="16"/>
                <w:szCs w:val="16"/>
                <w:color w:val="auto"/>
              </w:rPr>
              <w:t>x</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Pr>
          <w:p>
            <w:pPr>
              <w:ind w:left="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42"/>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color w:val="auto"/>
                <w:w w:val="89"/>
              </w:rPr>
              <w:t>26</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6" w:name="page27"/>
    <w:bookmarkEnd w:id="26"/>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0"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As of December 31,</w:t>
            </w: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38"/>
        </w:trPr>
        <w:tc>
          <w:tcPr>
            <w:tcW w:w="4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2011</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2010</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9"/>
              </w:rPr>
              <w:t>2009</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2008</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2007</w:t>
            </w:r>
          </w:p>
        </w:tc>
      </w:tr>
      <w:tr>
        <w:trPr>
          <w:trHeight w:val="176"/>
        </w:trPr>
        <w:tc>
          <w:tcPr>
            <w:tcW w:w="4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0" w:type="dxa"/>
            <w:vAlign w:val="bottom"/>
            <w:gridSpan w:val="4"/>
          </w:tcPr>
          <w:p>
            <w:pPr>
              <w:jc w:val="center"/>
              <w:ind w:left="541"/>
              <w:spacing w:after="0"/>
              <w:rPr>
                <w:sz w:val="20"/>
                <w:szCs w:val="20"/>
                <w:color w:val="auto"/>
              </w:rPr>
            </w:pPr>
            <w:r>
              <w:rPr>
                <w:rFonts w:ascii="Arial" w:cs="Arial" w:eastAsia="Arial" w:hAnsi="Arial"/>
                <w:sz w:val="13"/>
                <w:szCs w:val="13"/>
                <w:b w:val="1"/>
                <w:bCs w:val="1"/>
                <w:color w:val="auto"/>
                <w:w w:val="89"/>
              </w:rPr>
              <w:t>(In thousands, except per share data)</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Real estate, at cost</w:t>
            </w: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4,434,544</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3,895,942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3,759,234</w:t>
            </w:r>
          </w:p>
        </w:tc>
        <w:tc>
          <w:tcPr>
            <w:tcW w:w="4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3,673,685</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3,452,847</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3,659,908</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3,159,553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3,222,309</w:t>
            </w:r>
          </w:p>
        </w:tc>
        <w:tc>
          <w:tcPr>
            <w:tcW w:w="4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3,092,776</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2,989,297</w:t>
            </w: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Mortgages payable and capital lease obligations</w:t>
            </w: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810,616</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589,441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601,884</w:t>
            </w:r>
          </w:p>
        </w:tc>
        <w:tc>
          <w:tcPr>
            <w:tcW w:w="4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452,810</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450,084</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295,159</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97,881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261,745</w:t>
            </w:r>
          </w:p>
        </w:tc>
        <w:tc>
          <w:tcPr>
            <w:tcW w:w="4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336,391</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210,820</w:t>
            </w: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Senior notes and debentures</w:t>
            </w: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1,004,635</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1,079,827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930,219</w:t>
            </w:r>
          </w:p>
        </w:tc>
        <w:tc>
          <w:tcPr>
            <w:tcW w:w="4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956,584</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977,556</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shares</w:t>
            </w: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9,997</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9,997</w:t>
            </w:r>
          </w:p>
        </w:tc>
        <w:tc>
          <w:tcPr>
            <w:tcW w:w="4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9,997</w:t>
            </w:r>
          </w:p>
        </w:tc>
        <w:tc>
          <w:tcPr>
            <w:tcW w:w="4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9,997</w:t>
            </w: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Shareholders’ equity(6)</w:t>
            </w: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1,240,604</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1,115,768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1,151,738</w:t>
            </w:r>
          </w:p>
        </w:tc>
        <w:tc>
          <w:tcPr>
            <w:tcW w:w="480" w:type="dxa"/>
            <w:vAlign w:val="bottom"/>
          </w:tcPr>
          <w:p>
            <w:pPr>
              <w:jc w:val="right"/>
              <w:ind w:right="1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1,084,569</w:t>
            </w:r>
          </w:p>
        </w:tc>
        <w:tc>
          <w:tcPr>
            <w:tcW w:w="4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1,081,550</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common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63,544</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61,526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61,242</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58,986</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58,646</w:t>
            </w:r>
          </w:p>
        </w:tc>
      </w:tr>
      <w:tr>
        <w:trPr>
          <w:trHeight w:val="26"/>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left="302" w:right="40" w:hanging="302"/>
        <w:spacing w:after="0" w:line="297" w:lineRule="auto"/>
        <w:tabs>
          <w:tab w:leader="none" w:pos="302"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22" w:lineRule="exact"/>
        <w:rPr>
          <w:rFonts w:ascii="Arial" w:cs="Arial" w:eastAsia="Arial" w:hAnsi="Arial"/>
          <w:sz w:val="15"/>
          <w:szCs w:val="15"/>
          <w:color w:val="auto"/>
        </w:rPr>
      </w:pPr>
    </w:p>
    <w:p>
      <w:pPr>
        <w:ind w:left="302" w:hanging="302"/>
        <w:spacing w:after="0" w:line="266" w:lineRule="auto"/>
        <w:tabs>
          <w:tab w:leader="none" w:pos="3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FFO is a supplemental non-GAAP financial measure of real estate companies’ operating performances. The National Association of Real Estate Investment Trusts (“NAREIT”) defines FFO as follows: net income, computed in accordance with U.S.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43" w:lineRule="exact"/>
        <w:rPr>
          <w:rFonts w:ascii="Arial" w:cs="Arial" w:eastAsia="Arial" w:hAnsi="Arial"/>
          <w:sz w:val="16"/>
          <w:szCs w:val="16"/>
          <w:color w:val="auto"/>
        </w:rPr>
      </w:pPr>
    </w:p>
    <w:p>
      <w:pPr>
        <w:ind w:left="302" w:right="200"/>
        <w:spacing w:after="0" w:line="324" w:lineRule="auto"/>
        <w:rPr>
          <w:rFonts w:ascii="Arial" w:cs="Arial" w:eastAsia="Arial" w:hAnsi="Arial"/>
          <w:sz w:val="16"/>
          <w:szCs w:val="16"/>
          <w:color w:val="auto"/>
        </w:rPr>
      </w:pPr>
      <w:r>
        <w:rPr>
          <w:rFonts w:ascii="Arial" w:cs="Arial" w:eastAsia="Arial" w:hAnsi="Arial"/>
          <w:sz w:val="15"/>
          <w:szCs w:val="15"/>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 The reconciliation of net income to funds from operations available for common shareholders is as follows:</w:t>
      </w:r>
    </w:p>
    <w:p>
      <w:pPr>
        <w:spacing w:after="0" w:line="302" w:lineRule="exact"/>
        <w:rPr>
          <w:sz w:val="20"/>
          <w:szCs w:val="20"/>
          <w:color w:val="auto"/>
        </w:rPr>
      </w:pPr>
    </w:p>
    <w:tbl>
      <w:tblPr>
        <w:tblLayout w:type="fixed"/>
        <w:tblInd w:w="302"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2008</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2007</w:t>
            </w:r>
          </w:p>
        </w:tc>
      </w:tr>
      <w:tr>
        <w:trPr>
          <w:trHeight w:val="226"/>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201,127</w:t>
            </w: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(5,590)</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(94,768)</w:t>
            </w: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Gain on deconsolidation of VIE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of real estate assets</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95,565</w:t>
            </w: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Amortization of initial direct costs of leases</w:t>
            </w:r>
          </w:p>
        </w:tc>
        <w:tc>
          <w:tcPr>
            <w:tcW w:w="2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10,432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8,473</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of joint venture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w:t>
            </w: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color w:val="auto"/>
              </w:rPr>
              <w:t>Funds from operations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252,207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239,618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211,319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228,767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206,048</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on preferred shares</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Income attributable to operating partnership units</w:t>
            </w:r>
          </w:p>
        </w:tc>
        <w:tc>
          <w:tcPr>
            <w:tcW w:w="2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1,156</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attributable to unvested shares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color w:val="auto"/>
              </w:rPr>
              <w:t>Funds from operations available for common shareholders</w:t>
            </w:r>
          </w:p>
        </w:tc>
        <w:tc>
          <w:tcPr>
            <w:tcW w:w="26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251,576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239,210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211,065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228,397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206,037</w:t>
            </w:r>
          </w:p>
        </w:tc>
      </w:tr>
      <w:tr>
        <w:trPr>
          <w:trHeight w:val="26"/>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02" w:right="200" w:hanging="302"/>
        <w:spacing w:after="0" w:line="322"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a charge of $0.3 million and $16.4 million in 2010 and 2009, respectively, for adjusting the accrual for litigation regarding a parcel of land located adjacent to Santana Row as well as other costs related to the litigation and appeal process. The matter is further discussed in Note 9 to the consolidated financial statements.</w:t>
      </w:r>
    </w:p>
    <w:p>
      <w:pPr>
        <w:spacing w:after="0" w:line="3" w:lineRule="exact"/>
        <w:rPr>
          <w:rFonts w:ascii="Arial" w:cs="Arial" w:eastAsia="Arial" w:hAnsi="Arial"/>
          <w:sz w:val="15"/>
          <w:szCs w:val="15"/>
          <w:color w:val="auto"/>
        </w:rPr>
      </w:pPr>
    </w:p>
    <w:p>
      <w:pPr>
        <w:ind w:left="222" w:hanging="222"/>
        <w:spacing w:after="0"/>
        <w:tabs>
          <w:tab w:leader="none" w:pos="22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SEC has stated that EBITDA is a non-GAAP measure as calculated in the table below. Adjusted EBITDA is a non-</w:t>
      </w:r>
    </w:p>
    <w:p>
      <w:pPr>
        <w:spacing w:after="0" w:line="23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2"/>
          </w:cols>
          <w:pgMar w:left="238" w:top="127" w:right="239" w:bottom="1440" w:gutter="0" w:footer="0" w:header="0"/>
        </w:sectPr>
      </w:pPr>
    </w:p>
    <w:bookmarkStart w:id="27" w:name="page28"/>
    <w:bookmarkEnd w:id="27"/>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left="302" w:right="20"/>
        <w:spacing w:after="0" w:line="266" w:lineRule="auto"/>
        <w:rPr>
          <w:sz w:val="20"/>
          <w:szCs w:val="20"/>
          <w:color w:val="auto"/>
        </w:rPr>
      </w:pPr>
      <w:r>
        <w:rPr>
          <w:rFonts w:ascii="Arial" w:cs="Arial" w:eastAsia="Arial" w:hAnsi="Arial"/>
          <w:sz w:val="16"/>
          <w:szCs w:val="16"/>
          <w:color w:val="auto"/>
        </w:rPr>
        <w:t>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1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reconciliation of net income to EBITDA and adjusted EBITDA for the periods presented is as follows:</w:t>
      </w:r>
    </w:p>
    <w:p>
      <w:pPr>
        <w:spacing w:after="0" w:line="385" w:lineRule="exact"/>
        <w:rPr>
          <w:sz w:val="20"/>
          <w:szCs w:val="20"/>
          <w:color w:val="auto"/>
        </w:rPr>
      </w:pPr>
    </w:p>
    <w:tbl>
      <w:tblPr>
        <w:tblLayout w:type="fixed"/>
        <w:tblInd w:w="302"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2008</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2007</w:t>
            </w:r>
          </w:p>
        </w:tc>
      </w:tr>
      <w:tr>
        <w:trPr>
          <w:trHeight w:val="226"/>
        </w:trPr>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149,612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103,872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135,153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201,127</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126,568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119,817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115,093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111,068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105,966</w:t>
            </w:r>
          </w:p>
        </w:tc>
      </w:tr>
      <w:tr>
        <w:trPr>
          <w:trHeight w:val="26"/>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98,465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108,781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99,163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117,394</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Early extinguishment of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212"/>
        </w:trPr>
        <w:tc>
          <w:tcPr>
            <w:tcW w:w="434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374,131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352,481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328,491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344,465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423,150</w:t>
            </w:r>
          </w:p>
        </w:tc>
      </w:tr>
      <w:tr>
        <w:trPr>
          <w:trHeight w:val="26"/>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deconsolidation of VIE</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Gain on sale of real estate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(94,768)</w:t>
            </w:r>
          </w:p>
        </w:tc>
      </w:tr>
      <w:tr>
        <w:trPr>
          <w:trHeight w:val="26"/>
        </w:trPr>
        <w:tc>
          <w:tcPr>
            <w:tcW w:w="4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357,030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351,071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327,193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331,893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328,382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02" w:hanging="302"/>
        <w:spacing w:after="0" w:line="263" w:lineRule="auto"/>
        <w:tabs>
          <w:tab w:leader="none" w:pos="2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w:t>
      </w:r>
    </w:p>
    <w:p>
      <w:pPr>
        <w:spacing w:after="0" w:line="1" w:lineRule="exact"/>
        <w:rPr>
          <w:rFonts w:ascii="Arial" w:cs="Arial" w:eastAsia="Arial" w:hAnsi="Arial"/>
          <w:sz w:val="16"/>
          <w:szCs w:val="16"/>
          <w:color w:val="auto"/>
        </w:rPr>
      </w:pPr>
    </w:p>
    <w:p>
      <w:pPr>
        <w:ind w:left="222" w:hanging="222"/>
        <w:spacing w:after="0"/>
        <w:tabs>
          <w:tab w:leader="none" w:pos="222"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Prior period balances reflect adjustments related to redeemable noncontrolling interests. See Note 2 of the consolidated financial statements for further discussion.</w:t>
      </w:r>
    </w:p>
    <w:p>
      <w:pPr>
        <w:spacing w:after="0" w:line="200" w:lineRule="exact"/>
        <w:rPr>
          <w:sz w:val="20"/>
          <w:szCs w:val="20"/>
          <w:color w:val="auto"/>
        </w:rPr>
      </w:pPr>
    </w:p>
    <w:p>
      <w:pPr>
        <w:spacing w:after="0" w:line="226" w:lineRule="exact"/>
        <w:rPr>
          <w:sz w:val="20"/>
          <w:szCs w:val="20"/>
          <w:color w:val="auto"/>
        </w:rPr>
      </w:pPr>
    </w:p>
    <w:p>
      <w:pPr>
        <w:ind w:left="2" w:right="2200"/>
        <w:spacing w:after="0" w:line="354" w:lineRule="auto"/>
        <w:rPr>
          <w:sz w:val="20"/>
          <w:szCs w:val="20"/>
          <w:color w:val="auto"/>
        </w:rPr>
      </w:pPr>
      <w:r>
        <w:rPr>
          <w:rFonts w:ascii="Arial" w:cs="Arial" w:eastAsia="Arial" w:hAnsi="Arial"/>
          <w:sz w:val="16"/>
          <w:szCs w:val="16"/>
          <w:b w:val="1"/>
          <w:bCs w:val="1"/>
          <w:color w:val="auto"/>
        </w:rPr>
        <w:t>ITEM 7. MANAGEMENT'S DISCUSSION AND ANALYSIS OF FINANCIAL CONDITION AND RESULTS OF OPERATIONS Forward-Looking Statements</w:t>
      </w:r>
    </w:p>
    <w:p>
      <w:pPr>
        <w:spacing w:after="0" w:line="2" w:lineRule="exact"/>
        <w:rPr>
          <w:sz w:val="20"/>
          <w:szCs w:val="20"/>
          <w:color w:val="auto"/>
        </w:rPr>
      </w:pPr>
    </w:p>
    <w:p>
      <w:pPr>
        <w:ind w:left="2" w:right="60"/>
        <w:spacing w:after="0" w:line="271" w:lineRule="auto"/>
        <w:rPr>
          <w:sz w:val="20"/>
          <w:szCs w:val="20"/>
          <w:color w:val="auto"/>
        </w:rPr>
      </w:pPr>
      <w:r>
        <w:rPr>
          <w:rFonts w:ascii="Arial" w:cs="Arial" w:eastAsia="Arial" w:hAnsi="Arial"/>
          <w:sz w:val="16"/>
          <w:szCs w:val="16"/>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Overview</w:t>
      </w:r>
    </w:p>
    <w:p>
      <w:pPr>
        <w:spacing w:after="0" w:line="90" w:lineRule="exact"/>
        <w:rPr>
          <w:sz w:val="20"/>
          <w:szCs w:val="20"/>
          <w:color w:val="auto"/>
        </w:rPr>
      </w:pPr>
    </w:p>
    <w:p>
      <w:pPr>
        <w:ind w:left="2" w:right="40"/>
        <w:spacing w:after="0" w:line="281" w:lineRule="auto"/>
        <w:rPr>
          <w:sz w:val="20"/>
          <w:szCs w:val="20"/>
          <w:color w:val="auto"/>
        </w:rPr>
      </w:pPr>
      <w:r>
        <w:rPr>
          <w:rFonts w:ascii="Arial" w:cs="Arial" w:eastAsia="Arial" w:hAnsi="Arial"/>
          <w:sz w:val="15"/>
          <w:szCs w:val="15"/>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2011, we owned or had a majority interest in community and neighborhood shopping centers and mixed-use properties which are operated as 87 predominantly retail real estate projects comprising approximately 19.3 million square feet. In total, the real estate projects were 93.4% leased and 92.4% occupied at December 31, 2011. A joint venture in which we own a 30% interest owned seven retail real estate projects totaling approximately 1.0 million square feet as of December 31, 2011. In total, the joint venture properties in which we own a 30% interest were 90.9% leased and occupied at December 31, 2011. We have paid quarterly dividends to our shareholders continuously since our founding in 1962 and have increased our dividends per common share for 44 consecutive years.</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Critical Accounting Policies</w:t>
      </w:r>
    </w:p>
    <w:p>
      <w:pPr>
        <w:spacing w:after="0" w:line="90" w:lineRule="exact"/>
        <w:rPr>
          <w:sz w:val="20"/>
          <w:szCs w:val="20"/>
          <w:color w:val="auto"/>
        </w:rPr>
      </w:pPr>
    </w:p>
    <w:p>
      <w:pPr>
        <w:ind w:left="2" w:right="20"/>
        <w:spacing w:after="0" w:line="28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w:t>
      </w:r>
    </w:p>
    <w:p>
      <w:pPr>
        <w:spacing w:after="0" w:line="1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2"/>
          </w:cols>
          <w:pgMar w:left="238" w:top="127" w:right="2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critical if changes in the estimate could have a material impact on our consolidated results of operations or financial condition.</w:t>
      </w:r>
    </w:p>
    <w:p>
      <w:pPr>
        <w:spacing w:after="0" w:line="160"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Accounts Receivable</w:t>
      </w:r>
    </w:p>
    <w:p>
      <w:pPr>
        <w:spacing w:after="0" w:line="86"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2011 and 2010, our allowance for doubtful accounts was $17.6 million and $18.7 million, respectively. Historically, we have recognized bad debt expense between 0.4% and 1.3% of rental income and it was 0.5% in 2011 reflecting positive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$5.4 million.</w:t>
      </w:r>
    </w:p>
    <w:p>
      <w:pPr>
        <w:spacing w:after="0" w:line="1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2011 and 2010, accounts receivable include approximately $50.5 million and $45.6 million, respectively, related to straight-line rents. Correspondingly, these estimates of collectability have a direct impact on our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w:t>
      </w:r>
    </w:p>
    <w:p>
      <w:pPr>
        <w:spacing w:after="0" w:line="86"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historical retirement and replacement of our assets, expected redevelopments, the repairs required to maintain the condition of our assets, and general economic and real estate factors.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06"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3 to 20 years.</w:t>
      </w:r>
    </w:p>
    <w:p>
      <w:pPr>
        <w:spacing w:after="0" w:line="10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capitalized costs associated with developments and redevelopments are depreciated over the life of the improvement. 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18"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1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$96 million and $4 million, respectively, for 2011 and $54 million and $3 million, respectively, for 2010. We capitalized external and internal costs related to other property improvements of $46 million and $1 million, respectively, for 2011 and $39 million and $1 million, respectively, for 2010. We capitalized external and internal costs related to leasing activities of $8 million and $5 million, respectively, for 2011 and $7 million and $4 million, respectively, for 2010. The amount of capitalized internal costs for salaries and related benefits for development and redevelopment activities, other property improvements, and leasing activities were $4 million, $1 million, and $5 million, respectively, for 2011 and $3 million, $1 million, and $4 million, respectively, for 2010.</w:t>
      </w:r>
    </w:p>
    <w:p>
      <w:pPr>
        <w:spacing w:after="0" w:line="109"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Additionally, 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 Acquisitions</w:t>
      </w:r>
    </w:p>
    <w:p>
      <w:pPr>
        <w:spacing w:after="0" w:line="86"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 and Impairment</w:t>
      </w:r>
    </w:p>
    <w:p>
      <w:pPr>
        <w:spacing w:after="0" w:line="86"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18"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Self-Insurance</w:t>
      </w:r>
    </w:p>
    <w:p>
      <w:pPr>
        <w:spacing w:after="0" w:line="8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May 2011,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1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other comprehensive income in both net income and other comprehensive income on the face of the financial statements. These pronouncements are effective for us in the first quarter of 2012 and will not have a significant impact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2011 Significant Property Acquisitions and Disposition</w:t>
      </w:r>
    </w:p>
    <w:p>
      <w:pPr>
        <w:spacing w:after="0" w:line="90" w:lineRule="exact"/>
        <w:rPr>
          <w:sz w:val="20"/>
          <w:szCs w:val="20"/>
          <w:color w:val="auto"/>
        </w:rPr>
      </w:pPr>
    </w:p>
    <w:p>
      <w:pPr>
        <w:ind w:right="280"/>
        <w:spacing w:after="0" w:line="285" w:lineRule="auto"/>
        <w:rPr>
          <w:sz w:val="20"/>
          <w:szCs w:val="20"/>
          <w:color w:val="auto"/>
        </w:rPr>
      </w:pPr>
      <w:r>
        <w:rPr>
          <w:rFonts w:ascii="Arial" w:cs="Arial" w:eastAsia="Arial" w:hAnsi="Arial"/>
          <w:sz w:val="15"/>
          <w:szCs w:val="15"/>
          <w:color w:val="auto"/>
        </w:rPr>
        <w:t>On January 19, 2011, we acquired the fee interest in Tower Shops located in Davie, Florida for a net purchase price of $66.1 million which included the assumption of a mortgage loan with a face amount of $41.0 million and a fair value of approximately $42.9 million. The property contains approximately 368,000 square feet of gross leasable area on 67 acres and is shadow-anchored by Home Depot and Costco.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year ended December 31, 2011.</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July 12, 2011, we sold Feasterville Shopping Center located in Feasterville, Pennsylvania for a sales price of $20.0 million resulting in a gain of $14.8 million. The operations of this property are included in “discontinued operations” in the consolidated statements of operations for all periods presented and included in “assets held for sale/disposal” in our consolidated balance sheet as of December 31, 2010. The sale was completed as a Section 1031 tax deferred exchange transaction with the acquisition of Tower Shops.</w:t>
      </w:r>
    </w:p>
    <w:p>
      <w:pPr>
        <w:spacing w:after="0" w:line="11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On October 31, 2011, our Newbury Street Partnership sold its three buildings for $44.0 million. As part of the sale, we received $34.6 million of the net proceeds which included the repayment of our $11.8 million loans. Due to our earnings being recorded one quarter in arrears, we will recognize the gain on sale of $11.8 million in the first quarter 2012. See Note 5 to the consolidated financial statements for further discussion of our Newbury Street Partnership.</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On December 27, 2011, we acquired an 89.9% controlling interest in Montrose Crossing, a 357,000 square foot shopping center located in Rockville, Maryland. The purchase price was $141.5 million and our 89.9% ownership interest was $127.2 million which was funded with cash and our pro-rata share of $80.0 million of new mortgage debt. We are the managing member of the entity, control all significant operating decisions, and receive approximately 89.9% of the cash flow of the entity. Therefore, we have consolidated the property and its operations effective on the acquisition date. The purchase price has been preliminarily allocated to real estate assets, debt, and noncontrolling interests. The final purchase price allocation to all acquired assets, liabilities, and noncontrolling interests will be finalized after our valuation studies are complete. We incurred approximately $2.4 million of acquisition costs which are included in “general and administrative expenses” in 2011.</w:t>
      </w:r>
    </w:p>
    <w:p>
      <w:pPr>
        <w:spacing w:after="0" w:line="106"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On December 30, 2011, we acquired a 48.2% controlling interest in Plaza El Segundo, a 381,000 square foot shopping center located in El Segundo, California. The purchase price was $192.7 million and our 48.2% ownership interest was funded with $8.5 million of cash and the assumption of our pro-rata share of the existing $175.0 million mortgage debt. We are the managing member of the entity, control all significant operating decisions, and receive the majority of the cash flow of the entity. Therefore, we have consolidated the property and its operations effective on the acquisition date. The purchase price has been preliminarily allocated to real estate assets, debt, and noncontrolling interests. The final purchase price allocation to all acquired assets, liabilities, and noncontrolling interests will be finalized after our valuation studies are complete. We incurred approximately $1.0 million of acquisition costs which are included in “general and administrative expenses” in 2011.</w:t>
      </w:r>
    </w:p>
    <w:p>
      <w:pPr>
        <w:spacing w:after="0" w:line="106"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On December 30, 2011, we acquired an 8.1 acre land parcel adjacent to Plaza El Segundo for a purchase price of $15.9 million. We intend to use the land parcel for future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2011 Significant Debt, Equity and Other Transactions</w:t>
      </w:r>
    </w:p>
    <w:p>
      <w:pPr>
        <w:spacing w:after="0" w:line="90"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In connection with the acquisition of Tower Shops on January 19, 2011, we assumed a mortgage loan with a face amount of $41.0 million and a fair value of approximately $42.9 million. The mortgage loan bore interest at 6.52%, had a scheduled maturity on July 1,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year ended December 31, 2011, relates to the early payoff of this loan and includes the write-off of the unamortized debt premium of $1.7 million net of the 3% prepayment premium and unamortized debt fees.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2011, we repaid our $75.0 million 4.50% senior notes on the maturity date.</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revolving credit facility and/or for general corporate purposes. For the three months ended December 31, 2011, no shares were issued under the ATM equity program. For the year ended December 31, 2011, we issued 1,662,038 common shares at a weighted average price per share of $85.26 for net cash proceeds of $139.3 million and paid $2.1 million in commissions related to the sales of these common shares.</w:t>
      </w:r>
    </w:p>
    <w:p>
      <w:pPr>
        <w:spacing w:after="0" w:line="113"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color w:val="auto"/>
        </w:rPr>
        <w:t>In March 2011, we paid the final judgment of $16.2 million related to a previously disclosed lawsuit regarding a parcel of land located adjacent to Santana Row. The final judgment was previously accrued and is included in “accounts payable and accrued expenses” in our consolidated balance sheet at December 31, 2010.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On April 29, 2011, we repaid the $31.7 million mortgage loan on Federal Plaza which had an original maturity date of June 1, 2011.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On June 1, 2011, we repaid the $5.6 million mortgage loan on Tysons Station which had an original maturity date of September 1, 2011.</w:t>
      </w:r>
    </w:p>
    <w:p>
      <w:pPr>
        <w:spacing w:after="0" w:line="160"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113" w:lineRule="exact"/>
        <w:rPr>
          <w:sz w:val="20"/>
          <w:szCs w:val="20"/>
          <w:color w:val="auto"/>
        </w:rPr>
      </w:pPr>
    </w:p>
    <w:p>
      <w:pPr>
        <w:jc w:val="both"/>
        <w:ind w:right="300"/>
        <w:spacing w:after="0" w:line="289" w:lineRule="auto"/>
        <w:rPr>
          <w:sz w:val="20"/>
          <w:szCs w:val="20"/>
          <w:color w:val="auto"/>
        </w:rPr>
      </w:pPr>
      <w:r>
        <w:rPr>
          <w:rFonts w:ascii="Arial" w:cs="Arial" w:eastAsia="Arial" w:hAnsi="Arial"/>
          <w:sz w:val="15"/>
          <w:szCs w:val="15"/>
          <w:color w:val="auto"/>
        </w:rPr>
        <w:t>On November 22, 2011, we entered into a $275.0 million unsecured term loan which bears interest at LIBOR plus 145 basis points. The spread over LIBOR is subject to adjustment based on our credit rating. The loan matures on November 21, 2018 and is prepayable without penalty after three years. We entered into two interest rate swap agreements to fix the variable rate portion of our $275.0 million term loan at 1.72% from December 1, 2011 through November 1, 2018. The swap agreements effectively fixed the rate on the term loan at 3.17%. Both swaps were designated and qualified as cash flow hedges and are recorded at fair value.</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connection with the acquisition of Montrose Crossing on December 27, 2011, our joint venture that owns the property entered into an $80.0 million mortgage loan that bears interest at 4.20% and matures on January 10, 2022. As Montrose Crossing is a consolidated property, 100% of the mortgage loan is included in our consolidated balance sheet.</w:t>
      </w:r>
    </w:p>
    <w:p>
      <w:pPr>
        <w:spacing w:after="0" w:line="113" w:lineRule="exact"/>
        <w:rPr>
          <w:sz w:val="20"/>
          <w:szCs w:val="20"/>
          <w:color w:val="auto"/>
        </w:rPr>
      </w:pPr>
    </w:p>
    <w:p>
      <w:pPr>
        <w:ind w:right="100"/>
        <w:spacing w:after="0" w:line="327" w:lineRule="auto"/>
        <w:rPr>
          <w:sz w:val="20"/>
          <w:szCs w:val="20"/>
          <w:color w:val="auto"/>
        </w:rPr>
      </w:pPr>
      <w:r>
        <w:rPr>
          <w:rFonts w:ascii="Arial" w:cs="Arial" w:eastAsia="Arial" w:hAnsi="Arial"/>
          <w:sz w:val="14"/>
          <w:szCs w:val="14"/>
          <w:color w:val="auto"/>
        </w:rPr>
        <w:t>In connection with the acquisition of Plaza El Segundo on December 30, 2011, we assumed our pro-rata share of an existing mortgage loan with a face amount of $175.0 million and a fair value of approximately $185.6 million. As Plaza El Segundo is a consolidated property, 100% of the mortgage loan is included in our consolidated balance sheet. The mortgage loan requires monthly interest only payments through maturity, bears interest at a weighted average rate of 6.33% and matures on August 5, 2017.</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Mortgage Loan Receivable Refinancing</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had an initial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variable interest entity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122" w:lineRule="exact"/>
        <w:rPr>
          <w:sz w:val="20"/>
          <w:szCs w:val="20"/>
          <w:color w:val="auto"/>
        </w:rPr>
      </w:pPr>
    </w:p>
    <w:p>
      <w:pPr>
        <w:jc w:val="both"/>
        <w:ind w:right="60"/>
        <w:spacing w:after="0" w:line="297" w:lineRule="auto"/>
        <w:rPr>
          <w:sz w:val="20"/>
          <w:szCs w:val="20"/>
          <w:color w:val="auto"/>
        </w:rPr>
      </w:pPr>
      <w:r>
        <w:rPr>
          <w:rFonts w:ascii="Arial" w:cs="Arial" w:eastAsia="Arial" w:hAnsi="Arial"/>
          <w:sz w:val="15"/>
          <w:szCs w:val="15"/>
          <w:color w:val="auto"/>
        </w:rPr>
        <w:t>In conjunction with the refinancing of the loans, we re-evaluated our status as the primary beneficiary of the VIE. Because the loan is not in default, we no longer have those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June 30, 2011. The mortgage loan receivable was recorded at its estimated fair value of $11.9 million and we recognized a $2.0 million gain on deconsolidation as part of the refinancing which is included in “discontinued operations - gain on deconsolidation of VIE” for 2011. As of December 31, 2011, the loan was performing and the carrying amount of the mortgage loan was $11.7 million which is included in “mortgage notes receivable” on the balance sheet. This amount also reflects our maximum exposure to loss related to this investment.</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seek growth in earnings, funds from operations, and cash flows primarily through a combination of the following:</w:t>
      </w:r>
    </w:p>
    <w:p>
      <w:pPr>
        <w:spacing w:after="0" w:line="62" w:lineRule="exact"/>
        <w:rPr>
          <w:sz w:val="20"/>
          <w:szCs w:val="20"/>
          <w:color w:val="auto"/>
        </w:rPr>
      </w:pPr>
    </w:p>
    <w:p>
      <w:pPr>
        <w:ind w:left="1540" w:hanging="731"/>
        <w:spacing w:after="0"/>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growth in our portfolio from property development and redevelopments,</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expansion of our portfolio through property acquisitions,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growth in our same-center portfolio.</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2012, we expect to have redevelopment projects stabilizing with projected costs of approximately $57 million.</w:t>
      </w:r>
    </w:p>
    <w:p>
      <w:pPr>
        <w:spacing w:after="0" w:line="11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Additionally, we continue to invest in the development at Assembly Row which is a long-term development project we expect to be involved in over the coming years. The carrying value of the development portion of this project at December 31, 2011 is approximately $148 million.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companies. In December 2011, we entered into agreements with AvalonBay Communities ("AvalonBay") for a portion of the first phase of residential and retail development at Assembly Row which will include 575 residential units (by AvalonBay) and approximately 323,000 square feet of retail space. The Massachusetts Bay Transit Authority (MBTA) will also construct the new orange line T-Stop at the property. We expect construction on Phase 1 to commence in early 2012 with stabilization in 2015. We will also continue our infrastructure work during 2012. We invested $36 million in Assembly Row in 2011 and expect to invest between $20 million and $40 million in 2012, net of expected public funding.</w:t>
      </w:r>
    </w:p>
    <w:p>
      <w:pPr>
        <w:spacing w:after="0" w:line="10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During 2011, we continued our predevelopment work related to the long-term redevelopment of Mid-Pike Plaza in Rockville, Maryland, which will become Pike &amp; Rose, a long-term, multi-phased, mixed-use project. The property currently has zoning entitlements to build 1.7 million square feet of commercial-use buildings and 1.7 million square feet for residential use. Phase I of Pike &amp; Rose involves demolition of roughly 25% of the existing GLA at Mid-Pike Plaza and construction of 493 residential units, 151,000 square feet of retail space and 79,000 square of office space. We expect construction of Phase I to commence in 2012 with stabilization in 2015/2016. We invested $7 million in Pike &amp; Rose in 2011 and expect to invest between $15 million to $35 million in 2012.</w:t>
      </w:r>
    </w:p>
    <w:p>
      <w:pPr>
        <w:spacing w:after="0" w:line="118"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We continue to review acquisition opportunities in our primary markets that complement our portfolio and provide long-term growth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vacant spaces. We seek to maintain a mix of strong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7" w:right="2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national, regional, and local retailers. At December 31, 2011, no single tenant accounted for more than 2.5% of annualized base rent.</w:t>
      </w:r>
    </w:p>
    <w:p>
      <w:pPr>
        <w:spacing w:after="0" w:line="160"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auto"/>
        </w:rPr>
        <w:t>The current economic environment has impacted the success of certain of our tenants’ retail operations and therefore the amount of rent and expense reimbursements we receive from certain of our tenants. While we believe the locations of our centers and diverse tenant base mitigates the negative impact of the economic environment, any reduction in our tenants’ abilities to pay base rent, percentage rent or other charges, will adversely affect our financial condition and results of operations. We expect our occupancy rate will remain relatively flat in the short term. Since the latter part of 2010, we have seen signs of improvement for some of our tenants as well as increased interest from prospective tenants for our retail spaces; however, there can be no assurance that these positive signs will continue. We continue to monitor our tenants’ operating performances as well as trends in the retail industry to evaluate any future impact.</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At December 31, 2011, the leasable square feet in our properties was 92.4% occupied and 93.4%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Same-Center</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20"/>
          </w:cols>
          <w:pgMar w:left="240" w:top="127" w:right="3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2011 COMPARED TO YEAR ENDED DECEMBER 31, 2010</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Change</w:t>
            </w:r>
          </w:p>
        </w:tc>
        <w:tc>
          <w:tcPr>
            <w:tcW w:w="880" w:type="dxa"/>
            <w:vAlign w:val="bottom"/>
            <w:tcBorders>
              <w:bottom w:val="single" w:sz="8" w:color="auto"/>
            </w:tcBorders>
          </w:tcPr>
          <w:p>
            <w:pPr>
              <w:spacing w:after="0"/>
              <w:rPr>
                <w:sz w:val="15"/>
                <w:szCs w:val="15"/>
                <w:color w:val="auto"/>
              </w:rPr>
            </w:pPr>
          </w:p>
        </w:tc>
      </w:tr>
      <w:tr>
        <w:trPr>
          <w:trHeight w:val="238"/>
        </w:trPr>
        <w:tc>
          <w:tcPr>
            <w:tcW w:w="5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Dollars</w:t>
            </w: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w:t>
            </w:r>
          </w:p>
        </w:tc>
      </w:tr>
      <w:tr>
        <w:trPr>
          <w:trHeight w:val="176"/>
        </w:trPr>
        <w:tc>
          <w:tcPr>
            <w:tcW w:w="5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5"/>
          </w:tcPr>
          <w:p>
            <w:pPr>
              <w:ind w:left="180"/>
              <w:spacing w:after="0"/>
              <w:rPr>
                <w:sz w:val="20"/>
                <w:szCs w:val="20"/>
                <w:color w:val="auto"/>
              </w:rPr>
            </w:pPr>
            <w:r>
              <w:rPr>
                <w:rFonts w:ascii="Arial" w:cs="Arial" w:eastAsia="Arial" w:hAnsi="Arial"/>
                <w:sz w:val="13"/>
                <w:szCs w:val="13"/>
                <w:b w:val="1"/>
                <w:bCs w:val="1"/>
                <w:color w:val="auto"/>
              </w:rPr>
              <w:t>(Dollar amounts in thousands)</w:t>
            </w:r>
          </w:p>
        </w:tc>
        <w:tc>
          <w:tcPr>
            <w:tcW w:w="880" w:type="dxa"/>
            <w:vAlign w:val="bottom"/>
          </w:tcPr>
          <w:p>
            <w:pPr>
              <w:spacing w:after="0"/>
              <w:rPr>
                <w:sz w:val="15"/>
                <w:szCs w:val="15"/>
                <w:color w:val="auto"/>
              </w:rPr>
            </w:pP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income</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538,701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522,651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16,050</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Other property income</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12"/>
        </w:trPr>
        <w:tc>
          <w:tcPr>
            <w:tcW w:w="5880" w:type="dxa"/>
            <w:vAlign w:val="bottom"/>
          </w:tcPr>
          <w:p>
            <w:pPr>
              <w:ind w:left="340"/>
              <w:spacing w:after="0"/>
              <w:rPr>
                <w:sz w:val="20"/>
                <w:szCs w:val="20"/>
                <w:color w:val="auto"/>
              </w:rPr>
            </w:pPr>
            <w:r>
              <w:rPr>
                <w:rFonts w:ascii="Arial" w:cs="Arial" w:eastAsia="Arial" w:hAnsi="Arial"/>
                <w:sz w:val="16"/>
                <w:szCs w:val="16"/>
                <w:color w:val="auto"/>
              </w:rPr>
              <w:t>Total property revenue</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553,059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541,797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11,262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6"/>
        </w:trPr>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1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1,957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6"/>
        </w:trPr>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property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color w:val="auto"/>
              </w:rPr>
              <w:t>Property operating income</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382,890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372,615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10,275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Income from real estate partnerships</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70.6 %</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(98,465)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3,417</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Early extinguishment of debt</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(110.6)%</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(4,796)</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Litigation provision</w:t>
            </w:r>
          </w:p>
        </w:tc>
        <w:tc>
          <w:tcPr>
            <w:tcW w:w="3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2"/>
        </w:trPr>
        <w:tc>
          <w:tcPr>
            <w:tcW w:w="5880" w:type="dxa"/>
            <w:vAlign w:val="bottom"/>
          </w:tcPr>
          <w:p>
            <w:pPr>
              <w:ind w:left="340"/>
              <w:spacing w:after="0"/>
              <w:rPr>
                <w:sz w:val="20"/>
                <w:szCs w:val="20"/>
                <w:color w:val="auto"/>
              </w:rPr>
            </w:pPr>
            <w:r>
              <w:rPr>
                <w:rFonts w:ascii="Arial" w:cs="Arial" w:eastAsia="Arial" w:hAnsi="Arial"/>
                <w:sz w:val="16"/>
                <w:szCs w:val="16"/>
                <w:color w:val="auto"/>
              </w:rPr>
              <w:t>Total other, net</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(251,336)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(246,764)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6"/>
        </w:trPr>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1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125,851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5,703</w:t>
            </w:r>
          </w:p>
        </w:tc>
        <w:tc>
          <w:tcPr>
            <w:tcW w:w="3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Discontinued operations - income</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Discontinued operations - gain on deconsolidation of VIE</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Discontinued operations - gain on sale of real estate</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15,075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14,075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1,407.5 %</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58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149,612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128,237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21,375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6"/>
        </w:trPr>
        <w:tc>
          <w:tcPr>
            <w:tcW w:w="5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31"/>
        </w:trPr>
        <w:tc>
          <w:tcPr>
            <w:tcW w:w="5880" w:type="dxa"/>
            <w:vAlign w:val="bottom"/>
          </w:tcPr>
          <w:p>
            <w:pPr>
              <w:ind w:left="20"/>
              <w:spacing w:after="0"/>
              <w:rPr>
                <w:sz w:val="20"/>
                <w:szCs w:val="20"/>
                <w:color w:val="auto"/>
              </w:rPr>
            </w:pPr>
            <w:r>
              <w:rPr>
                <w:rFonts w:ascii="Arial" w:cs="Arial" w:eastAsia="Arial" w:hAnsi="Arial"/>
                <w:sz w:val="16"/>
                <w:szCs w:val="16"/>
                <w:color w:val="auto"/>
              </w:rPr>
              <w:t>Net income attributable to the Trust</w:t>
            </w: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143,917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122,790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21,127</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17.2 %</w:t>
            </w:r>
          </w:p>
        </w:tc>
      </w:tr>
      <w:tr>
        <w:trPr>
          <w:trHeight w:val="20"/>
        </w:trPr>
        <w:tc>
          <w:tcPr>
            <w:tcW w:w="5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Revenues</w:t>
      </w:r>
    </w:p>
    <w:p>
      <w:pPr>
        <w:spacing w:after="0" w:line="90" w:lineRule="exact"/>
        <w:rPr>
          <w:sz w:val="20"/>
          <w:szCs w:val="20"/>
          <w:color w:val="auto"/>
        </w:rPr>
      </w:pPr>
    </w:p>
    <w:p>
      <w:pPr>
        <w:ind w:right="340"/>
        <w:spacing w:after="0" w:line="322" w:lineRule="auto"/>
        <w:rPr>
          <w:sz w:val="20"/>
          <w:szCs w:val="20"/>
          <w:color w:val="auto"/>
        </w:rPr>
      </w:pPr>
      <w:r>
        <w:rPr>
          <w:rFonts w:ascii="Arial" w:cs="Arial" w:eastAsia="Arial" w:hAnsi="Arial"/>
          <w:sz w:val="15"/>
          <w:szCs w:val="15"/>
          <w:color w:val="auto"/>
        </w:rPr>
        <w:t>Total property revenue increased $11.3 million, or 2.1%, to $553.1 million in 2011 compared to $541.8 million in 2010. The percentage occupied at our shopping centers decreased to 92.4% at December 31, 2011 compared to 93.2% at December 31, 2010. Changes in the components of property revenue are discussed below.</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Rental Income</w:t>
      </w:r>
    </w:p>
    <w:p>
      <w:pPr>
        <w:spacing w:after="0" w:line="8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$16.1 million, or 3.1%, to $538.7 million in 2011 compared to $522.7 million in 2010 due primarily to the following:</w:t>
      </w:r>
    </w:p>
    <w:p>
      <w:pPr>
        <w:spacing w:after="0" w:line="2" w:lineRule="exact"/>
        <w:rPr>
          <w:sz w:val="20"/>
          <w:szCs w:val="20"/>
          <w:color w:val="auto"/>
        </w:rPr>
      </w:pPr>
    </w:p>
    <w:p>
      <w:pPr>
        <w:ind w:left="1540" w:hanging="731"/>
        <w:spacing w:after="0"/>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of $7.8 million attributable to properties acquired in 2010 and 2011,</w:t>
      </w:r>
    </w:p>
    <w:p>
      <w:pPr>
        <w:spacing w:after="0" w:line="61" w:lineRule="exact"/>
        <w:rPr>
          <w:rFonts w:ascii="Arial" w:cs="Arial" w:eastAsia="Arial" w:hAnsi="Arial"/>
          <w:sz w:val="16"/>
          <w:szCs w:val="16"/>
          <w:color w:val="auto"/>
        </w:rPr>
      </w:pPr>
    </w:p>
    <w:p>
      <w:pPr>
        <w:ind w:left="1540" w:right="120" w:hanging="731"/>
        <w:spacing w:after="0" w:line="287" w:lineRule="auto"/>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of $5.5 million at redevelopment properties due primarily to increased occupancy at certain properties and higher rental rates on new and renewal leases, and</w:t>
      </w:r>
    </w:p>
    <w:p>
      <w:pPr>
        <w:spacing w:after="0" w:line="2" w:lineRule="exact"/>
        <w:rPr>
          <w:rFonts w:ascii="Arial" w:cs="Arial" w:eastAsia="Arial" w:hAnsi="Arial"/>
          <w:sz w:val="16"/>
          <w:szCs w:val="16"/>
          <w:color w:val="auto"/>
        </w:rPr>
      </w:pPr>
    </w:p>
    <w:p>
      <w:pPr>
        <w:ind w:left="1540" w:right="80" w:hanging="731"/>
        <w:spacing w:after="0" w:line="287" w:lineRule="auto"/>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of $2.8 million at same-center properties due primarily to higher rental rates on new and renewal leases and an increase in percentage rent partially offset by lower recovery income as a result of lower recoverable expenses (primarily snow removal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Property Income</w:t>
      </w:r>
    </w:p>
    <w:p>
      <w:pPr>
        <w:spacing w:after="0" w:line="86"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Other property income decreased $5.3 million, or 36.3%, to $9.3 million in 2011 compared to $14.5 million in 2010. Included in other property income are items which, although recurring, tend to fluctuate more than rental income from period to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such as lease termination fees. This decrease is primarily due to a decrease in lease termination fees at redevelopment and same-center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Expenses</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Total property expenses increased $1.0 million, or 0.6%, to $170.2 million in 2011 compared to $169.2 million in 2010. Changes in the components of property expenses are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Rental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$1.0 million, or 0.9%, to $109.5 million in 2011 compared to $110.5 million in 2010. This decrease is primarily due to the following:</w:t>
      </w:r>
    </w:p>
    <w:p>
      <w:pPr>
        <w:spacing w:after="0" w:line="62" w:lineRule="exact"/>
        <w:rPr>
          <w:sz w:val="20"/>
          <w:szCs w:val="20"/>
          <w:color w:val="auto"/>
        </w:rPr>
      </w:pPr>
    </w:p>
    <w:p>
      <w:pPr>
        <w:ind w:left="1540" w:hanging="731"/>
        <w:spacing w:after="0"/>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decrease of $3.5 million in bad debt expense at same-center properties,</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decrease of $1.4 million in repairs and maintenance at same-center properties primarily due to lower snow removal costs, and</w:t>
      </w:r>
    </w:p>
    <w:p>
      <w:pPr>
        <w:spacing w:after="0" w:line="61" w:lineRule="exact"/>
        <w:rPr>
          <w:rFonts w:ascii="Arial" w:cs="Arial" w:eastAsia="Arial" w:hAnsi="Arial"/>
          <w:sz w:val="16"/>
          <w:szCs w:val="16"/>
          <w:color w:val="auto"/>
        </w:rPr>
      </w:pPr>
    </w:p>
    <w:p>
      <w:pPr>
        <w:ind w:left="1540" w:right="100" w:hanging="731"/>
        <w:spacing w:after="0" w:line="287" w:lineRule="auto"/>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decrease of $0.8 million in ground rent due to the fourth quarter 2010 purchases of the fee interest in the land under Pentagon Row and a portion of Bethesda Row,</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hanging="731"/>
        <w:spacing w:after="0"/>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$2.1 million in marketing expense primarily due to our Assembly Row project and certain same-center properties,</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$1.5 million related to properties acquired in 2010 and 2011,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of $1.1 million in other operating costs.</w:t>
      </w:r>
    </w:p>
    <w:p>
      <w:pPr>
        <w:spacing w:after="0" w:line="160" w:lineRule="exact"/>
        <w:rPr>
          <w:sz w:val="20"/>
          <w:szCs w:val="20"/>
          <w:color w:val="auto"/>
        </w:rPr>
      </w:pPr>
    </w:p>
    <w:p>
      <w:pPr>
        <w:ind w:right="540"/>
        <w:spacing w:after="0" w:line="287"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20.0% in 2011 from 20.6% in 2010.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 Taxes</w:t>
      </w:r>
    </w:p>
    <w:p>
      <w:pPr>
        <w:spacing w:after="0" w:line="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Real estate tax expense increased $2.0 million, or 3.3% to $60.6 million in 2011 compared to $58.7 million in 2010 due primarily to properties acquired in 2010 and 2011 and higher assessments at redevelopment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Operating Income</w:t>
      </w:r>
    </w:p>
    <w:p>
      <w:pPr>
        <w:spacing w:after="0" w:line="90"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color w:val="auto"/>
        </w:rPr>
        <w:t>Property operating income increased $10.3 million, or 2.8%, to $382.9 million in 2011 compared to $372.6 million in 2010. This increase is primarily due to growth in earnings at same-center properties, properties acquired in 2010 and 2011 and redevelopment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Real Estate Partnerships</w:t>
      </w:r>
    </w:p>
    <w:p>
      <w:pPr>
        <w:spacing w:after="0" w:line="8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Income from real estate partnerships increased $0.7 million, or 70.6%, to $1.8 million in 2011 compared to $1.1 million in 2010. The increase is primarily due to $0.4 million of formation and acquisition related expenses from our Newbury Street Partnership in 2010.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$3.4 million, or 3.4%, to $98.5 million in 2011 compared to $101.9 million in 2010. This decrease is due primarily to the following:</w:t>
      </w:r>
    </w:p>
    <w:p>
      <w:pPr>
        <w:spacing w:after="0" w:line="62" w:lineRule="exact"/>
        <w:rPr>
          <w:sz w:val="20"/>
          <w:szCs w:val="20"/>
          <w:color w:val="auto"/>
        </w:rPr>
      </w:pPr>
    </w:p>
    <w:p>
      <w:pPr>
        <w:ind w:left="1540" w:hanging="731"/>
        <w:spacing w:after="0"/>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decrease of $5.7 million due to a lower overall weighted average borrowing rate,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of $1.8 million in capitalized interest,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hanging="731"/>
        <w:spacing w:after="0"/>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of $4.1 million due to higher borrowings.</w:t>
      </w:r>
    </w:p>
    <w:p>
      <w:pPr>
        <w:spacing w:after="0" w:line="160" w:lineRule="exact"/>
        <w:rPr>
          <w:sz w:val="20"/>
          <w:szCs w:val="20"/>
          <w:color w:val="auto"/>
        </w:rPr>
      </w:pPr>
    </w:p>
    <w:p>
      <w:pPr>
        <w:ind w:right="620"/>
        <w:spacing w:after="0" w:line="287" w:lineRule="auto"/>
        <w:rPr>
          <w:sz w:val="20"/>
          <w:szCs w:val="20"/>
          <w:color w:val="auto"/>
        </w:rPr>
      </w:pPr>
      <w:r>
        <w:rPr>
          <w:rFonts w:ascii="Arial" w:cs="Arial" w:eastAsia="Arial" w:hAnsi="Arial"/>
          <w:sz w:val="16"/>
          <w:szCs w:val="16"/>
          <w:color w:val="auto"/>
        </w:rPr>
        <w:t>Gross interest costs were $106.6 million and $108.2 million in 2011 and 2010, respectively. Capitalized interest was $8.1 million and $6.3 million in 2011 and 2010,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7" w:right="2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Early Extinguishment of Debt</w:t>
      </w:r>
    </w:p>
    <w:p>
      <w:pPr>
        <w:spacing w:after="0" w:line="86" w:lineRule="exact"/>
        <w:rPr>
          <w:sz w:val="20"/>
          <w:szCs w:val="20"/>
          <w:color w:val="auto"/>
        </w:rPr>
      </w:pPr>
    </w:p>
    <w:p>
      <w:pPr>
        <w:ind w:right="320"/>
        <w:spacing w:after="0" w:line="297" w:lineRule="auto"/>
        <w:rPr>
          <w:sz w:val="20"/>
          <w:szCs w:val="20"/>
          <w:color w:val="auto"/>
        </w:rPr>
      </w:pPr>
      <w:r>
        <w:rPr>
          <w:rFonts w:ascii="Arial" w:cs="Arial" w:eastAsia="Arial" w:hAnsi="Arial"/>
          <w:sz w:val="15"/>
          <w:szCs w:val="15"/>
          <w:color w:val="auto"/>
        </w:rPr>
        <w:t>The $0.3 million of income from early extinguishment of debt in 2011 is due to the write-off of unamortized debt premium net of a 3.0% prepayment premium and unamortized debt fees related to the payoff of our mortgage loan on Tower Shops prior to its contractual prepayment date. The $2.8 million early extinguishment of debt expense in 2010 is due to the write-off of unamortized debt fees related to the $250.0 million payoff of the term loan prior to its maturity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86"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General and administrative expense increased $4.8 million, or 19.8%, to $29.0 million in 2011 from $24.2 million in 2010. This increase is due primarily to $3.4 million of transaction costs related to our December 2011 acquisitions of Montrose Crossing and Plaza El Segundo and higher personnel related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86" w:lineRule="exact"/>
        <w:rPr>
          <w:sz w:val="20"/>
          <w:szCs w:val="20"/>
          <w:color w:val="auto"/>
        </w:rPr>
      </w:pPr>
    </w:p>
    <w:p>
      <w:pPr>
        <w:ind w:right="220"/>
        <w:spacing w:after="0" w:line="322" w:lineRule="auto"/>
        <w:rPr>
          <w:sz w:val="20"/>
          <w:szCs w:val="20"/>
          <w:color w:val="auto"/>
        </w:rPr>
      </w:pPr>
      <w:r>
        <w:rPr>
          <w:rFonts w:ascii="Arial" w:cs="Arial" w:eastAsia="Arial" w:hAnsi="Arial"/>
          <w:sz w:val="15"/>
          <w:szCs w:val="15"/>
          <w:color w:val="auto"/>
        </w:rPr>
        <w:t>Depreciation and amortization expense increased $7.3 million, or 6.2%, to $126.2 million in 2011 from $118.9 million in 2010. This increase is due primarily to 2010 and 2011 acquisitions, accelerated depreciation due to the change in use of certain redevelopment buildings and capital improvements at same-center properties.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Discontinued Operations— Income</w:t>
      </w:r>
    </w:p>
    <w:p>
      <w:pPr>
        <w:spacing w:after="0" w:line="86"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$1.0 million for both 2011 and 2010 primarily represents the operating income for the period during which we owned properties sold/disposed of in 2011 and 2010.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Discontinued Operations— Gain on Deconsolidation of VIE</w:t>
      </w:r>
    </w:p>
    <w:p>
      <w:pPr>
        <w:spacing w:after="0" w:line="86" w:lineRule="exact"/>
        <w:rPr>
          <w:sz w:val="20"/>
          <w:szCs w:val="20"/>
          <w:color w:val="auto"/>
        </w:rPr>
      </w:pPr>
    </w:p>
    <w:p>
      <w:pPr>
        <w:ind w:right="520"/>
        <w:spacing w:after="0" w:line="322" w:lineRule="auto"/>
        <w:rPr>
          <w:sz w:val="20"/>
          <w:szCs w:val="20"/>
          <w:color w:val="auto"/>
        </w:rPr>
      </w:pPr>
      <w:r>
        <w:rPr>
          <w:rFonts w:ascii="Arial" w:cs="Arial" w:eastAsia="Arial" w:hAnsi="Arial"/>
          <w:sz w:val="15"/>
          <w:szCs w:val="15"/>
          <w:color w:val="auto"/>
        </w:rPr>
        <w:t>The $2.0 million gain on deconsolidation of VIE in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Discontinued Operations—Gain on Sale of Real Estate</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$15.1 million gain on sale of real estate from discontinued operations for 2011 is primarily due to the sale of Feasterville Shopping Center on July 12, 2011. The $1.0 million gain on sale of real estate from discontinued operations for 2010 relates to the final settlement reached with the contractors responsible for performing defective work in previous years related to the work done in connection with the sale of certain condominium units at Santana Row.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on Sale of Real Estate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$0.4 million gain on sale of real estate in 2010 is due to condemnation proceeds, net of costs, at one of our Northern Virginia properties in order to expand a local road.</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40" w:top="127" w:right="299" w:bottom="1440" w:gutter="0" w:footer="0" w:header="0"/>
        </w:sectPr>
      </w:pPr>
    </w:p>
    <w:bookmarkStart w:id="38" w:name="page39"/>
    <w:bookmarkEnd w:id="3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2010 COMPARED TO YEAR ENDED DECEMBER 31, 2009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Change</w:t>
            </w:r>
          </w:p>
        </w:tc>
        <w:tc>
          <w:tcPr>
            <w:tcW w:w="840" w:type="dxa"/>
            <w:vAlign w:val="bottom"/>
            <w:tcBorders>
              <w:bottom w:val="single" w:sz="8" w:color="auto"/>
            </w:tcBorders>
          </w:tcPr>
          <w:p>
            <w:pPr>
              <w:spacing w:after="0"/>
              <w:rPr>
                <w:sz w:val="15"/>
                <w:szCs w:val="15"/>
                <w:color w:val="auto"/>
              </w:rPr>
            </w:pPr>
          </w:p>
        </w:tc>
      </w:tr>
      <w:tr>
        <w:trPr>
          <w:trHeight w:val="238"/>
        </w:trPr>
        <w:tc>
          <w:tcPr>
            <w:tcW w:w="5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Dollars</w:t>
            </w: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w:t>
            </w:r>
          </w:p>
        </w:tc>
      </w:tr>
      <w:tr>
        <w:trPr>
          <w:trHeight w:val="176"/>
        </w:trPr>
        <w:tc>
          <w:tcPr>
            <w:tcW w:w="5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180"/>
              <w:spacing w:after="0"/>
              <w:rPr>
                <w:sz w:val="20"/>
                <w:szCs w:val="20"/>
                <w:color w:val="auto"/>
              </w:rPr>
            </w:pPr>
            <w:r>
              <w:rPr>
                <w:rFonts w:ascii="Arial" w:cs="Arial" w:eastAsia="Arial" w:hAnsi="Arial"/>
                <w:sz w:val="13"/>
                <w:szCs w:val="13"/>
                <w:b w:val="1"/>
                <w:bCs w:val="1"/>
                <w:color w:val="auto"/>
              </w:rPr>
              <w:t>(Dollar amounts in thousands)</w:t>
            </w:r>
          </w:p>
        </w:tc>
        <w:tc>
          <w:tcPr>
            <w:tcW w:w="840" w:type="dxa"/>
            <w:vAlign w:val="bottom"/>
          </w:tcPr>
          <w:p>
            <w:pPr>
              <w:spacing w:after="0"/>
              <w:rPr>
                <w:sz w:val="15"/>
                <w:szCs w:val="15"/>
                <w:color w:val="auto"/>
              </w:rPr>
            </w:pP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income</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522,651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510,777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11,874</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Other property income</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12,849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13.2 %</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2"/>
        </w:trPr>
        <w:tc>
          <w:tcPr>
            <w:tcW w:w="5880" w:type="dxa"/>
            <w:vAlign w:val="bottom"/>
          </w:tcPr>
          <w:p>
            <w:pPr>
              <w:ind w:left="340"/>
              <w:spacing w:after="0"/>
              <w:rPr>
                <w:sz w:val="20"/>
                <w:szCs w:val="20"/>
                <w:color w:val="auto"/>
              </w:rPr>
            </w:pPr>
            <w:r>
              <w:rPr>
                <w:rFonts w:ascii="Arial" w:cs="Arial" w:eastAsia="Arial" w:hAnsi="Arial"/>
                <w:sz w:val="16"/>
                <w:szCs w:val="16"/>
                <w:color w:val="auto"/>
              </w:rPr>
              <w:t>Total property revenue</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541,797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528,569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13,228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6"/>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1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2,175</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Real estate taxes</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58,663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6"/>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8"/>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property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2,972</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color w:val="auto"/>
              </w:rPr>
              <w:t>Property operating income</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372,615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362,359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10,256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interest income</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Income from real estate partnerships</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(101,882)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6,899</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Early extinguishment of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Litigation provision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16,025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2"/>
        </w:trPr>
        <w:tc>
          <w:tcPr>
            <w:tcW w:w="5880" w:type="dxa"/>
            <w:vAlign w:val="bottom"/>
          </w:tcPr>
          <w:p>
            <w:pPr>
              <w:ind w:left="340"/>
              <w:spacing w:after="0"/>
              <w:rPr>
                <w:sz w:val="20"/>
                <w:szCs w:val="20"/>
                <w:color w:val="auto"/>
              </w:rPr>
            </w:pPr>
            <w:r>
              <w:rPr>
                <w:rFonts w:ascii="Arial" w:cs="Arial" w:eastAsia="Arial" w:hAnsi="Arial"/>
                <w:sz w:val="16"/>
                <w:szCs w:val="16"/>
                <w:color w:val="auto"/>
              </w:rPr>
              <w:t>Total other, net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(246,764)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(261,034)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14,270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6"/>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1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125,851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24,526</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Discontinued operations - income</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6"/>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Discontinued operations - gain on sale of real estate</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Gain on sale of real estate</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6"/>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18"/>
        </w:trPr>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128,237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24,365</w:t>
            </w: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23.5 %</w:t>
            </w:r>
          </w:p>
        </w:tc>
      </w:tr>
      <w:tr>
        <w:trPr>
          <w:trHeight w:val="220"/>
        </w:trPr>
        <w:tc>
          <w:tcPr>
            <w:tcW w:w="58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6"/>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Trust</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122,790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98,304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24,486</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Revenues</w:t>
      </w:r>
    </w:p>
    <w:p>
      <w:pPr>
        <w:spacing w:after="0" w:line="90"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Total property revenue increased $13.2 million, or 2.5%, to $541.8 million in 2010 compared to $528.6 million in 2009. The percentage occupied at our shopping centers remained unchanged at 93.2% at December 31, 2010 and 2009. Changes in the components of property revenue are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Rental Income</w:t>
      </w:r>
    </w:p>
    <w:p>
      <w:pPr>
        <w:spacing w:after="0" w:line="8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$11.9 million, or 2.3%, to $522.7 million in 2010 compared to $510.8 million in 2009 due primarily to the following:</w:t>
      </w:r>
    </w:p>
    <w:p>
      <w:pPr>
        <w:spacing w:after="0" w:line="2" w:lineRule="exact"/>
        <w:rPr>
          <w:sz w:val="20"/>
          <w:szCs w:val="20"/>
          <w:color w:val="auto"/>
        </w:rPr>
      </w:pPr>
    </w:p>
    <w:p>
      <w:pPr>
        <w:ind w:left="1540" w:right="200" w:hanging="731"/>
        <w:spacing w:after="0" w:line="287" w:lineRule="auto"/>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of $8.5 million at same-center properties due primarily to higher rental rates on new and renewal leases, increased cost reimbursements, and increased temporary tenant income,</w:t>
      </w:r>
    </w:p>
    <w:p>
      <w:pPr>
        <w:spacing w:after="0" w:line="2" w:lineRule="exact"/>
        <w:rPr>
          <w:rFonts w:ascii="Arial" w:cs="Arial" w:eastAsia="Arial" w:hAnsi="Arial"/>
          <w:sz w:val="16"/>
          <w:szCs w:val="16"/>
          <w:color w:val="auto"/>
        </w:rPr>
      </w:pPr>
    </w:p>
    <w:p>
      <w:pPr>
        <w:ind w:left="1540" w:right="740" w:hanging="731"/>
        <w:spacing w:after="0" w:line="287" w:lineRule="auto"/>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of $2.6 million at redevelopment properties due primarily to increased occupancy and rental rates on new leases and higher cost reimbursements, and</w:t>
      </w:r>
    </w:p>
    <w:p>
      <w:pPr>
        <w:spacing w:after="0" w:line="2" w:lineRule="exact"/>
        <w:rPr>
          <w:rFonts w:ascii="Arial" w:cs="Arial" w:eastAsia="Arial" w:hAnsi="Arial"/>
          <w:sz w:val="16"/>
          <w:szCs w:val="16"/>
          <w:color w:val="auto"/>
        </w:rPr>
      </w:pPr>
    </w:p>
    <w:p>
      <w:pPr>
        <w:ind w:left="1540" w:hanging="731"/>
        <w:spacing w:after="0"/>
        <w:tabs>
          <w:tab w:leader="none" w:pos="1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of $0.8 million attributable to a property acquired in 2010.</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Property Income</w:t>
      </w:r>
    </w:p>
    <w:p>
      <w:pPr>
        <w:spacing w:after="0" w:line="86"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color w:val="auto"/>
        </w:rPr>
        <w:t>Other property income increased $1.7 million, or 13.2%, to $14.5 million in 2010 compared to $12.8 million in 2009. Included in other property income are items which, although recurring, tend to fluctuate more than rental income from period to period, such as lease termination fees. This increase is primarily due to an increase in lease termination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Expenses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Total property expenses increased $3.0 million, or 1.8%, to $169.2 million in 2010 compared to $166.2 million in 2009. Changes in the components of property expenses are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Rental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$2.2 million, or 2.0%, to $110.5 million in 2010 compared to $108.3 million in 2009. This increase is primarily due to the following:</w:t>
      </w:r>
    </w:p>
    <w:p>
      <w:pPr>
        <w:spacing w:after="0" w:line="62" w:lineRule="exact"/>
        <w:rPr>
          <w:sz w:val="20"/>
          <w:szCs w:val="20"/>
          <w:color w:val="auto"/>
        </w:rPr>
      </w:pPr>
    </w:p>
    <w:p>
      <w:pPr>
        <w:ind w:left="1540" w:hanging="731"/>
        <w:spacing w:after="0"/>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$1.7 million in repairs and maintenance due primarily to snow removal costs,</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$1.0 million in other operating costs at same-center properties primarily due to higher demolition costs,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$0.6 million in utility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right="20" w:hanging="731"/>
        <w:spacing w:after="0" w:line="287"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decrease of $1.4 million in ground rent due to the 2010 purchase of the fee interest in the land under Pentagon Row resulting from the settlement of certain litigation.</w:t>
      </w:r>
    </w:p>
    <w:p>
      <w:pPr>
        <w:spacing w:after="0" w:line="100"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20.6% in 2010 from 20.7% in 2009.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 Taxes</w:t>
      </w:r>
    </w:p>
    <w:p>
      <w:pPr>
        <w:spacing w:after="0" w:line="86"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Real estate tax expense increased $0.8 million, or 1.4% to $58.7 million in 2010 compared to $57.9 million in 2009 due primarily to annual increases in tax assessments partially offset by lower assessments and refunds of taxes at certain properties due primarily to successful tax appeals.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Operating Income</w:t>
      </w:r>
    </w:p>
    <w:p>
      <w:pPr>
        <w:spacing w:after="0" w:line="90"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Property operating income increased $10.3 million, or 2.8%, to $372.6 million in 2010 compared to $362.4 million in 2009. This increase is primarily due to growth in earnings at same-center and redevelopment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Interest Income</w:t>
      </w:r>
    </w:p>
    <w:p>
      <w:pPr>
        <w:spacing w:after="0" w:line="86" w:lineRule="exact"/>
        <w:rPr>
          <w:sz w:val="20"/>
          <w:szCs w:val="20"/>
          <w:color w:val="auto"/>
        </w:rPr>
      </w:pPr>
    </w:p>
    <w:p>
      <w:pPr>
        <w:ind w:right="260"/>
        <w:spacing w:after="0" w:line="362" w:lineRule="auto"/>
        <w:rPr>
          <w:sz w:val="20"/>
          <w:szCs w:val="20"/>
          <w:color w:val="auto"/>
        </w:rPr>
      </w:pPr>
      <w:r>
        <w:rPr>
          <w:rFonts w:ascii="Arial" w:cs="Arial" w:eastAsia="Arial" w:hAnsi="Arial"/>
          <w:sz w:val="14"/>
          <w:szCs w:val="14"/>
          <w:color w:val="auto"/>
        </w:rPr>
        <w:t>Other interest income decreased $1.6 million, or 86.5%, to $0.3 million in 2010 compared to $1.9 million in 2009. This decrease is due primarily to decreased short-term investing. During 2009, we invested the funds from our 2009 debt and equity transactions on a short-term basis in money market and other highly liquid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Real Estate Partnerships</w:t>
      </w:r>
    </w:p>
    <w:p>
      <w:pPr>
        <w:spacing w:after="0" w:line="86"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Income from real estate partnerships decreased $0.3 million, or 19.8%, to $1.1 million in 2010 compared to $1.3 million in 2009. The decrease is primarily due to $0.4 million of formation and acquisition related expenses from our Newbury Street Partnership in 2010.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$6.9 million, or 6.3%, to $101.9 million in 2010 compared to $108.8 million in 2009. This decrease is due primarily to the following:</w:t>
      </w:r>
    </w:p>
    <w:p>
      <w:pPr>
        <w:spacing w:after="0" w:line="62" w:lineRule="exact"/>
        <w:rPr>
          <w:sz w:val="20"/>
          <w:szCs w:val="20"/>
          <w:color w:val="auto"/>
        </w:rPr>
      </w:pPr>
    </w:p>
    <w:p>
      <w:pPr>
        <w:ind w:left="1540" w:hanging="731"/>
        <w:spacing w:after="0"/>
        <w:tabs>
          <w:tab w:leader="none" w:pos="1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decrease of $8.2 million due to lower borrowings,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$0.7 million in capitalized interest,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hanging="731"/>
        <w:spacing w:after="0"/>
        <w:tabs>
          <w:tab w:leader="none" w:pos="1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increase of $2.1 million due to a higher overall weighted average borrowing rate.</w:t>
      </w:r>
    </w:p>
    <w:p>
      <w:pPr>
        <w:spacing w:after="0" w:line="160" w:lineRule="exact"/>
        <w:rPr>
          <w:sz w:val="20"/>
          <w:szCs w:val="20"/>
          <w:color w:val="auto"/>
        </w:rPr>
      </w:pPr>
    </w:p>
    <w:p>
      <w:pPr>
        <w:ind w:right="560"/>
        <w:spacing w:after="0" w:line="287" w:lineRule="auto"/>
        <w:rPr>
          <w:sz w:val="20"/>
          <w:szCs w:val="20"/>
          <w:color w:val="auto"/>
        </w:rPr>
      </w:pPr>
      <w:r>
        <w:rPr>
          <w:rFonts w:ascii="Arial" w:cs="Arial" w:eastAsia="Arial" w:hAnsi="Arial"/>
          <w:sz w:val="16"/>
          <w:szCs w:val="16"/>
          <w:color w:val="auto"/>
        </w:rPr>
        <w:t>Gross interest costs were $108.2 million and $114.3 million in 2010 and 2009, respectively. Capitalized interest was $6.3 million and $5.5 million in 2010 and 2009,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Early Extinguishment of Debt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$2.8 million early extinguishment of debt expense in 2010 is due to the write-off of unamortized debt fees related to the</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40"/>
          </w:cols>
          <w:pgMar w:left="240" w:top="127" w:right="3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$250.0 million payoff of the term loan prior to its maturity date. The $2.6 million early extinguishment of debt for 2009 consists of $1.7 million due to the write-off of unamortized debt fees related to the $122.0 million pay down of the term loan in the fourth quarter 2009 and $1.0 million related to a cash tender offer for $40.3 million of our 8.75% senior notes due December 1, 2009, which were purchased and retired at a 2% premium to par value.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General and administrative expense increased $2.2 million, or 9.8%, to $24.2 million in 2010 from $22.0 million in 2009. The increase is primarily due to higher personnel related costs, higher acquisition costs as a result of expensing all transaction costs, and higher legal fees, as a result of the litigation regarding certain rights to acquire the land under Pentagon Row further discussed in Note 3 to the consolidated financial statements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 Provision</w:t>
      </w:r>
    </w:p>
    <w:p>
      <w:pPr>
        <w:spacing w:after="0" w:line="8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$0.3 million litigation provision in 2010 is due to certain costs related to the litigation and appeal process over a parcel of land located adjacent to Santana Row partially offset by the adjustment of the litigation provision to $16.2 million based on the rejection of both parties appeals in February 2011. The $16.4 million litigation provision in 2009 relates to increasing the accrual as well as costs related to the litigation and appeal process for such litigation matter. See Note 9 to the consolidated financial statements in this Form 10-K for further discussion on the litigation.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86" w:lineRule="exact"/>
        <w:rPr>
          <w:sz w:val="20"/>
          <w:szCs w:val="20"/>
          <w:color w:val="auto"/>
        </w:rPr>
      </w:pPr>
    </w:p>
    <w:p>
      <w:pPr>
        <w:ind w:right="440"/>
        <w:spacing w:after="0" w:line="322" w:lineRule="auto"/>
        <w:rPr>
          <w:sz w:val="20"/>
          <w:szCs w:val="20"/>
          <w:color w:val="auto"/>
        </w:rPr>
      </w:pPr>
      <w:r>
        <w:rPr>
          <w:rFonts w:ascii="Arial" w:cs="Arial" w:eastAsia="Arial" w:hAnsi="Arial"/>
          <w:sz w:val="15"/>
          <w:szCs w:val="15"/>
          <w:color w:val="auto"/>
        </w:rPr>
        <w:t>Depreciation and amortization expense increased $4.4 million, or 3.9%, to $118.9 million in 2010 from $114.4 million in 2009. This increase is due primarily to capital improvements at same-center and redevelopment properties and accelerated depreciation related to the change in use of certain redevelopment buildings.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Discontinued Operations— Income</w:t>
      </w:r>
    </w:p>
    <w:p>
      <w:pPr>
        <w:spacing w:after="0" w:line="86" w:lineRule="exact"/>
        <w:rPr>
          <w:sz w:val="20"/>
          <w:szCs w:val="20"/>
          <w:color w:val="auto"/>
        </w:rPr>
      </w:pPr>
    </w:p>
    <w:p>
      <w:pPr>
        <w:ind w:right="60"/>
        <w:spacing w:after="0" w:line="362" w:lineRule="auto"/>
        <w:rPr>
          <w:sz w:val="20"/>
          <w:szCs w:val="20"/>
          <w:color w:val="auto"/>
        </w:rPr>
      </w:pPr>
      <w:r>
        <w:rPr>
          <w:rFonts w:ascii="Arial" w:cs="Arial" w:eastAsia="Arial" w:hAnsi="Arial"/>
          <w:sz w:val="14"/>
          <w:szCs w:val="14"/>
          <w:color w:val="auto"/>
        </w:rPr>
        <w:t>Income from discontinued operations represents the operating income of properties that have been disposed or will be disposed, which is required to be reported separately from results of ongoing operations. The decrease relates to a $0.4 million expense in 2010 to write down one of the properties to be sold in 2011 to fair value less cost to sell.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Discontinued Operations—Gain on Sale of Real Estate</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$1.0 million gain on sale of real estate from discontinued operations in 2010 relates to the final settlement reached with the contractors responsible for performing defective work in previous years related to the work done in connection with the sale of certain condominium units at Santana Row. The $1.3 million gain on sale of real estate from discontinued operations for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on Sale of Real Estate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The $0.4 million gain on sale of real estate in 2010 is due to condemnation proceeds, net of costs, at one of our Northern Virginia properties in order to expand a local road.</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90" w:lineRule="exact"/>
        <w:rPr>
          <w:sz w:val="20"/>
          <w:szCs w:val="20"/>
          <w:color w:val="auto"/>
        </w:rPr>
      </w:pPr>
    </w:p>
    <w:p>
      <w:pPr>
        <w:jc w:val="both"/>
        <w:ind w:right="40"/>
        <w:spacing w:after="0" w:line="362" w:lineRule="auto"/>
        <w:rPr>
          <w:sz w:val="20"/>
          <w:szCs w:val="20"/>
          <w:color w:val="auto"/>
        </w:rPr>
      </w:pPr>
      <w:r>
        <w:rPr>
          <w:rFonts w:ascii="Arial" w:cs="Arial" w:eastAsia="Arial" w:hAnsi="Arial"/>
          <w:sz w:val="14"/>
          <w:szCs w:val="14"/>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5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7" w:right="2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conservative structure.</w:t>
      </w:r>
    </w:p>
    <w:p>
      <w:pPr>
        <w:spacing w:after="0" w:line="160"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color w:val="auto"/>
        </w:rPr>
        <w:t>On February 24, 2011, we entered into an ATM equity program in which we may from time to time offer and sell common shares having an aggregate offering price of up to $300.0 million. Through December 31, 2011, we have issued 1,662,038 common shares for net cash proceeds of $139.3 million under the program.</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November 22, 2011, we entered into a $275.0 million unsecured term loan that matures on November 21, 2018 and we have an option to increase the term loan through an accordion feature to $350.0 million. In addition, we entered into two interest rate swap agreements which effectively fixed the interest rate on the loan at 3.17% through November 1, 2018.</w:t>
      </w:r>
    </w:p>
    <w:p>
      <w:pPr>
        <w:spacing w:after="0" w:line="113"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Cash and cash equivalents increased $52.0 million to $67.8 million at December 31, 2011; however, cash and cash equivalents are not the only indicator of our liquidity. We also have a $400.0 million unsecured revolving credit facility which matures on July 6, 2015 and had no outstanding balance at December 31, 2011. In addition, we have an option to increase the credit facility through an accordion feature to $800.0 million.</w:t>
      </w:r>
    </w:p>
    <w:p>
      <w:pPr>
        <w:spacing w:after="0" w:line="113"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For 2011, the maximum amount of borrowings outstanding under our revolving credit facility was $265.0 million, the weighted average amount of borrowings outstanding was $163.5 million and the weighted average interest rate, before amortization of debt fees, was 1.0%. Also, as of December 31, 2011, we had the capacity to issue up to $158.3 million in common shares under our ATM equity program. We have approximately $192 million of debt maturing in 2012, of which $175.0 million relates to our</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6.00% senior notes that matures in July 2012. We currently believe that cash flows from operations, cash on hand, our ATM equity program and our revolving credit facility will be sufficient to finance our operations and fund our capital expenditures.</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overall capital requirements during 2012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incur higher amounts in 2012 compared to those incurred in 2011 related to capital investments for development, redevelopment and existing properties as we progress with our active development pipeline. These amounts will be funded on a short-term basis with cash flow from operations, cash on hand, our revolving credit facility and/or shares issued under our ATM equity program, and on a long-term basis, with long-term debt or equity.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540" w:right="300" w:hanging="731"/>
        <w:spacing w:after="0" w:line="256" w:lineRule="auto"/>
        <w:tabs>
          <w:tab w:leader="none" w:pos="1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restrictions in our debt instruments or preferred shares may limit us from incurring debt or issuing equity at all, or on acceptable terms under then-prevailing market conditions; and</w:t>
      </w:r>
    </w:p>
    <w:p>
      <w:pPr>
        <w:ind w:left="1540" w:hanging="731"/>
        <w:spacing w:after="0"/>
        <w:tabs>
          <w:tab w:leader="none" w:pos="1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 of Cash Flows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3"/>
                <w:szCs w:val="13"/>
                <w:b w:val="1"/>
                <w:bCs w:val="1"/>
                <w:color w:val="auto"/>
              </w:rPr>
              <w:t>Year Ended December 31,</w:t>
            </w:r>
          </w:p>
        </w:tc>
      </w:tr>
      <w:tr>
        <w:trPr>
          <w:trHeight w:val="238"/>
        </w:trPr>
        <w:tc>
          <w:tcPr>
            <w:tcW w:w="8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2010</w:t>
            </w:r>
          </w:p>
        </w:tc>
      </w:tr>
      <w:tr>
        <w:trPr>
          <w:trHeight w:val="176"/>
        </w:trPr>
        <w:tc>
          <w:tcPr>
            <w:tcW w:w="8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ind w:right="18"/>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5"/>
                <w:szCs w:val="15"/>
                <w:color w:val="auto"/>
              </w:rPr>
            </w:pPr>
          </w:p>
        </w:tc>
      </w:tr>
      <w:tr>
        <w:trPr>
          <w:trHeight w:val="23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244,711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256,735</w:t>
            </w:r>
          </w:p>
        </w:tc>
      </w:tr>
      <w:tr>
        <w:trPr>
          <w:trHeight w:val="220"/>
        </w:trPr>
        <w:tc>
          <w:tcPr>
            <w:tcW w:w="85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(196,369)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(187,088)</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(189,239)</w:t>
            </w:r>
          </w:p>
        </w:tc>
      </w:tr>
      <w:tr>
        <w:trPr>
          <w:trHeight w:val="212"/>
        </w:trPr>
        <w:tc>
          <w:tcPr>
            <w:tcW w:w="858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52,009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(119,592)</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6"/>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135,389</w:t>
            </w:r>
          </w:p>
        </w:tc>
      </w:tr>
      <w:tr>
        <w:trPr>
          <w:trHeight w:val="212"/>
        </w:trPr>
        <w:tc>
          <w:tcPr>
            <w:tcW w:w="858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67,806</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15,797</w:t>
            </w:r>
          </w:p>
        </w:tc>
      </w:tr>
      <w:tr>
        <w:trPr>
          <w:trHeight w:val="26"/>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Net cash provided by operating activities decreased $12.0 million to $244.7 million during 2011 from $256.7 million during 2010. The decrease was primarily attributable to the $16.2 million payment of the final judgment related to a previously disclosed lawsuit offset by higher net income before certain non-cash items.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increased $9.3 million to $196.4 million during 2011 from $187.1 million during 2010.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attributable to:</w:t>
      </w:r>
    </w:p>
    <w:p>
      <w:pPr>
        <w:spacing w:after="0" w:line="62" w:lineRule="exact"/>
        <w:rPr>
          <w:sz w:val="20"/>
          <w:szCs w:val="20"/>
          <w:color w:val="auto"/>
        </w:rPr>
      </w:pPr>
    </w:p>
    <w:p>
      <w:pPr>
        <w:ind w:left="1540" w:hanging="731"/>
        <w:spacing w:after="0"/>
        <w:tabs>
          <w:tab w:leader="none" w:pos="1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$53.4 million increase in capital investments,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$46.4 million increase in acquisitions of real estate primarily due to the December 2011 Montrose Crossing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hanging="731"/>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$34.6 million cash received from our Newbury Street Partnership due to the sale of its properties in October 2011,</w:t>
      </w:r>
    </w:p>
    <w:p>
      <w:pPr>
        <w:spacing w:after="0" w:line="51" w:lineRule="exact"/>
        <w:rPr>
          <w:rFonts w:ascii="Arial" w:cs="Arial" w:eastAsia="Arial" w:hAnsi="Arial"/>
          <w:sz w:val="16"/>
          <w:szCs w:val="16"/>
          <w:color w:val="auto"/>
        </w:rPr>
      </w:pPr>
    </w:p>
    <w:p>
      <w:pPr>
        <w:ind w:left="1540" w:hanging="731"/>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$23.7 million in proceeds from sales of real estate primarily from the sale of Feasterville Shopping</w:t>
      </w:r>
      <w:r>
        <w:rPr>
          <w:rFonts w:ascii="Arial" w:cs="Arial" w:eastAsia="Arial" w:hAnsi="Arial"/>
          <w:sz w:val="1"/>
          <w:szCs w:val="1"/>
          <w:color w:val="auto"/>
        </w:rPr>
        <w:drawing>
          <wp:inline distT="0" distB="0" distL="0" distR="0">
            <wp:extent cx="31115" cy="116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116840"/>
                    </a:xfrm>
                    <a:prstGeom prst="rect">
                      <a:avLst/>
                    </a:prstGeom>
                    <a:noFill/>
                    <a:ln>
                      <a:noFill/>
                    </a:ln>
                  </pic:spPr>
                </pic:pic>
              </a:graphicData>
            </a:graphic>
          </wp:inline>
        </w:drawing>
      </w:r>
      <w:r>
        <w:rPr>
          <w:rFonts w:ascii="Arial" w:cs="Arial" w:eastAsia="Arial" w:hAnsi="Arial"/>
          <w:sz w:val="16"/>
          <w:szCs w:val="16"/>
          <w:color w:val="auto"/>
        </w:rPr>
        <w:t>Center in July 2011,</w:t>
      </w:r>
    </w:p>
    <w:p>
      <w:pPr>
        <w:spacing w:after="0" w:line="37" w:lineRule="exact"/>
        <w:rPr>
          <w:rFonts w:ascii="Arial" w:cs="Arial" w:eastAsia="Arial" w:hAnsi="Arial"/>
          <w:sz w:val="16"/>
          <w:szCs w:val="16"/>
          <w:color w:val="auto"/>
        </w:rPr>
      </w:pPr>
    </w:p>
    <w:p>
      <w:pPr>
        <w:ind w:left="1540" w:hanging="731"/>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$10.5 million acquisition of a first mortgage loan in March 2010,</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$10.0 million decrease in contributions to the Newbury Street Partnership due to the $16.7 million initial investment in 2010,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$8.7 million payment received in June 2011 related to the refinancing of a mortgage loan receivable.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financing activities increased $192.9 million to $3.7 million during 2011 from $189.2 million used in 2010. The increase was primarily attributable to:</w:t>
      </w:r>
    </w:p>
    <w:p>
      <w:pPr>
        <w:spacing w:after="0" w:line="73" w:lineRule="exact"/>
        <w:rPr>
          <w:sz w:val="20"/>
          <w:szCs w:val="20"/>
          <w:color w:val="auto"/>
        </w:rPr>
      </w:pPr>
    </w:p>
    <w:p>
      <w:pPr>
        <w:ind w:left="1540" w:hanging="731"/>
        <w:spacing w:after="0"/>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$272.2 million in net proceeds from the term loan in November 2011,</w:t>
      </w:r>
    </w:p>
    <w:p>
      <w:pPr>
        <w:spacing w:after="0" w:line="61" w:lineRule="exact"/>
        <w:rPr>
          <w:rFonts w:ascii="Arial" w:cs="Arial" w:eastAsia="Arial" w:hAnsi="Arial"/>
          <w:sz w:val="16"/>
          <w:szCs w:val="16"/>
          <w:color w:val="auto"/>
        </w:rPr>
      </w:pPr>
    </w:p>
    <w:p>
      <w:pPr>
        <w:ind w:left="1540" w:right="60" w:hanging="731"/>
        <w:spacing w:after="0" w:line="287" w:lineRule="auto"/>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$170.4 million decrease in repayment of mortgages, capital leases and notes payable due substantially to the $250.0 million payoff of our term loan in 2010 offset by the payoff of two mortgages totaling $37.4 million in 2011, and</w:t>
      </w:r>
    </w:p>
    <w:p>
      <w:pPr>
        <w:spacing w:after="0" w:line="2" w:lineRule="exact"/>
        <w:rPr>
          <w:rFonts w:ascii="Arial" w:cs="Arial" w:eastAsia="Arial" w:hAnsi="Arial"/>
          <w:sz w:val="16"/>
          <w:szCs w:val="16"/>
          <w:color w:val="auto"/>
        </w:rPr>
      </w:pPr>
    </w:p>
    <w:p>
      <w:pPr>
        <w:ind w:left="1540" w:right="340" w:hanging="731"/>
        <w:spacing w:after="0" w:line="287" w:lineRule="auto"/>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$150.3 million increase in net proceeds from the issuance of common shares due primarily to the sale of 1.7 million shares under our ATM equity program entered into in February 2011,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w:t>
      </w:r>
    </w:p>
    <w:p>
      <w:pPr>
        <w:spacing w:after="0" w:line="62" w:lineRule="exact"/>
        <w:rPr>
          <w:sz w:val="20"/>
          <w:szCs w:val="20"/>
          <w:color w:val="auto"/>
        </w:rPr>
      </w:pPr>
    </w:p>
    <w:p>
      <w:pPr>
        <w:ind w:left="1540" w:hanging="805"/>
        <w:spacing w:after="0"/>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$157.7 million increase in net repayments on our revolving credit facility, net of financing costs,</w:t>
      </w:r>
    </w:p>
    <w:p>
      <w:pPr>
        <w:spacing w:after="0" w:line="61" w:lineRule="exact"/>
        <w:rPr>
          <w:rFonts w:ascii="Arial" w:cs="Arial" w:eastAsia="Arial" w:hAnsi="Arial"/>
          <w:sz w:val="16"/>
          <w:szCs w:val="16"/>
          <w:color w:val="auto"/>
        </w:rPr>
      </w:pPr>
    </w:p>
    <w:p>
      <w:pPr>
        <w:ind w:left="1540" w:hanging="805"/>
        <w:spacing w:after="0"/>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$148.5 million in net proceeds from the issuance of 5.90% senior notes in March 2010,</w:t>
      </w:r>
    </w:p>
    <w:p>
      <w:pPr>
        <w:spacing w:after="0" w:line="61" w:lineRule="exact"/>
        <w:rPr>
          <w:rFonts w:ascii="Arial" w:cs="Arial" w:eastAsia="Arial" w:hAnsi="Arial"/>
          <w:sz w:val="16"/>
          <w:szCs w:val="16"/>
          <w:color w:val="auto"/>
        </w:rPr>
      </w:pPr>
    </w:p>
    <w:p>
      <w:pPr>
        <w:ind w:left="1540" w:hanging="805"/>
        <w:spacing w:after="0"/>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$75.0 million repayment of 4.50% senior notes in February 2011, and</w:t>
      </w:r>
    </w:p>
    <w:p>
      <w:pPr>
        <w:spacing w:after="0" w:line="61" w:lineRule="exact"/>
        <w:rPr>
          <w:rFonts w:ascii="Arial" w:cs="Arial" w:eastAsia="Arial" w:hAnsi="Arial"/>
          <w:sz w:val="16"/>
          <w:szCs w:val="16"/>
          <w:color w:val="auto"/>
        </w:rPr>
      </w:pPr>
    </w:p>
    <w:p>
      <w:pPr>
        <w:ind w:left="1540" w:hanging="805"/>
        <w:spacing w:after="0"/>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$10.0 million in public funding received for the development at Assembly Row in April 2010.</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Contractual Commitments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our fixed, noncancelable obligations as of December 31,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1"/>
              </w:rPr>
              <w:t>Commitments Due by Period</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241"/>
              <w:spacing w:after="0" w:line="138" w:lineRule="exact"/>
              <w:rPr>
                <w:sz w:val="20"/>
                <w:szCs w:val="20"/>
                <w:color w:val="auto"/>
              </w:rPr>
            </w:pPr>
            <w:r>
              <w:rPr>
                <w:rFonts w:ascii="Arial" w:cs="Arial" w:eastAsia="Arial" w:hAnsi="Arial"/>
                <w:sz w:val="13"/>
                <w:szCs w:val="13"/>
                <w:b w:val="1"/>
                <w:bCs w:val="1"/>
                <w:color w:val="auto"/>
              </w:rPr>
              <w:t>Less Than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401"/>
              <w:spacing w:after="0" w:line="138" w:lineRule="exact"/>
              <w:rPr>
                <w:sz w:val="20"/>
                <w:szCs w:val="20"/>
                <w:color w:val="auto"/>
              </w:rPr>
            </w:pPr>
            <w:r>
              <w:rPr>
                <w:rFonts w:ascii="Arial" w:cs="Arial" w:eastAsia="Arial" w:hAnsi="Arial"/>
                <w:sz w:val="13"/>
                <w:szCs w:val="13"/>
                <w:b w:val="1"/>
                <w:bCs w:val="1"/>
                <w:color w:val="auto"/>
              </w:rPr>
              <w:t>After 5</w:t>
            </w: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1 Year</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9"/>
              </w:rPr>
              <w:t>1-3 Years</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Years</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rate debt (principal and interest)(1)</w:t>
            </w: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2,589,948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319,427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758,614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403,245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1,108,662</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Fixed rate debt - unconsolidated real estate partnership</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6"/>
                <w:szCs w:val="16"/>
                <w:color w:val="auto"/>
              </w:rPr>
              <w:t>(principal and interest)(2)</w:t>
            </w:r>
          </w:p>
        </w:tc>
        <w:tc>
          <w:tcPr>
            <w:tcW w:w="34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21,058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8,714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11,288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 (principal and interest)</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175,141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146,207</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Variable rate debt (principal only)(3)</w:t>
            </w:r>
          </w:p>
        </w:tc>
        <w:tc>
          <w:tcPr>
            <w:tcW w:w="34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3,229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51,843</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Real estate commitments(4)</w:t>
            </w:r>
          </w:p>
        </w:tc>
        <w:tc>
          <w:tcPr>
            <w:tcW w:w="34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67,500</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 redevelopment, and capital improvement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obligations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44,535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38,962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auto"/>
              </w:rPr>
              <w:t>Contractual operating obligations</w:t>
            </w:r>
          </w:p>
        </w:tc>
        <w:tc>
          <w:tcPr>
            <w:tcW w:w="34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contractual obligations</w:t>
            </w: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2,982,024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376,398</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792,680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438,734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1,374,212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640" w:right="2860" w:hanging="5347"/>
        <w:spacing w:after="0" w:line="575" w:lineRule="auto"/>
        <w:tabs>
          <w:tab w:leader="none" w:pos="5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 43</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69" w:lineRule="exact"/>
        <w:rPr>
          <w:sz w:val="20"/>
          <w:szCs w:val="20"/>
          <w:color w:val="auto"/>
        </w:rPr>
      </w:pPr>
    </w:p>
    <w:p>
      <w:pPr>
        <w:ind w:left="580" w:hanging="28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reflect our share of principal and interest payments on our unconsolidated joint venture's fixed rate debt.</w:t>
      </w:r>
    </w:p>
    <w:p>
      <w:pPr>
        <w:spacing w:after="0" w:line="61" w:lineRule="exact"/>
        <w:rPr>
          <w:rFonts w:ascii="Arial" w:cs="Arial" w:eastAsia="Arial" w:hAnsi="Arial"/>
          <w:sz w:val="16"/>
          <w:szCs w:val="16"/>
          <w:color w:val="auto"/>
        </w:rPr>
      </w:pPr>
    </w:p>
    <w:p>
      <w:pPr>
        <w:ind w:left="580" w:right="400" w:hanging="287"/>
        <w:spacing w:after="0" w:line="263"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Variable rate debt includes a $9.4 million bond that had an interest rate of 0.14% at December 31, 2011 and our revolving credit facility, which currently has no outstanding balance and bears interest at LIBOR plus 1.15%.</w:t>
      </w:r>
    </w:p>
    <w:p>
      <w:pPr>
        <w:spacing w:after="0" w:line="1" w:lineRule="exact"/>
        <w:rPr>
          <w:rFonts w:ascii="Arial" w:cs="Arial" w:eastAsia="Arial" w:hAnsi="Arial"/>
          <w:sz w:val="16"/>
          <w:szCs w:val="16"/>
          <w:color w:val="auto"/>
        </w:rPr>
      </w:pPr>
    </w:p>
    <w:p>
      <w:pPr>
        <w:ind w:left="580" w:right="60" w:hanging="287"/>
        <w:spacing w:after="0" w:line="26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master lease on Melville Mall includes a fixed price put option requiring us to purchase the property for $5.0 million plus the assumption of the owners’ mortgage debt. The current mortgage loan matures on September 1, 2014, is expected to be refinanced at maturity, and has an outstanding contractual balance of $22.3 million at December 31, 2011. The real estate commitments currently include the fixed $5.0 million and all payments related to the current mortgage loan are included in fixed rate debt.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amounts set forth in the table above and other liquidity requirements previously discussed, the following potential commitments exist:</w:t>
      </w:r>
    </w:p>
    <w:p>
      <w:pPr>
        <w:spacing w:after="0" w:line="86" w:lineRule="exact"/>
        <w:rPr>
          <w:sz w:val="20"/>
          <w:szCs w:val="20"/>
          <w:color w:val="auto"/>
        </w:rPr>
      </w:pPr>
    </w:p>
    <w:p>
      <w:pPr>
        <w:jc w:val="both"/>
        <w:ind w:firstLine="367"/>
        <w:spacing w:after="0" w:line="266" w:lineRule="auto"/>
        <w:tabs>
          <w:tab w:leader="none" w:pos="5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2011, our estimated liability upon exercise of the put option would range from approximately $54 million to $64 million.</w:t>
      </w:r>
    </w:p>
    <w:p>
      <w:pPr>
        <w:spacing w:after="0" w:line="43" w:lineRule="exact"/>
        <w:rPr>
          <w:rFonts w:ascii="Arial" w:cs="Arial" w:eastAsia="Arial" w:hAnsi="Arial"/>
          <w:sz w:val="16"/>
          <w:szCs w:val="16"/>
          <w:color w:val="auto"/>
        </w:rPr>
      </w:pPr>
    </w:p>
    <w:p>
      <w:pPr>
        <w:ind w:firstLine="391"/>
        <w:spacing w:after="0" w:line="266" w:lineRule="auto"/>
        <w:tabs>
          <w:tab w:leader="none" w:pos="625" w:val="left"/>
        </w:tabs>
        <w:numPr>
          <w:ilvl w:val="1"/>
          <w:numId w:val="49"/>
        </w:numPr>
        <w:rPr>
          <w:rFonts w:ascii="Arial" w:cs="Arial" w:eastAsia="Arial" w:hAnsi="Arial"/>
          <w:sz w:val="16"/>
          <w:szCs w:val="16"/>
          <w:color w:val="auto"/>
        </w:rPr>
      </w:pPr>
      <w:r>
        <w:rPr>
          <w:rFonts w:ascii="Arial" w:cs="Arial" w:eastAsia="Arial" w:hAnsi="Arial"/>
          <w:sz w:val="16"/>
          <w:szCs w:val="16"/>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43" w:lineRule="exact"/>
        <w:rPr>
          <w:rFonts w:ascii="Arial" w:cs="Arial" w:eastAsia="Arial" w:hAnsi="Arial"/>
          <w:sz w:val="16"/>
          <w:szCs w:val="16"/>
          <w:color w:val="auto"/>
        </w:rPr>
      </w:pPr>
    </w:p>
    <w:p>
      <w:pPr>
        <w:ind w:right="20" w:firstLine="391"/>
        <w:spacing w:after="0" w:line="287" w:lineRule="auto"/>
        <w:tabs>
          <w:tab w:leader="none" w:pos="615" w:val="left"/>
        </w:tabs>
        <w:numPr>
          <w:ilvl w:val="1"/>
          <w:numId w:val="49"/>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2011, a total of 360,314 operating partnership units are outstanding.</w:t>
      </w:r>
    </w:p>
    <w:p>
      <w:pPr>
        <w:spacing w:after="0" w:line="26" w:lineRule="exact"/>
        <w:rPr>
          <w:rFonts w:ascii="Arial" w:cs="Arial" w:eastAsia="Arial" w:hAnsi="Arial"/>
          <w:sz w:val="16"/>
          <w:szCs w:val="16"/>
          <w:color w:val="auto"/>
        </w:rPr>
      </w:pPr>
    </w:p>
    <w:p>
      <w:pPr>
        <w:jc w:val="both"/>
        <w:ind w:right="260" w:firstLine="391"/>
        <w:spacing w:after="0" w:line="271" w:lineRule="auto"/>
        <w:tabs>
          <w:tab w:leader="none" w:pos="62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w:t>
      </w:r>
    </w:p>
    <w:p>
      <w:pPr>
        <w:spacing w:after="0" w:line="39" w:lineRule="exact"/>
        <w:rPr>
          <w:rFonts w:ascii="Arial" w:cs="Arial" w:eastAsia="Arial" w:hAnsi="Arial"/>
          <w:sz w:val="16"/>
          <w:szCs w:val="16"/>
          <w:color w:val="auto"/>
        </w:rPr>
      </w:pPr>
    </w:p>
    <w:p>
      <w:pPr>
        <w:ind w:firstLine="391"/>
        <w:spacing w:after="0" w:line="289" w:lineRule="auto"/>
        <w:tabs>
          <w:tab w:leader="none" w:pos="615" w:val="left"/>
        </w:tabs>
        <w:numPr>
          <w:ilvl w:val="1"/>
          <w:numId w:val="49"/>
        </w:numPr>
        <w:rPr>
          <w:rFonts w:ascii="Arial" w:cs="Arial" w:eastAsia="Arial" w:hAnsi="Arial"/>
          <w:sz w:val="15"/>
          <w:szCs w:val="15"/>
          <w:color w:val="auto"/>
        </w:rPr>
      </w:pPr>
      <w:r>
        <w:rPr>
          <w:rFonts w:ascii="Arial" w:cs="Arial" w:eastAsia="Arial" w:hAnsi="Arial"/>
          <w:sz w:val="15"/>
          <w:szCs w:val="15"/>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28" w:lineRule="exact"/>
        <w:rPr>
          <w:rFonts w:ascii="Arial" w:cs="Arial" w:eastAsia="Arial" w:hAnsi="Arial"/>
          <w:sz w:val="15"/>
          <w:szCs w:val="15"/>
          <w:color w:val="auto"/>
        </w:rPr>
      </w:pPr>
    </w:p>
    <w:p>
      <w:pPr>
        <w:ind w:left="600" w:hanging="209"/>
        <w:spacing w:after="0"/>
        <w:tabs>
          <w:tab w:leader="none" w:pos="600" w:val="left"/>
        </w:tabs>
        <w:numPr>
          <w:ilvl w:val="1"/>
          <w:numId w:val="49"/>
        </w:numPr>
        <w:rPr>
          <w:rFonts w:ascii="Arial" w:cs="Arial" w:eastAsia="Arial" w:hAnsi="Arial"/>
          <w:sz w:val="15"/>
          <w:szCs w:val="15"/>
          <w:color w:val="auto"/>
        </w:rPr>
      </w:pPr>
      <w:r>
        <w:rPr>
          <w:rFonts w:ascii="Arial" w:cs="Arial" w:eastAsia="Arial" w:hAnsi="Arial"/>
          <w:sz w:val="15"/>
          <w:szCs w:val="15"/>
          <w:color w:val="auto"/>
        </w:rPr>
        <w:t>At December 31, 2011, we had letters of credit outstanding of approximately $15.9 million which are collateral for existing indebtedness and other obligations of the</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Trust.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Arrangements</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2011,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December 31, 2011, our investment in the Partnership was $34.4 million and the Partnership had approximately $57.4 million of mortgages payable outstanding.</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held an 85% limited partnership interest in Newbury Street Partnership and Taurus held a 15% limited partnership interest and served as general partner. As general partner, Taurus was responsible for the operation and management of the properties, subject to our approval on major decisions. We evaluated the entity and determined it was not a VIE. Accordingly, given Taurus’ role as general partner, we accounted for our interest in Newbury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Street Partnership using the equity method.</w:t>
      </w:r>
    </w:p>
    <w:p>
      <w:pPr>
        <w:spacing w:after="0" w:line="160"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On October 31, 2011, our Newbury Street Partnership sold its entire portfolio of three buildings for $44.0 million. As part of the sale, we received $34.6 million of the net proceeds which included the repayment of our $11.8 million loans. Due to our earnings being recorded one quarter in arrears, we will recognize the gain on sale of $11.8 million in the first quarter 2012.</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Other than the joint venture described above and items disclosed in the Contractual Commitments Table, we have no off-balance sheet arrangements as of December 31, 2011 that are reasonably likely to have a current or future material effect on our financial condition, revenues or expenses, results of operations, liquidity, capital expenditures or capital resources.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7" w:right="2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Financing Arrangements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total debt outstanding as of December 31, 2011: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480" w:type="dxa"/>
            <w:vAlign w:val="bottom"/>
          </w:tcPr>
          <w:p>
            <w:pPr>
              <w:jc w:val="center"/>
              <w:ind w:right="47"/>
              <w:spacing w:after="0"/>
              <w:rPr>
                <w:sz w:val="20"/>
                <w:szCs w:val="20"/>
                <w:color w:val="auto"/>
              </w:rPr>
            </w:pPr>
            <w:r>
              <w:rPr>
                <w:rFonts w:ascii="Arial" w:cs="Arial" w:eastAsia="Arial" w:hAnsi="Arial"/>
                <w:sz w:val="13"/>
                <w:szCs w:val="13"/>
                <w:b w:val="1"/>
                <w:bCs w:val="1"/>
                <w:color w:val="auto"/>
                <w:w w:val="97"/>
              </w:rPr>
              <w:t>Original</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135"/>
        </w:trPr>
        <w:tc>
          <w:tcPr>
            <w:tcW w:w="4120" w:type="dxa"/>
            <w:vAlign w:val="bottom"/>
          </w:tcPr>
          <w:p>
            <w:pPr>
              <w:spacing w:after="0"/>
              <w:rPr>
                <w:sz w:val="11"/>
                <w:szCs w:val="11"/>
                <w:color w:val="auto"/>
              </w:rPr>
            </w:pPr>
          </w:p>
        </w:tc>
        <w:tc>
          <w:tcPr>
            <w:tcW w:w="148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89"/>
              </w:rPr>
              <w:t>Debt</w:t>
            </w:r>
          </w:p>
        </w:tc>
        <w:tc>
          <w:tcPr>
            <w:tcW w:w="160" w:type="dxa"/>
            <w:vAlign w:val="bottom"/>
          </w:tcPr>
          <w:p>
            <w:pPr>
              <w:spacing w:after="0"/>
              <w:rPr>
                <w:sz w:val="11"/>
                <w:szCs w:val="11"/>
                <w:color w:val="auto"/>
              </w:rPr>
            </w:pPr>
          </w:p>
        </w:tc>
        <w:tc>
          <w:tcPr>
            <w:tcW w:w="1540" w:type="dxa"/>
            <w:vAlign w:val="bottom"/>
          </w:tcPr>
          <w:p>
            <w:pPr>
              <w:jc w:val="right"/>
              <w:ind w:right="127"/>
              <w:spacing w:after="0" w:line="135" w:lineRule="exact"/>
              <w:rPr>
                <w:sz w:val="20"/>
                <w:szCs w:val="20"/>
                <w:color w:val="auto"/>
              </w:rPr>
            </w:pPr>
            <w:r>
              <w:rPr>
                <w:rFonts w:ascii="Arial" w:cs="Arial" w:eastAsia="Arial" w:hAnsi="Arial"/>
                <w:sz w:val="13"/>
                <w:szCs w:val="13"/>
                <w:b w:val="1"/>
                <w:bCs w:val="1"/>
                <w:color w:val="auto"/>
                <w:w w:val="92"/>
              </w:rPr>
              <w:t>Principal Balance as of</w:t>
            </w:r>
          </w:p>
        </w:tc>
        <w:tc>
          <w:tcPr>
            <w:tcW w:w="12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Stated Interest Rate as of</w:t>
            </w:r>
          </w:p>
        </w:tc>
        <w:tc>
          <w:tcPr>
            <w:tcW w:w="2160" w:type="dxa"/>
            <w:vAlign w:val="bottom"/>
          </w:tcPr>
          <w:p>
            <w:pPr>
              <w:spacing w:after="0"/>
              <w:rPr>
                <w:sz w:val="11"/>
                <w:szCs w:val="11"/>
                <w:color w:val="auto"/>
              </w:rPr>
            </w:pPr>
          </w:p>
        </w:tc>
      </w:tr>
      <w:tr>
        <w:trPr>
          <w:trHeight w:val="174"/>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Description of Debt</w:t>
            </w:r>
          </w:p>
        </w:tc>
        <w:tc>
          <w:tcPr>
            <w:tcW w:w="1480" w:type="dxa"/>
            <w:vAlign w:val="bottom"/>
          </w:tcPr>
          <w:p>
            <w:pPr>
              <w:jc w:val="center"/>
              <w:ind w:right="47"/>
              <w:spacing w:after="0"/>
              <w:rPr>
                <w:sz w:val="20"/>
                <w:szCs w:val="20"/>
                <w:color w:val="auto"/>
              </w:rPr>
            </w:pPr>
            <w:r>
              <w:rPr>
                <w:rFonts w:ascii="Arial" w:cs="Arial" w:eastAsia="Arial" w:hAnsi="Arial"/>
                <w:sz w:val="13"/>
                <w:szCs w:val="13"/>
                <w:b w:val="1"/>
                <w:bCs w:val="1"/>
                <w:color w:val="auto"/>
                <w:w w:val="87"/>
              </w:rPr>
              <w:t>Issued</w:t>
            </w:r>
          </w:p>
        </w:tc>
        <w:tc>
          <w:tcPr>
            <w:tcW w:w="160" w:type="dxa"/>
            <w:vAlign w:val="bottom"/>
          </w:tcPr>
          <w:p>
            <w:pPr>
              <w:spacing w:after="0"/>
              <w:rPr>
                <w:sz w:val="15"/>
                <w:szCs w:val="15"/>
                <w:color w:val="auto"/>
              </w:rPr>
            </w:pPr>
          </w:p>
        </w:tc>
        <w:tc>
          <w:tcPr>
            <w:tcW w:w="1540" w:type="dxa"/>
            <w:vAlign w:val="bottom"/>
          </w:tcPr>
          <w:p>
            <w:pPr>
              <w:jc w:val="right"/>
              <w:ind w:right="247"/>
              <w:spacing w:after="0"/>
              <w:rPr>
                <w:sz w:val="20"/>
                <w:szCs w:val="20"/>
                <w:color w:val="auto"/>
              </w:rPr>
            </w:pPr>
            <w:r>
              <w:rPr>
                <w:rFonts w:ascii="Arial" w:cs="Arial" w:eastAsia="Arial" w:hAnsi="Arial"/>
                <w:sz w:val="13"/>
                <w:szCs w:val="13"/>
                <w:b w:val="1"/>
                <w:bCs w:val="1"/>
                <w:color w:val="auto"/>
              </w:rPr>
              <w:t>December 31, 2011</w:t>
            </w:r>
          </w:p>
        </w:tc>
        <w:tc>
          <w:tcPr>
            <w:tcW w:w="12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December 31, 2011</w:t>
            </w:r>
          </w:p>
        </w:tc>
        <w:tc>
          <w:tcPr>
            <w:tcW w:w="2160" w:type="dxa"/>
            <w:vAlign w:val="bottom"/>
          </w:tcPr>
          <w:p>
            <w:pPr>
              <w:jc w:val="right"/>
              <w:ind w:right="587"/>
              <w:spacing w:after="0"/>
              <w:rPr>
                <w:sz w:val="20"/>
                <w:szCs w:val="20"/>
                <w:color w:val="auto"/>
              </w:rPr>
            </w:pPr>
            <w:r>
              <w:rPr>
                <w:rFonts w:ascii="Arial" w:cs="Arial" w:eastAsia="Arial" w:hAnsi="Arial"/>
                <w:sz w:val="13"/>
                <w:szCs w:val="13"/>
                <w:b w:val="1"/>
                <w:bCs w:val="1"/>
                <w:color w:val="auto"/>
              </w:rPr>
              <w:t>Maturity Date</w:t>
            </w:r>
          </w:p>
        </w:tc>
      </w:tr>
      <w:tr>
        <w:trPr>
          <w:trHeight w:val="226"/>
        </w:trPr>
        <w:tc>
          <w:tcPr>
            <w:tcW w:w="4120" w:type="dxa"/>
            <w:vAlign w:val="bottom"/>
          </w:tcPr>
          <w:p>
            <w:pPr>
              <w:spacing w:after="0"/>
              <w:rPr>
                <w:sz w:val="19"/>
                <w:szCs w:val="19"/>
                <w:color w:val="auto"/>
              </w:rPr>
            </w:pPr>
          </w:p>
        </w:tc>
        <w:tc>
          <w:tcPr>
            <w:tcW w:w="3180" w:type="dxa"/>
            <w:vAlign w:val="bottom"/>
            <w:tcBorders>
              <w:top w:val="single" w:sz="8" w:color="auto"/>
            </w:tcBorders>
            <w:gridSpan w:val="3"/>
          </w:tcPr>
          <w:p>
            <w:pPr>
              <w:jc w:val="right"/>
              <w:ind w:right="887"/>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r>
      <w:tr>
        <w:trPr>
          <w:trHeight w:val="23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Mortgages payable (1)</w:t>
            </w:r>
          </w:p>
        </w:tc>
        <w:tc>
          <w:tcPr>
            <w:tcW w:w="1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5"/>
                <w:szCs w:val="15"/>
                <w:i w:val="1"/>
                <w:iCs w:val="1"/>
                <w:color w:val="auto"/>
              </w:rPr>
              <w:t>Secured fixed rate</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2"/>
        </w:trPr>
        <w:tc>
          <w:tcPr>
            <w:tcW w:w="4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Courtyard Shops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7,045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July 1, 2012</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Bethesda Row</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19,993</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January 1, 2013</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Bethesda Row</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4,016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February 1, 2013</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White Marsh Plaza (2)</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9,284</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6.04%</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April 1, 2013</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Crow Canyon</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19,951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11, 2013</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Idylwood Plaza</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16,910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16,276</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June 5, 2014</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Leesburg Plaza</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29,423</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28,320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June 5, 2014</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Loehmann’s Plaza</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38,047</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36,621</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June 5, 2014</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Pentagon Row</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54,619</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52,572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June 5, 2014</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Melville Mall (3)</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22,325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September 1, 2014</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THE AVENUE at White Marsh</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56,603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 2015</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Barracks Road</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44,300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38,995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Hauppauge</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16,700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14,700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Lawrence Park</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31,400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27,640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Wildwood</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27,600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24,295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Wynnewood</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32,000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28,168</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Brick Plaza</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33,000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28,757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Plaza El Segundo</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175,000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August 5, 2017</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Rollingwood Apartments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24,050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23,236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May 1, 2019</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Shoppers’ World</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5,444</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January 31, 2021</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Montrose Crossing</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80,000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10, 2022</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Mount Vernon (4)</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13,250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10,554</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5.66%</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April 15, 2028</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Chelsea</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Acquired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7,628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15, 2031</w:t>
            </w:r>
          </w:p>
        </w:tc>
      </w:tr>
      <w:tr>
        <w:trPr>
          <w:trHeight w:val="196"/>
        </w:trPr>
        <w:tc>
          <w:tcPr>
            <w:tcW w:w="4120" w:type="dxa"/>
            <w:vAlign w:val="bottom"/>
          </w:tcPr>
          <w:p>
            <w:pPr>
              <w:ind w:left="640"/>
              <w:spacing w:after="0"/>
              <w:rPr>
                <w:sz w:val="20"/>
                <w:szCs w:val="20"/>
                <w:color w:val="auto"/>
              </w:rPr>
            </w:pPr>
            <w:r>
              <w:rPr>
                <w:rFonts w:ascii="Arial" w:cs="Arial" w:eastAsia="Arial" w:hAnsi="Arial"/>
                <w:sz w:val="15"/>
                <w:szCs w:val="15"/>
                <w:color w:val="auto"/>
              </w:rPr>
              <w:t>Subtotal</w:t>
            </w:r>
          </w:p>
        </w:tc>
        <w:tc>
          <w:tcPr>
            <w:tcW w:w="1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737,423</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6"/>
        </w:trPr>
        <w:tc>
          <w:tcPr>
            <w:tcW w:w="4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Net unamortized premium</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196"/>
        </w:trPr>
        <w:tc>
          <w:tcPr>
            <w:tcW w:w="4120" w:type="dxa"/>
            <w:vAlign w:val="bottom"/>
          </w:tcPr>
          <w:p>
            <w:pPr>
              <w:ind w:left="640"/>
              <w:spacing w:after="0"/>
              <w:rPr>
                <w:sz w:val="20"/>
                <w:szCs w:val="20"/>
                <w:color w:val="auto"/>
              </w:rPr>
            </w:pPr>
            <w:r>
              <w:rPr>
                <w:rFonts w:ascii="Arial" w:cs="Arial" w:eastAsia="Arial" w:hAnsi="Arial"/>
                <w:sz w:val="15"/>
                <w:szCs w:val="15"/>
                <w:color w:val="auto"/>
              </w:rPr>
              <w:t>Total mortgages payable</w:t>
            </w:r>
          </w:p>
        </w:tc>
        <w:tc>
          <w:tcPr>
            <w:tcW w:w="1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747,523</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0"/>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1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Notes payable</w:t>
            </w: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5"/>
                <w:szCs w:val="15"/>
                <w:i w:val="1"/>
                <w:iCs w:val="1"/>
                <w:color w:val="auto"/>
              </w:rPr>
              <w:t>Unsecured fixed rate</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2"/>
        </w:trPr>
        <w:tc>
          <w:tcPr>
            <w:tcW w:w="4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Various (5)</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15,308</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10,759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Various through 2013</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Term loan (6)</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275,000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275,000</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LIBOR + 1.45%</w:t>
            </w:r>
          </w:p>
        </w:tc>
        <w:tc>
          <w:tcPr>
            <w:tcW w:w="2160" w:type="dxa"/>
            <w:vAlign w:val="bottom"/>
          </w:tcPr>
          <w:p>
            <w:pPr>
              <w:jc w:val="right"/>
              <w:spacing w:after="0"/>
              <w:rPr>
                <w:sz w:val="20"/>
                <w:szCs w:val="20"/>
                <w:color w:val="auto"/>
              </w:rPr>
            </w:pPr>
            <w:r>
              <w:rPr>
                <w:rFonts w:ascii="Arial" w:cs="Arial" w:eastAsia="Arial" w:hAnsi="Arial"/>
                <w:sz w:val="15"/>
                <w:szCs w:val="15"/>
                <w:color w:val="auto"/>
              </w:rPr>
              <w:t>November 21, 2018</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i w:val="1"/>
                <w:iCs w:val="1"/>
                <w:color w:val="auto"/>
              </w:rPr>
              <w:t>Unsecured variable rate</w:t>
            </w: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Revolving credit facility (7)</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400,000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LIBOR + 1.15%</w:t>
            </w:r>
          </w:p>
        </w:tc>
        <w:tc>
          <w:tcPr>
            <w:tcW w:w="2160" w:type="dxa"/>
            <w:vAlign w:val="bottom"/>
          </w:tcPr>
          <w:p>
            <w:pPr>
              <w:jc w:val="right"/>
              <w:spacing w:after="0"/>
              <w:rPr>
                <w:sz w:val="20"/>
                <w:szCs w:val="20"/>
                <w:color w:val="auto"/>
              </w:rPr>
            </w:pPr>
            <w:r>
              <w:rPr>
                <w:rFonts w:ascii="Arial" w:cs="Arial" w:eastAsia="Arial" w:hAnsi="Arial"/>
                <w:sz w:val="15"/>
                <w:szCs w:val="15"/>
                <w:color w:val="auto"/>
              </w:rPr>
              <w:t>July 6, 2015</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Escondido (municipal bonds) (8)</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9,400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9,400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October 1, 2016</w:t>
            </w:r>
          </w:p>
        </w:tc>
      </w:tr>
      <w:tr>
        <w:trPr>
          <w:trHeight w:val="196"/>
        </w:trPr>
        <w:tc>
          <w:tcPr>
            <w:tcW w:w="4120" w:type="dxa"/>
            <w:vAlign w:val="bottom"/>
          </w:tcPr>
          <w:p>
            <w:pPr>
              <w:ind w:left="640"/>
              <w:spacing w:after="0"/>
              <w:rPr>
                <w:sz w:val="20"/>
                <w:szCs w:val="20"/>
                <w:color w:val="auto"/>
              </w:rPr>
            </w:pPr>
            <w:r>
              <w:rPr>
                <w:rFonts w:ascii="Arial" w:cs="Arial" w:eastAsia="Arial" w:hAnsi="Arial"/>
                <w:sz w:val="15"/>
                <w:szCs w:val="15"/>
                <w:color w:val="auto"/>
              </w:rPr>
              <w:t>Total notes payable</w:t>
            </w:r>
          </w:p>
        </w:tc>
        <w:tc>
          <w:tcPr>
            <w:tcW w:w="1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295,159</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0"/>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1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Senior notes and debentures</w:t>
            </w: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5"/>
                <w:szCs w:val="15"/>
                <w:i w:val="1"/>
                <w:iCs w:val="1"/>
                <w:color w:val="auto"/>
              </w:rPr>
              <w:t>Unsecured fixed rate</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2"/>
        </w:trPr>
        <w:tc>
          <w:tcPr>
            <w:tcW w:w="4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6.00% notes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175,000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July 15, 2012</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5.40% notes</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135,000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135,000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December 1, 2013</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5.95% notes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150,000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15, 2014</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5.65% notes</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125,000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June 1, 2016</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6.20% notes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200,000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15, 2017</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5.90% notes</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150,000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April 1, 2020</w:t>
            </w: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7.48% debentures</w:t>
            </w:r>
          </w:p>
        </w:tc>
        <w:tc>
          <w:tcPr>
            <w:tcW w:w="14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50,000</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29,200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15, 2026</w:t>
            </w:r>
          </w:p>
        </w:tc>
      </w:tr>
      <w:tr>
        <w:trPr>
          <w:trHeight w:val="216"/>
        </w:trPr>
        <w:tc>
          <w:tcPr>
            <w:tcW w:w="4120" w:type="dxa"/>
            <w:vAlign w:val="bottom"/>
          </w:tcPr>
          <w:p>
            <w:pPr>
              <w:ind w:left="340"/>
              <w:spacing w:after="0"/>
              <w:rPr>
                <w:sz w:val="20"/>
                <w:szCs w:val="20"/>
                <w:color w:val="auto"/>
              </w:rPr>
            </w:pPr>
            <w:r>
              <w:rPr>
                <w:rFonts w:ascii="Arial" w:cs="Arial" w:eastAsia="Arial" w:hAnsi="Arial"/>
                <w:sz w:val="15"/>
                <w:szCs w:val="15"/>
                <w:color w:val="auto"/>
              </w:rPr>
              <w:t>6.82% medium term notes</w:t>
            </w:r>
          </w:p>
        </w:tc>
        <w:tc>
          <w:tcPr>
            <w:tcW w:w="1480" w:type="dxa"/>
            <w:vAlign w:val="bottom"/>
          </w:tcPr>
          <w:p>
            <w:pPr>
              <w:jc w:val="right"/>
              <w:ind w:right="147"/>
              <w:spacing w:after="0"/>
              <w:rPr>
                <w:sz w:val="20"/>
                <w:szCs w:val="20"/>
                <w:color w:val="auto"/>
              </w:rPr>
            </w:pPr>
            <w:r>
              <w:rPr>
                <w:rFonts w:ascii="Arial" w:cs="Arial" w:eastAsia="Arial" w:hAnsi="Arial"/>
                <w:sz w:val="15"/>
                <w:szCs w:val="15"/>
                <w:color w:val="auto"/>
              </w:rPr>
              <w:t>40,000</w:t>
            </w: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August 1, 2027</w:t>
            </w:r>
          </w:p>
        </w:tc>
      </w:tr>
      <w:tr>
        <w:trPr>
          <w:trHeight w:val="30"/>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06"/>
        </w:trPr>
        <w:tc>
          <w:tcPr>
            <w:tcW w:w="4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Subtotal</w:t>
            </w:r>
          </w:p>
        </w:tc>
        <w:tc>
          <w:tcPr>
            <w:tcW w:w="1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1,004,200</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r>
      <w:tr>
        <w:trPr>
          <w:trHeight w:val="216"/>
        </w:trPr>
        <w:tc>
          <w:tcPr>
            <w:tcW w:w="4120" w:type="dxa"/>
            <w:vAlign w:val="bottom"/>
          </w:tcPr>
          <w:p>
            <w:pPr>
              <w:ind w:left="840"/>
              <w:spacing w:after="0"/>
              <w:rPr>
                <w:sz w:val="20"/>
                <w:szCs w:val="20"/>
                <w:color w:val="auto"/>
              </w:rPr>
            </w:pPr>
            <w:r>
              <w:rPr>
                <w:rFonts w:ascii="Arial" w:cs="Arial" w:eastAsia="Arial" w:hAnsi="Arial"/>
                <w:sz w:val="15"/>
                <w:szCs w:val="15"/>
                <w:color w:val="auto"/>
              </w:rPr>
              <w:t>Net unamortized premium</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27"/>
              <w:spacing w:after="0"/>
              <w:rPr>
                <w:sz w:val="20"/>
                <w:szCs w:val="20"/>
                <w:color w:val="auto"/>
              </w:rPr>
            </w:pPr>
            <w:r>
              <w:rPr>
                <w:rFonts w:ascii="Arial" w:cs="Arial" w:eastAsia="Arial" w:hAnsi="Arial"/>
                <w:sz w:val="15"/>
                <w:szCs w:val="15"/>
                <w:color w:val="auto"/>
              </w:rPr>
              <w:t>435</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0"/>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26"/>
        </w:trPr>
        <w:tc>
          <w:tcPr>
            <w:tcW w:w="4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senior notes and debentures</w:t>
            </w: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1,004,635</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r>
      <w:tr>
        <w:trPr>
          <w:trHeight w:val="184"/>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Capital lease obligations</w:t>
            </w:r>
          </w:p>
        </w:tc>
        <w:tc>
          <w:tcPr>
            <w:tcW w:w="1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54"/>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46"/>
        </w:trPr>
        <w:tc>
          <w:tcPr>
            <w:tcW w:w="4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Various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63,093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Various through 2106</w:t>
            </w:r>
          </w:p>
        </w:tc>
      </w:tr>
      <w:tr>
        <w:trPr>
          <w:trHeight w:val="196"/>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Total debt and capital lease obligations</w:t>
            </w:r>
          </w:p>
        </w:tc>
        <w:tc>
          <w:tcPr>
            <w:tcW w:w="14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2,110,410</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0"/>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723"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27" w:right="239" w:bottom="723" w:gutter="0" w:footer="0" w:header="0"/>
          <w:type w:val="continuous"/>
        </w:sectPr>
      </w:pPr>
    </w:p>
    <w:bookmarkStart w:id="46" w:name="page47"/>
    <w:bookmarkEnd w:id="46"/>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_____________________</w:t>
      </w:r>
    </w:p>
    <w:p>
      <w:pPr>
        <w:spacing w:after="0" w:line="62" w:lineRule="exact"/>
        <w:rPr>
          <w:sz w:val="20"/>
          <w:szCs w:val="20"/>
          <w:color w:val="auto"/>
        </w:rPr>
      </w:pPr>
    </w:p>
    <w:p>
      <w:pPr>
        <w:ind w:left="582" w:right="18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Mortgages payable do not include our 30% share ($17.2 million) of the $57.4 million debt of the partnership with a discretionary fund created and advised by ING Clarion Partners.</w:t>
      </w:r>
    </w:p>
    <w:p>
      <w:pPr>
        <w:spacing w:after="0" w:line="2" w:lineRule="exact"/>
        <w:rPr>
          <w:rFonts w:ascii="Arial" w:cs="Arial" w:eastAsia="Arial" w:hAnsi="Arial"/>
          <w:sz w:val="16"/>
          <w:szCs w:val="16"/>
          <w:color w:val="auto"/>
        </w:rPr>
      </w:pPr>
    </w:p>
    <w:p>
      <w:pPr>
        <w:ind w:left="582" w:right="6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2" w:lineRule="exact"/>
        <w:rPr>
          <w:rFonts w:ascii="Arial" w:cs="Arial" w:eastAsia="Arial" w:hAnsi="Arial"/>
          <w:sz w:val="16"/>
          <w:szCs w:val="16"/>
          <w:color w:val="auto"/>
        </w:rPr>
      </w:pPr>
    </w:p>
    <w:p>
      <w:pPr>
        <w:ind w:left="582" w:hanging="582"/>
        <w:spacing w:after="0" w:line="271"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5" w:lineRule="exact"/>
        <w:rPr>
          <w:rFonts w:ascii="Arial" w:cs="Arial" w:eastAsia="Arial" w:hAnsi="Arial"/>
          <w:sz w:val="16"/>
          <w:szCs w:val="16"/>
          <w:color w:val="auto"/>
        </w:rPr>
      </w:pPr>
    </w:p>
    <w:p>
      <w:pPr>
        <w:ind w:left="582" w:right="4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interest rate is fixed at 5.66% for the first ten years and then will be reset to a market rate in 2013. The lender has the option to call the loan on April 15, 2013 or any time thereafter.</w:t>
      </w:r>
    </w:p>
    <w:p>
      <w:pPr>
        <w:spacing w:after="0" w:line="2" w:lineRule="exact"/>
        <w:rPr>
          <w:rFonts w:ascii="Arial" w:cs="Arial" w:eastAsia="Arial" w:hAnsi="Arial"/>
          <w:sz w:val="16"/>
          <w:szCs w:val="16"/>
          <w:color w:val="auto"/>
        </w:rPr>
      </w:pPr>
    </w:p>
    <w:p>
      <w:pPr>
        <w:ind w:left="582" w:right="14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interest rate of 3.27% represents the weighted average interest rate for three unsecured fixed rate notes payable. These notes mature between April 1, 2012 and January 31, 2013.</w:t>
      </w:r>
    </w:p>
    <w:p>
      <w:pPr>
        <w:spacing w:after="0" w:line="2" w:lineRule="exact"/>
        <w:rPr>
          <w:rFonts w:ascii="Arial" w:cs="Arial" w:eastAsia="Arial" w:hAnsi="Arial"/>
          <w:sz w:val="16"/>
          <w:szCs w:val="16"/>
          <w:color w:val="auto"/>
        </w:rPr>
      </w:pPr>
    </w:p>
    <w:p>
      <w:pPr>
        <w:ind w:left="582" w:right="66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entered into two interest rate swap agreements to fix the variable rate portion of our $275.0 million term loan at 1.72% from December 1, 2011 through November 1, 2018. The swap agreements effectively fix the rate on the term loan at 3.17%.</w:t>
      </w:r>
    </w:p>
    <w:p>
      <w:pPr>
        <w:spacing w:after="0" w:line="2" w:lineRule="exact"/>
        <w:rPr>
          <w:rFonts w:ascii="Arial" w:cs="Arial" w:eastAsia="Arial" w:hAnsi="Arial"/>
          <w:sz w:val="16"/>
          <w:szCs w:val="16"/>
          <w:color w:val="auto"/>
        </w:rPr>
      </w:pPr>
    </w:p>
    <w:p>
      <w:pPr>
        <w:ind w:left="582" w:right="38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2011 was $265.0 million and the weighted average effective interest rate on borrowings under our revolving credit facility, before amortization of debt fees, was 0.96%.</w:t>
      </w:r>
    </w:p>
    <w:p>
      <w:pPr>
        <w:spacing w:after="0" w:line="2" w:lineRule="exact"/>
        <w:rPr>
          <w:rFonts w:ascii="Arial" w:cs="Arial" w:eastAsia="Arial" w:hAnsi="Arial"/>
          <w:sz w:val="16"/>
          <w:szCs w:val="16"/>
          <w:color w:val="auto"/>
        </w:rPr>
      </w:pPr>
    </w:p>
    <w:p>
      <w:pPr>
        <w:ind w:left="582" w:right="140" w:hanging="582"/>
        <w:spacing w:after="0" w:line="287" w:lineRule="auto"/>
        <w:tabs>
          <w:tab w:leader="none" w:pos="5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revolving credit facility, term loan and other debt agreements include financial and other covenants that may limit our operating activities in the future. As of</w:t>
      </w:r>
    </w:p>
    <w:p>
      <w:pPr>
        <w:spacing w:after="0" w:line="24" w:lineRule="exact"/>
        <w:rPr>
          <w:sz w:val="20"/>
          <w:szCs w:val="20"/>
          <w:color w:val="auto"/>
        </w:rPr>
      </w:pPr>
    </w:p>
    <w:p>
      <w:pPr>
        <w:ind w:left="2"/>
        <w:spacing w:after="0" w:line="280" w:lineRule="auto"/>
        <w:rPr>
          <w:sz w:val="20"/>
          <w:szCs w:val="20"/>
          <w:color w:val="auto"/>
        </w:rPr>
      </w:pPr>
      <w:r>
        <w:rPr>
          <w:rFonts w:ascii="Arial" w:cs="Arial" w:eastAsia="Arial" w:hAnsi="Arial"/>
          <w:sz w:val="15"/>
          <w:szCs w:val="15"/>
          <w:color w:val="auto"/>
        </w:rPr>
        <w:t>December 31, 2011,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our scheduled principal repayments as of December 31, 2011:</w:t>
      </w:r>
    </w:p>
    <w:p>
      <w:pPr>
        <w:spacing w:after="0" w:line="385"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Unsecured</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Secured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Capital Lease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185,729</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18,444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205,690</w:t>
            </w: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6"/>
                <w:szCs w:val="16"/>
                <w:color w:val="auto"/>
              </w:rPr>
              <w:t>2013</w:t>
            </w:r>
          </w:p>
        </w:tc>
        <w:tc>
          <w:tcPr>
            <w:tcW w:w="2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135,030</w:t>
            </w:r>
          </w:p>
        </w:tc>
        <w:tc>
          <w:tcPr>
            <w:tcW w:w="440" w:type="dxa"/>
            <w:vAlign w:val="bottom"/>
          </w:tcPr>
          <w:p>
            <w:pPr>
              <w:jc w:val="right"/>
              <w:ind w:right="158"/>
              <w:spacing w:after="0"/>
              <w:rPr>
                <w:sz w:val="20"/>
                <w:szCs w:val="20"/>
                <w:color w:val="auto"/>
              </w:rPr>
            </w:pPr>
            <w:r>
              <w:rPr>
                <w:rFonts w:ascii="Arial" w:cs="Arial" w:eastAsia="Arial" w:hAnsi="Arial"/>
                <w:sz w:val="16"/>
                <w:szCs w:val="16"/>
                <w:color w:val="auto"/>
                <w:w w:val="91"/>
              </w:rPr>
              <w:t>(1)</w:t>
            </w:r>
          </w:p>
        </w:tc>
        <w:tc>
          <w:tcPr>
            <w:tcW w:w="28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73,521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210,175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150,000</w:t>
            </w:r>
          </w:p>
        </w:tc>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157,838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309,579</w:t>
            </w: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8"/>
              <w:spacing w:after="0"/>
              <w:rPr>
                <w:sz w:val="20"/>
                <w:szCs w:val="20"/>
                <w:color w:val="auto"/>
              </w:rPr>
            </w:pPr>
            <w:r>
              <w:rPr>
                <w:rFonts w:ascii="Arial" w:cs="Arial" w:eastAsia="Arial" w:hAnsi="Arial"/>
                <w:sz w:val="16"/>
                <w:szCs w:val="16"/>
                <w:color w:val="auto"/>
                <w:w w:val="91"/>
              </w:rPr>
              <w:t>(2)</w:t>
            </w:r>
          </w:p>
        </w:tc>
        <w:tc>
          <w:tcPr>
            <w:tcW w:w="28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204,936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206,803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134,400</w:t>
            </w:r>
          </w:p>
        </w:tc>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138,923</w:t>
            </w: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694,200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280,163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54,342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1,028,705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1,299,359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737,423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63,093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2,099,875</w:t>
            </w: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2" w:right="400" w:hanging="582"/>
        <w:spacing w:after="0" w:line="287"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has the option to call the loan on April 15, 2013 or any time thereafter.</w:t>
      </w:r>
    </w:p>
    <w:p>
      <w:pPr>
        <w:spacing w:after="0" w:line="2" w:lineRule="exact"/>
        <w:rPr>
          <w:rFonts w:ascii="Arial" w:cs="Arial" w:eastAsia="Arial" w:hAnsi="Arial"/>
          <w:sz w:val="16"/>
          <w:szCs w:val="16"/>
          <w:color w:val="auto"/>
        </w:rPr>
      </w:pPr>
    </w:p>
    <w:p>
      <w:pPr>
        <w:ind w:left="582" w:right="280" w:hanging="582"/>
        <w:spacing w:after="0" w:line="287"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$400.0 million revolving credit facility matures on July 6, 2015, subject to a one-year extension at our option. As of December 31, 2011, there was $0 drawn under this credit facility.</w:t>
      </w:r>
    </w:p>
    <w:p>
      <w:pPr>
        <w:spacing w:after="0" w:line="2" w:lineRule="exact"/>
        <w:rPr>
          <w:rFonts w:ascii="Arial" w:cs="Arial" w:eastAsia="Arial" w:hAnsi="Arial"/>
          <w:sz w:val="16"/>
          <w:szCs w:val="16"/>
          <w:color w:val="auto"/>
        </w:rPr>
      </w:pPr>
    </w:p>
    <w:p>
      <w:pPr>
        <w:ind w:left="582" w:right="40" w:hanging="582"/>
        <w:spacing w:after="0" w:line="287" w:lineRule="auto"/>
        <w:tabs>
          <w:tab w:leader="none" w:pos="58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or discount on certain mortgage loans, senior notes and debentures as of December 31, 2011.</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2"/>
          </w:cols>
          <w:pgMar w:left="238" w:top="127" w:right="2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Hedging</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3"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9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November 2011, we entered into two interest rate swap agreements to fix the variable rate portion of our $275.0 million term loan at 1.72% from December 1, 2011 through November 1, 2018. The swap agreements effectively fixed the rate on the term loan at 3.17%. Both swaps were designated and qualified as cash flow hedges and were recorded at fair value. Hedge ineffectiveness did not impact earnings in 2011, and we do not anticipate it will have a significant effect in the future. We had no derivative instruments outstanding during 2010 and 2009.</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REIT Qualification</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Funds From Operations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4" w:lineRule="exact"/>
        <w:rPr>
          <w:sz w:val="20"/>
          <w:szCs w:val="20"/>
          <w:color w:val="auto"/>
        </w:rPr>
      </w:pPr>
    </w:p>
    <w:p>
      <w:pPr>
        <w:ind w:left="1540" w:right="800" w:hanging="731"/>
        <w:spacing w:after="0" w:line="287" w:lineRule="auto"/>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does not represent cash flows from operating activities in accordance with GAAP (which, unlike FFO, generally reflects all cash effects of transactions and other events in the determination of net income);</w:t>
      </w:r>
    </w:p>
    <w:p>
      <w:pPr>
        <w:spacing w:after="0" w:line="2" w:lineRule="exact"/>
        <w:rPr>
          <w:rFonts w:ascii="Arial" w:cs="Arial" w:eastAsia="Arial" w:hAnsi="Arial"/>
          <w:sz w:val="16"/>
          <w:szCs w:val="16"/>
          <w:color w:val="auto"/>
        </w:rPr>
      </w:pPr>
    </w:p>
    <w:p>
      <w:pPr>
        <w:ind w:left="1540" w:hanging="731"/>
        <w:spacing w:after="0"/>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should not be considered an alternative to net income as an indication of our performance; and</w:t>
      </w:r>
    </w:p>
    <w:p>
      <w:pPr>
        <w:spacing w:after="0" w:line="61" w:lineRule="exact"/>
        <w:rPr>
          <w:rFonts w:ascii="Arial" w:cs="Arial" w:eastAsia="Arial" w:hAnsi="Arial"/>
          <w:sz w:val="16"/>
          <w:szCs w:val="16"/>
          <w:color w:val="auto"/>
        </w:rPr>
      </w:pPr>
    </w:p>
    <w:p>
      <w:pPr>
        <w:ind w:left="1540" w:hanging="731"/>
        <w:spacing w:after="0"/>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60"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18"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Included below is a reconciliation of net income to FFO available for common shareholders. As further discussed in Note 9 to the consolidated financial statements, net income for 2010 and 2009 includes certain charges related to the litigation and appeal process over a parcel of land adjacent to Santana Row as well as adjusting the accrual for such litigation matter. Management believes FFO excluding this litigation provision provides a more meaningful evaluation of operations; while litigation is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7" w:right="239" w:bottom="1440" w:gutter="0" w:footer="0" w:header="0"/>
        </w:sectPr>
      </w:pPr>
    </w:p>
    <w:bookmarkStart w:id="48" w:name="page49"/>
    <w:bookmarkEnd w:id="48"/>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left="2"/>
        <w:spacing w:after="0"/>
        <w:rPr>
          <w:sz w:val="20"/>
          <w:szCs w:val="20"/>
          <w:color w:val="auto"/>
        </w:rPr>
      </w:pPr>
      <w:r>
        <w:rPr>
          <w:rFonts w:ascii="Arial" w:cs="Arial" w:eastAsia="Arial" w:hAnsi="Arial"/>
          <w:sz w:val="16"/>
          <w:szCs w:val="16"/>
          <w:color w:val="auto"/>
        </w:rPr>
        <w:t>unusual, we believe the premise of the underlying litigation matter (see Note 9 for discussion) warrants presentation of FFO excluding the related charges.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reconciliation of net income to FFO available for common shareholders and to FFO available to common shareholders excluding the litigation provision is as follows:</w:t>
      </w:r>
    </w:p>
    <w:p>
      <w:pPr>
        <w:spacing w:after="0" w:line="336"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149,612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128,237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103,872</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Gain on deconsolidation of VIE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 of real estate assets</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107,187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103,104</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Amortization of initial direct costs of leases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9,821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of joint venture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12"/>
        </w:trPr>
        <w:tc>
          <w:tcPr>
            <w:tcW w:w="7100" w:type="dxa"/>
            <w:vAlign w:val="bottom"/>
          </w:tcPr>
          <w:p>
            <w:pPr>
              <w:ind w:left="340"/>
              <w:spacing w:after="0"/>
              <w:rPr>
                <w:sz w:val="20"/>
                <w:szCs w:val="20"/>
                <w:color w:val="auto"/>
              </w:rPr>
            </w:pPr>
            <w:r>
              <w:rPr>
                <w:rFonts w:ascii="Arial" w:cs="Arial" w:eastAsia="Arial" w:hAnsi="Arial"/>
                <w:sz w:val="16"/>
                <w:szCs w:val="16"/>
                <w:color w:val="auto"/>
              </w:rPr>
              <w:t>Funds from operations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252,207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239,618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211,319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on preferred shares</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Income attributable to operating partnership units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attributable to unvested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2"/>
        </w:trPr>
        <w:tc>
          <w:tcPr>
            <w:tcW w:w="7100" w:type="dxa"/>
            <w:vAlign w:val="bottom"/>
          </w:tcPr>
          <w:p>
            <w:pPr>
              <w:ind w:left="340"/>
              <w:spacing w:after="0"/>
              <w:rPr>
                <w:sz w:val="20"/>
                <w:szCs w:val="20"/>
                <w:color w:val="auto"/>
              </w:rPr>
            </w:pPr>
            <w:r>
              <w:rPr>
                <w:rFonts w:ascii="Arial" w:cs="Arial" w:eastAsia="Arial" w:hAnsi="Arial"/>
                <w:sz w:val="16"/>
                <w:szCs w:val="16"/>
                <w:color w:val="auto"/>
              </w:rPr>
              <w:t>Funds from operations available for common shareholders</w:t>
            </w: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251,576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239,210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211,065</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Litigation provision, net of allocation to unvested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16,301</w:t>
            </w:r>
          </w:p>
        </w:tc>
        <w:tc>
          <w:tcPr>
            <w:tcW w:w="0" w:type="dxa"/>
            <w:vAlign w:val="bottom"/>
          </w:tcPr>
          <w:p>
            <w:pPr>
              <w:spacing w:after="0"/>
              <w:rPr>
                <w:sz w:val="1"/>
                <w:szCs w:val="1"/>
                <w:color w:val="auto"/>
              </w:rPr>
            </w:pPr>
          </w:p>
        </w:tc>
      </w:tr>
      <w:tr>
        <w:trPr>
          <w:trHeight w:val="212"/>
        </w:trPr>
        <w:tc>
          <w:tcPr>
            <w:tcW w:w="7100" w:type="dxa"/>
            <w:vAlign w:val="bottom"/>
          </w:tcPr>
          <w:p>
            <w:pPr>
              <w:ind w:left="340"/>
              <w:spacing w:after="0"/>
              <w:rPr>
                <w:sz w:val="20"/>
                <w:szCs w:val="20"/>
                <w:color w:val="auto"/>
              </w:rPr>
            </w:pPr>
            <w:r>
              <w:rPr>
                <w:rFonts w:ascii="Arial" w:cs="Arial" w:eastAsia="Arial" w:hAnsi="Arial"/>
                <w:sz w:val="16"/>
                <w:szCs w:val="16"/>
                <w:color w:val="auto"/>
              </w:rPr>
              <w:t>Funds from operations available for common shareholders excluding litigation provision</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251,576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239,539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227,366</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Weighted average number of common shares, diluted (1)</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60,201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Funds from operations available for common shareholders, per diluted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7"/>
                <w:szCs w:val="17"/>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Litigation provision per diluted share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w w:val="94"/>
              </w:rPr>
              <w:t>Funds from operations available for common shareholders excluding litigation provision, per diluted share</w:t>
            </w: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6"/>
        </w:trPr>
        <w:tc>
          <w:tcPr>
            <w:tcW w:w="71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2" w:hanging="582"/>
        <w:spacing w:after="0" w:line="271" w:lineRule="auto"/>
        <w:tabs>
          <w:tab w:leader="none" w:pos="5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380"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90" w:lineRule="exact"/>
        <w:rPr>
          <w:sz w:val="20"/>
          <w:szCs w:val="20"/>
          <w:color w:val="auto"/>
        </w:rPr>
      </w:pPr>
    </w:p>
    <w:p>
      <w:pPr>
        <w:ind w:left="2" w:right="120"/>
        <w:spacing w:after="0" w:line="266"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8" w:lineRule="exact"/>
        <w:rPr>
          <w:sz w:val="20"/>
          <w:szCs w:val="20"/>
          <w:color w:val="auto"/>
        </w:rPr>
      </w:pPr>
    </w:p>
    <w:p>
      <w:pPr>
        <w:ind w:left="2" w:right="40"/>
        <w:spacing w:after="0" w:line="266" w:lineRule="auto"/>
        <w:rPr>
          <w:sz w:val="20"/>
          <w:szCs w:val="20"/>
          <w:color w:val="auto"/>
        </w:rPr>
      </w:pPr>
      <w:r>
        <w:rPr>
          <w:rFonts w:ascii="Arial" w:cs="Arial" w:eastAsia="Arial" w:hAnsi="Arial"/>
          <w:sz w:val="16"/>
          <w:szCs w:val="16"/>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2011, we were party to two interest rate swap agreements to fix the variable rate portion of our $275.0 million term loan at 1.72% from December 1, 2011 through November 1, 2018.</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Interest Rate Risk</w:t>
      </w:r>
    </w:p>
    <w:p>
      <w:pPr>
        <w:spacing w:after="0" w:line="90" w:lineRule="exact"/>
        <w:rPr>
          <w:sz w:val="20"/>
          <w:szCs w:val="20"/>
          <w:color w:val="auto"/>
        </w:rPr>
      </w:pPr>
    </w:p>
    <w:p>
      <w:pPr>
        <w:ind w:left="2" w:right="20"/>
        <w:spacing w:after="0" w:line="271"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2"/>
          </w:cols>
          <w:pgMar w:left="238" w:top="127" w:right="2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Fixed Interest Rate Debt</w:t>
      </w:r>
    </w:p>
    <w:p>
      <w:pPr>
        <w:spacing w:after="0" w:line="86"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December 31, 2011, we had $2.1 billion of fixed-rate debt outstanding, including our $275.0 million term loan as the rate is effectively fixed by two interest rate swap agreements, and $63.1 million of capital lease obligations. If market interest rates used to calculate the fair value on our fixed-rate debt instruments at December 31, 2011 had been 1.0% higher, the fair value of those debt instruments on that date would have decreased by approximately $69.1 million. If market interest rates used to calculate the fair value on our fixed-rate debt instruments at December 31, 2011 had been 1.0% lower, the fair value of those debt instruments on that date would have increased by approximately $73.5 million.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Variable Interest Rate Debt</w:t>
      </w:r>
    </w:p>
    <w:p>
      <w:pPr>
        <w:spacing w:after="0" w:line="8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Generally, we believe that our primary interest rate risk is due to fluctuations in interest rates on our variable rate debt. At December 31, 2011, we had $9.4 million of variable rate debt outstanding which consisted of municipal bonds. Our revolving credit facility had no outstanding balance as of December 31, 2011.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37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8.</w:t>
        <w:tab/>
        <w:t>FINANCIAL STATEMENTS AND SUPPLEMENTARY DATA</w:t>
      </w:r>
    </w:p>
    <w:p>
      <w:pPr>
        <w:spacing w:after="0" w:line="90"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Our consolidated financial statements and supplementary data are included as a separate section of this Annual Report on Form 10-K commencing on page F-1 and are incorporated herein by reference.</w:t>
      </w:r>
    </w:p>
    <w:p>
      <w:pPr>
        <w:spacing w:after="0" w:line="170" w:lineRule="exact"/>
        <w:rPr>
          <w:sz w:val="20"/>
          <w:szCs w:val="20"/>
          <w:color w:val="auto"/>
        </w:rPr>
      </w:pPr>
    </w:p>
    <w:p>
      <w:pPr>
        <w:ind w:right="2020"/>
        <w:spacing w:after="0" w:line="388" w:lineRule="auto"/>
        <w:rPr>
          <w:sz w:val="20"/>
          <w:szCs w:val="20"/>
          <w:color w:val="auto"/>
        </w:rPr>
      </w:pPr>
      <w:r>
        <w:rPr>
          <w:rFonts w:ascii="Arial" w:cs="Arial" w:eastAsia="Arial" w:hAnsi="Arial"/>
          <w:sz w:val="16"/>
          <w:szCs w:val="16"/>
          <w:b w:val="1"/>
          <w:bCs w:val="1"/>
          <w:color w:val="auto"/>
        </w:rPr>
        <w:t xml:space="preserve">ITEM 9. CHANGES IN AND DISAGREEMENTS WITH ACCOUNTANTS ON ACCOUNTING AND FINANCIAL DISCLOSURE </w:t>
      </w:r>
      <w:r>
        <w:rPr>
          <w:rFonts w:ascii="Arial" w:cs="Arial" w:eastAsia="Arial" w:hAnsi="Arial"/>
          <w:sz w:val="16"/>
          <w:szCs w:val="16"/>
          <w:color w:val="auto"/>
        </w:rPr>
        <w:t>None.</w:t>
      </w:r>
    </w:p>
    <w:p>
      <w:pPr>
        <w:spacing w:after="0" w:line="9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Assessment</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carried out an assessment as of December 31, 2011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Executive Officer and Principal Financial Officer Certifications</w:t>
      </w:r>
    </w:p>
    <w:p>
      <w:pPr>
        <w:spacing w:after="0" w:line="9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such as this report on Form 10-K, is recorded, processed, summarized and reported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within the time periods specified in the SEC’s rules and forms, and that such information is accumulated and communicated to our management, including our President and Chief Executive Officer and Senior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Senior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3" w:lineRule="exact"/>
        <w:rPr>
          <w:sz w:val="20"/>
          <w:szCs w:val="20"/>
          <w:color w:val="auto"/>
        </w:rPr>
      </w:pPr>
    </w:p>
    <w:p>
      <w:pPr>
        <w:ind w:left="580" w:hanging="28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 w:lineRule="exact"/>
        <w:rPr>
          <w:rFonts w:ascii="Arial" w:cs="Arial" w:eastAsia="Arial" w:hAnsi="Arial"/>
          <w:sz w:val="16"/>
          <w:szCs w:val="16"/>
          <w:color w:val="auto"/>
        </w:rPr>
      </w:pPr>
    </w:p>
    <w:p>
      <w:pPr>
        <w:ind w:left="580" w:right="600" w:hanging="287"/>
        <w:spacing w:after="0" w:line="292"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4"/>
          <w:szCs w:val="14"/>
          <w:color w:val="auto"/>
        </w:rPr>
      </w:pPr>
    </w:p>
    <w:p>
      <w:pPr>
        <w:ind w:left="580" w:hanging="287"/>
        <w:spacing w:after="0" w:line="272"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9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Scope of the Evaluations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2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27" w:right="2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Periodic Evaluation and Conclusion of Disclosure Controls and Procedures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Periodic Evaluation and Conclusion of Internal Control over Financial Reporting</w:t>
      </w:r>
    </w:p>
    <w:p>
      <w:pPr>
        <w:spacing w:after="0" w:line="90"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Our Management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Our management has issued a report on its assessment of the Trust’s internal control over financial reporting, which appears on page F-2 of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Our Independent Registered Public Accounting Firm</w:t>
      </w:r>
    </w:p>
    <w:p>
      <w:pPr>
        <w:spacing w:after="0" w:line="90"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90"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There was no change in our internal control over financial reporting during our fourth fiscal quarter of 2011 that materially affected, or is reasonably likely to materially affect, our internal control over financial reporting.</w:t>
      </w:r>
    </w:p>
    <w:p>
      <w:pPr>
        <w:spacing w:after="0" w:line="36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48"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color w:val="auto"/>
        </w:rPr>
        <w:t>Certain information required in Part III is omitted from this Report but is incorporated herein by reference from our Proxy Statement for the 2012 Annual Meeting of Shareholders (as amended or supplemented, the “Proxy Statement”).</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TRUSTEES, EXECUTIVE OFFICERS AND CORPORATE GOVERNANCE</w:t>
      </w:r>
    </w:p>
    <w:p>
      <w:pPr>
        <w:spacing w:after="0" w:line="90"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The tables and narrative in the Proxy Statement identifying our Trustees and Board committees under the caption “Election of Trustees” and “Corporate Governance”, the sections of the Proxy Statement entitled “Executive Officers” and “Section 16(a)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7" w:right="239" w:bottom="1440" w:gutter="0" w:footer="0" w:header="0"/>
        </w:sectPr>
      </w:pPr>
    </w:p>
    <w:bookmarkStart w:id="52" w:name="page53"/>
    <w:bookmarkEnd w:id="52"/>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left="2"/>
        <w:spacing w:after="0"/>
        <w:rPr>
          <w:sz w:val="20"/>
          <w:szCs w:val="20"/>
          <w:color w:val="auto"/>
        </w:rPr>
      </w:pPr>
      <w:r>
        <w:rPr>
          <w:rFonts w:ascii="Arial" w:cs="Arial" w:eastAsia="Arial" w:hAnsi="Arial"/>
          <w:sz w:val="15"/>
          <w:szCs w:val="15"/>
          <w:color w:val="auto"/>
        </w:rPr>
        <w:t>Beneficial Ownership Reporting Compliance” and other information included in the Proxy Statement required by this Item 10 are incorporated herein by reference.</w:t>
      </w:r>
    </w:p>
    <w:p>
      <w:pPr>
        <w:spacing w:after="0" w:line="171" w:lineRule="exact"/>
        <w:rPr>
          <w:sz w:val="20"/>
          <w:szCs w:val="20"/>
          <w:color w:val="auto"/>
        </w:rPr>
      </w:pPr>
    </w:p>
    <w:p>
      <w:pPr>
        <w:ind w:left="2" w:right="520"/>
        <w:spacing w:after="0" w:line="287" w:lineRule="auto"/>
        <w:rPr>
          <w:sz w:val="20"/>
          <w:szCs w:val="20"/>
          <w:color w:val="auto"/>
        </w:rPr>
      </w:pPr>
      <w:r>
        <w:rPr>
          <w:rFonts w:ascii="Arial" w:cs="Arial" w:eastAsia="Arial" w:hAnsi="Arial"/>
          <w:sz w:val="16"/>
          <w:szCs w:val="16"/>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6"/>
          <w:szCs w:val="16"/>
          <w:i w:val="1"/>
          <w:iCs w:val="1"/>
          <w:color w:val="auto"/>
        </w:rPr>
        <w:t>www.federalrealty.com</w:t>
      </w:r>
      <w:r>
        <w:rPr>
          <w:rFonts w:ascii="Arial" w:cs="Arial" w:eastAsia="Arial" w:hAnsi="Arial"/>
          <w:sz w:val="16"/>
          <w:szCs w:val="16"/>
          <w:color w:val="auto"/>
        </w:rPr>
        <w:t>.</w:t>
      </w:r>
    </w:p>
    <w:p>
      <w:pPr>
        <w:spacing w:after="0" w:line="170" w:lineRule="exact"/>
        <w:rPr>
          <w:sz w:val="20"/>
          <w:szCs w:val="20"/>
          <w:color w:val="auto"/>
        </w:rPr>
      </w:pPr>
    </w:p>
    <w:p>
      <w:pPr>
        <w:ind w:left="2"/>
        <w:spacing w:after="0"/>
        <w:tabs>
          <w:tab w:leader="none" w:pos="821"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90" w:lineRule="exact"/>
        <w:rPr>
          <w:sz w:val="20"/>
          <w:szCs w:val="20"/>
          <w:color w:val="auto"/>
        </w:rPr>
      </w:pPr>
    </w:p>
    <w:p>
      <w:pPr>
        <w:ind w:left="2"/>
        <w:spacing w:after="0" w:line="271" w:lineRule="auto"/>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183" w:lineRule="exact"/>
        <w:rPr>
          <w:sz w:val="20"/>
          <w:szCs w:val="20"/>
          <w:color w:val="auto"/>
        </w:rPr>
      </w:pPr>
    </w:p>
    <w:p>
      <w:pPr>
        <w:ind w:left="2"/>
        <w:spacing w:after="0"/>
        <w:tabs>
          <w:tab w:leader="none" w:pos="821"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SHAREHOLDER MATTERS</w:t>
      </w:r>
    </w:p>
    <w:p>
      <w:pPr>
        <w:spacing w:after="0" w:line="90" w:lineRule="exact"/>
        <w:rPr>
          <w:sz w:val="20"/>
          <w:szCs w:val="20"/>
          <w:color w:val="auto"/>
        </w:rPr>
      </w:pPr>
    </w:p>
    <w:p>
      <w:pPr>
        <w:ind w:left="2" w:right="400"/>
        <w:spacing w:after="0" w:line="287" w:lineRule="auto"/>
        <w:rPr>
          <w:sz w:val="20"/>
          <w:szCs w:val="20"/>
          <w:color w:val="auto"/>
        </w:rPr>
      </w:pPr>
      <w:r>
        <w:rPr>
          <w:rFonts w:ascii="Arial" w:cs="Arial" w:eastAsia="Arial" w:hAnsi="Arial"/>
          <w:sz w:val="16"/>
          <w:szCs w:val="16"/>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70" w:lineRule="exact"/>
        <w:rPr>
          <w:sz w:val="20"/>
          <w:szCs w:val="20"/>
          <w:color w:val="auto"/>
        </w:rPr>
      </w:pPr>
    </w:p>
    <w:p>
      <w:pPr>
        <w:ind w:left="2"/>
        <w:spacing w:after="0"/>
        <w:tabs>
          <w:tab w:leader="none" w:pos="821" w:val="left"/>
        </w:tabs>
        <w:rPr>
          <w:sz w:val="20"/>
          <w:szCs w:val="20"/>
          <w:color w:val="auto"/>
        </w:rPr>
      </w:pPr>
      <w:r>
        <w:rPr>
          <w:rFonts w:ascii="Arial" w:cs="Arial" w:eastAsia="Arial" w:hAnsi="Arial"/>
          <w:sz w:val="16"/>
          <w:szCs w:val="16"/>
          <w:b w:val="1"/>
          <w:bCs w:val="1"/>
          <w:color w:val="auto"/>
        </w:rPr>
        <w:t>ITEM 13.</w:t>
        <w:tab/>
        <w:t>CERTAIN RELATIONSHIPS AND RELATED TRANSACTIONS, AND TRUSTEE INDEPENDENCE</w:t>
      </w:r>
    </w:p>
    <w:p>
      <w:pPr>
        <w:spacing w:after="0" w:line="90" w:lineRule="exact"/>
        <w:rPr>
          <w:sz w:val="20"/>
          <w:szCs w:val="20"/>
          <w:color w:val="auto"/>
        </w:rPr>
      </w:pPr>
    </w:p>
    <w:p>
      <w:pPr>
        <w:ind w:left="2" w:right="80"/>
        <w:spacing w:after="0" w:line="287" w:lineRule="auto"/>
        <w:rPr>
          <w:sz w:val="20"/>
          <w:szCs w:val="20"/>
          <w:color w:val="auto"/>
        </w:rPr>
      </w:pPr>
      <w:r>
        <w:rPr>
          <w:rFonts w:ascii="Arial" w:cs="Arial" w:eastAsia="Arial" w:hAnsi="Arial"/>
          <w:sz w:val="16"/>
          <w:szCs w:val="16"/>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70" w:lineRule="exact"/>
        <w:rPr>
          <w:sz w:val="20"/>
          <w:szCs w:val="20"/>
          <w:color w:val="auto"/>
        </w:rPr>
      </w:pPr>
    </w:p>
    <w:p>
      <w:pPr>
        <w:ind w:left="2"/>
        <w:spacing w:after="0"/>
        <w:tabs>
          <w:tab w:leader="none" w:pos="821" w:val="left"/>
        </w:tabs>
        <w:rPr>
          <w:sz w:val="20"/>
          <w:szCs w:val="20"/>
          <w:color w:val="auto"/>
        </w:rPr>
      </w:pPr>
      <w:r>
        <w:rPr>
          <w:rFonts w:ascii="Arial" w:cs="Arial" w:eastAsia="Arial" w:hAnsi="Arial"/>
          <w:sz w:val="16"/>
          <w:szCs w:val="16"/>
          <w:b w:val="1"/>
          <w:bCs w:val="1"/>
          <w:color w:val="auto"/>
        </w:rPr>
        <w:t>ITEM 14.</w:t>
        <w:tab/>
        <w:t>PRINCIPAL ACCOUNTANT FEES AND SERVICES</w:t>
      </w:r>
    </w:p>
    <w:p>
      <w:pPr>
        <w:spacing w:after="0" w:line="90" w:lineRule="exact"/>
        <w:rPr>
          <w:sz w:val="20"/>
          <w:szCs w:val="20"/>
          <w:color w:val="auto"/>
        </w:rPr>
      </w:pPr>
    </w:p>
    <w:p>
      <w:pPr>
        <w:ind w:left="2" w:right="420"/>
        <w:spacing w:after="0" w:line="287"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19" w:lineRule="exact"/>
        <w:rPr>
          <w:sz w:val="20"/>
          <w:szCs w:val="20"/>
          <w:color w:val="auto"/>
        </w:rPr>
      </w:pPr>
    </w:p>
    <w:p>
      <w:pPr>
        <w:jc w:val="center"/>
        <w:ind w:right="-161"/>
        <w:spacing w:after="0"/>
        <w:rPr>
          <w:sz w:val="20"/>
          <w:szCs w:val="20"/>
          <w:color w:val="auto"/>
        </w:rPr>
      </w:pPr>
      <w:r>
        <w:rPr>
          <w:rFonts w:ascii="Arial" w:cs="Arial" w:eastAsia="Arial" w:hAnsi="Arial"/>
          <w:sz w:val="16"/>
          <w:szCs w:val="16"/>
          <w:b w:val="1"/>
          <w:bCs w:val="1"/>
          <w:color w:val="auto"/>
        </w:rPr>
        <w:t>PART IV</w:t>
      </w:r>
    </w:p>
    <w:p>
      <w:pPr>
        <w:spacing w:after="0" w:line="160" w:lineRule="exact"/>
        <w:rPr>
          <w:sz w:val="20"/>
          <w:szCs w:val="20"/>
          <w:color w:val="auto"/>
        </w:rPr>
      </w:pPr>
    </w:p>
    <w:p>
      <w:pPr>
        <w:ind w:left="2"/>
        <w:spacing w:after="0"/>
        <w:tabs>
          <w:tab w:leader="none" w:pos="821"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8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(a)(1) Financial Statements</w:t>
      </w:r>
    </w:p>
    <w:p>
      <w:pPr>
        <w:spacing w:after="0" w:line="90" w:lineRule="exact"/>
        <w:rPr>
          <w:sz w:val="20"/>
          <w:szCs w:val="20"/>
          <w:color w:val="auto"/>
        </w:rPr>
      </w:pPr>
    </w:p>
    <w:p>
      <w:pPr>
        <w:ind w:left="2" w:right="360"/>
        <w:spacing w:after="0" w:line="287"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F-1.</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 Financial Statement Schedules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financial statement schedules are included in a separate section of this Annual Report on Form 10-K commencing on page F-32.</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(3) Exhibits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5"/>
          <w:szCs w:val="15"/>
          <w:color w:val="auto"/>
        </w:rPr>
        <w:t>A list of exhibits to this Annual Report on Form 10-K is set forth on the Exhibit Index immediately preceding such exhibits and is incorporated herein by reference.</w:t>
      </w:r>
    </w:p>
    <w:p>
      <w:pPr>
        <w:spacing w:after="0" w:line="171" w:lineRule="exact"/>
        <w:rPr>
          <w:sz w:val="20"/>
          <w:szCs w:val="20"/>
          <w:color w:val="auto"/>
        </w:rPr>
      </w:pPr>
    </w:p>
    <w:p>
      <w:pPr>
        <w:ind w:left="242" w:hanging="242"/>
        <w:spacing w:after="0"/>
        <w:tabs>
          <w:tab w:leader="none" w:pos="2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Exhibit Index</w:t>
      </w:r>
    </w:p>
    <w:p>
      <w:pPr>
        <w:spacing w:after="0" w:line="159" w:lineRule="exact"/>
        <w:rPr>
          <w:rFonts w:ascii="Arial" w:cs="Arial" w:eastAsia="Arial" w:hAnsi="Arial"/>
          <w:sz w:val="16"/>
          <w:szCs w:val="16"/>
          <w:color w:val="auto"/>
        </w:rPr>
      </w:pPr>
    </w:p>
    <w:p>
      <w:pPr>
        <w:ind w:left="222" w:hanging="222"/>
        <w:spacing w:after="0"/>
        <w:tabs>
          <w:tab w:leader="none" w:pos="2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33" w:lineRule="exact"/>
        <w:rPr>
          <w:sz w:val="20"/>
          <w:szCs w:val="20"/>
          <w:color w:val="auto"/>
        </w:rPr>
      </w:pPr>
    </w:p>
    <w:p>
      <w:pPr>
        <w:jc w:val="center"/>
        <w:ind w:right="-161"/>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2"/>
          </w:cols>
          <w:pgMar w:left="238" w:top="127" w:right="399" w:bottom="1440" w:gutter="0" w:footer="0" w:header="0"/>
        </w:sectPr>
      </w:pPr>
    </w:p>
    <w:bookmarkStart w:id="53" w:name="page54"/>
    <w:bookmarkEnd w:id="5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33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 this February 15, 2012.</w:t>
      </w:r>
    </w:p>
    <w:p>
      <w:pPr>
        <w:spacing w:after="0" w:line="200" w:lineRule="exact"/>
        <w:rPr>
          <w:sz w:val="20"/>
          <w:szCs w:val="20"/>
          <w:color w:val="auto"/>
        </w:rPr>
      </w:pPr>
    </w:p>
    <w:p>
      <w:pPr>
        <w:spacing w:after="0" w:line="36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Federal Realty Investment Trust</w:t>
      </w:r>
    </w:p>
    <w:p>
      <w:pPr>
        <w:spacing w:after="0" w:line="356" w:lineRule="exact"/>
        <w:rPr>
          <w:sz w:val="20"/>
          <w:szCs w:val="20"/>
          <w:color w:val="auto"/>
        </w:rPr>
      </w:pPr>
    </w:p>
    <w:p>
      <w:pPr>
        <w:ind w:left="5100"/>
        <w:spacing w:after="0"/>
        <w:tabs>
          <w:tab w:leader="none" w:pos="6360" w:val="left"/>
          <w:tab w:leader="none" w:pos="6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D</w:t>
      </w:r>
      <w:r>
        <w:rPr>
          <w:rFonts w:ascii="Arial" w:cs="Arial" w:eastAsia="Arial" w:hAnsi="Arial"/>
          <w:sz w:val="12"/>
          <w:szCs w:val="12"/>
          <w:color w:val="auto"/>
        </w:rPr>
        <w:t>ONALD</w:t>
      </w:r>
      <w:r>
        <w:rPr>
          <w:rFonts w:ascii="Arial" w:cs="Arial" w:eastAsia="Arial" w:hAnsi="Arial"/>
          <w:sz w:val="15"/>
          <w:szCs w:val="15"/>
          <w:color w:val="auto"/>
        </w:rPr>
        <w:t xml:space="preserve"> C. W</w:t>
      </w:r>
      <w:r>
        <w:rPr>
          <w:rFonts w:ascii="Arial" w:cs="Arial" w:eastAsia="Arial" w:hAnsi="Arial"/>
          <w:sz w:val="12"/>
          <w:szCs w:val="12"/>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39370</wp:posOffset>
            </wp:positionV>
            <wp:extent cx="24561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6180" cy="7620"/>
                    </a:xfrm>
                    <a:prstGeom prst="rect">
                      <a:avLst/>
                    </a:prstGeom>
                    <a:noFill/>
                  </pic:spPr>
                </pic:pic>
              </a:graphicData>
            </a:graphic>
          </wp:anchor>
        </w:drawing>
      </w:r>
    </w:p>
    <w:p>
      <w:pPr>
        <w:spacing w:after="0" w:line="58" w:lineRule="exact"/>
        <w:rPr>
          <w:sz w:val="20"/>
          <w:szCs w:val="20"/>
          <w:color w:val="auto"/>
        </w:rPr>
      </w:pPr>
    </w:p>
    <w:p>
      <w:pPr>
        <w:jc w:val="center"/>
        <w:ind w:left="3180"/>
        <w:spacing w:after="0"/>
        <w:rPr>
          <w:sz w:val="20"/>
          <w:szCs w:val="20"/>
          <w:color w:val="auto"/>
        </w:rPr>
      </w:pPr>
      <w:r>
        <w:rPr>
          <w:rFonts w:ascii="Arial" w:cs="Arial" w:eastAsia="Arial" w:hAnsi="Arial"/>
          <w:sz w:val="13"/>
          <w:szCs w:val="13"/>
          <w:b w:val="1"/>
          <w:bCs w:val="1"/>
          <w:color w:val="auto"/>
        </w:rPr>
        <w:t>Donald C. Wood</w:t>
      </w:r>
    </w:p>
    <w:p>
      <w:pPr>
        <w:jc w:val="center"/>
        <w:ind w:left="3180"/>
        <w:spacing w:after="0"/>
        <w:rPr>
          <w:sz w:val="20"/>
          <w:szCs w:val="20"/>
          <w:color w:val="auto"/>
        </w:rPr>
      </w:pPr>
      <w:r>
        <w:rPr>
          <w:rFonts w:ascii="Arial" w:cs="Arial" w:eastAsia="Arial" w:hAnsi="Arial"/>
          <w:sz w:val="13"/>
          <w:szCs w:val="13"/>
          <w:b w:val="1"/>
          <w:bCs w:val="1"/>
          <w:color w:val="auto"/>
        </w:rPr>
        <w:t>President, Chief Executive Officer and Trustee</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2"/>
          </w:tcPr>
          <w:p>
            <w:pPr>
              <w:jc w:val="center"/>
              <w:ind w:right="1960"/>
              <w:spacing w:after="0"/>
              <w:rPr>
                <w:sz w:val="20"/>
                <w:szCs w:val="20"/>
                <w:color w:val="auto"/>
              </w:rPr>
            </w:pPr>
            <w:r>
              <w:rPr>
                <w:rFonts w:ascii="Arial" w:cs="Arial" w:eastAsia="Arial" w:hAnsi="Arial"/>
                <w:sz w:val="13"/>
                <w:szCs w:val="13"/>
                <w:b w:val="1"/>
                <w:bCs w:val="1"/>
                <w:color w:val="auto"/>
                <w:w w:val="89"/>
              </w:rPr>
              <w:t>Signature</w:t>
            </w:r>
          </w:p>
        </w:tc>
        <w:tc>
          <w:tcPr>
            <w:tcW w:w="234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2300" w:type="dxa"/>
            <w:vAlign w:val="bottom"/>
            <w:gridSpan w:val="3"/>
          </w:tcPr>
          <w:p>
            <w:pPr>
              <w:jc w:val="center"/>
              <w:ind w:left="10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4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2680" w:type="dxa"/>
            <w:vAlign w:val="bottom"/>
            <w:gridSpan w:val="3"/>
          </w:tcPr>
          <w:p>
            <w:pPr>
              <w:jc w:val="center"/>
              <w:ind w:right="1440"/>
              <w:spacing w:after="0"/>
              <w:rPr>
                <w:sz w:val="20"/>
                <w:szCs w:val="20"/>
                <w:color w:val="auto"/>
              </w:rPr>
            </w:pPr>
            <w:r>
              <w:rPr>
                <w:rFonts w:ascii="Arial" w:cs="Arial" w:eastAsia="Arial" w:hAnsi="Arial"/>
                <w:sz w:val="16"/>
                <w:szCs w:val="16"/>
                <w:color w:val="auto"/>
                <w:w w:val="98"/>
              </w:rPr>
              <w:t>D</w:t>
            </w:r>
            <w:r>
              <w:rPr>
                <w:rFonts w:ascii="Arial" w:cs="Arial" w:eastAsia="Arial" w:hAnsi="Arial"/>
                <w:sz w:val="13"/>
                <w:szCs w:val="13"/>
                <w:color w:val="auto"/>
                <w:w w:val="98"/>
              </w:rPr>
              <w:t>ONALD</w:t>
            </w:r>
            <w:r>
              <w:rPr>
                <w:rFonts w:ascii="Arial" w:cs="Arial" w:eastAsia="Arial" w:hAnsi="Arial"/>
                <w:sz w:val="16"/>
                <w:szCs w:val="16"/>
                <w:color w:val="auto"/>
                <w:w w:val="98"/>
              </w:rPr>
              <w:t xml:space="preserve"> C. W</w:t>
            </w:r>
            <w:r>
              <w:rPr>
                <w:rFonts w:ascii="Arial" w:cs="Arial" w:eastAsia="Arial" w:hAnsi="Arial"/>
                <w:sz w:val="13"/>
                <w:szCs w:val="13"/>
                <w:color w:val="auto"/>
                <w:w w:val="98"/>
              </w:rPr>
              <w:t>OOD</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President, Chief Executive Officer and</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40" w:type="dxa"/>
            <w:vAlign w:val="bottom"/>
            <w:gridSpan w:val="3"/>
            <w:vMerge w:val="restart"/>
          </w:tcPr>
          <w:p>
            <w:pPr>
              <w:ind w:left="720"/>
              <w:spacing w:after="0"/>
              <w:rPr>
                <w:sz w:val="20"/>
                <w:szCs w:val="20"/>
                <w:color w:val="auto"/>
              </w:rPr>
            </w:pPr>
            <w:r>
              <w:rPr>
                <w:rFonts w:ascii="Arial" w:cs="Arial" w:eastAsia="Arial" w:hAnsi="Arial"/>
                <w:sz w:val="16"/>
                <w:szCs w:val="16"/>
                <w:color w:val="auto"/>
              </w:rPr>
              <w:t>Trustee (Principal Executive Officer)</w:t>
            </w: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3"/>
                <w:szCs w:val="13"/>
                <w:b w:val="1"/>
                <w:bCs w:val="1"/>
                <w:color w:val="auto"/>
                <w:w w:val="93"/>
              </w:rPr>
              <w:t>Donald C. Wood</w:t>
            </w:r>
          </w:p>
        </w:tc>
        <w:tc>
          <w:tcPr>
            <w:tcW w:w="4240" w:type="dxa"/>
            <w:vAlign w:val="bottom"/>
            <w:gridSpan w:val="3"/>
            <w:vMerge w:val="continue"/>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4460" w:type="dxa"/>
            <w:vAlign w:val="bottom"/>
            <w:gridSpan w:val="5"/>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ANDREW P. BLOCHER</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Senior Vice President-Chief Financial</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40" w:type="dxa"/>
            <w:vAlign w:val="bottom"/>
            <w:gridSpan w:val="3"/>
            <w:vMerge w:val="restart"/>
          </w:tcPr>
          <w:p>
            <w:pPr>
              <w:ind w:left="720"/>
              <w:spacing w:after="0"/>
              <w:rPr>
                <w:sz w:val="20"/>
                <w:szCs w:val="20"/>
                <w:color w:val="auto"/>
              </w:rPr>
            </w:pPr>
            <w:r>
              <w:rPr>
                <w:rFonts w:ascii="Arial" w:cs="Arial" w:eastAsia="Arial" w:hAnsi="Arial"/>
                <w:sz w:val="16"/>
                <w:szCs w:val="16"/>
                <w:color w:val="auto"/>
              </w:rPr>
              <w:t>Officer and Treasurer (Principal</w:t>
            </w: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3"/>
                <w:szCs w:val="13"/>
                <w:b w:val="1"/>
                <w:bCs w:val="1"/>
                <w:color w:val="auto"/>
                <w:w w:val="91"/>
              </w:rPr>
              <w:t>Andrew P. Blocher</w:t>
            </w:r>
          </w:p>
        </w:tc>
        <w:tc>
          <w:tcPr>
            <w:tcW w:w="4240" w:type="dxa"/>
            <w:vAlign w:val="bottom"/>
            <w:gridSpan w:val="3"/>
            <w:vMerge w:val="continue"/>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40" w:type="dxa"/>
            <w:vAlign w:val="bottom"/>
            <w:gridSpan w:val="3"/>
          </w:tcPr>
          <w:p>
            <w:pPr>
              <w:ind w:left="720"/>
              <w:spacing w:after="0"/>
              <w:rPr>
                <w:sz w:val="20"/>
                <w:szCs w:val="20"/>
                <w:color w:val="auto"/>
              </w:rPr>
            </w:pPr>
            <w:r>
              <w:rPr>
                <w:rFonts w:ascii="Arial" w:cs="Arial" w:eastAsia="Arial" w:hAnsi="Arial"/>
                <w:sz w:val="16"/>
                <w:szCs w:val="16"/>
                <w:color w:val="auto"/>
              </w:rPr>
              <w:t>Financial and Accounting Officer)</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1440" w:type="dxa"/>
            <w:vAlign w:val="bottom"/>
          </w:tcPr>
          <w:p>
            <w:pPr>
              <w:ind w:left="124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3020" w:type="dxa"/>
            <w:vAlign w:val="bottom"/>
            <w:gridSpan w:val="4"/>
          </w:tcPr>
          <w:p>
            <w:pPr>
              <w:jc w:val="center"/>
              <w:ind w:right="1100"/>
              <w:spacing w:after="0"/>
              <w:rPr>
                <w:sz w:val="20"/>
                <w:szCs w:val="20"/>
                <w:color w:val="auto"/>
              </w:rPr>
            </w:pPr>
            <w:r>
              <w:rPr>
                <w:rFonts w:ascii="Arial" w:cs="Arial" w:eastAsia="Arial" w:hAnsi="Arial"/>
                <w:sz w:val="16"/>
                <w:szCs w:val="16"/>
                <w:color w:val="auto"/>
                <w:w w:val="94"/>
              </w:rPr>
              <w:t>J</w:t>
            </w:r>
            <w:r>
              <w:rPr>
                <w:rFonts w:ascii="Arial" w:cs="Arial" w:eastAsia="Arial" w:hAnsi="Arial"/>
                <w:sz w:val="13"/>
                <w:szCs w:val="13"/>
                <w:color w:val="auto"/>
                <w:w w:val="94"/>
              </w:rPr>
              <w:t>OSEPH</w:t>
            </w:r>
            <w:r>
              <w:rPr>
                <w:rFonts w:ascii="Arial" w:cs="Arial" w:eastAsia="Arial" w:hAnsi="Arial"/>
                <w:sz w:val="16"/>
                <w:szCs w:val="16"/>
                <w:color w:val="auto"/>
                <w:w w:val="94"/>
              </w:rPr>
              <w:t xml:space="preserve"> S. V</w:t>
            </w:r>
            <w:r>
              <w:rPr>
                <w:rFonts w:ascii="Arial" w:cs="Arial" w:eastAsia="Arial" w:hAnsi="Arial"/>
                <w:sz w:val="13"/>
                <w:szCs w:val="13"/>
                <w:color w:val="auto"/>
                <w:w w:val="94"/>
              </w:rPr>
              <w:t>ASSALLUZZO</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Non-Executive Chairman</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3"/>
                <w:szCs w:val="13"/>
                <w:b w:val="1"/>
                <w:bCs w:val="1"/>
                <w:color w:val="auto"/>
                <w:w w:val="86"/>
              </w:rPr>
              <w:t>Joseph S. Vassalluzzo</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44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6"/>
                <w:szCs w:val="16"/>
                <w:color w:val="auto"/>
                <w:w w:val="79"/>
              </w:rPr>
              <w:t>/</w:t>
            </w:r>
            <w:r>
              <w:rPr>
                <w:rFonts w:ascii="Arial" w:cs="Arial" w:eastAsia="Arial" w:hAnsi="Arial"/>
                <w:sz w:val="13"/>
                <w:szCs w:val="13"/>
                <w:color w:val="auto"/>
                <w:w w:val="79"/>
              </w:rPr>
              <w:t>S</w:t>
            </w:r>
            <w:r>
              <w:rPr>
                <w:rFonts w:ascii="Arial" w:cs="Arial" w:eastAsia="Arial" w:hAnsi="Arial"/>
                <w:sz w:val="16"/>
                <w:szCs w:val="16"/>
                <w:color w:val="auto"/>
                <w:w w:val="79"/>
              </w:rPr>
              <w:t>/</w:t>
            </w:r>
          </w:p>
        </w:tc>
        <w:tc>
          <w:tcPr>
            <w:tcW w:w="2680" w:type="dxa"/>
            <w:vAlign w:val="bottom"/>
            <w:gridSpan w:val="3"/>
          </w:tcPr>
          <w:p>
            <w:pPr>
              <w:jc w:val="center"/>
              <w:ind w:right="1440"/>
              <w:spacing w:after="0"/>
              <w:rPr>
                <w:sz w:val="20"/>
                <w:szCs w:val="20"/>
                <w:color w:val="auto"/>
              </w:rPr>
            </w:pPr>
            <w:r>
              <w:rPr>
                <w:rFonts w:ascii="Arial" w:cs="Arial" w:eastAsia="Arial" w:hAnsi="Arial"/>
                <w:sz w:val="16"/>
                <w:szCs w:val="16"/>
                <w:color w:val="auto"/>
                <w:w w:val="94"/>
              </w:rPr>
              <w:t>J</w:t>
            </w:r>
            <w:r>
              <w:rPr>
                <w:rFonts w:ascii="Arial" w:cs="Arial" w:eastAsia="Arial" w:hAnsi="Arial"/>
                <w:sz w:val="13"/>
                <w:szCs w:val="13"/>
                <w:color w:val="auto"/>
                <w:w w:val="94"/>
              </w:rPr>
              <w:t>ON</w:t>
            </w:r>
            <w:r>
              <w:rPr>
                <w:rFonts w:ascii="Arial" w:cs="Arial" w:eastAsia="Arial" w:hAnsi="Arial"/>
                <w:sz w:val="16"/>
                <w:szCs w:val="16"/>
                <w:color w:val="auto"/>
                <w:w w:val="94"/>
              </w:rPr>
              <w:t xml:space="preserve"> E. B</w:t>
            </w:r>
            <w:r>
              <w:rPr>
                <w:rFonts w:ascii="Arial" w:cs="Arial" w:eastAsia="Arial" w:hAnsi="Arial"/>
                <w:sz w:val="13"/>
                <w:szCs w:val="13"/>
                <w:color w:val="auto"/>
                <w:w w:val="94"/>
              </w:rPr>
              <w:t>ORTZ</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Trustee</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3"/>
          </w:tcPr>
          <w:p>
            <w:pPr>
              <w:jc w:val="center"/>
              <w:ind w:right="1780"/>
              <w:spacing w:after="0"/>
              <w:rPr>
                <w:sz w:val="20"/>
                <w:szCs w:val="20"/>
                <w:color w:val="auto"/>
              </w:rPr>
            </w:pPr>
            <w:r>
              <w:rPr>
                <w:rFonts w:ascii="Arial" w:cs="Arial" w:eastAsia="Arial" w:hAnsi="Arial"/>
                <w:sz w:val="13"/>
                <w:szCs w:val="13"/>
                <w:b w:val="1"/>
                <w:bCs w:val="1"/>
                <w:color w:val="auto"/>
                <w:w w:val="92"/>
              </w:rPr>
              <w:t>Jon E. Bortz</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9"/>
        </w:trPr>
        <w:tc>
          <w:tcPr>
            <w:tcW w:w="14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2680" w:type="dxa"/>
            <w:vAlign w:val="bottom"/>
            <w:gridSpan w:val="3"/>
          </w:tcPr>
          <w:p>
            <w:pPr>
              <w:jc w:val="center"/>
              <w:ind w:right="1460"/>
              <w:spacing w:after="0"/>
              <w:rPr>
                <w:sz w:val="20"/>
                <w:szCs w:val="20"/>
                <w:color w:val="auto"/>
              </w:rPr>
            </w:pPr>
            <w:r>
              <w:rPr>
                <w:rFonts w:ascii="Arial" w:cs="Arial" w:eastAsia="Arial" w:hAnsi="Arial"/>
                <w:sz w:val="16"/>
                <w:szCs w:val="16"/>
                <w:color w:val="auto"/>
                <w:w w:val="97"/>
              </w:rPr>
              <w:t>D</w:t>
            </w:r>
            <w:r>
              <w:rPr>
                <w:rFonts w:ascii="Arial" w:cs="Arial" w:eastAsia="Arial" w:hAnsi="Arial"/>
                <w:sz w:val="13"/>
                <w:szCs w:val="13"/>
                <w:color w:val="auto"/>
                <w:w w:val="97"/>
              </w:rPr>
              <w:t>AVID</w:t>
            </w:r>
            <w:r>
              <w:rPr>
                <w:rFonts w:ascii="Arial" w:cs="Arial" w:eastAsia="Arial" w:hAnsi="Arial"/>
                <w:sz w:val="16"/>
                <w:szCs w:val="16"/>
                <w:color w:val="auto"/>
                <w:w w:val="97"/>
              </w:rPr>
              <w:t xml:space="preserve"> W. F</w:t>
            </w:r>
            <w:r>
              <w:rPr>
                <w:rFonts w:ascii="Arial" w:cs="Arial" w:eastAsia="Arial" w:hAnsi="Arial"/>
                <w:sz w:val="13"/>
                <w:szCs w:val="13"/>
                <w:color w:val="auto"/>
                <w:w w:val="97"/>
              </w:rPr>
              <w:t>AEDER</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Trustee</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3"/>
                <w:szCs w:val="13"/>
                <w:b w:val="1"/>
                <w:bCs w:val="1"/>
                <w:color w:val="auto"/>
                <w:w w:val="92"/>
              </w:rPr>
              <w:t>David W. Faeder</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2680" w:type="dxa"/>
            <w:vAlign w:val="bottom"/>
            <w:gridSpan w:val="3"/>
          </w:tcPr>
          <w:p>
            <w:pPr>
              <w:jc w:val="center"/>
              <w:ind w:right="1440"/>
              <w:spacing w:after="0"/>
              <w:rPr>
                <w:sz w:val="20"/>
                <w:szCs w:val="20"/>
                <w:color w:val="auto"/>
              </w:rPr>
            </w:pPr>
            <w:r>
              <w:rPr>
                <w:rFonts w:ascii="Arial" w:cs="Arial" w:eastAsia="Arial" w:hAnsi="Arial"/>
                <w:sz w:val="16"/>
                <w:szCs w:val="16"/>
                <w:color w:val="auto"/>
              </w:rPr>
              <w:t>K</w:t>
            </w:r>
            <w:r>
              <w:rPr>
                <w:rFonts w:ascii="Arial" w:cs="Arial" w:eastAsia="Arial" w:hAnsi="Arial"/>
                <w:sz w:val="13"/>
                <w:szCs w:val="13"/>
                <w:color w:val="auto"/>
              </w:rPr>
              <w:t>RISTIN</w:t>
            </w:r>
            <w:r>
              <w:rPr>
                <w:rFonts w:ascii="Arial" w:cs="Arial" w:eastAsia="Arial" w:hAnsi="Arial"/>
                <w:sz w:val="16"/>
                <w:szCs w:val="16"/>
                <w:color w:val="auto"/>
              </w:rPr>
              <w:t xml:space="preserve"> G</w:t>
            </w:r>
            <w:r>
              <w:rPr>
                <w:rFonts w:ascii="Arial" w:cs="Arial" w:eastAsia="Arial" w:hAnsi="Arial"/>
                <w:sz w:val="13"/>
                <w:szCs w:val="13"/>
                <w:color w:val="auto"/>
              </w:rPr>
              <w:t>AMBLE</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Trustee</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3"/>
          </w:tcPr>
          <w:p>
            <w:pPr>
              <w:jc w:val="center"/>
              <w:ind w:right="1760"/>
              <w:spacing w:after="0"/>
              <w:rPr>
                <w:sz w:val="20"/>
                <w:szCs w:val="20"/>
                <w:color w:val="auto"/>
              </w:rPr>
            </w:pPr>
            <w:r>
              <w:rPr>
                <w:rFonts w:ascii="Arial" w:cs="Arial" w:eastAsia="Arial" w:hAnsi="Arial"/>
                <w:sz w:val="13"/>
                <w:szCs w:val="13"/>
                <w:b w:val="1"/>
                <w:bCs w:val="1"/>
                <w:color w:val="auto"/>
                <w:w w:val="95"/>
              </w:rPr>
              <w:t>Kristin Gamble</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4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2680" w:type="dxa"/>
            <w:vAlign w:val="bottom"/>
            <w:gridSpan w:val="3"/>
          </w:tcPr>
          <w:p>
            <w:pPr>
              <w:jc w:val="center"/>
              <w:ind w:right="1440"/>
              <w:spacing w:after="0"/>
              <w:rPr>
                <w:sz w:val="20"/>
                <w:szCs w:val="20"/>
                <w:color w:val="auto"/>
              </w:rPr>
            </w:pPr>
            <w:r>
              <w:rPr>
                <w:rFonts w:ascii="Arial" w:cs="Arial" w:eastAsia="Arial" w:hAnsi="Arial"/>
                <w:sz w:val="16"/>
                <w:szCs w:val="16"/>
                <w:color w:val="auto"/>
                <w:w w:val="96"/>
              </w:rPr>
              <w:t>G</w:t>
            </w:r>
            <w:r>
              <w:rPr>
                <w:rFonts w:ascii="Arial" w:cs="Arial" w:eastAsia="Arial" w:hAnsi="Arial"/>
                <w:sz w:val="13"/>
                <w:szCs w:val="13"/>
                <w:color w:val="auto"/>
                <w:w w:val="96"/>
              </w:rPr>
              <w:t>AIL</w:t>
            </w:r>
            <w:r>
              <w:rPr>
                <w:rFonts w:ascii="Arial" w:cs="Arial" w:eastAsia="Arial" w:hAnsi="Arial"/>
                <w:sz w:val="16"/>
                <w:szCs w:val="16"/>
                <w:color w:val="auto"/>
                <w:w w:val="96"/>
              </w:rPr>
              <w:t xml:space="preserve"> P. S</w:t>
            </w:r>
            <w:r>
              <w:rPr>
                <w:rFonts w:ascii="Arial" w:cs="Arial" w:eastAsia="Arial" w:hAnsi="Arial"/>
                <w:sz w:val="13"/>
                <w:szCs w:val="13"/>
                <w:color w:val="auto"/>
                <w:w w:val="96"/>
              </w:rPr>
              <w:t>TEINEL</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Trustee</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3"/>
          </w:tcPr>
          <w:p>
            <w:pPr>
              <w:jc w:val="center"/>
              <w:ind w:right="1780"/>
              <w:spacing w:after="0"/>
              <w:rPr>
                <w:sz w:val="20"/>
                <w:szCs w:val="20"/>
                <w:color w:val="auto"/>
              </w:rPr>
            </w:pPr>
            <w:r>
              <w:rPr>
                <w:rFonts w:ascii="Arial" w:cs="Arial" w:eastAsia="Arial" w:hAnsi="Arial"/>
                <w:sz w:val="13"/>
                <w:szCs w:val="13"/>
                <w:b w:val="1"/>
                <w:bCs w:val="1"/>
                <w:color w:val="auto"/>
                <w:w w:val="89"/>
              </w:rPr>
              <w:t>Gail P. Steinel</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440" w:type="dxa"/>
            <w:vAlign w:val="bottom"/>
          </w:tcPr>
          <w:p>
            <w:pPr>
              <w:ind w:left="1260"/>
              <w:spacing w:after="0"/>
              <w:rPr>
                <w:sz w:val="20"/>
                <w:szCs w:val="20"/>
                <w:color w:val="auto"/>
              </w:rPr>
            </w:pPr>
            <w:r>
              <w:rPr>
                <w:rFonts w:ascii="Arial" w:cs="Arial" w:eastAsia="Arial" w:hAnsi="Arial"/>
                <w:sz w:val="16"/>
                <w:szCs w:val="16"/>
                <w:color w:val="auto"/>
                <w:w w:val="90"/>
              </w:rPr>
              <w:t>/</w:t>
            </w:r>
            <w:r>
              <w:rPr>
                <w:rFonts w:ascii="Arial" w:cs="Arial" w:eastAsia="Arial" w:hAnsi="Arial"/>
                <w:sz w:val="13"/>
                <w:szCs w:val="13"/>
                <w:color w:val="auto"/>
                <w:w w:val="90"/>
              </w:rPr>
              <w:t>S</w:t>
            </w:r>
            <w:r>
              <w:rPr>
                <w:rFonts w:ascii="Arial" w:cs="Arial" w:eastAsia="Arial" w:hAnsi="Arial"/>
                <w:sz w:val="16"/>
                <w:szCs w:val="16"/>
                <w:color w:val="auto"/>
                <w:w w:val="90"/>
              </w:rPr>
              <w:t>/</w:t>
            </w:r>
          </w:p>
        </w:tc>
        <w:tc>
          <w:tcPr>
            <w:tcW w:w="3020" w:type="dxa"/>
            <w:vAlign w:val="bottom"/>
            <w:gridSpan w:val="4"/>
          </w:tcPr>
          <w:p>
            <w:pPr>
              <w:jc w:val="center"/>
              <w:ind w:right="1100"/>
              <w:spacing w:after="0"/>
              <w:rPr>
                <w:sz w:val="20"/>
                <w:szCs w:val="20"/>
                <w:color w:val="auto"/>
              </w:rPr>
            </w:pPr>
            <w:r>
              <w:rPr>
                <w:rFonts w:ascii="Arial" w:cs="Arial" w:eastAsia="Arial" w:hAnsi="Arial"/>
                <w:sz w:val="16"/>
                <w:szCs w:val="16"/>
                <w:color w:val="auto"/>
                <w:w w:val="97"/>
              </w:rPr>
              <w:t>W</w:t>
            </w:r>
            <w:r>
              <w:rPr>
                <w:rFonts w:ascii="Arial" w:cs="Arial" w:eastAsia="Arial" w:hAnsi="Arial"/>
                <w:sz w:val="13"/>
                <w:szCs w:val="13"/>
                <w:color w:val="auto"/>
                <w:w w:val="97"/>
              </w:rPr>
              <w:t>ARREN</w:t>
            </w:r>
            <w:r>
              <w:rPr>
                <w:rFonts w:ascii="Arial" w:cs="Arial" w:eastAsia="Arial" w:hAnsi="Arial"/>
                <w:sz w:val="16"/>
                <w:szCs w:val="16"/>
                <w:color w:val="auto"/>
                <w:w w:val="97"/>
              </w:rPr>
              <w:t xml:space="preserve"> M. T</w:t>
            </w:r>
            <w:r>
              <w:rPr>
                <w:rFonts w:ascii="Arial" w:cs="Arial" w:eastAsia="Arial" w:hAnsi="Arial"/>
                <w:sz w:val="13"/>
                <w:szCs w:val="13"/>
                <w:color w:val="auto"/>
                <w:w w:val="97"/>
              </w:rPr>
              <w:t>HOMPSON</w:t>
            </w:r>
          </w:p>
        </w:tc>
        <w:tc>
          <w:tcPr>
            <w:tcW w:w="4240" w:type="dxa"/>
            <w:vAlign w:val="bottom"/>
            <w:gridSpan w:val="3"/>
          </w:tcPr>
          <w:p>
            <w:pPr>
              <w:ind w:left="500"/>
              <w:spacing w:after="0"/>
              <w:rPr>
                <w:sz w:val="20"/>
                <w:szCs w:val="20"/>
                <w:color w:val="auto"/>
              </w:rPr>
            </w:pPr>
            <w:r>
              <w:rPr>
                <w:rFonts w:ascii="Arial" w:cs="Arial" w:eastAsia="Arial" w:hAnsi="Arial"/>
                <w:sz w:val="16"/>
                <w:szCs w:val="16"/>
                <w:color w:val="auto"/>
              </w:rPr>
              <w:t>Trustee</w:t>
            </w:r>
          </w:p>
        </w:tc>
        <w:tc>
          <w:tcPr>
            <w:tcW w:w="2300" w:type="dxa"/>
            <w:vAlign w:val="bottom"/>
            <w:gridSpan w:val="3"/>
          </w:tcPr>
          <w:p>
            <w:pPr>
              <w:jc w:val="center"/>
              <w:ind w:left="1020"/>
              <w:spacing w:after="0"/>
              <w:rPr>
                <w:sz w:val="20"/>
                <w:szCs w:val="20"/>
                <w:color w:val="auto"/>
              </w:rPr>
            </w:pPr>
            <w:r>
              <w:rPr>
                <w:rFonts w:ascii="Arial" w:cs="Arial" w:eastAsia="Arial" w:hAnsi="Arial"/>
                <w:sz w:val="16"/>
                <w:szCs w:val="16"/>
                <w:color w:val="auto"/>
                <w:w w:val="91"/>
              </w:rPr>
              <w:t>February 15, 2012</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3"/>
                <w:szCs w:val="13"/>
                <w:b w:val="1"/>
                <w:bCs w:val="1"/>
                <w:color w:val="auto"/>
                <w:w w:val="94"/>
              </w:rPr>
              <w:t>Warren M. Thompson</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0"/>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ind w:left="1180"/>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7" w:right="2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8 and Item 15(a)(1) and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 and Schedules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Consolidated Financial Statements</w:t>
            </w:r>
          </w:p>
        </w:tc>
        <w:tc>
          <w:tcPr>
            <w:tcW w:w="1480" w:type="dxa"/>
            <w:vAlign w:val="bottom"/>
            <w:tcBorders>
              <w:bottom w:val="single" w:sz="8" w:color="auto"/>
            </w:tcBorders>
            <w:gridSpan w:val="4"/>
            <w:shd w:val="clear" w:color="auto" w:fill="CCEEFF"/>
          </w:tcPr>
          <w:p>
            <w:pPr>
              <w:jc w:val="right"/>
              <w:ind w:right="860"/>
              <w:spacing w:after="0"/>
              <w:rPr>
                <w:sz w:val="20"/>
                <w:szCs w:val="20"/>
                <w:color w:val="auto"/>
              </w:rPr>
            </w:pPr>
            <w:r>
              <w:rPr>
                <w:rFonts w:ascii="Arial" w:cs="Arial" w:eastAsia="Arial" w:hAnsi="Arial"/>
                <w:sz w:val="16"/>
                <w:szCs w:val="16"/>
                <w:color w:val="auto"/>
                <w:w w:val="89"/>
              </w:rPr>
              <w:t>Page No.</w:t>
            </w:r>
          </w:p>
        </w:tc>
      </w:tr>
      <w:tr>
        <w:trPr>
          <w:trHeight w:val="176"/>
        </w:trPr>
        <w:tc>
          <w:tcPr>
            <w:tcW w:w="9940" w:type="dxa"/>
            <w:vAlign w:val="bottom"/>
          </w:tcPr>
          <w:p>
            <w:pPr>
              <w:ind w:left="20"/>
              <w:spacing w:after="0" w:line="177" w:lineRule="exact"/>
              <w:rPr>
                <w:sz w:val="20"/>
                <w:szCs w:val="20"/>
                <w:color w:val="auto"/>
              </w:rPr>
            </w:pPr>
            <w:r>
              <w:rPr>
                <w:rFonts w:ascii="Arial" w:cs="Arial" w:eastAsia="Arial" w:hAnsi="Arial"/>
                <w:sz w:val="16"/>
                <w:szCs w:val="16"/>
                <w:color w:val="auto"/>
              </w:rPr>
              <w:t>Management Assessment Report on Internal Control over Financial Reporting</w:t>
            </w:r>
          </w:p>
        </w:tc>
        <w:tc>
          <w:tcPr>
            <w:tcW w:w="1160" w:type="dxa"/>
            <w:vAlign w:val="bottom"/>
          </w:tcPr>
          <w:p>
            <w:pPr>
              <w:spacing w:after="0"/>
              <w:rPr>
                <w:sz w:val="15"/>
                <w:szCs w:val="15"/>
                <w:color w:val="auto"/>
              </w:rPr>
            </w:pPr>
          </w:p>
        </w:tc>
        <w:tc>
          <w:tcPr>
            <w:tcW w:w="320" w:type="dxa"/>
            <w:vAlign w:val="bottom"/>
            <w:gridSpan w:val="3"/>
          </w:tcPr>
          <w:p>
            <w:pPr>
              <w:jc w:val="right"/>
              <w:ind w:right="20"/>
              <w:spacing w:after="0" w:line="177" w:lineRule="exact"/>
              <w:rPr>
                <w:rFonts w:ascii="Arial" w:cs="Arial" w:eastAsia="Arial" w:hAnsi="Arial"/>
                <w:sz w:val="16"/>
                <w:szCs w:val="16"/>
                <w:color w:val="0000FF"/>
              </w:rPr>
            </w:pPr>
            <w:hyperlink w:anchor="page55">
              <w:r>
                <w:rPr>
                  <w:rFonts w:ascii="Arial" w:cs="Arial" w:eastAsia="Arial" w:hAnsi="Arial"/>
                  <w:sz w:val="16"/>
                  <w:szCs w:val="16"/>
                  <w:color w:val="0000FF"/>
                </w:rPr>
                <w:t>F-2</w:t>
              </w:r>
            </w:hyperlink>
          </w:p>
        </w:tc>
      </w:tr>
      <w:tr>
        <w:trPr>
          <w:trHeight w:val="41"/>
        </w:trPr>
        <w:tc>
          <w:tcPr>
            <w:tcW w:w="9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 of Independent Registered Public Accounting Firm</w:t>
            </w:r>
          </w:p>
        </w:tc>
        <w:tc>
          <w:tcPr>
            <w:tcW w:w="11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20"/>
              <w:spacing w:after="0"/>
              <w:rPr>
                <w:rFonts w:ascii="Arial" w:cs="Arial" w:eastAsia="Arial" w:hAnsi="Arial"/>
                <w:sz w:val="16"/>
                <w:szCs w:val="16"/>
                <w:color w:val="0000FF"/>
              </w:rPr>
            </w:pPr>
            <w:hyperlink w:anchor="page56">
              <w:r>
                <w:rPr>
                  <w:rFonts w:ascii="Arial" w:cs="Arial" w:eastAsia="Arial" w:hAnsi="Arial"/>
                  <w:sz w:val="16"/>
                  <w:szCs w:val="16"/>
                  <w:color w:val="0000FF"/>
                </w:rPr>
                <w:t>F-3</w:t>
              </w:r>
            </w:hyperlink>
          </w:p>
        </w:tc>
      </w:tr>
      <w:tr>
        <w:trPr>
          <w:trHeight w:val="41"/>
        </w:trPr>
        <w:tc>
          <w:tcPr>
            <w:tcW w:w="99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4"/>
        </w:trPr>
        <w:tc>
          <w:tcPr>
            <w:tcW w:w="994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w:t>
            </w:r>
          </w:p>
        </w:tc>
        <w:tc>
          <w:tcPr>
            <w:tcW w:w="1160" w:type="dxa"/>
            <w:vAlign w:val="bottom"/>
          </w:tcPr>
          <w:p>
            <w:pPr>
              <w:spacing w:after="0"/>
              <w:rPr>
                <w:sz w:val="16"/>
                <w:szCs w:val="16"/>
                <w:color w:val="auto"/>
              </w:rPr>
            </w:pPr>
          </w:p>
        </w:tc>
        <w:tc>
          <w:tcPr>
            <w:tcW w:w="320" w:type="dxa"/>
            <w:vAlign w:val="bottom"/>
            <w:gridSpan w:val="3"/>
          </w:tcPr>
          <w:p>
            <w:pPr>
              <w:jc w:val="right"/>
              <w:ind w:right="20"/>
              <w:spacing w:after="0"/>
              <w:rPr>
                <w:rFonts w:ascii="Arial" w:cs="Arial" w:eastAsia="Arial" w:hAnsi="Arial"/>
                <w:sz w:val="16"/>
                <w:szCs w:val="16"/>
                <w:color w:val="0000FF"/>
              </w:rPr>
            </w:pPr>
            <w:hyperlink w:anchor="page57">
              <w:r>
                <w:rPr>
                  <w:rFonts w:ascii="Arial" w:cs="Arial" w:eastAsia="Arial" w:hAnsi="Arial"/>
                  <w:sz w:val="16"/>
                  <w:szCs w:val="16"/>
                  <w:color w:val="0000FF"/>
                </w:rPr>
                <w:t>F-4</w:t>
              </w:r>
            </w:hyperlink>
          </w:p>
        </w:tc>
      </w:tr>
      <w:tr>
        <w:trPr>
          <w:trHeight w:val="41"/>
        </w:trPr>
        <w:tc>
          <w:tcPr>
            <w:tcW w:w="9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Balance Sheets</w:t>
            </w:r>
          </w:p>
        </w:tc>
        <w:tc>
          <w:tcPr>
            <w:tcW w:w="11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20"/>
              <w:spacing w:after="0"/>
              <w:rPr>
                <w:rFonts w:ascii="Arial" w:cs="Arial" w:eastAsia="Arial" w:hAnsi="Arial"/>
                <w:sz w:val="16"/>
                <w:szCs w:val="16"/>
                <w:color w:val="0000FF"/>
              </w:rPr>
            </w:pPr>
            <w:hyperlink w:anchor="page58">
              <w:r>
                <w:rPr>
                  <w:rFonts w:ascii="Arial" w:cs="Arial" w:eastAsia="Arial" w:hAnsi="Arial"/>
                  <w:sz w:val="16"/>
                  <w:szCs w:val="16"/>
                  <w:color w:val="0000FF"/>
                </w:rPr>
                <w:t>F-5</w:t>
              </w:r>
            </w:hyperlink>
          </w:p>
        </w:tc>
      </w:tr>
      <w:tr>
        <w:trPr>
          <w:trHeight w:val="41"/>
        </w:trPr>
        <w:tc>
          <w:tcPr>
            <w:tcW w:w="99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4"/>
        </w:trPr>
        <w:tc>
          <w:tcPr>
            <w:tcW w:w="9940" w:type="dxa"/>
            <w:vAlign w:val="bottom"/>
          </w:tcPr>
          <w:p>
            <w:pPr>
              <w:ind w:left="20"/>
              <w:spacing w:after="0"/>
              <w:rPr>
                <w:sz w:val="20"/>
                <w:szCs w:val="20"/>
                <w:color w:val="auto"/>
              </w:rPr>
            </w:pPr>
            <w:r>
              <w:rPr>
                <w:rFonts w:ascii="Arial" w:cs="Arial" w:eastAsia="Arial" w:hAnsi="Arial"/>
                <w:sz w:val="16"/>
                <w:szCs w:val="16"/>
                <w:color w:val="auto"/>
              </w:rPr>
              <w:t>Consolidated Statements of Operations</w:t>
            </w:r>
          </w:p>
        </w:tc>
        <w:tc>
          <w:tcPr>
            <w:tcW w:w="1160" w:type="dxa"/>
            <w:vAlign w:val="bottom"/>
          </w:tcPr>
          <w:p>
            <w:pPr>
              <w:spacing w:after="0"/>
              <w:rPr>
                <w:sz w:val="16"/>
                <w:szCs w:val="16"/>
                <w:color w:val="auto"/>
              </w:rPr>
            </w:pPr>
          </w:p>
        </w:tc>
        <w:tc>
          <w:tcPr>
            <w:tcW w:w="320" w:type="dxa"/>
            <w:vAlign w:val="bottom"/>
            <w:gridSpan w:val="3"/>
          </w:tcPr>
          <w:p>
            <w:pPr>
              <w:jc w:val="right"/>
              <w:ind w:right="20"/>
              <w:spacing w:after="0"/>
              <w:rPr>
                <w:rFonts w:ascii="Arial" w:cs="Arial" w:eastAsia="Arial" w:hAnsi="Arial"/>
                <w:sz w:val="16"/>
                <w:szCs w:val="16"/>
                <w:color w:val="0000FF"/>
              </w:rPr>
            </w:pPr>
            <w:hyperlink w:anchor="page59">
              <w:r>
                <w:rPr>
                  <w:rFonts w:ascii="Arial" w:cs="Arial" w:eastAsia="Arial" w:hAnsi="Arial"/>
                  <w:sz w:val="16"/>
                  <w:szCs w:val="16"/>
                  <w:color w:val="0000FF"/>
                </w:rPr>
                <w:t>F-6</w:t>
              </w:r>
            </w:hyperlink>
          </w:p>
        </w:tc>
      </w:tr>
      <w:tr>
        <w:trPr>
          <w:trHeight w:val="41"/>
        </w:trPr>
        <w:tc>
          <w:tcPr>
            <w:tcW w:w="9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Shareholders’ Equity</w:t>
            </w:r>
          </w:p>
        </w:tc>
        <w:tc>
          <w:tcPr>
            <w:tcW w:w="11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F-7</w:t>
              </w:r>
            </w:hyperlink>
          </w:p>
        </w:tc>
      </w:tr>
      <w:tr>
        <w:trPr>
          <w:trHeight w:val="41"/>
        </w:trPr>
        <w:tc>
          <w:tcPr>
            <w:tcW w:w="99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4"/>
        </w:trPr>
        <w:tc>
          <w:tcPr>
            <w:tcW w:w="9940" w:type="dxa"/>
            <w:vAlign w:val="bottom"/>
          </w:tcPr>
          <w:p>
            <w:pPr>
              <w:ind w:left="20"/>
              <w:spacing w:after="0"/>
              <w:rPr>
                <w:sz w:val="20"/>
                <w:szCs w:val="20"/>
                <w:color w:val="auto"/>
              </w:rPr>
            </w:pPr>
            <w:r>
              <w:rPr>
                <w:rFonts w:ascii="Arial" w:cs="Arial" w:eastAsia="Arial" w:hAnsi="Arial"/>
                <w:sz w:val="16"/>
                <w:szCs w:val="16"/>
                <w:color w:val="auto"/>
              </w:rPr>
              <w:t>Consolidated Statements of Cash Flows</w:t>
            </w:r>
          </w:p>
        </w:tc>
        <w:tc>
          <w:tcPr>
            <w:tcW w:w="1160" w:type="dxa"/>
            <w:vAlign w:val="bottom"/>
          </w:tcPr>
          <w:p>
            <w:pPr>
              <w:spacing w:after="0"/>
              <w:rPr>
                <w:sz w:val="16"/>
                <w:szCs w:val="16"/>
                <w:color w:val="auto"/>
              </w:rPr>
            </w:pPr>
          </w:p>
        </w:tc>
        <w:tc>
          <w:tcPr>
            <w:tcW w:w="320" w:type="dxa"/>
            <w:vAlign w:val="bottom"/>
            <w:gridSpan w:val="3"/>
          </w:tcPr>
          <w:p>
            <w:pPr>
              <w:jc w:val="right"/>
              <w:ind w:right="20"/>
              <w:spacing w:after="0"/>
              <w:rPr>
                <w:rFonts w:ascii="Arial" w:cs="Arial" w:eastAsia="Arial" w:hAnsi="Arial"/>
                <w:sz w:val="16"/>
                <w:szCs w:val="16"/>
                <w:color w:val="0000FF"/>
              </w:rPr>
            </w:pPr>
            <w:hyperlink w:anchor="page61">
              <w:r>
                <w:rPr>
                  <w:rFonts w:ascii="Arial" w:cs="Arial" w:eastAsia="Arial" w:hAnsi="Arial"/>
                  <w:sz w:val="16"/>
                  <w:szCs w:val="16"/>
                  <w:color w:val="0000FF"/>
                </w:rPr>
                <w:t>F-8</w:t>
              </w:r>
            </w:hyperlink>
          </w:p>
        </w:tc>
      </w:tr>
      <w:tr>
        <w:trPr>
          <w:trHeight w:val="41"/>
        </w:trPr>
        <w:tc>
          <w:tcPr>
            <w:tcW w:w="9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to Consolidated Financial Statements</w:t>
            </w:r>
          </w:p>
        </w:tc>
        <w:tc>
          <w:tcPr>
            <w:tcW w:w="11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F-9</w:t>
              </w:r>
            </w:hyperlink>
          </w:p>
        </w:tc>
      </w:tr>
      <w:tr>
        <w:trPr>
          <w:trHeight w:val="295"/>
        </w:trPr>
        <w:tc>
          <w:tcPr>
            <w:tcW w:w="99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2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Financial Statement Schedules</w:t>
            </w: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4"/>
        </w:trPr>
        <w:tc>
          <w:tcPr>
            <w:tcW w:w="9940" w:type="dxa"/>
            <w:vAlign w:val="bottom"/>
          </w:tcPr>
          <w:p>
            <w:pPr>
              <w:ind w:left="20"/>
              <w:spacing w:after="0"/>
              <w:rPr>
                <w:sz w:val="20"/>
                <w:szCs w:val="20"/>
                <w:color w:val="auto"/>
              </w:rPr>
            </w:pPr>
            <w:r>
              <w:rPr>
                <w:rFonts w:ascii="Arial" w:cs="Arial" w:eastAsia="Arial" w:hAnsi="Arial"/>
                <w:sz w:val="16"/>
                <w:szCs w:val="16"/>
                <w:color w:val="auto"/>
              </w:rPr>
              <w:t>Schedule III—Summary of Real Estate and Accumulated Depreciation</w:t>
            </w:r>
          </w:p>
        </w:tc>
        <w:tc>
          <w:tcPr>
            <w:tcW w:w="1160" w:type="dxa"/>
            <w:vAlign w:val="bottom"/>
          </w:tcPr>
          <w:p>
            <w:pPr>
              <w:spacing w:after="0"/>
              <w:rPr>
                <w:sz w:val="16"/>
                <w:szCs w:val="16"/>
                <w:color w:val="auto"/>
              </w:rPr>
            </w:pPr>
          </w:p>
        </w:tc>
        <w:tc>
          <w:tcPr>
            <w:tcW w:w="320" w:type="dxa"/>
            <w:vAlign w:val="bottom"/>
            <w:gridSpan w:val="3"/>
          </w:tcPr>
          <w:p>
            <w:pPr>
              <w:jc w:val="right"/>
              <w:ind w:right="20"/>
              <w:spacing w:after="0"/>
              <w:rPr>
                <w:rFonts w:ascii="Arial" w:cs="Arial" w:eastAsia="Arial" w:hAnsi="Arial"/>
                <w:sz w:val="16"/>
                <w:szCs w:val="16"/>
                <w:color w:val="0000FF"/>
                <w:w w:val="84"/>
              </w:rPr>
            </w:pPr>
            <w:hyperlink w:anchor="page85">
              <w:r>
                <w:rPr>
                  <w:rFonts w:ascii="Arial" w:cs="Arial" w:eastAsia="Arial" w:hAnsi="Arial"/>
                  <w:sz w:val="16"/>
                  <w:szCs w:val="16"/>
                  <w:color w:val="0000FF"/>
                  <w:w w:val="84"/>
                </w:rPr>
                <w:t>F-32</w:t>
              </w:r>
            </w:hyperlink>
          </w:p>
        </w:tc>
      </w:tr>
      <w:tr>
        <w:trPr>
          <w:trHeight w:val="41"/>
        </w:trPr>
        <w:tc>
          <w:tcPr>
            <w:tcW w:w="9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Schedule IV—Mortgage Loans on Real Estate</w:t>
            </w:r>
          </w:p>
        </w:tc>
        <w:tc>
          <w:tcPr>
            <w:tcW w:w="11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20"/>
              <w:spacing w:after="0"/>
              <w:rPr>
                <w:rFonts w:ascii="Arial" w:cs="Arial" w:eastAsia="Arial" w:hAnsi="Arial"/>
                <w:sz w:val="16"/>
                <w:szCs w:val="16"/>
                <w:color w:val="0000FF"/>
                <w:w w:val="84"/>
              </w:rPr>
            </w:pPr>
            <w:hyperlink w:anchor="page92">
              <w:r>
                <w:rPr>
                  <w:rFonts w:ascii="Arial" w:cs="Arial" w:eastAsia="Arial" w:hAnsi="Arial"/>
                  <w:sz w:val="16"/>
                  <w:szCs w:val="16"/>
                  <w:color w:val="0000FF"/>
                  <w:w w:val="84"/>
                </w:rPr>
                <w:t>F-39</w:t>
              </w:r>
            </w:hyperlink>
          </w:p>
        </w:tc>
      </w:tr>
      <w:tr>
        <w:trPr>
          <w:trHeight w:val="41"/>
        </w:trPr>
        <w:tc>
          <w:tcPr>
            <w:tcW w:w="99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13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All other schedules have been omitted either because the information is not applicable, not material, or is disclosed in our consolidated financial statements and related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Assessment Report on Internal Control over Financial Reporting</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 w:lineRule="exact"/>
        <w:rPr>
          <w:sz w:val="20"/>
          <w:szCs w:val="20"/>
          <w:color w:val="auto"/>
        </w:rPr>
      </w:pPr>
    </w:p>
    <w:p>
      <w:pPr>
        <w:ind w:left="580" w:hanging="287"/>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 w:lineRule="exact"/>
        <w:rPr>
          <w:rFonts w:ascii="Arial" w:cs="Arial" w:eastAsia="Arial" w:hAnsi="Arial"/>
          <w:sz w:val="16"/>
          <w:szCs w:val="16"/>
          <w:color w:val="auto"/>
        </w:rPr>
      </w:pPr>
    </w:p>
    <w:p>
      <w:pPr>
        <w:ind w:left="580" w:right="620" w:hanging="287"/>
        <w:spacing w:after="0" w:line="292"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4"/>
          <w:szCs w:val="14"/>
          <w:color w:val="auto"/>
        </w:rPr>
      </w:pPr>
    </w:p>
    <w:p>
      <w:pPr>
        <w:ind w:left="580" w:right="20" w:hanging="287"/>
        <w:spacing w:after="0" w:line="272"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1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 xml:space="preserve">Management conducted an assessment of the effectiveness of the Trust’s internal control over financial reporting as of December 31, 2011. In making this assessment, it used the criteria set forth by the Committee of Sponsoring Organizations of the Treadway Commission (COSO)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management concluded that our internal control over financial reporting is effective, based on those criteria, as of December 31, 2011.</w:t>
      </w:r>
    </w:p>
    <w:p>
      <w:pPr>
        <w:spacing w:after="0" w:line="96"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Trustees and Shareholders of Federal Realty Investment Trust</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 xml:space="preserve">We have audited Federal Realty Investment Trust's (a Maryland real estate investment trust)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18"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 xml:space="preserve">In our opinion, Federal Realty Investment Trust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0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Federal Realty Investment Trust and subsidiaries as of December 31, 2011 and 2010, and the related consolidated statements of operations, shareholders’ equity, and cash flows for each of the three years in the period ended December 31, 2011 and our report dated February 15, 2012 expressed an unqualified opinion.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Trustees and Shareholders of Federal Realty Investment Trust</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(collectively, the Trust) as of December 31, 2011 and 2010, and the related consolidated statements of operations, shareholders’ equity, and cash flows for each of the three years in the period ended December 31, 2011. Our audits of the basic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18" w:lineRule="exact"/>
        <w:rPr>
          <w:sz w:val="20"/>
          <w:szCs w:val="20"/>
          <w:color w:val="auto"/>
        </w:rPr>
      </w:pPr>
    </w:p>
    <w:p>
      <w:pPr>
        <w:ind w:right="180"/>
        <w:spacing w:after="0" w:line="316"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5"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Trust and subsidiaries as of December 31, 2011 and 2010, and the results of their operations and their cash flows for each of the three years in the period ended December 31, 2011,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0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15, 2012 expressed an unqualified opinion.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McLean, Virginia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00"/>
          </w:cols>
          <w:pgMar w:left="240" w:top="127" w:right="2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399"/>
              <w:spacing w:after="0"/>
              <w:rPr>
                <w:sz w:val="20"/>
                <w:szCs w:val="20"/>
                <w:color w:val="auto"/>
              </w:rPr>
            </w:pPr>
            <w:r>
              <w:rPr>
                <w:rFonts w:ascii="Arial" w:cs="Arial" w:eastAsia="Arial" w:hAnsi="Arial"/>
                <w:sz w:val="13"/>
                <w:szCs w:val="13"/>
                <w:b w:val="1"/>
                <w:bCs w:val="1"/>
                <w:color w:val="auto"/>
                <w:w w:val="97"/>
              </w:rPr>
              <w:t>(In thousands, except share data)</w:t>
            </w: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40"/>
              <w:spacing w:after="0"/>
              <w:rPr>
                <w:sz w:val="20"/>
                <w:szCs w:val="20"/>
                <w:color w:val="auto"/>
              </w:rPr>
            </w:pPr>
            <w:r>
              <w:rPr>
                <w:rFonts w:ascii="Arial" w:cs="Arial" w:eastAsia="Arial" w:hAnsi="Arial"/>
                <w:sz w:val="16"/>
                <w:szCs w:val="16"/>
                <w:color w:val="auto"/>
              </w:rPr>
              <w:t>Real estate, at cost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Operating (including $271,468 and $78,846 of consolidated variable interest entities, respectively)</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4,240,708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3,695,848</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Construction-in-progress</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193,836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163,200</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8"/>
              </w:rPr>
              <w:t>Assets held for sale/disposal (discontinued operations) (including $0 and $18,311 of consolidated variable interest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entities,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36,894</w:t>
            </w:r>
          </w:p>
        </w:tc>
        <w:tc>
          <w:tcPr>
            <w:tcW w:w="0" w:type="dxa"/>
            <w:vAlign w:val="bottom"/>
          </w:tcPr>
          <w:p>
            <w:pPr>
              <w:spacing w:after="0"/>
              <w:rPr>
                <w:sz w:val="1"/>
                <w:szCs w:val="1"/>
                <w:color w:val="auto"/>
              </w:rPr>
            </w:pPr>
          </w:p>
        </w:tc>
      </w:tr>
      <w:tr>
        <w:trPr>
          <w:trHeight w:val="212"/>
        </w:trPr>
        <w:tc>
          <w:tcPr>
            <w:tcW w:w="8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4,434,544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3,895,942</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3"/>
              </w:rPr>
              <w:t>Less accumulated depreciation and amortization (including $4,991 and $4,431 of consolidated variable interest entities,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(1,127,588)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(1,035,204)</w:t>
            </w:r>
          </w:p>
        </w:tc>
        <w:tc>
          <w:tcPr>
            <w:tcW w:w="0" w:type="dxa"/>
            <w:vAlign w:val="bottom"/>
          </w:tcPr>
          <w:p>
            <w:pPr>
              <w:spacing w:after="0"/>
              <w:rPr>
                <w:sz w:val="1"/>
                <w:szCs w:val="1"/>
                <w:color w:val="auto"/>
              </w:rPr>
            </w:pPr>
          </w:p>
        </w:tc>
      </w:tr>
      <w:tr>
        <w:trPr>
          <w:trHeight w:val="212"/>
        </w:trPr>
        <w:tc>
          <w:tcPr>
            <w:tcW w:w="8580" w:type="dxa"/>
            <w:vAlign w:val="bottom"/>
          </w:tcPr>
          <w:p>
            <w:pPr>
              <w:ind w:left="340"/>
              <w:spacing w:after="0"/>
              <w:rPr>
                <w:sz w:val="20"/>
                <w:szCs w:val="20"/>
                <w:color w:val="auto"/>
              </w:rPr>
            </w:pPr>
            <w:r>
              <w:rPr>
                <w:rFonts w:ascii="Arial" w:cs="Arial" w:eastAsia="Arial" w:hAnsi="Arial"/>
                <w:sz w:val="16"/>
                <w:szCs w:val="16"/>
                <w:color w:val="auto"/>
              </w:rPr>
              <w:t>Net real estate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3,306,956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2,860,738</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67,806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15,797</w:t>
            </w:r>
          </w:p>
        </w:tc>
        <w:tc>
          <w:tcPr>
            <w:tcW w:w="0" w:type="dxa"/>
            <w:vAlign w:val="bottom"/>
          </w:tcPr>
          <w:p>
            <w:pPr>
              <w:spacing w:after="0"/>
              <w:rPr>
                <w:sz w:val="1"/>
                <w:szCs w:val="1"/>
                <w:color w:val="auto"/>
              </w:rPr>
            </w:pPr>
          </w:p>
        </w:tc>
      </w:tr>
      <w:tr>
        <w:trPr>
          <w:trHeight w:val="220"/>
        </w:trPr>
        <w:tc>
          <w:tcPr>
            <w:tcW w:w="8580" w:type="dxa"/>
            <w:vAlign w:val="bottom"/>
          </w:tcPr>
          <w:p>
            <w:pPr>
              <w:ind w:left="340"/>
              <w:spacing w:after="0"/>
              <w:rPr>
                <w:sz w:val="20"/>
                <w:szCs w:val="20"/>
                <w:color w:val="auto"/>
              </w:rPr>
            </w:pPr>
            <w:r>
              <w:rPr>
                <w:rFonts w:ascii="Arial" w:cs="Arial" w:eastAsia="Arial" w:hAnsi="Arial"/>
                <w:sz w:val="16"/>
                <w:szCs w:val="16"/>
                <w:color w:val="auto"/>
              </w:rPr>
              <w:t>Accounts and notes receivable, net</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76,152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68,997</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Mortgage notes receivable, net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55,967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44,813</w:t>
            </w:r>
          </w:p>
        </w:tc>
        <w:tc>
          <w:tcPr>
            <w:tcW w:w="0" w:type="dxa"/>
            <w:vAlign w:val="bottom"/>
          </w:tcPr>
          <w:p>
            <w:pPr>
              <w:spacing w:after="0"/>
              <w:rPr>
                <w:sz w:val="1"/>
                <w:szCs w:val="1"/>
                <w:color w:val="auto"/>
              </w:rPr>
            </w:pPr>
          </w:p>
        </w:tc>
      </w:tr>
      <w:tr>
        <w:trPr>
          <w:trHeight w:val="220"/>
        </w:trPr>
        <w:tc>
          <w:tcPr>
            <w:tcW w:w="8580" w:type="dxa"/>
            <w:vAlign w:val="bottom"/>
          </w:tcPr>
          <w:p>
            <w:pPr>
              <w:ind w:left="340"/>
              <w:spacing w:after="0"/>
              <w:rPr>
                <w:sz w:val="20"/>
                <w:szCs w:val="20"/>
                <w:color w:val="auto"/>
              </w:rPr>
            </w:pPr>
            <w:r>
              <w:rPr>
                <w:rFonts w:ascii="Arial" w:cs="Arial" w:eastAsia="Arial" w:hAnsi="Arial"/>
                <w:sz w:val="16"/>
                <w:szCs w:val="16"/>
                <w:color w:val="auto"/>
              </w:rPr>
              <w:t>Investment in real estate partnerships</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34,352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51,606</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106,859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110,686</w:t>
            </w:r>
          </w:p>
        </w:tc>
        <w:tc>
          <w:tcPr>
            <w:tcW w:w="0" w:type="dxa"/>
            <w:vAlign w:val="bottom"/>
          </w:tcPr>
          <w:p>
            <w:pPr>
              <w:spacing w:after="0"/>
              <w:rPr>
                <w:sz w:val="1"/>
                <w:szCs w:val="1"/>
                <w:color w:val="auto"/>
              </w:rPr>
            </w:pPr>
          </w:p>
        </w:tc>
      </w:tr>
      <w:tr>
        <w:trPr>
          <w:trHeight w:val="220"/>
        </w:trPr>
        <w:tc>
          <w:tcPr>
            <w:tcW w:w="8580" w:type="dxa"/>
            <w:vAlign w:val="bottom"/>
          </w:tcPr>
          <w:p>
            <w:pPr>
              <w:ind w:left="340"/>
              <w:spacing w:after="0"/>
              <w:rPr>
                <w:sz w:val="20"/>
                <w:szCs w:val="20"/>
                <w:color w:val="auto"/>
              </w:rPr>
            </w:pPr>
            <w:r>
              <w:rPr>
                <w:rFonts w:ascii="Arial" w:cs="Arial" w:eastAsia="Arial" w:hAnsi="Arial"/>
                <w:sz w:val="16"/>
                <w:szCs w:val="16"/>
                <w:color w:val="auto"/>
              </w:rPr>
              <w:t>Debt issuance costs, net of accumulated amortization of $9,098 and $9,075, respectively</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6,916</w:t>
            </w:r>
          </w:p>
        </w:tc>
        <w:tc>
          <w:tcPr>
            <w:tcW w:w="0" w:type="dxa"/>
            <w:vAlign w:val="bottom"/>
          </w:tcPr>
          <w:p>
            <w:pPr>
              <w:spacing w:after="0"/>
              <w:rPr>
                <w:sz w:val="1"/>
                <w:szCs w:val="1"/>
                <w:color w:val="auto"/>
              </w:rPr>
            </w:pPr>
          </w:p>
        </w:tc>
      </w:tr>
      <w:tr>
        <w:trPr>
          <w:trHeight w:val="26"/>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3,659,908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3,159,553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SHAREHOLDERS’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Mortgages payable (including $207,683 and $22,785 of consolidated variable interest entities, respectively)</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747,523</w:t>
            </w:r>
          </w:p>
        </w:tc>
        <w:tc>
          <w:tcPr>
            <w:tcW w:w="100" w:type="dxa"/>
            <w:vAlign w:val="bottom"/>
          </w:tcPr>
          <w:p>
            <w:pPr>
              <w:spacing w:after="0"/>
              <w:rPr>
                <w:sz w:val="19"/>
                <w:szCs w:val="19"/>
                <w:color w:val="auto"/>
              </w:rPr>
            </w:pPr>
          </w:p>
        </w:tc>
        <w:tc>
          <w:tcPr>
            <w:tcW w:w="44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529,501</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Capital lease obligations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63,093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Notes payable</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295,159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97,881</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Senior notes and debentures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1,004,635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1,079,827</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104,498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102,574</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Dividends payable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44,229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41,601</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Security deposits payable</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12,221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11,751</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liabilities and deferred credits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62,621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55,348</w:t>
            </w:r>
          </w:p>
        </w:tc>
        <w:tc>
          <w:tcPr>
            <w:tcW w:w="0" w:type="dxa"/>
            <w:vAlign w:val="bottom"/>
          </w:tcPr>
          <w:p>
            <w:pPr>
              <w:spacing w:after="0"/>
              <w:rPr>
                <w:sz w:val="1"/>
                <w:szCs w:val="1"/>
                <w:color w:val="auto"/>
              </w:rPr>
            </w:pPr>
          </w:p>
        </w:tc>
      </w:tr>
      <w:tr>
        <w:trPr>
          <w:trHeight w:val="212"/>
        </w:trPr>
        <w:tc>
          <w:tcPr>
            <w:tcW w:w="85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2,333,979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1,978,423</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40"/>
              <w:spacing w:after="0"/>
              <w:rPr>
                <w:sz w:val="20"/>
                <w:szCs w:val="20"/>
                <w:color w:val="auto"/>
              </w:rPr>
            </w:pPr>
            <w:r>
              <w:rPr>
                <w:rFonts w:ascii="Arial" w:cs="Arial" w:eastAsia="Arial" w:hAnsi="Arial"/>
                <w:sz w:val="16"/>
                <w:szCs w:val="16"/>
                <w:color w:val="auto"/>
              </w:rPr>
              <w:t>Redeemable noncontrolling interests (Note 2)</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85,325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65,362</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80" w:type="dxa"/>
            <w:vAlign w:val="bottom"/>
          </w:tcPr>
          <w:p>
            <w:pPr>
              <w:ind w:left="640"/>
              <w:spacing w:after="0"/>
              <w:rPr>
                <w:sz w:val="20"/>
                <w:szCs w:val="20"/>
                <w:color w:val="auto"/>
              </w:rPr>
            </w:pPr>
            <w:r>
              <w:rPr>
                <w:rFonts w:ascii="Arial" w:cs="Arial" w:eastAsia="Arial" w:hAnsi="Arial"/>
                <w:sz w:val="16"/>
                <w:szCs w:val="16"/>
                <w:color w:val="auto"/>
                <w:w w:val="94"/>
              </w:rPr>
              <w:t>Preferred shares, authorized 15,000,000 shares, $.01 par: 5.417% Series 1 Cumulative Convertible Preferred Shares,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640"/>
              <w:spacing w:after="0"/>
              <w:rPr>
                <w:sz w:val="20"/>
                <w:szCs w:val="20"/>
                <w:color w:val="auto"/>
              </w:rPr>
            </w:pPr>
            <w:r>
              <w:rPr>
                <w:rFonts w:ascii="Arial" w:cs="Arial" w:eastAsia="Arial" w:hAnsi="Arial"/>
                <w:sz w:val="16"/>
                <w:szCs w:val="16"/>
                <w:color w:val="auto"/>
              </w:rPr>
              <w:t>(stated at liquidation preference $25 per share), 399,896 shares issued and outstanding</w:t>
            </w:r>
          </w:p>
        </w:tc>
        <w:tc>
          <w:tcPr>
            <w:tcW w:w="3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9,997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9,997</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1"/>
              </w:rPr>
              <w:t>Common shares of beneficial interest, $.01 par, 100,000,000 shares authorized, 63,544,150 and 61,526,418 shares issued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and outstanding, respectively</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Additional paid-in capital (Note 2)</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1,764,940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1,611,706</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Accumulated dividends in excess of net income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(555,541)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(527,582)</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shareholders’ equity of the Trust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1,216,092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1,094,736</w:t>
            </w:r>
          </w:p>
        </w:tc>
        <w:tc>
          <w:tcPr>
            <w:tcW w:w="0" w:type="dxa"/>
            <w:vAlign w:val="bottom"/>
          </w:tcPr>
          <w:p>
            <w:pPr>
              <w:spacing w:after="0"/>
              <w:rPr>
                <w:sz w:val="1"/>
                <w:szCs w:val="1"/>
                <w:color w:val="auto"/>
              </w:rPr>
            </w:pPr>
          </w:p>
        </w:tc>
      </w:tr>
      <w:tr>
        <w:trPr>
          <w:trHeight w:val="220"/>
        </w:trPr>
        <w:tc>
          <w:tcPr>
            <w:tcW w:w="8580" w:type="dxa"/>
            <w:vAlign w:val="bottom"/>
          </w:tcPr>
          <w:p>
            <w:pPr>
              <w:ind w:left="640"/>
              <w:spacing w:after="0"/>
              <w:rPr>
                <w:sz w:val="20"/>
                <w:szCs w:val="20"/>
                <w:color w:val="auto"/>
              </w:rPr>
            </w:pPr>
            <w:r>
              <w:rPr>
                <w:rFonts w:ascii="Arial" w:cs="Arial" w:eastAsia="Arial" w:hAnsi="Arial"/>
                <w:sz w:val="16"/>
                <w:szCs w:val="16"/>
                <w:color w:val="auto"/>
              </w:rPr>
              <w:t>Noncontrolling interests (Note 2)</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24,512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21,032</w:t>
            </w:r>
          </w:p>
        </w:tc>
        <w:tc>
          <w:tcPr>
            <w:tcW w:w="0" w:type="dxa"/>
            <w:vAlign w:val="bottom"/>
          </w:tcPr>
          <w:p>
            <w:pPr>
              <w:spacing w:after="0"/>
              <w:rPr>
                <w:sz w:val="1"/>
                <w:szCs w:val="1"/>
                <w:color w:val="auto"/>
              </w:rPr>
            </w:pPr>
          </w:p>
        </w:tc>
      </w:tr>
      <w:tr>
        <w:trPr>
          <w:trHeight w:val="26"/>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1,240,604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1,115,768</w:t>
            </w:r>
          </w:p>
        </w:tc>
        <w:tc>
          <w:tcPr>
            <w:tcW w:w="0" w:type="dxa"/>
            <w:vAlign w:val="bottom"/>
          </w:tcPr>
          <w:p>
            <w:pPr>
              <w:spacing w:after="0"/>
              <w:rPr>
                <w:sz w:val="1"/>
                <w:szCs w:val="1"/>
                <w:color w:val="auto"/>
              </w:rPr>
            </w:pPr>
          </w:p>
        </w:tc>
      </w:tr>
      <w:tr>
        <w:trPr>
          <w:trHeight w:val="212"/>
        </w:trPr>
        <w:tc>
          <w:tcPr>
            <w:tcW w:w="858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3,659,908</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3,159,553</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127" w:right="2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59"/>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jc w:val="center"/>
              <w:ind w:left="559"/>
              <w:spacing w:after="0"/>
              <w:rPr>
                <w:sz w:val="20"/>
                <w:szCs w:val="20"/>
                <w:color w:val="auto"/>
              </w:rPr>
            </w:pPr>
            <w:r>
              <w:rPr>
                <w:rFonts w:ascii="Arial" w:cs="Arial" w:eastAsia="Arial" w:hAnsi="Arial"/>
                <w:sz w:val="13"/>
                <w:szCs w:val="13"/>
                <w:b w:val="1"/>
                <w:bCs w:val="1"/>
                <w:color w:val="auto"/>
                <w:w w:val="89"/>
              </w:rPr>
              <w:t>(In thousands, except per share data)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100" w:type="dxa"/>
            <w:vAlign w:val="bottom"/>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Rental income</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538,701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522,651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510,777</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Other property income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14,545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12,849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Mortgage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4,943</w:t>
            </w:r>
          </w:p>
        </w:tc>
        <w:tc>
          <w:tcPr>
            <w:tcW w:w="0" w:type="dxa"/>
            <w:vAlign w:val="bottom"/>
          </w:tcPr>
          <w:p>
            <w:pPr>
              <w:spacing w:after="0"/>
              <w:rPr>
                <w:sz w:val="1"/>
                <w:szCs w:val="1"/>
                <w:color w:val="auto"/>
              </w:rPr>
            </w:pPr>
          </w:p>
        </w:tc>
      </w:tr>
      <w:tr>
        <w:trPr>
          <w:trHeight w:val="212"/>
        </w:trPr>
        <w:tc>
          <w:tcPr>
            <w:tcW w:w="7100" w:type="dxa"/>
            <w:vAlign w:val="bottom"/>
          </w:tcPr>
          <w:p>
            <w:pPr>
              <w:ind w:left="640"/>
              <w:spacing w:after="0"/>
              <w:rPr>
                <w:sz w:val="20"/>
                <w:szCs w:val="20"/>
                <w:color w:val="auto"/>
              </w:rPr>
            </w:pPr>
            <w:r>
              <w:rPr>
                <w:rFonts w:ascii="Arial" w:cs="Arial" w:eastAsia="Arial" w:hAnsi="Arial"/>
                <w:sz w:val="16"/>
                <w:szCs w:val="16"/>
                <w:color w:val="auto"/>
              </w:rPr>
              <w:t>Total revenue</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553,059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541,797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528,569</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Rental expenses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109,549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110,519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108,344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Real estate taxes</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58,663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57,866</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22,032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Litigation provision</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16,355</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126,208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118,878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114,443</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312,579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319,040</w:t>
            </w:r>
          </w:p>
        </w:tc>
        <w:tc>
          <w:tcPr>
            <w:tcW w:w="0" w:type="dxa"/>
            <w:vAlign w:val="bottom"/>
          </w:tcPr>
          <w:p>
            <w:pPr>
              <w:spacing w:after="0"/>
              <w:rPr>
                <w:sz w:val="1"/>
                <w:szCs w:val="1"/>
                <w:color w:val="auto"/>
              </w:rPr>
            </w:pP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227,697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229,218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209,529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(98,465)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(108,781)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Early extinguishment of debt</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Income from real estate partnerships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125,851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101,325</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Discontinued operations - income</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Discontinued operations - gain on deconsolidation of VIE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Discontinued operations -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2"/>
        </w:trPr>
        <w:tc>
          <w:tcPr>
            <w:tcW w:w="7100" w:type="dxa"/>
            <w:vAlign w:val="bottom"/>
          </w:tcPr>
          <w:p>
            <w:pPr>
              <w:ind w:left="640"/>
              <w:spacing w:after="0"/>
              <w:rPr>
                <w:sz w:val="20"/>
                <w:szCs w:val="20"/>
                <w:color w:val="auto"/>
              </w:rPr>
            </w:pPr>
            <w:r>
              <w:rPr>
                <w:rFonts w:ascii="Arial" w:cs="Arial" w:eastAsia="Arial" w:hAnsi="Arial"/>
                <w:sz w:val="16"/>
                <w:szCs w:val="16"/>
                <w:color w:val="auto"/>
              </w:rPr>
              <w:t>Results from discontinued operations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18,058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GAIN ON SALE OF REAL ESTATE</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149,612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127,827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103,872</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Gain on sale of real estate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149,612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128,237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103,872</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(5,568)</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TRUST</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122,790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98,304</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Dividends on preferred shares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AVAILABLE FOR COMMON SHAREHOLDERS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97,763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44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0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CEEFF"/>
            </w:tcBorders>
            <w:shd w:val="clear" w:color="auto" w:fill="CCEEFF"/>
          </w:tcPr>
          <w:p>
            <w:pPr>
              <w:ind w:left="340"/>
              <w:spacing w:after="0" w:line="172" w:lineRule="exact"/>
              <w:rPr>
                <w:sz w:val="20"/>
                <w:szCs w:val="20"/>
                <w:color w:val="auto"/>
              </w:rPr>
            </w:pPr>
            <w:r>
              <w:rPr>
                <w:rFonts w:ascii="Arial" w:cs="Arial" w:eastAsia="Arial" w:hAnsi="Arial"/>
                <w:sz w:val="16"/>
                <w:szCs w:val="16"/>
                <w:color w:val="auto"/>
              </w:rPr>
              <w:t>Weighted average number of common shares, basic</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61,182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59,704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7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44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10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CEEFF"/>
            </w:tcBorders>
            <w:shd w:val="clear" w:color="auto" w:fill="CCEEFF"/>
          </w:tcPr>
          <w:p>
            <w:pPr>
              <w:ind w:left="340"/>
              <w:spacing w:after="0" w:line="172" w:lineRule="exact"/>
              <w:rPr>
                <w:sz w:val="20"/>
                <w:szCs w:val="20"/>
                <w:color w:val="auto"/>
              </w:rPr>
            </w:pPr>
            <w:r>
              <w:rPr>
                <w:rFonts w:ascii="Arial" w:cs="Arial" w:eastAsia="Arial" w:hAnsi="Arial"/>
                <w:sz w:val="16"/>
                <w:szCs w:val="16"/>
                <w:color w:val="auto"/>
              </w:rPr>
              <w:t>Weighted average number of common shares, diluted</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127" w:right="239" w:bottom="1440" w:gutter="0" w:footer="0" w:header="0"/>
          <w:type w:val="continuous"/>
        </w:sectPr>
      </w:pPr>
    </w:p>
    <w:bookmarkStart w:id="60" w:name="page61"/>
    <w:bookmarkEnd w:id="6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Federal Realty Investment Trust</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Consolidated Statement of Shareholders’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rPr>
              <w:t>Shareholders’ Equity of the Trust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92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Preferred Shares</w:t>
            </w:r>
          </w:p>
        </w:tc>
        <w:tc>
          <w:tcPr>
            <w:tcW w:w="180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4"/>
              </w:rPr>
              <w:t>Additional</w:t>
            </w:r>
          </w:p>
        </w:tc>
        <w:tc>
          <w:tcPr>
            <w:tcW w:w="100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0"/>
              </w:rPr>
              <w:t>Accumulated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
              <w:spacing w:after="0" w:line="138"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0"/>
              </w:rPr>
              <w:t>Dividends in</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jc w:val="center"/>
              <w:spacing w:after="0" w:line="143" w:lineRule="exact"/>
              <w:rPr>
                <w:sz w:val="20"/>
                <w:szCs w:val="20"/>
                <w:color w:val="auto"/>
              </w:rPr>
            </w:pPr>
            <w:r>
              <w:rPr>
                <w:rFonts w:ascii="Arial" w:cs="Arial" w:eastAsia="Arial" w:hAnsi="Arial"/>
                <w:sz w:val="13"/>
                <w:szCs w:val="13"/>
                <w:b w:val="1"/>
                <w:bCs w:val="1"/>
                <w:color w:val="auto"/>
                <w:w w:val="90"/>
              </w:rPr>
              <w:t>Shareholders'</w:t>
            </w:r>
          </w:p>
        </w:tc>
        <w:tc>
          <w:tcPr>
            <w:tcW w:w="0" w:type="dxa"/>
            <w:vAlign w:val="bottom"/>
          </w:tcPr>
          <w:p>
            <w:pPr>
              <w:spacing w:after="0"/>
              <w:rPr>
                <w:sz w:val="1"/>
                <w:szCs w:val="1"/>
                <w:color w:val="auto"/>
              </w:rPr>
            </w:pPr>
          </w:p>
        </w:tc>
      </w:tr>
      <w:tr>
        <w:trPr>
          <w:trHeight w:val="107"/>
        </w:trPr>
        <w:tc>
          <w:tcPr>
            <w:tcW w:w="27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Capital</w:t>
            </w:r>
          </w:p>
        </w:tc>
        <w:tc>
          <w:tcPr>
            <w:tcW w:w="100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3"/>
              </w:rPr>
              <w:t>Excess of Net</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5"/>
              </w:rPr>
              <w:t>Comprehensive</w:t>
            </w:r>
          </w:p>
        </w:tc>
        <w:tc>
          <w:tcPr>
            <w:tcW w:w="100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Interests (Note</w:t>
            </w:r>
          </w:p>
        </w:tc>
        <w:tc>
          <w:tcPr>
            <w:tcW w:w="100" w:type="dxa"/>
            <w:vAlign w:val="bottom"/>
          </w:tcPr>
          <w:p>
            <w:pPr>
              <w:spacing w:after="0"/>
              <w:rPr>
                <w:sz w:val="9"/>
                <w:szCs w:val="9"/>
                <w:color w:val="auto"/>
              </w:rPr>
            </w:pPr>
          </w:p>
        </w:tc>
        <w:tc>
          <w:tcPr>
            <w:tcW w:w="800" w:type="dxa"/>
            <w:vAlign w:val="bottom"/>
          </w:tcPr>
          <w:p>
            <w:pPr>
              <w:jc w:val="center"/>
              <w:ind w:right="15"/>
              <w:spacing w:after="0" w:line="107" w:lineRule="exact"/>
              <w:rPr>
                <w:sz w:val="20"/>
                <w:szCs w:val="20"/>
                <w:color w:val="auto"/>
              </w:rPr>
            </w:pPr>
            <w:r>
              <w:rPr>
                <w:rFonts w:ascii="Arial" w:cs="Arial" w:eastAsia="Arial" w:hAnsi="Arial"/>
                <w:sz w:val="12"/>
                <w:szCs w:val="12"/>
                <w:b w:val="1"/>
                <w:bCs w:val="1"/>
                <w:color w:val="auto"/>
              </w:rPr>
              <w:t>Equity (Note</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4"/>
              </w:rPr>
              <w:t>(Note 2)</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Income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8"/>
          </w:tcPr>
          <w:p>
            <w:pPr>
              <w:ind w:left="38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2008</w:t>
            </w:r>
          </w:p>
        </w:tc>
        <w:tc>
          <w:tcPr>
            <w:tcW w:w="74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399,896</w:t>
            </w:r>
          </w:p>
        </w:tc>
        <w:tc>
          <w:tcPr>
            <w:tcW w:w="2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9,997</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58,985,678</w:t>
            </w:r>
          </w:p>
        </w:tc>
        <w:tc>
          <w:tcPr>
            <w:tcW w:w="2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590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w w:val="96"/>
              </w:rPr>
              <w:t>1,478,785</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(426,574)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21,771</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1,084,569</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line="144" w:lineRule="exact"/>
              <w:rPr>
                <w:sz w:val="20"/>
                <w:szCs w:val="20"/>
                <w:color w:val="auto"/>
              </w:rPr>
            </w:pPr>
            <w:r>
              <w:rPr>
                <w:rFonts w:ascii="Arial" w:cs="Arial" w:eastAsia="Arial" w:hAnsi="Arial"/>
                <w:sz w:val="13"/>
                <w:szCs w:val="13"/>
                <w:color w:val="auto"/>
              </w:rPr>
              <w:t>Net income/comprehensive income, excluding</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Arial" w:cs="Arial" w:eastAsia="Arial" w:hAnsi="Arial"/>
                <w:sz w:val="13"/>
                <w:szCs w:val="13"/>
                <w:color w:val="auto"/>
                <w:w w:val="95"/>
              </w:rPr>
              <w:t>$3,218 attributable to redeemable noncontrolling</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98,304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3"/>
                <w:szCs w:val="13"/>
                <w:color w:val="auto"/>
              </w:rPr>
              <w:t>2,350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100,654</w:t>
            </w: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to common shareholders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(157,638)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(157,638)</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Distributions declared to noncontrolling interests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(2,603)</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Common shares issued</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1,995,563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109,996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110,016</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126,500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2,757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2,758</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w w:val="95"/>
              </w:rPr>
              <w:t>Shares issued under dividend reinvestment plan</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50,888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2,728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2,728</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 net</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83,421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7,138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7,139</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Conversion and redemption of OP units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to redeemable noncontrolling</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4,742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4,742</w:t>
            </w:r>
          </w:p>
        </w:tc>
        <w:tc>
          <w:tcPr>
            <w:tcW w:w="0" w:type="dxa"/>
            <w:vAlign w:val="bottom"/>
          </w:tcPr>
          <w:p>
            <w:pPr>
              <w:spacing w:after="0"/>
              <w:rPr>
                <w:sz w:val="1"/>
                <w:szCs w:val="1"/>
                <w:color w:val="auto"/>
              </w:rPr>
            </w:pPr>
          </w:p>
        </w:tc>
      </w:tr>
      <w:tr>
        <w:trPr>
          <w:trHeight w:val="153"/>
        </w:trPr>
        <w:tc>
          <w:tcPr>
            <w:tcW w:w="2700" w:type="dxa"/>
            <w:vAlign w:val="bottom"/>
          </w:tcPr>
          <w:p>
            <w:pPr>
              <w:ind w:left="20"/>
              <w:spacing w:after="0"/>
              <w:rPr>
                <w:sz w:val="20"/>
                <w:szCs w:val="20"/>
                <w:color w:val="auto"/>
              </w:rPr>
            </w:pPr>
            <w:r>
              <w:rPr>
                <w:rFonts w:ascii="Arial" w:cs="Arial" w:eastAsia="Arial" w:hAnsi="Arial"/>
                <w:sz w:val="13"/>
                <w:szCs w:val="13"/>
                <w:color w:val="auto"/>
              </w:rPr>
              <w:t>BALANCE AT DECEMBER 31, 2009</w:t>
            </w:r>
          </w:p>
        </w:tc>
        <w:tc>
          <w:tcPr>
            <w:tcW w:w="740" w:type="dxa"/>
            <w:vAlign w:val="bottom"/>
            <w:vMerge w:val="restart"/>
          </w:tcPr>
          <w:p>
            <w:pPr>
              <w:jc w:val="right"/>
              <w:ind w:right="15"/>
              <w:spacing w:after="0"/>
              <w:rPr>
                <w:sz w:val="20"/>
                <w:szCs w:val="20"/>
                <w:color w:val="auto"/>
              </w:rPr>
            </w:pPr>
            <w:r>
              <w:rPr>
                <w:rFonts w:ascii="Arial" w:cs="Arial" w:eastAsia="Arial" w:hAnsi="Arial"/>
                <w:sz w:val="13"/>
                <w:szCs w:val="13"/>
                <w:color w:val="auto"/>
              </w:rPr>
              <w:t>399,896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55"/>
              <w:spacing w:after="0"/>
              <w:rPr>
                <w:sz w:val="20"/>
                <w:szCs w:val="20"/>
                <w:color w:val="auto"/>
              </w:rPr>
            </w:pPr>
            <w:r>
              <w:rPr>
                <w:rFonts w:ascii="Arial" w:cs="Arial" w:eastAsia="Arial" w:hAnsi="Arial"/>
                <w:sz w:val="13"/>
                <w:szCs w:val="13"/>
                <w:color w:val="auto"/>
              </w:rPr>
              <w:t>9,997</w:t>
            </w:r>
          </w:p>
        </w:tc>
        <w:tc>
          <w:tcPr>
            <w:tcW w:w="260" w:type="dxa"/>
            <w:vAlign w:val="bottom"/>
          </w:tcPr>
          <w:p>
            <w:pPr>
              <w:spacing w:after="0"/>
              <w:rPr>
                <w:sz w:val="13"/>
                <w:szCs w:val="13"/>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61,242,050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w w:val="96"/>
              </w:rPr>
              <w:t>1,606,115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3"/>
                <w:szCs w:val="13"/>
                <w:color w:val="auto"/>
              </w:rPr>
              <w:t>(486,449)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3"/>
                <w:szCs w:val="13"/>
                <w:color w:val="auto"/>
              </w:rPr>
              <w:t>21,463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1,151,738</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income/comprehensive income, excluding</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$2,986 attributable to redeemable noncontrolling</w:t>
            </w: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122,790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125,251</w:t>
            </w: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Dividends declared to common shareholders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3"/>
                <w:szCs w:val="13"/>
                <w:color w:val="auto"/>
              </w:rPr>
              <w:t>(163,382)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(163,382)</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w w:val="96"/>
              </w:rPr>
              <w:t>Distributions declared to noncontrolling interests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(2,223)</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shares issued</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190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107,493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4,051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Shares issued under dividend reinvestment plan</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34,401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2,544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2,544</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Share-based compensation expense, net</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135,338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6,485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6,487</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and redemption of OP units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6,946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line="144" w:lineRule="exact"/>
              <w:rPr>
                <w:sz w:val="20"/>
                <w:szCs w:val="20"/>
                <w:color w:val="auto"/>
              </w:rPr>
            </w:pPr>
            <w:r>
              <w:rPr>
                <w:rFonts w:ascii="Arial" w:cs="Arial" w:eastAsia="Arial" w:hAnsi="Arial"/>
                <w:sz w:val="13"/>
                <w:szCs w:val="13"/>
                <w:color w:val="auto"/>
              </w:rPr>
              <w:t>Adjustment to redeemable noncontrolling</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(8,035)</w:t>
            </w: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2010</w:t>
            </w:r>
          </w:p>
        </w:tc>
        <w:tc>
          <w:tcPr>
            <w:tcW w:w="74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399,896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9,997</w:t>
            </w: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61,526,418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615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w w:val="96"/>
              </w:rPr>
              <w:t>1,611,706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(527,582)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21,032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1,115,768</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CCEEFF"/>
          </w:tcPr>
          <w:p>
            <w:pPr>
              <w:ind w:left="240"/>
              <w:spacing w:after="0" w:line="144" w:lineRule="exact"/>
              <w:rPr>
                <w:sz w:val="20"/>
                <w:szCs w:val="20"/>
                <w:color w:val="auto"/>
              </w:rPr>
            </w:pPr>
            <w:r>
              <w:rPr>
                <w:rFonts w:ascii="Arial" w:cs="Arial" w:eastAsia="Arial" w:hAnsi="Arial"/>
                <w:sz w:val="13"/>
                <w:szCs w:val="13"/>
                <w:color w:val="auto"/>
                <w:w w:val="96"/>
              </w:rPr>
              <w:t>Net income, excluding $3,492 attributable to</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redeemable noncontrolling interests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143,917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146,120</w:t>
            </w:r>
          </w:p>
        </w:tc>
        <w:tc>
          <w:tcPr>
            <w:tcW w:w="0" w:type="dxa"/>
            <w:vAlign w:val="bottom"/>
          </w:tcPr>
          <w:p>
            <w:pPr>
              <w:spacing w:after="0"/>
              <w:rPr>
                <w:sz w:val="1"/>
                <w:szCs w:val="1"/>
                <w:color w:val="auto"/>
              </w:rPr>
            </w:pPr>
          </w:p>
        </w:tc>
      </w:tr>
      <w:tr>
        <w:trPr>
          <w:trHeight w:val="173"/>
        </w:trPr>
        <w:tc>
          <w:tcPr>
            <w:tcW w:w="2700" w:type="dxa"/>
            <w:vAlign w:val="bottom"/>
          </w:tcPr>
          <w:p>
            <w:pPr>
              <w:ind w:left="240"/>
              <w:spacing w:after="0"/>
              <w:rPr>
                <w:sz w:val="20"/>
                <w:szCs w:val="20"/>
                <w:color w:val="auto"/>
              </w:rPr>
            </w:pPr>
            <w:r>
              <w:rPr>
                <w:rFonts w:ascii="Arial" w:cs="Arial" w:eastAsia="Arial" w:hAnsi="Arial"/>
                <w:sz w:val="13"/>
                <w:szCs w:val="13"/>
                <w:color w:val="auto"/>
                <w:w w:val="99"/>
              </w:rPr>
              <w:t>Change in valuation on interest rate swaps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color w:val="auto"/>
              </w:rPr>
              <w:t>(3,940)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(3,940)</w:t>
            </w:r>
          </w:p>
        </w:tc>
        <w:tc>
          <w:tcPr>
            <w:tcW w:w="0" w:type="dxa"/>
            <w:vAlign w:val="bottom"/>
          </w:tcPr>
          <w:p>
            <w:pPr>
              <w:spacing w:after="0"/>
              <w:rPr>
                <w:sz w:val="1"/>
                <w:szCs w:val="1"/>
                <w:color w:val="auto"/>
              </w:rPr>
            </w:pPr>
          </w:p>
        </w:tc>
      </w:tr>
      <w:tr>
        <w:trPr>
          <w:trHeight w:val="67"/>
        </w:trPr>
        <w:tc>
          <w:tcPr>
            <w:tcW w:w="270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gridSpan w:val="2"/>
            <w:vMerge w:val="continue"/>
          </w:tcPr>
          <w:p>
            <w:pPr>
              <w:spacing w:after="0"/>
              <w:rPr>
                <w:sz w:val="5"/>
                <w:szCs w:val="5"/>
                <w:color w:val="auto"/>
              </w:rPr>
            </w:pPr>
          </w:p>
        </w:tc>
        <w:tc>
          <w:tcPr>
            <w:tcW w:w="1020" w:type="dxa"/>
            <w:vAlign w:val="bottom"/>
            <w:tcBorders>
              <w:bottom w:val="single" w:sz="8" w:color="CCEEFF"/>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gridSpan w:val="2"/>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w:t>
            </w: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142,180</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Dividends declared to common shareholders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3"/>
                <w:szCs w:val="13"/>
                <w:color w:val="auto"/>
              </w:rPr>
              <w:t>(171,335)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(171,335)</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w w:val="96"/>
              </w:rPr>
              <w:t>Distributions declared to noncontrolling interests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(2,320)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(2,320)</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shares issued</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1,662,230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139,281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139,298</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237,271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15,187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15,190</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Shares issued under dividend reinvestment plan</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28,823</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2,374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2,374</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Share-based compensation expense, net</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3"/>
                <w:szCs w:val="13"/>
                <w:color w:val="auto"/>
              </w:rPr>
              <w:t>89,408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3"/>
                <w:szCs w:val="13"/>
                <w:color w:val="auto"/>
              </w:rPr>
              <w:t>8,246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8,247</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and redemption of OP units</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Purchase of noncontrolling interest</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Deconsolidation of VIE</w:t>
            </w:r>
          </w:p>
        </w:tc>
        <w:tc>
          <w:tcPr>
            <w:tcW w:w="1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73"/>
        </w:trPr>
        <w:tc>
          <w:tcPr>
            <w:tcW w:w="27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20"/>
              <w:spacing w:after="0"/>
              <w:rPr>
                <w:sz w:val="20"/>
                <w:szCs w:val="20"/>
                <w:color w:val="auto"/>
              </w:rPr>
            </w:pPr>
            <w:r>
              <w:rPr>
                <w:rFonts w:ascii="Arial" w:cs="Arial" w:eastAsia="Arial" w:hAnsi="Arial"/>
                <w:sz w:val="13"/>
                <w:szCs w:val="13"/>
                <w:color w:val="auto"/>
              </w:rPr>
              <w:t>Contributions from noncontrolling interests</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60" w:type="dxa"/>
            <w:vAlign w:val="bottom"/>
          </w:tcPr>
          <w:p>
            <w:pPr>
              <w:jc w:val="right"/>
              <w:ind w:right="55"/>
              <w:spacing w:after="0"/>
              <w:rPr>
                <w:sz w:val="20"/>
                <w:szCs w:val="20"/>
                <w:color w:val="auto"/>
              </w:rPr>
            </w:pPr>
            <w:r>
              <w:rPr>
                <w:rFonts w:ascii="Arial" w:cs="Arial" w:eastAsia="Arial" w:hAnsi="Arial"/>
                <w:sz w:val="13"/>
                <w:szCs w:val="13"/>
                <w:color w:val="auto"/>
              </w:rPr>
              <w:t>4,279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4,279</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to redeemable noncontrolling</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(9,427)</w:t>
            </w:r>
          </w:p>
        </w:tc>
        <w:tc>
          <w:tcPr>
            <w:tcW w:w="0" w:type="dxa"/>
            <w:vAlign w:val="bottom"/>
          </w:tcPr>
          <w:p>
            <w:pPr>
              <w:spacing w:after="0"/>
              <w:rPr>
                <w:sz w:val="1"/>
                <w:szCs w:val="1"/>
                <w:color w:val="auto"/>
              </w:rPr>
            </w:pPr>
          </w:p>
        </w:tc>
      </w:tr>
      <w:tr>
        <w:trPr>
          <w:trHeight w:val="153"/>
        </w:trPr>
        <w:tc>
          <w:tcPr>
            <w:tcW w:w="2700" w:type="dxa"/>
            <w:vAlign w:val="bottom"/>
          </w:tcPr>
          <w:p>
            <w:pPr>
              <w:ind w:left="20"/>
              <w:spacing w:after="0"/>
              <w:rPr>
                <w:sz w:val="20"/>
                <w:szCs w:val="20"/>
                <w:color w:val="auto"/>
              </w:rPr>
            </w:pPr>
            <w:r>
              <w:rPr>
                <w:rFonts w:ascii="Arial" w:cs="Arial" w:eastAsia="Arial" w:hAnsi="Arial"/>
                <w:sz w:val="13"/>
                <w:szCs w:val="13"/>
                <w:color w:val="auto"/>
              </w:rPr>
              <w:t>BALANCE AT DECEMBER 31, 2011</w:t>
            </w:r>
          </w:p>
        </w:tc>
        <w:tc>
          <w:tcPr>
            <w:tcW w:w="7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399,896</w:t>
            </w:r>
          </w:p>
        </w:tc>
        <w:tc>
          <w:tcPr>
            <w:tcW w:w="26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3"/>
                <w:szCs w:val="13"/>
                <w:color w:val="auto"/>
              </w:rPr>
              <w:t>9,997</w:t>
            </w:r>
          </w:p>
        </w:tc>
        <w:tc>
          <w:tcPr>
            <w:tcW w:w="26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63,544,150</w:t>
            </w:r>
          </w:p>
        </w:tc>
        <w:tc>
          <w:tcPr>
            <w:tcW w:w="26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w w:val="96"/>
              </w:rPr>
              <w:t>1,764,940</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(555,541)</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(3,940)</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3"/>
                <w:szCs w:val="13"/>
                <w:color w:val="auto"/>
              </w:rPr>
              <w:t>24,512</w:t>
            </w:r>
          </w:p>
        </w:tc>
        <w:tc>
          <w:tcPr>
            <w:tcW w:w="10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1,240,604</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340"/>
          </w:cols>
          <w:pgMar w:left="240" w:top="127" w:right="3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3"/>
                <w:szCs w:val="13"/>
                <w:b w:val="1"/>
                <w:bCs w:val="1"/>
                <w:color w:val="auto"/>
                <w:w w:val="90"/>
              </w:rPr>
              <w:t>Year Ended December 31,</w:t>
            </w:r>
          </w:p>
        </w:tc>
        <w:tc>
          <w:tcPr>
            <w:tcW w:w="860" w:type="dxa"/>
            <w:vAlign w:val="bottom"/>
            <w:tcBorders>
              <w:bottom w:val="single" w:sz="8" w:color="auto"/>
            </w:tcBorders>
          </w:tcPr>
          <w:p>
            <w:pPr>
              <w:spacing w:after="0"/>
              <w:rPr>
                <w:sz w:val="15"/>
                <w:szCs w:val="15"/>
                <w:color w:val="auto"/>
              </w:rPr>
            </w:pPr>
          </w:p>
        </w:tc>
      </w:tr>
      <w:tr>
        <w:trPr>
          <w:trHeight w:val="238"/>
        </w:trPr>
        <w:tc>
          <w:tcPr>
            <w:tcW w:w="7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9"/>
              </w:rPr>
              <w:t>2010</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2009</w:t>
            </w:r>
          </w:p>
        </w:tc>
      </w:tr>
      <w:tr>
        <w:trPr>
          <w:trHeight w:val="171"/>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79"/>
              <w:spacing w:after="0"/>
              <w:rPr>
                <w:sz w:val="20"/>
                <w:szCs w:val="20"/>
                <w:color w:val="auto"/>
              </w:rPr>
            </w:pPr>
            <w:r>
              <w:rPr>
                <w:rFonts w:ascii="Arial" w:cs="Arial" w:eastAsia="Arial" w:hAnsi="Arial"/>
                <w:sz w:val="13"/>
                <w:szCs w:val="13"/>
                <w:b w:val="1"/>
                <w:bCs w:val="1"/>
                <w:color w:val="auto"/>
                <w:w w:val="89"/>
              </w:rPr>
              <w:t>(In thousands)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1"/>
        </w:trPr>
        <w:tc>
          <w:tcPr>
            <w:tcW w:w="778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149,612</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128,237</w:t>
            </w:r>
          </w:p>
        </w:tc>
        <w:tc>
          <w:tcPr>
            <w:tcW w:w="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103,872</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Depreciation and amortization, including discontinued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126,568</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119,817</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115,093</w:t>
            </w:r>
          </w:p>
        </w:tc>
      </w:tr>
      <w:tr>
        <w:trPr>
          <w:trHeight w:val="220"/>
        </w:trPr>
        <w:tc>
          <w:tcPr>
            <w:tcW w:w="7780" w:type="dxa"/>
            <w:vAlign w:val="bottom"/>
          </w:tcPr>
          <w:p>
            <w:pPr>
              <w:ind w:left="640"/>
              <w:spacing w:after="0"/>
              <w:rPr>
                <w:sz w:val="20"/>
                <w:szCs w:val="20"/>
                <w:color w:val="auto"/>
              </w:rPr>
            </w:pPr>
            <w:r>
              <w:rPr>
                <w:rFonts w:ascii="Arial" w:cs="Arial" w:eastAsia="Arial" w:hAnsi="Arial"/>
                <w:sz w:val="16"/>
                <w:szCs w:val="16"/>
                <w:color w:val="auto"/>
              </w:rPr>
              <w:t>Litigation provision</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15,690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Gain on sale of real estate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(15,075)</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220"/>
        </w:trPr>
        <w:tc>
          <w:tcPr>
            <w:tcW w:w="7780" w:type="dxa"/>
            <w:vAlign w:val="bottom"/>
          </w:tcPr>
          <w:p>
            <w:pPr>
              <w:ind w:left="640"/>
              <w:spacing w:after="0"/>
              <w:rPr>
                <w:sz w:val="20"/>
                <w:szCs w:val="20"/>
                <w:color w:val="auto"/>
              </w:rPr>
            </w:pPr>
            <w:r>
              <w:rPr>
                <w:rFonts w:ascii="Arial" w:cs="Arial" w:eastAsia="Arial" w:hAnsi="Arial"/>
                <w:sz w:val="16"/>
                <w:szCs w:val="16"/>
                <w:color w:val="auto"/>
              </w:rPr>
              <w:t>Gain on deconsolidation of VIE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Early extinguishment of debt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2,801</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2,639</w:t>
            </w:r>
          </w:p>
        </w:tc>
      </w:tr>
      <w:tr>
        <w:trPr>
          <w:trHeight w:val="220"/>
        </w:trPr>
        <w:tc>
          <w:tcPr>
            <w:tcW w:w="7780" w:type="dxa"/>
            <w:vAlign w:val="bottom"/>
          </w:tcPr>
          <w:p>
            <w:pPr>
              <w:ind w:left="640"/>
              <w:spacing w:after="0"/>
              <w:rPr>
                <w:sz w:val="20"/>
                <w:szCs w:val="20"/>
                <w:color w:val="auto"/>
              </w:rPr>
            </w:pPr>
            <w:r>
              <w:rPr>
                <w:rFonts w:ascii="Arial" w:cs="Arial" w:eastAsia="Arial" w:hAnsi="Arial"/>
                <w:sz w:val="16"/>
                <w:szCs w:val="16"/>
                <w:color w:val="auto"/>
              </w:rPr>
              <w:t>Income from real estate partnerships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4,099</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5,265</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Changes in assets and liabilities, net of effects of acquisitions and dispositions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Decrease in accounts receivable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7,461</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7,079</w:t>
            </w:r>
          </w:p>
        </w:tc>
      </w:tr>
      <w:tr>
        <w:trPr>
          <w:trHeight w:val="220"/>
        </w:trPr>
        <w:tc>
          <w:tcPr>
            <w:tcW w:w="7780" w:type="dxa"/>
            <w:vAlign w:val="bottom"/>
          </w:tcPr>
          <w:p>
            <w:pPr>
              <w:ind w:left="640"/>
              <w:spacing w:after="0"/>
              <w:rPr>
                <w:sz w:val="20"/>
                <w:szCs w:val="20"/>
                <w:color w:val="auto"/>
              </w:rPr>
            </w:pPr>
            <w:r>
              <w:rPr>
                <w:rFonts w:ascii="Arial" w:cs="Arial" w:eastAsia="Arial" w:hAnsi="Arial"/>
                <w:sz w:val="16"/>
                <w:szCs w:val="16"/>
                <w:color w:val="auto"/>
              </w:rPr>
              <w:t>Decrease (increase) in prepaid expenses and other assets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(Decrease) increase in accounts payable and accrued expenses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9,753</w:t>
            </w:r>
          </w:p>
        </w:tc>
      </w:tr>
      <w:tr>
        <w:trPr>
          <w:trHeight w:val="220"/>
        </w:trPr>
        <w:tc>
          <w:tcPr>
            <w:tcW w:w="7780" w:type="dxa"/>
            <w:vAlign w:val="bottom"/>
          </w:tcPr>
          <w:p>
            <w:pPr>
              <w:ind w:left="640"/>
              <w:spacing w:after="0"/>
              <w:rPr>
                <w:sz w:val="20"/>
                <w:szCs w:val="20"/>
                <w:color w:val="auto"/>
              </w:rPr>
            </w:pPr>
            <w:r>
              <w:rPr>
                <w:rFonts w:ascii="Arial" w:cs="Arial" w:eastAsia="Arial" w:hAnsi="Arial"/>
                <w:sz w:val="16"/>
                <w:szCs w:val="16"/>
                <w:color w:val="auto"/>
              </w:rPr>
              <w:t>(Decrease) increase in security deposits and other liabilities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743</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710</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244,711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256,735</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256,765</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of real estate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(103,557)</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(57,133)</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(10,531)</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Capital expenditures - development and redevelopment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(91,922)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(76,079)</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Capital expenditures - other</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(50,540)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(38,681)</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(26,000)</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Proceeds from sale of real estate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2,122</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 in real estate partnerships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(16,930)</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(7,020)</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Distribution from real estate partnership in excess of earnings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237</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 from sale of real estate partnership properties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34,617</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Leasing costs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(10,272)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(8,924)</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 (issuance) of mortgage and other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(13,895)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r>
      <w:tr>
        <w:trPr>
          <w:trHeight w:val="212"/>
        </w:trPr>
        <w:tc>
          <w:tcPr>
            <w:tcW w:w="778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(196,369)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(187,088)</w:t>
            </w: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(127,341)</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Net (repayments) borrowings under revolving credit facility, net of costs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(81,159)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76,550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(123,500)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senior notes, net of costs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148,457</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147,534</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Purchase and retirement of senior notes/debentures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(175,867)</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mortgages, capital leases and notes payable, net of costs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272,193</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9,950</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526,617</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Repayment of mortgages, capital leases and notes payable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(91,952)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(262,340)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(337,221)</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common shares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156,862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6,610</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115,502</w:t>
            </w:r>
          </w:p>
        </w:tc>
      </w:tr>
      <w:tr>
        <w:trPr>
          <w:trHeight w:val="220"/>
        </w:trPr>
        <w:tc>
          <w:tcPr>
            <w:tcW w:w="7780" w:type="dxa"/>
            <w:vAlign w:val="bottom"/>
          </w:tcPr>
          <w:p>
            <w:pPr>
              <w:ind w:left="340"/>
              <w:spacing w:after="0"/>
              <w:rPr>
                <w:sz w:val="20"/>
                <w:szCs w:val="20"/>
                <w:color w:val="auto"/>
              </w:rPr>
            </w:pPr>
            <w:r>
              <w:rPr>
                <w:rFonts w:ascii="Arial" w:cs="Arial" w:eastAsia="Arial" w:hAnsi="Arial"/>
                <w:sz w:val="16"/>
                <w:szCs w:val="16"/>
                <w:color w:val="auto"/>
              </w:rPr>
              <w:t>Dividends paid to common and preferred shareholders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(169,254)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(163,120)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(156,100)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6"/>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(6,223)</w:t>
            </w:r>
          </w:p>
        </w:tc>
      </w:tr>
      <w:tr>
        <w:trPr>
          <w:trHeight w:val="212"/>
        </w:trPr>
        <w:tc>
          <w:tcPr>
            <w:tcW w:w="7780" w:type="dxa"/>
            <w:vAlign w:val="bottom"/>
          </w:tcPr>
          <w:p>
            <w:pPr>
              <w:ind w:left="3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(189,239)</w:t>
            </w: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(9,258)</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(119,592)</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120,166</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135,389</w:t>
            </w: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15,223</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67,806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15,797</w:t>
            </w:r>
          </w:p>
        </w:tc>
        <w:tc>
          <w:tcPr>
            <w:tcW w:w="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135,389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Federal Realty Investment Trust</w:t>
      </w:r>
    </w:p>
    <w:p>
      <w:pPr>
        <w:spacing w:after="0" w:line="16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December 31, 2011, 2010 and 2009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1—BUSINESS AND ORGANIZATION</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2011, we owned or had a majority interest in community and neighborhood shopping centers and mixed-use properties which are operated as 87 predominantly retail real estate projects.</w:t>
      </w:r>
    </w:p>
    <w:p>
      <w:pPr>
        <w:spacing w:after="0" w:line="118" w:lineRule="exact"/>
        <w:rPr>
          <w:sz w:val="20"/>
          <w:szCs w:val="20"/>
          <w:color w:val="auto"/>
        </w:rPr>
      </w:pPr>
    </w:p>
    <w:p>
      <w:pPr>
        <w:ind w:right="700"/>
        <w:spacing w:after="0" w:line="322" w:lineRule="auto"/>
        <w:rPr>
          <w:sz w:val="20"/>
          <w:szCs w:val="20"/>
          <w:color w:val="auto"/>
        </w:rPr>
      </w:pPr>
      <w:r>
        <w:rPr>
          <w:rFonts w:ascii="Arial" w:cs="Arial" w:eastAsia="Arial" w:hAnsi="Arial"/>
          <w:sz w:val="15"/>
          <w:szCs w:val="15"/>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2—SUMMARY OF SIGNIFICANT ACCOUNTING POLICIES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90"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2010 and 2009 amounts have been reclassified to conform to current period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90"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Correction of Redeemable Noncontrolling Interests</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During 2011, we corrected the accounting related to the classification and measurement of our redeemable noncontrolling interests. Certain of our noncontrolling interests, primarily related to Congressional Plaza, have the right to put their interest to us for cash at their option and consequently these interests should have been recorded at redemption value in temporary equity on the consolidated balance sheet rather than at book value in permanent equity. The total balance sheet impact of this reclassification was approximately $65 million as of December 31, 2010. We determined the correction was not material to our previously issued financial statements, and therefore, have taken the following approach to correcting this error:</w:t>
      </w:r>
    </w:p>
    <w:p>
      <w:pPr>
        <w:spacing w:after="0" w:line="167" w:lineRule="exact"/>
        <w:rPr>
          <w:sz w:val="20"/>
          <w:szCs w:val="20"/>
          <w:color w:val="auto"/>
        </w:rPr>
      </w:pPr>
    </w:p>
    <w:p>
      <w:pPr>
        <w:ind w:left="580" w:right="340" w:hanging="287"/>
        <w:spacing w:after="0" w:line="301"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Reclassified the redeemable noncontrolling interests to a separate line item outside of shareholders' equity in the consolidated balance sheet as of December 31, 2010. The reclassification resulted in a decrease to shareholders' equity of $65 million and an increase to redeemable noncontrolling interests of $65 million.</w:t>
      </w:r>
    </w:p>
    <w:p>
      <w:pPr>
        <w:ind w:left="580" w:right="720" w:hanging="287"/>
        <w:spacing w:after="0" w:line="272"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Recorded a $0.3 million expense related to prior periods in the year ended December 31, 2011 for the accretion of a redeemable noncontrolling interest to redemption value.</w:t>
      </w:r>
    </w:p>
    <w:p>
      <w:pPr>
        <w:spacing w:after="0" w:line="161"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The consolidated statement of shareholders' equity has been restated to reflect the proper classification. There have been no changes to the previously issued consolidated statements of operations or statements of cash flows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Accounts Receivable</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380"/>
          </w:cols>
          <w:pgMar w:left="240" w:top="127" w:right="279" w:bottom="1440" w:gutter="0" w:footer="0" w:header="0"/>
        </w:sectPr>
      </w:pPr>
    </w:p>
    <w:bookmarkStart w:id="63" w:name="page64"/>
    <w:bookmarkEnd w:id="6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18"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2011 and 2010, our allowance for doubtful accounts was $17.6 million and $18.7 million, respectively.</w:t>
      </w:r>
    </w:p>
    <w:p>
      <w:pPr>
        <w:spacing w:after="0" w:line="106"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2011 and 2010, accounts receivable include approximately $50.5 million and $45.6 million, respectively, related to straight-line rents.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3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2011, 2010 and 2009, real estate depreciation expense was $114.2 million, $108.3 million and $103.7 million, respectively, including amounts from discontinued operations and assets under capital lease obligations.</w:t>
      </w:r>
    </w:p>
    <w:p>
      <w:pPr>
        <w:spacing w:after="0" w:line="9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Sales of real estate are recognized only when sufficient down payments have been obtained, possession and other attributes of ownership have been transferred to the buyer and we have no significant continuing involvement. The application of this criteria can be complex and requires us to make assumptions. We believe this criteria was met for all real estate sold during 2011, 2010 and 2009.</w:t>
      </w:r>
    </w:p>
    <w:p>
      <w:pPr>
        <w:spacing w:after="0" w:line="4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and to current assets and liabilities acquired, if any.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2" w:lineRule="exact"/>
        <w:rPr>
          <w:sz w:val="20"/>
          <w:szCs w:val="20"/>
          <w:color w:val="auto"/>
        </w:rPr>
      </w:pPr>
    </w:p>
    <w:p>
      <w:pPr>
        <w:ind w:right="320"/>
        <w:spacing w:after="0" w:line="297" w:lineRule="auto"/>
        <w:rPr>
          <w:sz w:val="20"/>
          <w:szCs w:val="20"/>
          <w:color w:val="auto"/>
        </w:rPr>
      </w:pPr>
      <w:r>
        <w:rPr>
          <w:rFonts w:ascii="Arial" w:cs="Arial" w:eastAsia="Arial" w:hAnsi="Arial"/>
          <w:sz w:val="15"/>
          <w:szCs w:val="15"/>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operations. The acquisition of an operating shopping center typically qualifies as a business. For asset acquisitions not meeting the definition of a business, transaction costs are capitalized as part of the acquisition cost.</w:t>
      </w:r>
    </w:p>
    <w:p>
      <w:pPr>
        <w:spacing w:after="0" w:line="96"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The sale or disposal of a “component of an entity” is treated as discontinued operations. The operating properties sold by us typically meet the definition of a component of an entity and as such the revenues and expenses associated with sold properties are reclassified to discontinued operations for all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define cash and cash equivalents as cash on hand, demand deposits with financial institutions and short term liquid investments with an initial maturity under three months. Cash balances in individual banks may exceed the federally insured limit by the Federal Deposit Insurance Corporation (the “FDIC”). At December 31, 2011, we had $64.3 million in excess of the FDIC insured limit.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Prepaid Expenses and Other Assets</w:t>
      </w:r>
    </w:p>
    <w:p>
      <w:pPr>
        <w:spacing w:after="0" w:line="90"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one current officer and several former officers which were approximately $4.6 million at December 31, 2011 and 2010.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3"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$3.6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2011, and we do not anticipate it will have a significant effect in the future. We had no hedging instruments outstanding during 2010 and 2009.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Mortgage Notes Receivable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have made certain mortgage loans that, because of their nature, qualify as loan receivables. At the time the loans were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127" w:right="2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2011 and 2010.</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Based Compensation</w:t>
      </w:r>
    </w:p>
    <w:p>
      <w:pPr>
        <w:spacing w:after="0" w:line="90" w:lineRule="exact"/>
        <w:rPr>
          <w:sz w:val="20"/>
          <w:szCs w:val="20"/>
          <w:color w:val="auto"/>
        </w:rPr>
      </w:pPr>
    </w:p>
    <w:p>
      <w:pPr>
        <w:jc w:val="both"/>
        <w:ind w:right="300"/>
        <w:spacing w:after="0" w:line="271" w:lineRule="auto"/>
        <w:rPr>
          <w:sz w:val="20"/>
          <w:szCs w:val="20"/>
          <w:color w:val="auto"/>
        </w:rPr>
      </w:pPr>
      <w:r>
        <w:rPr>
          <w:rFonts w:ascii="Arial" w:cs="Arial" w:eastAsia="Arial" w:hAnsi="Arial"/>
          <w:sz w:val="16"/>
          <w:szCs w:val="16"/>
          <w:color w:val="auto"/>
        </w:rPr>
        <w:t>We grant share based compensation awards to employees and trustees typically in the form of options, commons shares, and restricted common shares. We measure stock based compensation expense based on the grant date fair value of the award and recognize the expense ratably over the vesting period. See Note 15 for further discussion regarding our share based compensation plans and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Effective January 1, 2010 with the adoption of a new accounting pronouncement, the primary beneficiary of a VIE has both the power to direct the activities that most significantly impact economic performance of the VIE and the obligation to absorb losses or the right to receive benefits that could potentially be significant to the VIE. Prior to January 1, 2010, the primary beneficiary of a VIE was determined to be the party that absorbs a majority of the entity’s expected losses, receives a majority of its expected returns, or both.</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evaluated our investments in certain joint ventures including our real estate partnership with affiliates of a discretionary fund created and advised by ING Clarion Partners and our Taurus Newbury Street JV II Limited Partnership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entities obligated under the mortgage loans are not VIEs except from March 30, 2010 to June 29, 2011 with respect to our mortgage loans on a shopping center and adjacent building located in Norwalk, Connecticut as further discussed in Note 4. Our investment balances from our real estate partnerships and mortgage notes receivable are presented separately in our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On October 16, 2006, we acquired the leasehold interest in Melville Mall under a 20 year master lease. Additionally, we loaned the owner of Melville Mall $34.2 million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secured by a second mortgage on the property. We have an option to purchase the shopping center on or after October 16, 2021 for a price of $5.0 million plus the assumption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of the first mortgage and repayment of the second mortgage. If we fail to exercise our purchase option, the owner of Melville Mall has a put option which would require us to</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purchase Melville Mall in 2023 for $5.0 million and the assumption of the owner’s mortgage debt. We have determined that this property is held in a variable interest entity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for which we are the primary beneficiary. Accordingly, beginning October 16, 2006, we consolidated this property and its operations. As of December 31, 2011 and 2010,</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$22.1 million and $22.8 million, respectively, are included in mortgages payable (net of unamortized discounts) for the mortgage loan secured by Melville Mall, however, the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loan is not our legal obligation. At December 31, 2011 and 2010, net real estate assets related to Melville Mall included in our consolidated balance sheet are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$64.0 million and $64.8 million, respectively.</w:t>
      </w:r>
    </w:p>
    <w:p>
      <w:pPr>
        <w:spacing w:after="0" w:line="14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 of termination of the exchange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agreements or 180 days after the respective acquisition dates, the third party intermediary is the legal owner of each property, although we control the activities that most significantly impact each property and retain all of the economic benefits and risks associated with each property. Each property is held by a third party intermediary in a variable interest entity for which we are the primary beneficiary. Accordingly, we consolidate these properties and their operations even during the period they are held by a third party intermediary. Quantitative and qualitative information regarding significant assets and liabilities for VIEs during 2011 and 2010 are included in Note 3. A summary of the significant properties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5"/>
                <w:szCs w:val="15"/>
                <w:color w:val="auto"/>
              </w:rPr>
            </w:pPr>
          </w:p>
        </w:tc>
        <w:tc>
          <w:tcPr>
            <w:tcW w:w="43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Dates Held by a Third Party Intermediary</w:t>
            </w:r>
          </w:p>
        </w:tc>
        <w:tc>
          <w:tcPr>
            <w:tcW w:w="120" w:type="dxa"/>
            <w:vAlign w:val="bottom"/>
          </w:tcPr>
          <w:p>
            <w:pPr>
              <w:spacing w:after="0"/>
              <w:rPr>
                <w:sz w:val="15"/>
                <w:szCs w:val="15"/>
                <w:color w:val="auto"/>
              </w:rPr>
            </w:pP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Date Consolidated</w:t>
            </w:r>
          </w:p>
        </w:tc>
      </w:tr>
      <w:tr>
        <w:trPr>
          <w:trHeight w:val="218"/>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Courtyard Shops</w:t>
            </w: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September 4, 2008 to March 2, 2009</w:t>
            </w:r>
          </w:p>
        </w:tc>
        <w:tc>
          <w:tcPr>
            <w:tcW w:w="2700" w:type="dxa"/>
            <w:vAlign w:val="bottom"/>
          </w:tcPr>
          <w:p>
            <w:pPr>
              <w:ind w:left="40"/>
              <w:spacing w:after="0"/>
              <w:rPr>
                <w:sz w:val="20"/>
                <w:szCs w:val="20"/>
                <w:color w:val="auto"/>
              </w:rPr>
            </w:pPr>
            <w:r>
              <w:rPr>
                <w:rFonts w:ascii="Arial" w:cs="Arial" w:eastAsia="Arial" w:hAnsi="Arial"/>
                <w:sz w:val="16"/>
                <w:szCs w:val="16"/>
                <w:color w:val="auto"/>
              </w:rPr>
              <w:t>September 4, 2008</w:t>
            </w:r>
          </w:p>
        </w:tc>
      </w:tr>
      <w:tr>
        <w:trPr>
          <w:trHeight w:val="246"/>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Huntington Square</w:t>
            </w: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August 16, 2010 to February 12, 2011</w:t>
            </w:r>
          </w:p>
        </w:tc>
        <w:tc>
          <w:tcPr>
            <w:tcW w:w="2700" w:type="dxa"/>
            <w:vAlign w:val="bottom"/>
          </w:tcPr>
          <w:p>
            <w:pPr>
              <w:ind w:left="40"/>
              <w:spacing w:after="0"/>
              <w:rPr>
                <w:sz w:val="20"/>
                <w:szCs w:val="20"/>
                <w:color w:val="auto"/>
              </w:rPr>
            </w:pPr>
            <w:r>
              <w:rPr>
                <w:rFonts w:ascii="Arial" w:cs="Arial" w:eastAsia="Arial" w:hAnsi="Arial"/>
                <w:sz w:val="16"/>
                <w:szCs w:val="16"/>
                <w:color w:val="auto"/>
              </w:rPr>
              <w:t>August 16, 2010</w:t>
            </w:r>
          </w:p>
        </w:tc>
      </w:tr>
      <w:tr>
        <w:trPr>
          <w:trHeight w:val="246"/>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Tower Shops</w:t>
            </w:r>
          </w:p>
        </w:tc>
        <w:tc>
          <w:tcPr>
            <w:tcW w:w="4420" w:type="dxa"/>
            <w:vAlign w:val="bottom"/>
            <w:gridSpan w:val="2"/>
          </w:tcPr>
          <w:p>
            <w:pPr>
              <w:ind w:left="20"/>
              <w:spacing w:after="0"/>
              <w:rPr>
                <w:sz w:val="20"/>
                <w:szCs w:val="20"/>
                <w:color w:val="auto"/>
              </w:rPr>
            </w:pPr>
            <w:r>
              <w:rPr>
                <w:rFonts w:ascii="Arial" w:cs="Arial" w:eastAsia="Arial" w:hAnsi="Arial"/>
                <w:sz w:val="16"/>
                <w:szCs w:val="16"/>
                <w:color w:val="auto"/>
              </w:rPr>
              <w:t>January 19, 2011 to July 12, 2011</w:t>
            </w:r>
          </w:p>
        </w:tc>
        <w:tc>
          <w:tcPr>
            <w:tcW w:w="2700" w:type="dxa"/>
            <w:vAlign w:val="bottom"/>
          </w:tcPr>
          <w:p>
            <w:pPr>
              <w:ind w:left="40"/>
              <w:spacing w:after="0"/>
              <w:rPr>
                <w:sz w:val="20"/>
                <w:szCs w:val="20"/>
                <w:color w:val="auto"/>
              </w:rPr>
            </w:pPr>
            <w:r>
              <w:rPr>
                <w:rFonts w:ascii="Arial" w:cs="Arial" w:eastAsia="Arial" w:hAnsi="Arial"/>
                <w:sz w:val="16"/>
                <w:szCs w:val="16"/>
                <w:color w:val="auto"/>
              </w:rPr>
              <w:t>January 19, 2011</w:t>
            </w:r>
          </w:p>
        </w:tc>
      </w:tr>
    </w:tbl>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determined the joint venture that owns Plaza El Segundo is a variable interest entity for which we are the primary beneficiary. We are the managing member and own 48.2% of the entity. We control the significant operating decisions, consequently having the power to direct the activities that most significantly impact economic performance of the VIE, and have the obligation to absorb the majority of the losses and receive the majority of the benefits. Therefore, the entity is consolidated in our financial statements as of December 30, 2011. The effective purchase price was $192.7 million which is included in real estate assets. The entity has a $175.0 million mortgage payable due in August 2017 with a fair value of $185.6 million which is included in mortgages payable at December 31, 2011. Plaza El Segundo's creditors do not have recourse to our general credit. Our maximum exposure to loss is our initial net investment of $8.5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9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rollforward of the redeemable noncontrolling interests: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465"/>
              <w:spacing w:after="0"/>
              <w:rPr>
                <w:sz w:val="20"/>
                <w:szCs w:val="20"/>
                <w:color w:val="auto"/>
              </w:rPr>
            </w:pPr>
            <w:r>
              <w:rPr>
                <w:rFonts w:ascii="Arial" w:cs="Arial" w:eastAsia="Arial" w:hAnsi="Arial"/>
                <w:sz w:val="13"/>
                <w:szCs w:val="13"/>
                <w:b w:val="1"/>
                <w:bCs w:val="1"/>
                <w:color w:val="auto"/>
                <w:w w:val="92"/>
              </w:rPr>
              <w:t>Year Ended</w:t>
            </w:r>
          </w:p>
        </w:tc>
        <w:tc>
          <w:tcPr>
            <w:tcW w:w="820" w:type="dxa"/>
            <w:vAlign w:val="bottom"/>
          </w:tcPr>
          <w:p>
            <w:pPr>
              <w:spacing w:after="0"/>
              <w:rPr>
                <w:sz w:val="14"/>
                <w:szCs w:val="14"/>
                <w:color w:val="auto"/>
              </w:rPr>
            </w:pPr>
          </w:p>
        </w:tc>
      </w:tr>
      <w:tr>
        <w:trPr>
          <w:trHeight w:val="251"/>
        </w:trPr>
        <w:tc>
          <w:tcPr>
            <w:tcW w:w="88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3"/>
                <w:szCs w:val="13"/>
                <w:b w:val="1"/>
                <w:bCs w:val="1"/>
                <w:color w:val="auto"/>
                <w:w w:val="89"/>
              </w:rPr>
              <w:t>December 31,</w:t>
            </w:r>
          </w:p>
        </w:tc>
        <w:tc>
          <w:tcPr>
            <w:tcW w:w="820" w:type="dxa"/>
            <w:vAlign w:val="bottom"/>
            <w:tcBorders>
              <w:bottom w:val="single" w:sz="8" w:color="auto"/>
            </w:tcBorders>
          </w:tcPr>
          <w:p>
            <w:pPr>
              <w:spacing w:after="0"/>
              <w:rPr>
                <w:sz w:val="21"/>
                <w:szCs w:val="21"/>
                <w:color w:val="auto"/>
              </w:rPr>
            </w:pPr>
          </w:p>
        </w:tc>
      </w:tr>
      <w:tr>
        <w:trPr>
          <w:trHeight w:val="238"/>
        </w:trPr>
        <w:tc>
          <w:tcPr>
            <w:tcW w:w="8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2010</w:t>
            </w:r>
          </w:p>
        </w:tc>
      </w:tr>
      <w:tr>
        <w:trPr>
          <w:trHeight w:val="220"/>
        </w:trPr>
        <w:tc>
          <w:tcPr>
            <w:tcW w:w="8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3"/>
          </w:tcPr>
          <w:p>
            <w:pPr>
              <w:jc w:val="center"/>
              <w:ind w:left="465"/>
              <w:spacing w:after="0"/>
              <w:rPr>
                <w:sz w:val="20"/>
                <w:szCs w:val="20"/>
                <w:color w:val="auto"/>
              </w:rPr>
            </w:pPr>
            <w:r>
              <w:rPr>
                <w:rFonts w:ascii="Arial" w:cs="Arial" w:eastAsia="Arial" w:hAnsi="Arial"/>
                <w:sz w:val="13"/>
                <w:szCs w:val="13"/>
                <w:color w:val="auto"/>
                <w:w w:val="89"/>
              </w:rPr>
              <w:t>(in thousands)</w:t>
            </w:r>
          </w:p>
        </w:tc>
        <w:tc>
          <w:tcPr>
            <w:tcW w:w="820" w:type="dxa"/>
            <w:vAlign w:val="bottom"/>
          </w:tcPr>
          <w:p>
            <w:pPr>
              <w:spacing w:after="0"/>
              <w:rPr>
                <w:sz w:val="19"/>
                <w:szCs w:val="19"/>
                <w:color w:val="auto"/>
              </w:rPr>
            </w:pPr>
          </w:p>
        </w:tc>
      </w:tr>
      <w:tr>
        <w:trPr>
          <w:trHeight w:val="231"/>
        </w:trPr>
        <w:tc>
          <w:tcPr>
            <w:tcW w:w="880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65,362</w:t>
            </w:r>
          </w:p>
        </w:tc>
        <w:tc>
          <w:tcPr>
            <w:tcW w:w="100" w:type="dxa"/>
            <w:vAlign w:val="bottom"/>
          </w:tcPr>
          <w:p>
            <w:pPr>
              <w:spacing w:after="0"/>
              <w:rPr>
                <w:sz w:val="20"/>
                <w:szCs w:val="20"/>
                <w:color w:val="auto"/>
              </w:rPr>
            </w:pPr>
          </w:p>
        </w:tc>
        <w:tc>
          <w:tcPr>
            <w:tcW w:w="42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57,325</w:t>
            </w:r>
          </w:p>
        </w:tc>
      </w:tr>
      <w:tr>
        <w:trPr>
          <w:trHeight w:val="26"/>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6"/>
        </w:trPr>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3,492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2,986</w:t>
            </w:r>
          </w:p>
        </w:tc>
      </w:tr>
      <w:tr>
        <w:trPr>
          <w:trHeight w:val="220"/>
        </w:trPr>
        <w:tc>
          <w:tcPr>
            <w:tcW w:w="8800" w:type="dxa"/>
            <w:vAlign w:val="bottom"/>
          </w:tcPr>
          <w:p>
            <w:pPr>
              <w:ind w:left="240"/>
              <w:spacing w:after="0"/>
              <w:rPr>
                <w:sz w:val="20"/>
                <w:szCs w:val="20"/>
                <w:color w:val="auto"/>
              </w:rPr>
            </w:pPr>
            <w:r>
              <w:rPr>
                <w:rFonts w:ascii="Arial" w:cs="Arial" w:eastAsia="Arial" w:hAnsi="Arial"/>
                <w:sz w:val="16"/>
                <w:szCs w:val="16"/>
                <w:color w:val="auto"/>
              </w:rPr>
              <w:t>Distributions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(2,984)</w:t>
            </w:r>
          </w:p>
        </w:tc>
      </w:tr>
      <w:tr>
        <w:trPr>
          <w:trHeight w:val="26"/>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6"/>
        </w:trPr>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Contributions</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10,064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0"/>
        </w:trPr>
        <w:tc>
          <w:tcPr>
            <w:tcW w:w="8800" w:type="dxa"/>
            <w:vAlign w:val="bottom"/>
          </w:tcPr>
          <w:p>
            <w:pPr>
              <w:ind w:left="2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9"/>
                <w:szCs w:val="19"/>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8,035</w:t>
            </w:r>
          </w:p>
        </w:tc>
      </w:tr>
      <w:tr>
        <w:trPr>
          <w:trHeight w:val="26"/>
        </w:trPr>
        <w:tc>
          <w:tcPr>
            <w:tcW w:w="8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85,325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65,362</w:t>
            </w: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9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1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With few exceptions, we are no longer subject to U.S. federal, state, and local tax examinations by tax authorities for years before 2007. As of December 31, 2011 and 2010, we had no material unrecognized tax benefits. While we currently have no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material unrecognized tax benefits, as a policy, we recognize penalties and interest accrued related to unrecognized tax benefits as 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May 2011, the Financial Accounting Standards Board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These pronouncements are effective for us in the first quarter of 2012 and will not have a significant impact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Flows—Supplemental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supplemental disclosures related to the Consolidated Statements of Cash Flows: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00"/>
              <w:spacing w:after="0"/>
              <w:rPr>
                <w:sz w:val="20"/>
                <w:szCs w:val="20"/>
                <w:color w:val="auto"/>
              </w:rPr>
            </w:pPr>
            <w:r>
              <w:rPr>
                <w:rFonts w:ascii="Arial" w:cs="Arial" w:eastAsia="Arial" w:hAnsi="Arial"/>
                <w:sz w:val="13"/>
                <w:szCs w:val="13"/>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00"/>
              <w:spacing w:after="0"/>
              <w:rPr>
                <w:sz w:val="20"/>
                <w:szCs w:val="20"/>
                <w:color w:val="auto"/>
              </w:rPr>
            </w:pPr>
            <w:r>
              <w:rPr>
                <w:rFonts w:ascii="Arial" w:cs="Arial" w:eastAsia="Arial" w:hAnsi="Arial"/>
                <w:sz w:val="13"/>
                <w:szCs w:val="13"/>
                <w:b w:val="1"/>
                <w:bCs w:val="1"/>
                <w:color w:val="auto"/>
                <w:w w:val="91"/>
              </w:rPr>
              <w:t>(In thousands)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340"/>
              <w:spacing w:after="0"/>
              <w:rPr>
                <w:sz w:val="20"/>
                <w:szCs w:val="20"/>
                <w:color w:val="auto"/>
              </w:rPr>
            </w:pPr>
            <w:r>
              <w:rPr>
                <w:rFonts w:ascii="Arial" w:cs="Arial" w:eastAsia="Arial" w:hAnsi="Arial"/>
                <w:sz w:val="16"/>
                <w:szCs w:val="16"/>
                <w:color w:val="auto"/>
              </w:rPr>
              <w:t>Total interest costs incurred</w:t>
            </w: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106,562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108,167</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114,330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capitalized</w:t>
            </w:r>
          </w:p>
        </w:tc>
        <w:tc>
          <w:tcPr>
            <w:tcW w:w="2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(6,285)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212"/>
        </w:trPr>
        <w:tc>
          <w:tcPr>
            <w:tcW w:w="500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210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98,465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101,882</w:t>
            </w:r>
          </w:p>
        </w:tc>
        <w:tc>
          <w:tcPr>
            <w:tcW w:w="36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108,781</w:t>
            </w:r>
          </w:p>
        </w:tc>
        <w:tc>
          <w:tcPr>
            <w:tcW w:w="0" w:type="dxa"/>
            <w:vAlign w:val="bottom"/>
          </w:tcPr>
          <w:p>
            <w:pPr>
              <w:spacing w:after="0"/>
              <w:rPr>
                <w:sz w:val="1"/>
                <w:szCs w:val="1"/>
                <w:color w:val="auto"/>
              </w:rPr>
            </w:pPr>
          </w:p>
        </w:tc>
      </w:tr>
      <w:tr>
        <w:trPr>
          <w:trHeight w:val="66"/>
        </w:trPr>
        <w:tc>
          <w:tcPr>
            <w:tcW w:w="5000" w:type="dxa"/>
            <w:vAlign w:val="bottom"/>
            <w:tcBorders>
              <w:bottom w:val="single" w:sz="8" w:color="CCEEFF"/>
            </w:tcBorders>
          </w:tcPr>
          <w:p>
            <w:pPr>
              <w:spacing w:after="0"/>
              <w:rPr>
                <w:sz w:val="5"/>
                <w:szCs w:val="5"/>
                <w:color w:val="auto"/>
              </w:rPr>
            </w:pPr>
          </w:p>
        </w:tc>
        <w:tc>
          <w:tcPr>
            <w:tcW w:w="2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shd w:val="clear" w:color="auto" w:fill="CCEEFF"/>
          </w:tcPr>
          <w:p>
            <w:pPr>
              <w:ind w:left="340"/>
              <w:spacing w:after="0" w:line="172" w:lineRule="exact"/>
              <w:rPr>
                <w:sz w:val="20"/>
                <w:szCs w:val="20"/>
                <w:color w:val="auto"/>
              </w:rPr>
            </w:pPr>
            <w:r>
              <w:rPr>
                <w:rFonts w:ascii="Arial" w:cs="Arial" w:eastAsia="Arial" w:hAnsi="Arial"/>
                <w:sz w:val="16"/>
                <w:szCs w:val="16"/>
                <w:color w:val="auto"/>
              </w:rPr>
              <w:t>Cash paid for interest, net of amounts capitalized</w:t>
            </w:r>
          </w:p>
        </w:tc>
        <w:tc>
          <w:tcPr>
            <w:tcW w:w="2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98,932</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102,106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paid for income taxes</w:t>
            </w:r>
          </w:p>
        </w:tc>
        <w:tc>
          <w:tcPr>
            <w:tcW w:w="2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255</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66"/>
        </w:trPr>
        <w:tc>
          <w:tcPr>
            <w:tcW w:w="5000" w:type="dxa"/>
            <w:vAlign w:val="bottom"/>
            <w:tcBorders>
              <w:bottom w:val="single" w:sz="8" w:color="CCEEFF"/>
            </w:tcBorders>
          </w:tcPr>
          <w:p>
            <w:pPr>
              <w:spacing w:after="0"/>
              <w:rPr>
                <w:sz w:val="5"/>
                <w:szCs w:val="5"/>
                <w:color w:val="auto"/>
              </w:rPr>
            </w:pPr>
          </w:p>
        </w:tc>
        <w:tc>
          <w:tcPr>
            <w:tcW w:w="2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0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NON-CASH INVESTING AND FINANCING TRANSACTIONS:</w:t>
            </w:r>
          </w:p>
        </w:tc>
        <w:tc>
          <w:tcPr>
            <w:tcW w:w="2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340"/>
              <w:spacing w:after="0"/>
              <w:rPr>
                <w:sz w:val="20"/>
                <w:szCs w:val="20"/>
                <w:color w:val="auto"/>
              </w:rPr>
            </w:pPr>
            <w:r>
              <w:rPr>
                <w:rFonts w:ascii="Arial" w:cs="Arial" w:eastAsia="Arial" w:hAnsi="Arial"/>
                <w:sz w:val="16"/>
                <w:szCs w:val="16"/>
                <w:color w:val="auto"/>
              </w:rPr>
              <w:t>Mortgage loan assumed/entered into with acquisition</w:t>
            </w: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308,506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Deconsolidation of VIE</w:t>
            </w:r>
          </w:p>
        </w:tc>
        <w:tc>
          <w:tcPr>
            <w:tcW w:w="244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000" w:type="dxa"/>
            <w:vAlign w:val="bottom"/>
          </w:tcPr>
          <w:p>
            <w:pPr>
              <w:ind w:left="340"/>
              <w:spacing w:after="0"/>
              <w:rPr>
                <w:sz w:val="20"/>
                <w:szCs w:val="20"/>
                <w:color w:val="auto"/>
              </w:rPr>
            </w:pPr>
            <w:r>
              <w:rPr>
                <w:rFonts w:ascii="Arial" w:cs="Arial" w:eastAsia="Arial" w:hAnsi="Arial"/>
                <w:sz w:val="16"/>
                <w:szCs w:val="16"/>
                <w:color w:val="auto"/>
              </w:rPr>
              <w:t>Capital lease obligation</w:t>
            </w: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Extinguishment of deferred ground rent liability</w:t>
            </w:r>
          </w:p>
        </w:tc>
        <w:tc>
          <w:tcPr>
            <w:tcW w:w="244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8,832</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000" w:type="dxa"/>
            <w:vAlign w:val="bottom"/>
          </w:tcPr>
          <w:p>
            <w:pPr>
              <w:ind w:left="340"/>
              <w:spacing w:after="0"/>
              <w:rPr>
                <w:sz w:val="20"/>
                <w:szCs w:val="20"/>
                <w:color w:val="auto"/>
              </w:rPr>
            </w:pPr>
            <w:r>
              <w:rPr>
                <w:rFonts w:ascii="Arial" w:cs="Arial" w:eastAsia="Arial" w:hAnsi="Arial"/>
                <w:sz w:val="16"/>
                <w:szCs w:val="16"/>
                <w:color w:val="auto"/>
              </w:rPr>
              <w:t>Extinguishment of capital lease obligation</w:t>
            </w: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1,031</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of real estate through exchange transaction</w:t>
            </w:r>
          </w:p>
        </w:tc>
        <w:tc>
          <w:tcPr>
            <w:tcW w:w="244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30,100</w:t>
            </w:r>
          </w:p>
        </w:tc>
        <w:tc>
          <w:tcPr>
            <w:tcW w:w="0" w:type="dxa"/>
            <w:vAlign w:val="bottom"/>
          </w:tcPr>
          <w:p>
            <w:pPr>
              <w:spacing w:after="0"/>
              <w:rPr>
                <w:sz w:val="1"/>
                <w:szCs w:val="1"/>
                <w:color w:val="auto"/>
              </w:rPr>
            </w:pPr>
          </w:p>
        </w:tc>
      </w:tr>
      <w:tr>
        <w:trPr>
          <w:trHeight w:val="220"/>
        </w:trPr>
        <w:tc>
          <w:tcPr>
            <w:tcW w:w="5000" w:type="dxa"/>
            <w:vAlign w:val="bottom"/>
          </w:tcPr>
          <w:p>
            <w:pPr>
              <w:ind w:left="340"/>
              <w:spacing w:after="0"/>
              <w:rPr>
                <w:sz w:val="20"/>
                <w:szCs w:val="20"/>
                <w:color w:val="auto"/>
              </w:rPr>
            </w:pPr>
            <w:r>
              <w:rPr>
                <w:rFonts w:ascii="Arial" w:cs="Arial" w:eastAsia="Arial" w:hAnsi="Arial"/>
                <w:sz w:val="16"/>
                <w:szCs w:val="16"/>
                <w:color w:val="auto"/>
              </w:rPr>
              <w:t>Proceeds from sale of real estate through exchange transaction</w:t>
            </w:r>
          </w:p>
        </w:tc>
        <w:tc>
          <w:tcPr>
            <w:tcW w:w="244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25,100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Liability assumed through exchange transaction</w:t>
            </w:r>
          </w:p>
        </w:tc>
        <w:tc>
          <w:tcPr>
            <w:tcW w:w="244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416"/>
        </w:trPr>
        <w:tc>
          <w:tcPr>
            <w:tcW w:w="5000" w:type="dxa"/>
            <w:vAlign w:val="bottom"/>
          </w:tcPr>
          <w:p>
            <w:pPr>
              <w:spacing w:after="0"/>
              <w:rPr>
                <w:sz w:val="24"/>
                <w:szCs w:val="24"/>
                <w:color w:val="auto"/>
              </w:rPr>
            </w:pPr>
          </w:p>
        </w:tc>
        <w:tc>
          <w:tcPr>
            <w:tcW w:w="2440" w:type="dxa"/>
            <w:vAlign w:val="bottom"/>
            <w:gridSpan w:val="2"/>
          </w:tcPr>
          <w:p>
            <w:pPr>
              <w:jc w:val="right"/>
              <w:ind w:right="1498"/>
              <w:spacing w:after="0"/>
              <w:rPr>
                <w:sz w:val="20"/>
                <w:szCs w:val="20"/>
                <w:color w:val="auto"/>
              </w:rPr>
            </w:pPr>
            <w:r>
              <w:rPr>
                <w:rFonts w:ascii="Arial" w:cs="Arial" w:eastAsia="Arial" w:hAnsi="Arial"/>
                <w:sz w:val="16"/>
                <w:szCs w:val="16"/>
                <w:color w:val="auto"/>
              </w:rPr>
              <w:t>F-14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3—REAL ESTATE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real estate investments and related encumbrances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Accumulated</w:t>
            </w: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Depreciation and</w:t>
            </w: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Encumbrances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(In thousands)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0"/>
              </w:rPr>
              <w:t>December 31, 2011</w:t>
            </w:r>
          </w:p>
        </w:tc>
        <w:tc>
          <w:tcPr>
            <w:tcW w:w="4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Retail and mixed-use properties</w:t>
            </w:r>
          </w:p>
        </w:tc>
        <w:tc>
          <w:tcPr>
            <w:tcW w:w="420" w:type="dxa"/>
            <w:vAlign w:val="bottom"/>
          </w:tcPr>
          <w:p>
            <w:pPr>
              <w:jc w:val="right"/>
              <w:ind w:right="238"/>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4,312,189</w:t>
            </w:r>
          </w:p>
        </w:tc>
        <w:tc>
          <w:tcPr>
            <w:tcW w:w="100" w:type="dxa"/>
            <w:vAlign w:val="bottom"/>
          </w:tcPr>
          <w:p>
            <w:pPr>
              <w:spacing w:after="0"/>
              <w:rPr>
                <w:sz w:val="19"/>
                <w:szCs w:val="19"/>
                <w:color w:val="auto"/>
              </w:rPr>
            </w:pPr>
          </w:p>
        </w:tc>
        <w:tc>
          <w:tcPr>
            <w:tcW w:w="2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(1,087,704)</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724,287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Retail properties under capital leases</w:t>
            </w: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113,605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Residential</w:t>
            </w:r>
          </w:p>
        </w:tc>
        <w:tc>
          <w:tcPr>
            <w:tcW w:w="42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23,236</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4,434,544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(1,127,588)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810,616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60" w:type="dxa"/>
            <w:vAlign w:val="bottom"/>
            <w:tcBorders>
              <w:top w:val="single" w:sz="8" w:color="CCEEFF"/>
              <w:bottom w:val="single" w:sz="8" w:color="CCEEFF"/>
            </w:tcBorders>
            <w:gridSpan w:val="2"/>
            <w:vMerge w:val="restart"/>
          </w:tcPr>
          <w:p>
            <w:pPr>
              <w:spacing w:after="0" w:line="177" w:lineRule="exact"/>
              <w:rPr>
                <w:sz w:val="20"/>
                <w:szCs w:val="20"/>
                <w:color w:val="auto"/>
              </w:rPr>
            </w:pPr>
            <w:r>
              <w:rPr>
                <w:rFonts w:ascii="Arial" w:cs="Arial" w:eastAsia="Arial" w:hAnsi="Arial"/>
                <w:sz w:val="16"/>
                <w:szCs w:val="16"/>
                <w:b w:val="1"/>
                <w:bCs w:val="1"/>
                <w:color w:val="auto"/>
              </w:rPr>
              <w:t>December 31, 2010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0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4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Retail and mixed-use properties</w:t>
            </w: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3,779,203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(999,209)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505,934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Retail properties under capital leases</w:t>
            </w:r>
          </w:p>
        </w:tc>
        <w:tc>
          <w:tcPr>
            <w:tcW w:w="42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108,381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Residential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2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3,895,942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(1,035,204)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589,441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700"/>
        <w:spacing w:after="0" w:line="287" w:lineRule="auto"/>
        <w:rPr>
          <w:sz w:val="20"/>
          <w:szCs w:val="20"/>
          <w:color w:val="auto"/>
        </w:rPr>
      </w:pPr>
      <w:r>
        <w:rPr>
          <w:rFonts w:ascii="Arial" w:cs="Arial" w:eastAsia="Arial" w:hAnsi="Arial"/>
          <w:sz w:val="16"/>
          <w:szCs w:val="16"/>
          <w:color w:val="auto"/>
        </w:rPr>
        <w:t>Retail and mixed-use properties includes the residential portion of Santana Row, Bethesda Row and Congressional Plaza. The residential property investment is our investment in Rollingwood Apartments.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2011 Significant Acquisitions and Disposition</w:t>
      </w:r>
    </w:p>
    <w:p>
      <w:pPr>
        <w:spacing w:after="0" w:line="164" w:lineRule="exact"/>
        <w:rPr>
          <w:sz w:val="20"/>
          <w:szCs w:val="20"/>
          <w:color w:val="auto"/>
        </w:rPr>
      </w:pPr>
    </w:p>
    <w:p>
      <w:pPr>
        <w:ind w:right="280"/>
        <w:spacing w:after="0" w:line="285" w:lineRule="auto"/>
        <w:rPr>
          <w:sz w:val="20"/>
          <w:szCs w:val="20"/>
          <w:color w:val="auto"/>
        </w:rPr>
      </w:pPr>
      <w:r>
        <w:rPr>
          <w:rFonts w:ascii="Arial" w:cs="Arial" w:eastAsia="Arial" w:hAnsi="Arial"/>
          <w:sz w:val="15"/>
          <w:szCs w:val="15"/>
          <w:color w:val="auto"/>
        </w:rPr>
        <w:t>On January 19, 2011, we acquired the fee interest in Tower Shops located in Davie, Florida for a net purchase price of $66.1 million which included the assumption of a mortgage loan with a face amount of $41.0 million and a fair value of approximately $42.9 million. The property contains approximately 368,000 square feet of gross leasable area on 67 acres and is shadow-anchored by Home Depot and Costco.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year ended December 31, 2011.</w:t>
      </w:r>
    </w:p>
    <w:p>
      <w:pPr>
        <w:spacing w:after="0" w:line="10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July 12, 2011, we sold Feasterville Shopping Center located in Feasterville, Pennsylvania for a sales price of $20.0 million resulting in a gain of $14.8 million. The operations of this property are included in “discontinued operations” in the consolidated statements of operations for all periods presented and included in “assets held for sale/disposal” in our consolidated balance sheet as of December 31, 2010. The sale was completed as a Section 1031 tax deferred exchange transaction with the acquisition of Tower Shops.</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On December 27, 2011, we acquired an 89.9% controlling interest in Montrose Crossing, a 357,000 square foot shopping center located in Rockville, Maryland. The purchase price was $141.5 million and our 89.9% ownership interest was $127.2 million which was funded with cash and our pro-rata share of $80.0 million of new mortgage debt. We are the managing member of the entity, control all significant operating decisions, and receive approximately 89.9% of the cash flow of the entity. Therefore, we have consolidated the property and its operations effective on the acquisition date. The purchase price has been preliminarily allocated to real estate assets, debt, and noncontrolling interests. The final purchase price allocation to all acquired assets, liabilities, and noncontrolling interests will be finalized after our valuation studies are complete. We incurred approximately $2.4 million of acquisition costs which are included in “general and administrative expenses” in 2011.</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December 30, 2011, we acquired a 48.2% controlling interest in Plaza El Segundo, a 381,000 square foot shopping center located in El Segundo, California. The purchase price was $192.7 million and our 48.2% ownership interest was funded with $8.5 million of cash and the assumption of our pro-rata share of the existing $175.0 million mortgage debt. We are the managing member of the entity, control all significant decisions, and receive the majority of the cash flow of the entity. Therefore, we have consolidated the property and its operations effective on the acquisition date. The purchase price has been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560"/>
        <w:spacing w:after="0" w:line="271" w:lineRule="auto"/>
        <w:rPr>
          <w:sz w:val="20"/>
          <w:szCs w:val="20"/>
          <w:color w:val="auto"/>
        </w:rPr>
      </w:pPr>
      <w:r>
        <w:rPr>
          <w:rFonts w:ascii="Arial" w:cs="Arial" w:eastAsia="Arial" w:hAnsi="Arial"/>
          <w:sz w:val="16"/>
          <w:szCs w:val="16"/>
          <w:color w:val="auto"/>
        </w:rPr>
        <w:t>preliminarily allocated to real estate assets, debt, and noncontrolling interests. The final purchase price allocation to all acquired assets, liabilities, and noncontrolling interests will be finalized after our valuation studies are complete. We incurred approximately $1.0 million of acquisition costs which are included in “general and administrative expenses” in 2011.</w:t>
      </w:r>
    </w:p>
    <w:p>
      <w:pPr>
        <w:spacing w:after="0" w:line="11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On December 30, 2011, we acquired an 8.1 acre land parcel adjacent to Plaza El Segundo for a purchase price of $15.9 million. We intend to use the land parcel for future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2010 Significant Acquisitions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significant acquisitions in 2010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5"/>
                <w:szCs w:val="15"/>
                <w:color w:val="auto"/>
              </w:rPr>
            </w:pPr>
          </w:p>
        </w:tc>
        <w:tc>
          <w:tcPr>
            <w:tcW w:w="298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5"/>
                <w:szCs w:val="15"/>
                <w:color w:val="auto"/>
              </w:rPr>
            </w:pPr>
          </w:p>
        </w:tc>
        <w:tc>
          <w:tcPr>
            <w:tcW w:w="218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City, State</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Gross Leasable Area</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Purchase Price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(In square feet)</w:t>
            </w:r>
          </w:p>
        </w:tc>
        <w:tc>
          <w:tcPr>
            <w:tcW w:w="240" w:type="dxa"/>
            <w:vAlign w:val="bottom"/>
          </w:tcPr>
          <w:p>
            <w:pPr>
              <w:spacing w:after="0"/>
              <w:rPr>
                <w:sz w:val="19"/>
                <w:szCs w:val="19"/>
                <w:color w:val="auto"/>
              </w:rPr>
            </w:pPr>
          </w:p>
        </w:tc>
        <w:tc>
          <w:tcPr>
            <w:tcW w:w="1340" w:type="dxa"/>
            <w:vAlign w:val="bottom"/>
          </w:tcPr>
          <w:p>
            <w:pPr>
              <w:jc w:val="right"/>
              <w:ind w:right="363"/>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August 16</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Huntington Square</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East Northport, NY</w:t>
            </w: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w:t>
            </w:r>
          </w:p>
        </w:tc>
        <w:tc>
          <w:tcPr>
            <w:tcW w:w="5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November 10</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Former Mervyn’s Parcel</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Escondido, CA</w:t>
            </w:r>
          </w:p>
        </w:tc>
        <w:tc>
          <w:tcPr>
            <w:tcW w:w="1820" w:type="dxa"/>
            <w:vAlign w:val="bottom"/>
          </w:tcPr>
          <w:p>
            <w:pPr>
              <w:jc w:val="right"/>
              <w:ind w:right="43"/>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11.2</w:t>
            </w:r>
          </w:p>
        </w:tc>
        <w:tc>
          <w:tcPr>
            <w:tcW w:w="560" w:type="dxa"/>
            <w:vAlign w:val="bottom"/>
          </w:tcPr>
          <w:p>
            <w:pPr>
              <w:jc w:val="right"/>
              <w:ind w:right="13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(Escondido Promenade)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November 22</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Pentagon Row</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Arlington, VA</w:t>
            </w:r>
          </w:p>
        </w:tc>
        <w:tc>
          <w:tcPr>
            <w:tcW w:w="19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w:t>
            </w:r>
          </w:p>
        </w:tc>
        <w:tc>
          <w:tcPr>
            <w:tcW w:w="5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December 27</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Bethesda Row</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Bethesda, MD</w:t>
            </w:r>
          </w:p>
        </w:tc>
        <w:tc>
          <w:tcPr>
            <w:tcW w:w="1920" w:type="dxa"/>
            <w:vAlign w:val="bottom"/>
            <w:gridSpan w:val="2"/>
          </w:tcPr>
          <w:p>
            <w:pPr>
              <w:ind w:left="142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9.4</w:t>
            </w:r>
          </w:p>
        </w:tc>
        <w:tc>
          <w:tcPr>
            <w:tcW w:w="560" w:type="dxa"/>
            <w:vAlign w:val="bottom"/>
          </w:tcPr>
          <w:p>
            <w:pPr>
              <w:jc w:val="right"/>
              <w:ind w:right="138"/>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
        </w:trPr>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149,000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46.7</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6"/>
                <w:szCs w:val="16"/>
                <w:color w:val="auto"/>
                <w:w w:val="96"/>
              </w:rPr>
              <w:t>_____________________</w:t>
            </w:r>
          </w:p>
        </w:tc>
        <w:tc>
          <w:tcPr>
            <w:tcW w:w="14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80" w:right="120" w:hanging="287"/>
        <w:spacing w:after="0" w:line="256"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acquired the leasehold interest in this property. Approximately $9.2 million of net assets acquired were allocated to other assets for “above market leases” and a “below market ground lease” for which we are the lessee. Approximately $1.7 million of net assets acquired were allocated to liabilities for “below market leases”. We incurred approximately $0.3 million of acquisition costs which are included in “general and administrative expenses”.</w:t>
      </w:r>
    </w:p>
    <w:p>
      <w:pPr>
        <w:ind w:left="580" w:hanging="287"/>
        <w:spacing w:after="0"/>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property is adjacent to and operated as part of Escondido Promenade which is owned through a partnership in which we own the controlling interest.</w:t>
      </w:r>
    </w:p>
    <w:p>
      <w:pPr>
        <w:spacing w:after="0" w:line="23" w:lineRule="exact"/>
        <w:rPr>
          <w:rFonts w:ascii="Arial" w:cs="Arial" w:eastAsia="Arial" w:hAnsi="Arial"/>
          <w:sz w:val="15"/>
          <w:szCs w:val="15"/>
          <w:color w:val="auto"/>
        </w:rPr>
      </w:pPr>
    </w:p>
    <w:p>
      <w:pPr>
        <w:ind w:left="580" w:right="180" w:hanging="287"/>
        <w:spacing w:after="0" w:line="273" w:lineRule="auto"/>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We and a subsidiary of Post Properties, Inc. (“Post”) purchased the fee interest in the land under Pentagon Row. The land was purchased as a result of a favorable outcome to litigation. In September 2008, we and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Vornado appealed the ruling, however, the appeal was denied in November 2010. As part of the acquisition of the land and termination of the respective ground lease, we were relieved of our deferred ground rent liability for approximately $8.8 million. The liability was offset against the purchase price with the excess of the liability over the purchase price of $0.3 million included in the statement of operations as an adjustment to rental expense.</w:t>
      </w:r>
    </w:p>
    <w:p>
      <w:pPr>
        <w:spacing w:after="0" w:line="2" w:lineRule="exact"/>
        <w:rPr>
          <w:rFonts w:ascii="Arial" w:cs="Arial" w:eastAsia="Arial" w:hAnsi="Arial"/>
          <w:sz w:val="15"/>
          <w:szCs w:val="15"/>
          <w:color w:val="auto"/>
        </w:rPr>
      </w:pPr>
    </w:p>
    <w:p>
      <w:pPr>
        <w:ind w:left="580" w:right="180" w:hanging="287"/>
        <w:spacing w:after="0" w:line="27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acquired the fee interest in approximately 2.1 acres of land under Bethesda Row. Prior to the transaction, the land parcel was owned pursuant to a ground lease and encumbered by a capital lease obligation which was terminated as part of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$0.4 million gain on sale of real estate relates to condemnation proceeds, net of costs, at one of our Northern Virginia properties in order to expand a local road.</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December 2010, we committed to a plan of sale for two buildings on Fifth Avenue in San Diego, California. As the buildings met the criteria to be classified as held for sale, we recognized a $0.4 million loss to write down one of the buildings to its expected sales price less cost to sell. Both buildings were sold in 2011. The operations of the buildings have been classified as discontinued operations in the consolidated statements of operations for all years presented and included in “assets held for sale/disposal” in our consolidated balance sheet as of December 31, 2010.</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4—MORTGAGE NOTES RECEIVABLE</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At December 31, 2011, we had five mortgage notes receivable with an aggregate carrying amount of $56.0 million. At December 31, 2010, we had four mortgage notes receivable with an aggregate carrying amount of $44.8 million. Approximately $44.7 million and $33.0 million of the loans are secured by first mortgages on retail buildings at December 31, 2011 and 2010, respectively. One of the loans, which is secured by a second mortgage on a hotel at our Santana Row property, was considered impaired when it was amended in August 2006. At December 31, 2011 and 2010, the loan has an outstanding face amount of $14.2 million and $15.0 million, respectively, and is carried net of a valuation allowance of $2.9 million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7" w:right="2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$3.2 million, respectively. At December 31, 2011 and 2010, our mortgages (excluding mortgages in default at December 31, 2010 as further discussed below) had a weighted average interest rate of 9.2% and 9.9%, respectively. Under the terms of certain of these mortgages, we receive additional interest based upon the gross income of the secured properties and upon sale, share in the appreciation of the properties.</w:t>
      </w:r>
    </w:p>
    <w:p>
      <w:pPr>
        <w:spacing w:after="0" w:line="11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had an initial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9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conjunction with the refinancing of the loans, we re-evaluated our status as the primary beneficiary of the VIE. Because the loan is not in default, we no longer have those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 June 30, 2011. The mortgage loan receivable was recorded at its estimated fair value of $11.9 million and we recognized a $2.0 million gain on deconsolidation as part of the refinancing which is included in “discontinued operations - gain on deconsolidation of VIE” for the year ended December 31, 2011. As of December 31, 2011, the loan was performing and the carrying amount of the mortgage loan was $11.7 million and is included in “mortgage notes receivable” on the balance sheet. This amount also reflects our maximum exposure to loss related to this investment.</w:t>
      </w:r>
    </w:p>
    <w:p>
      <w:pPr>
        <w:spacing w:after="0" w:line="12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5—REAL ESTATE PARTNERSHIPS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Federal/Lion Venture LP</w:t>
      </w:r>
    </w:p>
    <w:p>
      <w:pPr>
        <w:spacing w:after="0" w:line="86"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2011,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 As of December 31, 2011, we have made total contributions of $42.1 million and received total distributions of $12.8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summarized operating results and the financial position of the Partnership: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3"/>
              </w:rPr>
              <w:t>Year Ended December 31,</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RESULTS</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8"/>
              <w:spacing w:after="0"/>
              <w:rPr>
                <w:sz w:val="20"/>
                <w:szCs w:val="20"/>
                <w:color w:val="auto"/>
              </w:rPr>
            </w:pPr>
            <w:r>
              <w:rPr>
                <w:rFonts w:ascii="Arial" w:cs="Arial" w:eastAsia="Arial" w:hAnsi="Arial"/>
                <w:sz w:val="16"/>
                <w:szCs w:val="16"/>
                <w:color w:val="auto"/>
                <w:w w:val="89"/>
              </w:rPr>
              <w:t>19,289</w:t>
            </w:r>
          </w:p>
        </w:tc>
        <w:tc>
          <w:tcPr>
            <w:tcW w:w="440" w:type="dxa"/>
            <w:vAlign w:val="bottom"/>
            <w:gridSpan w:val="3"/>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18,639</w:t>
            </w:r>
          </w:p>
        </w:tc>
        <w:tc>
          <w:tcPr>
            <w:tcW w:w="100" w:type="dxa"/>
            <w:vAlign w:val="bottom"/>
          </w:tcPr>
          <w:p>
            <w:pPr>
              <w:spacing w:after="0"/>
              <w:rPr>
                <w:sz w:val="19"/>
                <w:szCs w:val="19"/>
                <w:color w:val="auto"/>
              </w:rPr>
            </w:pPr>
          </w:p>
        </w:tc>
        <w:tc>
          <w:tcPr>
            <w:tcW w:w="46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19,109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Other operating expenses</w:t>
            </w:r>
          </w:p>
        </w:tc>
        <w:tc>
          <w:tcPr>
            <w:tcW w:w="820" w:type="dxa"/>
            <w:vAlign w:val="bottom"/>
          </w:tcPr>
          <w:p>
            <w:pPr>
              <w:spacing w:after="0"/>
              <w:rPr>
                <w:sz w:val="19"/>
                <w:szCs w:val="19"/>
                <w:color w:val="auto"/>
              </w:rPr>
            </w:pPr>
          </w:p>
        </w:tc>
        <w:tc>
          <w:tcPr>
            <w:tcW w:w="560" w:type="dxa"/>
            <w:vAlign w:val="bottom"/>
          </w:tcPr>
          <w:p>
            <w:pPr>
              <w:jc w:val="right"/>
              <w:ind w:right="18"/>
              <w:spacing w:after="0"/>
              <w:rPr>
                <w:sz w:val="20"/>
                <w:szCs w:val="20"/>
                <w:color w:val="auto"/>
              </w:rPr>
            </w:pPr>
            <w:r>
              <w:rPr>
                <w:rFonts w:ascii="Arial" w:cs="Arial" w:eastAsia="Arial" w:hAnsi="Arial"/>
                <w:sz w:val="16"/>
                <w:szCs w:val="16"/>
                <w:color w:val="auto"/>
              </w:rPr>
              <w:t>5,593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6,019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5,046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820" w:type="dxa"/>
            <w:vAlign w:val="bottom"/>
          </w:tcPr>
          <w:p>
            <w:pPr>
              <w:spacing w:after="0"/>
              <w:rPr>
                <w:sz w:val="19"/>
                <w:szCs w:val="19"/>
                <w:color w:val="auto"/>
              </w:rPr>
            </w:pPr>
          </w:p>
        </w:tc>
        <w:tc>
          <w:tcPr>
            <w:tcW w:w="560" w:type="dxa"/>
            <w:vAlign w:val="bottom"/>
          </w:tcPr>
          <w:p>
            <w:pPr>
              <w:jc w:val="right"/>
              <w:ind w:right="18"/>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14,160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15,447</w:t>
            </w:r>
          </w:p>
        </w:tc>
        <w:tc>
          <w:tcPr>
            <w:tcW w:w="0" w:type="dxa"/>
            <w:vAlign w:val="bottom"/>
          </w:tcPr>
          <w:p>
            <w:pPr>
              <w:spacing w:after="0"/>
              <w:rPr>
                <w:sz w:val="1"/>
                <w:szCs w:val="1"/>
                <w:color w:val="auto"/>
              </w:rPr>
            </w:pP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5,129</w:t>
            </w:r>
          </w:p>
        </w:tc>
        <w:tc>
          <w:tcPr>
            <w:tcW w:w="120" w:type="dxa"/>
            <w:vAlign w:val="bottom"/>
            <w:gridSpan w:val="2"/>
          </w:tcPr>
          <w:p>
            <w:pPr>
              <w:spacing w:after="0"/>
              <w:rPr>
                <w:sz w:val="18"/>
                <w:szCs w:val="18"/>
                <w:color w:val="auto"/>
              </w:rPr>
            </w:pPr>
          </w:p>
        </w:tc>
        <w:tc>
          <w:tcPr>
            <w:tcW w:w="32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4,044</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Our share of net income from real estate partnership</w:t>
            </w: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1,771</w:t>
            </w:r>
          </w:p>
        </w:tc>
        <w:tc>
          <w:tcPr>
            <w:tcW w:w="44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right"/>
              <w:ind w:right="18"/>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100" w:type="dxa"/>
            <w:vAlign w:val="bottom"/>
          </w:tcPr>
          <w:p>
            <w:pPr>
              <w:ind w:left="20"/>
              <w:spacing w:after="0"/>
              <w:rPr>
                <w:sz w:val="20"/>
                <w:szCs w:val="20"/>
                <w:color w:val="auto"/>
              </w:rPr>
            </w:pPr>
            <w:r>
              <w:rPr>
                <w:rFonts w:ascii="Arial" w:cs="Arial" w:eastAsia="Arial" w:hAnsi="Arial"/>
                <w:sz w:val="16"/>
                <w:szCs w:val="16"/>
                <w:color w:val="auto"/>
              </w:rPr>
              <w:t>BALANCE SHEETS</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 net</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178,693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181,565</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Cash</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12"/>
        </w:trPr>
        <w:tc>
          <w:tcPr>
            <w:tcW w:w="71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187,844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191,955</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1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Mortgages payable</w:t>
            </w:r>
          </w:p>
        </w:tc>
        <w:tc>
          <w:tcPr>
            <w:tcW w:w="8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57,376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57,584</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5,391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5,439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 capital</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125,077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128,932</w:t>
            </w:r>
          </w:p>
        </w:tc>
        <w:tc>
          <w:tcPr>
            <w:tcW w:w="0" w:type="dxa"/>
            <w:vAlign w:val="bottom"/>
          </w:tcPr>
          <w:p>
            <w:pPr>
              <w:spacing w:after="0"/>
              <w:rPr>
                <w:sz w:val="1"/>
                <w:szCs w:val="1"/>
                <w:color w:val="auto"/>
              </w:rPr>
            </w:pPr>
          </w:p>
        </w:tc>
      </w:tr>
      <w:tr>
        <w:trPr>
          <w:trHeight w:val="212"/>
        </w:trPr>
        <w:tc>
          <w:tcPr>
            <w:tcW w:w="7100" w:type="dxa"/>
            <w:vAlign w:val="bottom"/>
          </w:tcPr>
          <w:p>
            <w:pPr>
              <w:ind w:left="340"/>
              <w:spacing w:after="0"/>
              <w:rPr>
                <w:sz w:val="20"/>
                <w:szCs w:val="20"/>
                <w:color w:val="auto"/>
              </w:rPr>
            </w:pPr>
            <w:r>
              <w:rPr>
                <w:rFonts w:ascii="Arial" w:cs="Arial" w:eastAsia="Arial" w:hAnsi="Arial"/>
                <w:sz w:val="16"/>
                <w:szCs w:val="16"/>
                <w:color w:val="auto"/>
              </w:rPr>
              <w:t>Total liabilities and partners’ capital</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187,844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191,955</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Our share of unconsolidated debt</w:t>
            </w:r>
          </w:p>
        </w:tc>
        <w:tc>
          <w:tcPr>
            <w:tcW w:w="8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17,213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17,275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Our investment in real estate partnership</w:t>
            </w:r>
          </w:p>
        </w:tc>
        <w:tc>
          <w:tcPr>
            <w:tcW w:w="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3"/>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34,352</w:t>
            </w:r>
          </w:p>
        </w:tc>
        <w:tc>
          <w:tcPr>
            <w:tcW w:w="100" w:type="dxa"/>
            <w:vAlign w:val="bottom"/>
          </w:tcPr>
          <w:p>
            <w:pPr>
              <w:spacing w:after="0"/>
              <w:rPr>
                <w:sz w:val="17"/>
                <w:szCs w:val="17"/>
                <w:color w:val="auto"/>
              </w:rPr>
            </w:pPr>
          </w:p>
        </w:tc>
        <w:tc>
          <w:tcPr>
            <w:tcW w:w="46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35,504</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Taurus Newbury Street JV II Limited Partnership</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held an 85% limited partnership interest in Newbury Street Partnership and Taurus held a 15% limited partnership interest and served as general partner. As general partner, Taurus was responsible for the operation and management of the properties, subject to our approval on major decisions. We evaluated the entity and determined that it was not a VIE. Accordingly, given Taurus’ role as general partner, we accounted for our interest in Newbury Street Partnership using the equity method. Accounting policies for the Newbury Street Partnership were similar to accounting policies followed by the Trust. Intercompany profit generated from interest income on loans we have provided to the partnership are eliminated in consolidation. All amounts contributed and advanced to Newbury Street Partnership are included in “Investment in real estate partnerships” in the consolidated balance sheet as of December 31, 2010 and our investment was $16.1 million at December 31, 2010. Due to the timing of receiving financial information from the general partner, our share of earnings was recorded one quarter in arrears. Our share of earnings in the consolidated statements of operations in 2011 and 2010 was income of less than $0.1 million and a loss of $0.4 million, respectively.</w:t>
      </w:r>
    </w:p>
    <w:p>
      <w:pPr>
        <w:spacing w:after="0" w:line="126"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auto"/>
        </w:rPr>
        <w:t>On May 26 2010, Newbury Street Partnership acquired the fee interest in two buildings, with 32,000 square feet of retail and office space, located on Newbury Street in Boston, Massachusetts for a purchase price of $17.5 million. We contributed $7.8 million towards the acquisition and provided an $8.8 million interest only loan secured by the buildings. On May 26, 2011, Newbury Street Partnership acquired the fee interest in a 6,700 square foot building located on Newbury Street for a purchase price of $6.2 million. We contributed approximately $2.8 million towards the acquisition and provided a $3.1 million interest-only loan secured by the building. The $11.8 million loans bore interest at LIBOR plus 400 basis points and were to mature on May 25, 2012, subject to a one-year extension option.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On October 31, 2011, our Newbury Street Partnership sold its entire portfolio of three buildings for $44.0 million. As part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sale, we received $34.6 million of the net proceeds which included the repayment of our $11.8 million loans. Due to our earnings being recorded one quarter in arrears, we will recognize the gain on sale of $11.8 million in the first quarter 2012. The $11.8 million deferred gain is included in "other liabilities and deferred credits" on the balance sheet at December 31, 2011.</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7—ACQUIRED IN-PLACE LEASES</w:t>
      </w:r>
    </w:p>
    <w:p>
      <w:pPr>
        <w:spacing w:after="0" w:line="90"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Acquired above market leases are included in prepaid expenses and other assets and had a balance of $21.4 million and $20.6 million and accumulated amortization of $11.9 million and $9.9 million at December 31, 2011 and 2010, respectively. Acquired below market leases are included in other liabilities and deferred credits and had a balance of $57.2 million and $53.9 million and accumulated amortization of $26.3 million and $23.5 million at December 31, 2011 and 2010, respectively. The value allocated to in-place leases is amortized over the related lease term and reflected as additional rental income for below market leases or a reduction of rental income for above market leases in the statement of operations. Rental income included amortization from acquired above market leases of $2.4 million, $2.0 million and $2.5 million in 2011, 2010 and 2009, respectively and amortization from acquired below market leases of $3.8 million, $3.6 million and $4.2 million in 2011, 2010 and 2009, respectively. The remaining weighted-average amortization period as of December 31, 2011, is 5.8 years and 11.1 years for above market leases and below market leases,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for acquired in-place leases during the next five years and thereafter, assuming no early lease terminations,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Above Market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jc w:val="right"/>
              <w:ind w:right="482"/>
              <w:spacing w:after="0"/>
              <w:rPr>
                <w:sz w:val="20"/>
                <w:szCs w:val="20"/>
                <w:color w:val="auto"/>
              </w:rPr>
            </w:pPr>
            <w:r>
              <w:rPr>
                <w:rFonts w:ascii="Arial" w:cs="Arial" w:eastAsia="Arial" w:hAnsi="Arial"/>
                <w:sz w:val="13"/>
                <w:szCs w:val="13"/>
                <w:b w:val="1"/>
                <w:bCs w:val="1"/>
                <w:color w:val="auto"/>
              </w:rPr>
              <w:t>Below Market</w:t>
            </w:r>
          </w:p>
        </w:tc>
      </w:tr>
      <w:tr>
        <w:trPr>
          <w:trHeight w:val="174"/>
        </w:trPr>
        <w:tc>
          <w:tcPr>
            <w:tcW w:w="36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Leases</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Leases</w:t>
            </w:r>
          </w:p>
        </w:tc>
      </w:tr>
      <w:tr>
        <w:trPr>
          <w:trHeight w:val="226"/>
        </w:trPr>
        <w:tc>
          <w:tcPr>
            <w:tcW w:w="36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420" w:type="dxa"/>
            <w:vAlign w:val="bottom"/>
          </w:tcPr>
          <w:p>
            <w:pPr>
              <w:spacing w:after="0"/>
              <w:rPr>
                <w:sz w:val="19"/>
                <w:szCs w:val="19"/>
                <w:color w:val="auto"/>
              </w:rPr>
            </w:pPr>
          </w:p>
        </w:tc>
      </w:tr>
      <w:tr>
        <w:trPr>
          <w:trHeight w:val="23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39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2012</w:t>
            </w:r>
          </w:p>
        </w:tc>
        <w:tc>
          <w:tcPr>
            <w:tcW w:w="5240" w:type="dxa"/>
            <w:vAlign w:val="bottom"/>
            <w:gridSpan w:val="2"/>
          </w:tcPr>
          <w:p>
            <w:pPr>
              <w:jc w:val="right"/>
              <w:ind w:right="116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1,841</w:t>
            </w:r>
          </w:p>
        </w:tc>
        <w:tc>
          <w:tcPr>
            <w:tcW w:w="100" w:type="dxa"/>
            <w:vAlign w:val="bottom"/>
          </w:tcPr>
          <w:p>
            <w:pPr>
              <w:spacing w:after="0"/>
              <w:rPr>
                <w:sz w:val="19"/>
                <w:szCs w:val="19"/>
                <w:color w:val="auto"/>
              </w:rPr>
            </w:pPr>
          </w:p>
        </w:tc>
        <w:tc>
          <w:tcPr>
            <w:tcW w:w="500" w:type="dxa"/>
            <w:vAlign w:val="bottom"/>
          </w:tcPr>
          <w:p>
            <w:pPr>
              <w:jc w:val="right"/>
              <w:ind w:right="318"/>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3,535</w:t>
            </w:r>
          </w:p>
        </w:tc>
      </w:tr>
      <w:tr>
        <w:trPr>
          <w:trHeight w:val="26"/>
        </w:trPr>
        <w:tc>
          <w:tcPr>
            <w:tcW w:w="3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39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1,350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3,128</w:t>
            </w: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2014</w:t>
            </w: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1,277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2,551</w:t>
            </w:r>
          </w:p>
        </w:tc>
      </w:tr>
      <w:tr>
        <w:trPr>
          <w:trHeight w:val="26"/>
        </w:trPr>
        <w:tc>
          <w:tcPr>
            <w:tcW w:w="3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39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1,204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2,381</w:t>
            </w: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2016</w:t>
            </w:r>
          </w:p>
        </w:tc>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2,129</w:t>
            </w:r>
          </w:p>
        </w:tc>
      </w:tr>
      <w:tr>
        <w:trPr>
          <w:trHeight w:val="26"/>
        </w:trPr>
        <w:tc>
          <w:tcPr>
            <w:tcW w:w="3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17,271</w:t>
            </w:r>
          </w:p>
        </w:tc>
      </w:tr>
      <w:tr>
        <w:trPr>
          <w:trHeight w:val="212"/>
        </w:trPr>
        <w:tc>
          <w:tcPr>
            <w:tcW w:w="3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40" w:type="dxa"/>
            <w:vAlign w:val="bottom"/>
            <w:tcBorders>
              <w:top w:val="single" w:sz="8" w:color="auto"/>
            </w:tcBorders>
          </w:tcPr>
          <w:p>
            <w:pPr>
              <w:jc w:val="right"/>
              <w:ind w:right="116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9,571</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30,995</w:t>
            </w:r>
          </w:p>
        </w:tc>
      </w:tr>
      <w:tr>
        <w:trPr>
          <w:trHeight w:val="26"/>
        </w:trPr>
        <w:tc>
          <w:tcPr>
            <w:tcW w:w="3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90"/>
        </w:trPr>
        <w:tc>
          <w:tcPr>
            <w:tcW w:w="3660" w:type="dxa"/>
            <w:vAlign w:val="bottom"/>
          </w:tcPr>
          <w:p>
            <w:pPr>
              <w:spacing w:after="0"/>
              <w:rPr>
                <w:sz w:val="24"/>
                <w:szCs w:val="24"/>
                <w:color w:val="auto"/>
              </w:rPr>
            </w:pPr>
          </w:p>
        </w:tc>
        <w:tc>
          <w:tcPr>
            <w:tcW w:w="5240" w:type="dxa"/>
            <w:vAlign w:val="bottom"/>
            <w:gridSpan w:val="2"/>
          </w:tcPr>
          <w:p>
            <w:pPr>
              <w:jc w:val="right"/>
              <w:ind w:right="2969"/>
              <w:spacing w:after="0"/>
              <w:rPr>
                <w:sz w:val="20"/>
                <w:szCs w:val="20"/>
                <w:color w:val="auto"/>
              </w:rPr>
            </w:pPr>
            <w:r>
              <w:rPr>
                <w:rFonts w:ascii="Arial" w:cs="Arial" w:eastAsia="Arial" w:hAnsi="Arial"/>
                <w:sz w:val="16"/>
                <w:szCs w:val="16"/>
                <w:color w:val="auto"/>
              </w:rPr>
              <w:t>F-19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total debt outstanding as of December 31, 2011 and 2010:</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3"/>
                <w:szCs w:val="13"/>
                <w:b w:val="1"/>
                <w:bCs w:val="1"/>
                <w:color w:val="auto"/>
                <w:w w:val="98"/>
              </w:rPr>
              <w:t>Principal Balance as of December 31,</w:t>
            </w:r>
          </w:p>
        </w:tc>
        <w:tc>
          <w:tcPr>
            <w:tcW w:w="12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Stated Interest Rate as of</w:t>
            </w:r>
          </w:p>
        </w:tc>
        <w:tc>
          <w:tcPr>
            <w:tcW w:w="1940" w:type="dxa"/>
            <w:vAlign w:val="bottom"/>
          </w:tcPr>
          <w:p>
            <w:pPr>
              <w:spacing w:after="0"/>
              <w:rPr>
                <w:sz w:val="14"/>
                <w:szCs w:val="14"/>
                <w:color w:val="auto"/>
              </w:rPr>
            </w:pPr>
          </w:p>
        </w:tc>
      </w:tr>
      <w:tr>
        <w:trPr>
          <w:trHeight w:val="173"/>
        </w:trPr>
        <w:tc>
          <w:tcPr>
            <w:tcW w:w="4460" w:type="dxa"/>
            <w:vAlign w:val="bottom"/>
            <w:gridSpan w:val="2"/>
          </w:tcPr>
          <w:p>
            <w:pPr>
              <w:ind w:left="20"/>
              <w:spacing w:after="0"/>
              <w:rPr>
                <w:sz w:val="20"/>
                <w:szCs w:val="20"/>
                <w:color w:val="auto"/>
              </w:rPr>
            </w:pPr>
            <w:r>
              <w:rPr>
                <w:rFonts w:ascii="Arial" w:cs="Arial" w:eastAsia="Arial" w:hAnsi="Arial"/>
                <w:sz w:val="13"/>
                <w:szCs w:val="13"/>
                <w:b w:val="1"/>
                <w:bCs w:val="1"/>
                <w:color w:val="auto"/>
              </w:rPr>
              <w:t>Description of Debt</w:t>
            </w:r>
          </w:p>
        </w:tc>
        <w:tc>
          <w:tcPr>
            <w:tcW w:w="300" w:type="dxa"/>
            <w:vAlign w:val="bottom"/>
          </w:tcPr>
          <w:p>
            <w:pPr>
              <w:spacing w:after="0"/>
              <w:rPr>
                <w:sz w:val="15"/>
                <w:szCs w:val="15"/>
                <w:color w:val="auto"/>
              </w:rPr>
            </w:pPr>
          </w:p>
        </w:tc>
        <w:tc>
          <w:tcPr>
            <w:tcW w:w="1180" w:type="dxa"/>
            <w:vAlign w:val="bottom"/>
          </w:tcPr>
          <w:p>
            <w:pPr>
              <w:jc w:val="right"/>
              <w:ind w:right="52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26"/>
              <w:spacing w:after="0"/>
              <w:rPr>
                <w:sz w:val="20"/>
                <w:szCs w:val="20"/>
                <w:color w:val="auto"/>
              </w:rPr>
            </w:pPr>
            <w:r>
              <w:rPr>
                <w:rFonts w:ascii="Arial" w:cs="Arial" w:eastAsia="Arial" w:hAnsi="Arial"/>
                <w:sz w:val="13"/>
                <w:szCs w:val="13"/>
                <w:b w:val="1"/>
                <w:bCs w:val="1"/>
                <w:color w:val="auto"/>
                <w:w w:val="89"/>
              </w:rPr>
              <w:t>2010</w:t>
            </w:r>
          </w:p>
        </w:tc>
        <w:tc>
          <w:tcPr>
            <w:tcW w:w="12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December 31, 2011</w:t>
            </w:r>
          </w:p>
        </w:tc>
        <w:tc>
          <w:tcPr>
            <w:tcW w:w="1940" w:type="dxa"/>
            <w:vAlign w:val="bottom"/>
          </w:tcPr>
          <w:p>
            <w:pPr>
              <w:jc w:val="right"/>
              <w:ind w:right="287"/>
              <w:spacing w:after="0"/>
              <w:rPr>
                <w:sz w:val="20"/>
                <w:szCs w:val="20"/>
                <w:color w:val="auto"/>
              </w:rPr>
            </w:pPr>
            <w:r>
              <w:rPr>
                <w:rFonts w:ascii="Arial" w:cs="Arial" w:eastAsia="Arial" w:hAnsi="Arial"/>
                <w:sz w:val="13"/>
                <w:szCs w:val="13"/>
                <w:b w:val="1"/>
                <w:bCs w:val="1"/>
                <w:color w:val="auto"/>
              </w:rPr>
              <w:t>Stated Maturity Date</w:t>
            </w:r>
          </w:p>
        </w:tc>
      </w:tr>
      <w:tr>
        <w:trPr>
          <w:trHeight w:val="73"/>
        </w:trPr>
        <w:tc>
          <w:tcPr>
            <w:tcW w:w="4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21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Mortgages payable</w:t>
            </w: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Federal Plaza</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31,901</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June 1, 2011</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Tysons Station</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5,713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September 1, 2011</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Courtyard Shops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7,045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7,289</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July 1, 2012</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Bethesda Row</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19,993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19,994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 2013</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Bethesda Row</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4,016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4,163</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5.05%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February 1, 2013</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White Marsh Plaza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9,284</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9,580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April 1, 2013</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Crow Canyon</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19,951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20,395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August 11, 2013</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Idylwood Plaza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16,276</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16,544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June 5, 2014</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Leesburg Plaza</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28,320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28,786</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June 5, 2014</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Loehmann’s Plaza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36,621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37,224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June 5, 2014</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Pentagon Row</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52,572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53,437</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June 5, 2014</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Melville Mall</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22,325</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23,073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September 1, 2014</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THE AVENUE at White Marsh</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56,603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57,803</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5.46%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January 1, 2015</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Barracks Road</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38,995</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39,850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Hauppauge</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14,700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15,022</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Lawrence Park</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27,640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28,246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Wildwood</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24,295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24,827</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Wynnewood</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28,168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28,785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1, 2015</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Brick Plaza</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28,757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29,429</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7.42%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November 1, 2015</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Plaza El Segundo</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175,000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5, 2017</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Rollingwood Apartments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23,236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23,567</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May 1, 2019</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Shoppers’ World</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5,444</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5,593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31, 2021</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Montrose Crossing</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80,000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January 10, 2022</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Mount Vernon</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10,554</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10,937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April 15, 2028</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Chelsea</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7,628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7,795</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January 15, 2031</w:t>
            </w:r>
          </w:p>
        </w:tc>
      </w:tr>
      <w:tr>
        <w:trPr>
          <w:trHeight w:val="30"/>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06"/>
        </w:trPr>
        <w:tc>
          <w:tcPr>
            <w:tcW w:w="4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Subtotal</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737,423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529,953</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ind w:left="840"/>
              <w:spacing w:after="0"/>
              <w:rPr>
                <w:sz w:val="20"/>
                <w:szCs w:val="20"/>
                <w:color w:val="auto"/>
              </w:rPr>
            </w:pPr>
            <w:r>
              <w:rPr>
                <w:rFonts w:ascii="Arial" w:cs="Arial" w:eastAsia="Arial" w:hAnsi="Arial"/>
                <w:sz w:val="15"/>
                <w:szCs w:val="15"/>
                <w:color w:val="auto"/>
              </w:rPr>
              <w:t>Net unamortized premium (discount)</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10,100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0"/>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Total mortgages payable</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747,523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529,501</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r>
      <w:tr>
        <w:trPr>
          <w:trHeight w:val="184"/>
        </w:trPr>
        <w:tc>
          <w:tcPr>
            <w:tcW w:w="4460" w:type="dxa"/>
            <w:vAlign w:val="bottom"/>
            <w:gridSpan w:val="2"/>
          </w:tcPr>
          <w:p>
            <w:pPr>
              <w:ind w:left="20"/>
              <w:spacing w:after="0"/>
              <w:rPr>
                <w:sz w:val="20"/>
                <w:szCs w:val="20"/>
                <w:color w:val="auto"/>
              </w:rPr>
            </w:pPr>
            <w:r>
              <w:rPr>
                <w:rFonts w:ascii="Arial" w:cs="Arial" w:eastAsia="Arial" w:hAnsi="Arial"/>
                <w:sz w:val="15"/>
                <w:szCs w:val="15"/>
                <w:b w:val="1"/>
                <w:bCs w:val="1"/>
                <w:color w:val="auto"/>
              </w:rPr>
              <w:t>Notes payable</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4"/>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Various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10,759</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11,481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Various through 2013</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Revolving credit facility</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77,000</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LIBOR + 0.425%</w:t>
            </w:r>
          </w:p>
        </w:tc>
        <w:tc>
          <w:tcPr>
            <w:tcW w:w="1940" w:type="dxa"/>
            <w:vAlign w:val="bottom"/>
          </w:tcPr>
          <w:p>
            <w:pPr>
              <w:jc w:val="right"/>
              <w:spacing w:after="0"/>
              <w:rPr>
                <w:sz w:val="20"/>
                <w:szCs w:val="20"/>
                <w:color w:val="auto"/>
              </w:rPr>
            </w:pPr>
            <w:r>
              <w:rPr>
                <w:rFonts w:ascii="Arial" w:cs="Arial" w:eastAsia="Arial" w:hAnsi="Arial"/>
                <w:sz w:val="15"/>
                <w:szCs w:val="15"/>
                <w:color w:val="auto"/>
              </w:rPr>
              <w:t>July 27, 2011</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Revolving credit facility</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LIBOR + 1.15%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July 6, 2015</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Escondido (municipal bonds)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9,400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9,400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October 1, 2016</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Term loan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LIBOR + 1.45%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November 21, 2018</w:t>
            </w:r>
          </w:p>
        </w:tc>
      </w:tr>
      <w:tr>
        <w:trPr>
          <w:trHeight w:val="196"/>
        </w:trPr>
        <w:tc>
          <w:tcPr>
            <w:tcW w:w="4460" w:type="dxa"/>
            <w:vAlign w:val="bottom"/>
            <w:gridSpan w:val="2"/>
          </w:tcPr>
          <w:p>
            <w:pPr>
              <w:ind w:left="640"/>
              <w:spacing w:after="0"/>
              <w:rPr>
                <w:sz w:val="20"/>
                <w:szCs w:val="20"/>
                <w:color w:val="auto"/>
              </w:rPr>
            </w:pPr>
            <w:r>
              <w:rPr>
                <w:rFonts w:ascii="Arial" w:cs="Arial" w:eastAsia="Arial" w:hAnsi="Arial"/>
                <w:sz w:val="15"/>
                <w:szCs w:val="15"/>
                <w:color w:val="auto"/>
              </w:rPr>
              <w:t>Total notes payable</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295,159</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97,881</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0"/>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1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Senior notes and debentures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4.50% notes</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February 15, 2011</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6.00% notes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175,000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July 15, 2012</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5.40% notes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135,000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135,000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December 1, 2013</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5.95% notes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15, 2014</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5.65% notes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125,000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June 1, 2016</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6.20% notes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January 15, 2017</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5.90% notes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150,000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April 1, 2020</w:t>
            </w: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7.48% debentures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29,200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29,200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August 15, 2026</w:t>
            </w:r>
          </w:p>
        </w:tc>
      </w:tr>
      <w:tr>
        <w:trPr>
          <w:trHeight w:val="216"/>
        </w:trPr>
        <w:tc>
          <w:tcPr>
            <w:tcW w:w="4460" w:type="dxa"/>
            <w:vAlign w:val="bottom"/>
            <w:gridSpan w:val="2"/>
          </w:tcPr>
          <w:p>
            <w:pPr>
              <w:ind w:left="340"/>
              <w:spacing w:after="0"/>
              <w:rPr>
                <w:sz w:val="20"/>
                <w:szCs w:val="20"/>
                <w:color w:val="auto"/>
              </w:rPr>
            </w:pPr>
            <w:r>
              <w:rPr>
                <w:rFonts w:ascii="Arial" w:cs="Arial" w:eastAsia="Arial" w:hAnsi="Arial"/>
                <w:sz w:val="15"/>
                <w:szCs w:val="15"/>
                <w:color w:val="auto"/>
              </w:rPr>
              <w:t>6.82% medium term notes</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40,000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August 1, 2027</w:t>
            </w:r>
          </w:p>
        </w:tc>
      </w:tr>
      <w:tr>
        <w:trPr>
          <w:trHeight w:val="30"/>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06"/>
        </w:trPr>
        <w:tc>
          <w:tcPr>
            <w:tcW w:w="4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Subtotal</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1,004,200</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1,079,200</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ind w:left="840"/>
              <w:spacing w:after="0"/>
              <w:rPr>
                <w:sz w:val="20"/>
                <w:szCs w:val="20"/>
                <w:color w:val="auto"/>
              </w:rPr>
            </w:pPr>
            <w:r>
              <w:rPr>
                <w:rFonts w:ascii="Arial" w:cs="Arial" w:eastAsia="Arial" w:hAnsi="Arial"/>
                <w:sz w:val="15"/>
                <w:szCs w:val="15"/>
                <w:color w:val="auto"/>
              </w:rPr>
              <w:t>Net unamortized premium</w:t>
            </w:r>
          </w:p>
        </w:tc>
        <w:tc>
          <w:tcPr>
            <w:tcW w:w="30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435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627</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0"/>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26"/>
        </w:trPr>
        <w:tc>
          <w:tcPr>
            <w:tcW w:w="44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Total senior notes and debentures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1,004,635</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1,079,827</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r>
      <w:tr>
        <w:trPr>
          <w:trHeight w:val="184"/>
        </w:trPr>
        <w:tc>
          <w:tcPr>
            <w:tcW w:w="446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 lease obligations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4"/>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46"/>
        </w:trPr>
        <w:tc>
          <w:tcPr>
            <w:tcW w:w="44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5"/>
                <w:szCs w:val="15"/>
                <w:color w:val="auto"/>
              </w:rPr>
              <w:t>Various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63,093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59,940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Various through 2106</w:t>
            </w:r>
          </w:p>
        </w:tc>
      </w:tr>
      <w:tr>
        <w:trPr>
          <w:trHeight w:val="196"/>
        </w:trPr>
        <w:tc>
          <w:tcPr>
            <w:tcW w:w="44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debt and capital lease obligations</w:t>
            </w:r>
          </w:p>
        </w:tc>
        <w:tc>
          <w:tcPr>
            <w:tcW w:w="300" w:type="dxa"/>
            <w:vAlign w:val="bottom"/>
            <w:tcBorders>
              <w:top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2,110,410</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426"/>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1,767,149</w:t>
            </w: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0"/>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40" w:top="127" w:right="239" w:bottom="1440" w:gutter="0" w:footer="0" w:header="0"/>
          <w:type w:val="continuous"/>
        </w:sectPr>
      </w:pPr>
    </w:p>
    <w:bookmarkStart w:id="74" w:name="page75"/>
    <w:bookmarkEnd w:id="7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of July 1,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2011, relates to the early payoff of this loan and includes the write-off of the unamortized debt premium of $1.7 million net of the 3% prepayment premium and unamortized debt fees.</w:t>
      </w:r>
    </w:p>
    <w:p>
      <w:pPr>
        <w:spacing w:after="0" w:line="11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On February 15, 2011, we repaid our $75.0 million 4.50% senior notes on the maturity date. On April 29, 2011, we repaid the $31.7 million mortgage loan on Federal Plaza which had an original maturity date of June 1, 2011. On June 1, 2011, we repaid the $5.6 million mortgage loan on Tysons Station which had an original maturity date of September 1, 2011.</w:t>
      </w:r>
    </w:p>
    <w:p>
      <w:pPr>
        <w:spacing w:after="0" w:line="113"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11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On November 22, 2011, we entered into a $275.0 million unsecured term loan which bears interest at LIBOR plus 145 basis points. The spread over LIBOR is subject to adjustment based on our credit rating. The loan matures on November 21, 2018 and is prepayable without penalty after three years. We entered into two interest rate swap agreements to fix the variable rate portion of our $275.0 million term loan at 1.72% from December 1, 2011 through November 1, 2018. The swap agreements effectively fixed the rate on the term loan at 3.17%. Both swaps were designated and qualified as cash flow hedges and were recorded at fair value. See Note 8 for further discussion on fair value measurements of our derivative instruments.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connection with the acquisition of Montrose Crossing on December 27, 2011, our joint venture that owns the property entered into an $80.0 million mortgage loan that bears interest at 4.20% and matures on January 10, 2022. As Montrose Crossing is a consolidated property, 100% of the mortgage loan is included in our consolidated balance sheet.</w:t>
      </w:r>
    </w:p>
    <w:p>
      <w:pPr>
        <w:spacing w:after="0" w:line="113" w:lineRule="exact"/>
        <w:rPr>
          <w:sz w:val="20"/>
          <w:szCs w:val="20"/>
          <w:color w:val="auto"/>
        </w:rPr>
      </w:pPr>
    </w:p>
    <w:p>
      <w:pPr>
        <w:ind w:right="100"/>
        <w:spacing w:after="0" w:line="327" w:lineRule="auto"/>
        <w:rPr>
          <w:sz w:val="20"/>
          <w:szCs w:val="20"/>
          <w:color w:val="auto"/>
        </w:rPr>
      </w:pPr>
      <w:r>
        <w:rPr>
          <w:rFonts w:ascii="Arial" w:cs="Arial" w:eastAsia="Arial" w:hAnsi="Arial"/>
          <w:sz w:val="14"/>
          <w:szCs w:val="14"/>
          <w:color w:val="auto"/>
        </w:rPr>
        <w:t>In connection with the acquisition of Plaza El Segundo on December 30, 2011, we assumed our pro-rata share of an existing mortgage loan with a face amount of $175.0 million and a fair value of approximately $185.6 million. As Plaza El Segundo is a consolidated property, 100% of the mortgage loan is included in our consolidated balance sheet. The mortgage loan requires monthly interest only payments through maturity, bears interest at a weighted average rate of 6.33% and matures on August 5, 2017.</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During 2011, 2010 and 2009, the maximum amount of borrowings outstanding under our revolving credit facility was $265.0 million, $82.0 million and $172.5 million, respectively. The weighted average amount of borrowings outstanding was $163.5 million, $23.4 million and $47.7 million, respectively, and the weighted average interest rate, before amortization of debt fees, was 1.0%, 0.7% and 1.4%, respectively. At December 31, 2011, our $400.0 million revolving credit facility had no amounts outstanding and requires an annual facility fee of $0.8 million. At December 31, 2010, our $300.0 million revolving credit facility had a weighted average interest rate, before amortization of debt fees, of 0.7% and required an annual facility fee of $0.5 million.</w:t>
      </w:r>
    </w:p>
    <w:p>
      <w:pPr>
        <w:spacing w:after="0" w:line="118"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2011, we were in compliance with all loan covenants.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on mortgages payable, notes payable, senior notes and debentures as of December 31, 2011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62"/>
              <w:spacing w:after="0"/>
              <w:rPr>
                <w:sz w:val="20"/>
                <w:szCs w:val="20"/>
                <w:color w:val="auto"/>
              </w:rPr>
            </w:pPr>
            <w:r>
              <w:rPr>
                <w:rFonts w:ascii="Arial" w:cs="Arial" w:eastAsia="Arial" w:hAnsi="Arial"/>
                <w:sz w:val="13"/>
                <w:szCs w:val="13"/>
                <w:b w:val="1"/>
                <w:bCs w:val="1"/>
                <w:color w:val="auto"/>
              </w:rPr>
              <w:t>Mortgages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3"/>
                <w:szCs w:val="13"/>
                <w:b w:val="1"/>
                <w:bCs w:val="1"/>
                <w:color w:val="auto"/>
                <w:w w:val="88"/>
              </w:rPr>
              <w:t>Notes</w:t>
            </w: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Senior Notes and</w:t>
            </w:r>
          </w:p>
        </w:tc>
        <w:tc>
          <w:tcPr>
            <w:tcW w:w="280" w:type="dxa"/>
            <w:vAlign w:val="bottom"/>
          </w:tcPr>
          <w:p>
            <w:pPr>
              <w:spacing w:after="0"/>
              <w:rPr>
                <w:sz w:val="13"/>
                <w:szCs w:val="13"/>
                <w:color w:val="auto"/>
              </w:rPr>
            </w:pPr>
          </w:p>
        </w:tc>
        <w:tc>
          <w:tcPr>
            <w:tcW w:w="1180" w:type="dxa"/>
            <w:vAlign w:val="bottom"/>
          </w:tcPr>
          <w:p>
            <w:pPr>
              <w:jc w:val="right"/>
              <w:ind w:right="502"/>
              <w:spacing w:after="0"/>
              <w:rPr>
                <w:sz w:val="20"/>
                <w:szCs w:val="20"/>
                <w:color w:val="auto"/>
              </w:rPr>
            </w:pPr>
            <w:r>
              <w:rPr>
                <w:rFonts w:ascii="Arial" w:cs="Arial" w:eastAsia="Arial" w:hAnsi="Arial"/>
                <w:sz w:val="13"/>
                <w:szCs w:val="13"/>
                <w:b w:val="1"/>
                <w:bCs w:val="1"/>
                <w:color w:val="auto"/>
              </w:rPr>
              <w:t>Total</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Payable</w:t>
            </w: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3"/>
                <w:szCs w:val="13"/>
                <w:b w:val="1"/>
                <w:bCs w:val="1"/>
                <w:color w:val="auto"/>
                <w:w w:val="89"/>
              </w:rPr>
              <w:t>Payable</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9"/>
              </w:rPr>
              <w:t>Debentures</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Principal</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2012</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18,444</w:t>
            </w:r>
          </w:p>
        </w:tc>
        <w:tc>
          <w:tcPr>
            <w:tcW w:w="92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10,729</w:t>
            </w: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204,173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73,521</w:t>
            </w:r>
          </w:p>
        </w:tc>
        <w:tc>
          <w:tcPr>
            <w:tcW w:w="60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135,000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208,551</w:t>
            </w: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2014</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157,838</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307,838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204,936</w:t>
            </w:r>
          </w:p>
        </w:tc>
        <w:tc>
          <w:tcPr>
            <w:tcW w:w="6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  (1)</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204,936</w:t>
            </w: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2,521</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9,400</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136,921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280,163</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275,000</w:t>
            </w: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419,200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974,363</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737,423</w:t>
            </w:r>
          </w:p>
        </w:tc>
        <w:tc>
          <w:tcPr>
            <w:tcW w:w="6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295,159</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1,004,200</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2,036,782</w:t>
            </w:r>
          </w:p>
        </w:tc>
        <w:tc>
          <w:tcPr>
            <w:tcW w:w="560" w:type="dxa"/>
            <w:vAlign w:val="bottom"/>
          </w:tcPr>
          <w:p>
            <w:pPr>
              <w:jc w:val="right"/>
              <w:ind w:right="138"/>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6"/>
                <w:szCs w:val="16"/>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80" w:right="280" w:hanging="287"/>
        <w:spacing w:after="0" w:line="256"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$400.0 million revolving credit facility matures on July 6, 2015, subject to a one-year extension at our option. As of December 31, 2011, there was $0 drawn under this credit facility.</w:t>
      </w:r>
    </w:p>
    <w:p>
      <w:pPr>
        <w:ind w:left="580" w:right="400" w:hanging="287"/>
        <w:spacing w:after="0" w:line="256"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has the option to call the loan on April 15, 2013 or any time thereafter.</w:t>
      </w:r>
    </w:p>
    <w:p>
      <w:pPr>
        <w:ind w:left="580" w:right="560" w:hanging="287"/>
        <w:spacing w:after="0" w:line="27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discount or premium on certain senior notes, debentures and mortgages payable.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and their present value for property under capital leases as of December 31, 2011,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80"/>
              <w:spacing w:after="0"/>
              <w:rPr>
                <w:sz w:val="20"/>
                <w:szCs w:val="20"/>
                <w:color w:val="auto"/>
              </w:rPr>
            </w:pPr>
            <w:r>
              <w:rPr>
                <w:rFonts w:ascii="Arial" w:cs="Arial" w:eastAsia="Arial" w:hAnsi="Arial"/>
                <w:sz w:val="13"/>
                <w:szCs w:val="13"/>
                <w:b w:val="1"/>
                <w:bCs w:val="1"/>
                <w:color w:val="auto"/>
                <w:w w:val="98"/>
              </w:rPr>
              <w:t>(In thousands)</w:t>
            </w:r>
          </w:p>
        </w:tc>
      </w:tr>
      <w:tr>
        <w:trPr>
          <w:trHeight w:val="231"/>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5,784</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5,787</w:t>
            </w: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2014</w:t>
            </w: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5,788</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5,787</w:t>
            </w: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5,788</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146,207</w:t>
            </w:r>
          </w:p>
        </w:tc>
      </w:tr>
      <w:tr>
        <w:trPr>
          <w:trHeight w:val="212"/>
        </w:trPr>
        <w:tc>
          <w:tcPr>
            <w:tcW w:w="10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175,141</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amount representing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(112,048)</w:t>
            </w:r>
          </w:p>
        </w:tc>
      </w:tr>
      <w:tr>
        <w:trPr>
          <w:trHeight w:val="212"/>
        </w:trPr>
        <w:tc>
          <w:tcPr>
            <w:tcW w:w="10060" w:type="dxa"/>
            <w:vAlign w:val="bottom"/>
          </w:tcPr>
          <w:p>
            <w:pPr>
              <w:ind w:left="20"/>
              <w:spacing w:after="0"/>
              <w:rPr>
                <w:sz w:val="20"/>
                <w:szCs w:val="20"/>
                <w:color w:val="auto"/>
              </w:rPr>
            </w:pPr>
            <w:r>
              <w:rPr>
                <w:rFonts w:ascii="Arial" w:cs="Arial" w:eastAsia="Arial" w:hAnsi="Arial"/>
                <w:sz w:val="16"/>
                <w:szCs w:val="16"/>
                <w:color w:val="auto"/>
              </w:rPr>
              <w:t>Present value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63,093</w:t>
            </w:r>
          </w:p>
        </w:tc>
      </w:tr>
      <w:tr>
        <w:trPr>
          <w:trHeight w:val="26"/>
        </w:trPr>
        <w:tc>
          <w:tcPr>
            <w:tcW w:w="10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8—FAIR VALUE OF FINANCIAL INSTRUMENTS</w:t>
      </w:r>
    </w:p>
    <w:p>
      <w:pPr>
        <w:spacing w:after="0" w:line="90"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A fair value measurement is based on the assumptions that market participants would use in pricing an asset or liability in an orderly transaction. The hierarchy for inputs used in measuring fair value are as follows:</w:t>
      </w:r>
    </w:p>
    <w:p>
      <w:pPr>
        <w:spacing w:after="0" w:line="100" w:lineRule="exact"/>
        <w:rPr>
          <w:sz w:val="20"/>
          <w:szCs w:val="20"/>
          <w:color w:val="auto"/>
        </w:rPr>
      </w:pPr>
    </w:p>
    <w:p>
      <w:pPr>
        <w:ind w:left="520" w:hanging="497"/>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1 Inputs—quoted prices in active markets for identical assets or liabilities</w:t>
      </w:r>
    </w:p>
    <w:p>
      <w:pPr>
        <w:spacing w:after="0" w:line="184" w:lineRule="exact"/>
        <w:rPr>
          <w:rFonts w:ascii="Arial" w:cs="Arial" w:eastAsia="Arial" w:hAnsi="Arial"/>
          <w:sz w:val="16"/>
          <w:szCs w:val="16"/>
          <w:color w:val="auto"/>
        </w:rPr>
      </w:pPr>
    </w:p>
    <w:p>
      <w:pPr>
        <w:ind w:left="520" w:hanging="497"/>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2 Inputs—observable inputs other than quoted prices in active markets for identical assets and liabilities</w:t>
      </w:r>
    </w:p>
    <w:p>
      <w:pPr>
        <w:spacing w:after="0" w:line="184" w:lineRule="exact"/>
        <w:rPr>
          <w:rFonts w:ascii="Arial" w:cs="Arial" w:eastAsia="Arial" w:hAnsi="Arial"/>
          <w:sz w:val="16"/>
          <w:szCs w:val="16"/>
          <w:color w:val="auto"/>
        </w:rPr>
      </w:pPr>
    </w:p>
    <w:p>
      <w:pPr>
        <w:ind w:left="520" w:right="3940" w:hanging="497"/>
        <w:spacing w:after="0" w:line="287" w:lineRule="auto"/>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3 Inputs—prices or valuation techniques that require inputs that are both significant to the fair value measurement and unobservable</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94" w:lineRule="exact"/>
        <w:rPr>
          <w:sz w:val="20"/>
          <w:szCs w:val="20"/>
          <w:color w:val="auto"/>
        </w:rPr>
      </w:pPr>
    </w:p>
    <w:p>
      <w:pPr>
        <w:jc w:val="both"/>
        <w:ind w:right="140"/>
        <w:spacing w:after="0" w:line="297" w:lineRule="auto"/>
        <w:rPr>
          <w:sz w:val="20"/>
          <w:szCs w:val="20"/>
          <w:color w:val="auto"/>
        </w:rPr>
      </w:pPr>
      <w:r>
        <w:rPr>
          <w:rFonts w:ascii="Arial" w:cs="Arial" w:eastAsia="Arial" w:hAnsi="Arial"/>
          <w:sz w:val="15"/>
          <w:szCs w:val="15"/>
          <w:color w:val="auto"/>
        </w:rPr>
        <w:t>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4"/>
          </w:tcPr>
          <w:p>
            <w:pPr>
              <w:ind w:left="660"/>
              <w:spacing w:after="0"/>
              <w:rPr>
                <w:sz w:val="20"/>
                <w:szCs w:val="20"/>
                <w:color w:val="auto"/>
              </w:rPr>
            </w:pPr>
            <w:r>
              <w:rPr>
                <w:rFonts w:ascii="Arial" w:cs="Arial" w:eastAsia="Arial" w:hAnsi="Arial"/>
                <w:sz w:val="13"/>
                <w:szCs w:val="13"/>
                <w:b w:val="1"/>
                <w:bCs w:val="1"/>
                <w:color w:val="auto"/>
              </w:rPr>
              <w:t>December 31, 2011</w:t>
            </w:r>
          </w:p>
        </w:tc>
        <w:tc>
          <w:tcPr>
            <w:tcW w:w="380" w:type="dxa"/>
            <w:vAlign w:val="bottom"/>
          </w:tcPr>
          <w:p>
            <w:pPr>
              <w:spacing w:after="0"/>
              <w:rPr>
                <w:sz w:val="15"/>
                <w:szCs w:val="15"/>
                <w:color w:val="auto"/>
              </w:rPr>
            </w:pPr>
          </w:p>
        </w:tc>
        <w:tc>
          <w:tcPr>
            <w:tcW w:w="2440" w:type="dxa"/>
            <w:vAlign w:val="bottom"/>
            <w:gridSpan w:val="3"/>
          </w:tcPr>
          <w:p>
            <w:pPr>
              <w:jc w:val="right"/>
              <w:ind w:right="784"/>
              <w:spacing w:after="0"/>
              <w:rPr>
                <w:sz w:val="20"/>
                <w:szCs w:val="20"/>
                <w:color w:val="auto"/>
              </w:rPr>
            </w:pPr>
            <w:r>
              <w:rPr>
                <w:rFonts w:ascii="Arial" w:cs="Arial" w:eastAsia="Arial" w:hAnsi="Arial"/>
                <w:sz w:val="13"/>
                <w:szCs w:val="13"/>
                <w:b w:val="1"/>
                <w:bCs w:val="1"/>
                <w:color w:val="auto"/>
              </w:rPr>
              <w:t>December 31, 2010</w:t>
            </w:r>
          </w:p>
        </w:tc>
      </w:tr>
      <w:tr>
        <w:trPr>
          <w:trHeight w:val="137"/>
        </w:trPr>
        <w:tc>
          <w:tcPr>
            <w:tcW w:w="56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88"/>
              <w:spacing w:after="0" w:line="138" w:lineRule="exact"/>
              <w:rPr>
                <w:sz w:val="20"/>
                <w:szCs w:val="20"/>
                <w:color w:val="auto"/>
              </w:rPr>
            </w:pPr>
            <w:r>
              <w:rPr>
                <w:rFonts w:ascii="Arial" w:cs="Arial" w:eastAsia="Arial" w:hAnsi="Arial"/>
                <w:sz w:val="13"/>
                <w:szCs w:val="13"/>
                <w:b w:val="1"/>
                <w:bCs w:val="1"/>
                <w:color w:val="auto"/>
              </w:rPr>
              <w:t>Carrying</w:t>
            </w: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48"/>
              <w:spacing w:after="0" w:line="138" w:lineRule="exact"/>
              <w:rPr>
                <w:sz w:val="20"/>
                <w:szCs w:val="20"/>
                <w:color w:val="auto"/>
              </w:rPr>
            </w:pPr>
            <w:r>
              <w:rPr>
                <w:rFonts w:ascii="Arial" w:cs="Arial" w:eastAsia="Arial" w:hAnsi="Arial"/>
                <w:sz w:val="13"/>
                <w:szCs w:val="13"/>
                <w:b w:val="1"/>
                <w:bCs w:val="1"/>
                <w:color w:val="auto"/>
              </w:rPr>
              <w:t>Carrying</w:t>
            </w:r>
          </w:p>
        </w:tc>
        <w:tc>
          <w:tcPr>
            <w:tcW w:w="3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174"/>
        </w:trPr>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Value</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Fair Value</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Value</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Fair Value</w:t>
            </w:r>
          </w:p>
        </w:tc>
      </w:tr>
      <w:tr>
        <w:trPr>
          <w:trHeight w:val="176"/>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Mortgages and notes payable</w:t>
            </w: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6"/>
                <w:szCs w:val="16"/>
                <w:color w:val="auto"/>
              </w:rPr>
              <w:t>1,042,682</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1,099,273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627,382</w:t>
            </w:r>
          </w:p>
        </w:tc>
        <w:tc>
          <w:tcPr>
            <w:tcW w:w="3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685,552</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Senior notes and debentures</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8"/>
              <w:spacing w:after="0"/>
              <w:rPr>
                <w:sz w:val="20"/>
                <w:szCs w:val="20"/>
                <w:color w:val="auto"/>
              </w:rPr>
            </w:pPr>
            <w:r>
              <w:rPr>
                <w:rFonts w:ascii="Arial" w:cs="Arial" w:eastAsia="Arial" w:hAnsi="Arial"/>
                <w:sz w:val="16"/>
                <w:szCs w:val="16"/>
                <w:color w:val="auto"/>
              </w:rPr>
              <w:t>1,004,635</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
              <w:spacing w:after="0"/>
              <w:rPr>
                <w:sz w:val="20"/>
                <w:szCs w:val="20"/>
                <w:color w:val="auto"/>
              </w:rPr>
            </w:pPr>
            <w:r>
              <w:rPr>
                <w:rFonts w:ascii="Arial" w:cs="Arial" w:eastAsia="Arial" w:hAnsi="Arial"/>
                <w:sz w:val="16"/>
                <w:szCs w:val="16"/>
                <w:color w:val="auto"/>
              </w:rPr>
              <w:t>1,085,309</w:t>
            </w:r>
          </w:p>
        </w:tc>
        <w:tc>
          <w:tcPr>
            <w:tcW w:w="12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8"/>
              <w:spacing w:after="0"/>
              <w:rPr>
                <w:sz w:val="20"/>
                <w:szCs w:val="20"/>
                <w:color w:val="auto"/>
              </w:rPr>
            </w:pPr>
            <w:r>
              <w:rPr>
                <w:rFonts w:ascii="Arial" w:cs="Arial" w:eastAsia="Arial" w:hAnsi="Arial"/>
                <w:sz w:val="16"/>
                <w:szCs w:val="16"/>
                <w:color w:val="auto"/>
              </w:rPr>
              <w:t>1,079,827</w:t>
            </w:r>
          </w:p>
        </w:tc>
        <w:tc>
          <w:tcPr>
            <w:tcW w:w="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1,168,679</w:t>
            </w:r>
          </w:p>
        </w:tc>
      </w:tr>
    </w:tbl>
    <w:p>
      <w:pPr>
        <w:spacing w:after="0" w:line="28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of December 31, 2011, we have two interest rate swap agreements with a notional amount of $275.0 million that are measured at fair value on a recurring basis. The fair values of the interest rate swap agreements are based on the estimated amounts we would receive or pay to terminate the contracts at the reporting date and are determined using interest rate pricing models and observable inputs. The fair value of our swaps at December 31, 2011 was a liability of $3.9 million and is included in "accounts payable and accrued expenses" on our consolidated balance sheet. The change in valuation on our interest rate swaps was $3.9 million for the year ended December 31, 2011 and is included in "accumulated other comprehensive loss". A summary of our financial liabilities that are measured at fair value on a recurring basis, by level within the fair value hierarchy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580"/>
              <w:spacing w:after="0"/>
              <w:rPr>
                <w:sz w:val="20"/>
                <w:szCs w:val="20"/>
                <w:color w:val="auto"/>
              </w:rPr>
            </w:pPr>
            <w:r>
              <w:rPr>
                <w:rFonts w:ascii="Arial" w:cs="Arial" w:eastAsia="Arial" w:hAnsi="Arial"/>
                <w:sz w:val="13"/>
                <w:szCs w:val="13"/>
                <w:b w:val="1"/>
                <w:bCs w:val="1"/>
                <w:color w:val="auto"/>
                <w:w w:val="88"/>
              </w:rPr>
              <w:t>December 31, 2011</w:t>
            </w: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38"/>
        </w:trPr>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Level 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Level 2</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Level 3</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Total</w:t>
            </w:r>
          </w:p>
        </w:tc>
      </w:tr>
      <w:tr>
        <w:trPr>
          <w:trHeight w:val="226"/>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2"/>
          </w:tcPr>
          <w:p>
            <w:pPr>
              <w:ind w:left="700"/>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3,940</w:t>
            </w:r>
          </w:p>
        </w:tc>
        <w:tc>
          <w:tcPr>
            <w:tcW w:w="5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3,940</w:t>
            </w:r>
          </w:p>
        </w:tc>
      </w:tr>
      <w:tr>
        <w:trPr>
          <w:trHeight w:val="26"/>
        </w:trPr>
        <w:tc>
          <w:tcPr>
            <w:tcW w:w="5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9—COMMITMENTS AND CONTINGENCIES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0"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9"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0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information regarding the appeal, we lowered our accrual to $16.4 million in the fourth quarter 2009, which reflected our best estimate of the litigation liability. Oral arguments on the appeal were heard in December 2010. A final ruling on the appeal was issued in February 2011 which rejected both appeals and consequently, affirmed the final judgment against us. Therefore, in December 2010, we adjusted our accrual to $16.2 million which reflects the amount we paid in first quarter 2011.</w:t>
      </w:r>
    </w:p>
    <w:p>
      <w:pPr>
        <w:spacing w:after="0" w:line="96" w:lineRule="exact"/>
        <w:rPr>
          <w:sz w:val="20"/>
          <w:szCs w:val="20"/>
          <w:color w:val="auto"/>
        </w:rPr>
      </w:pPr>
    </w:p>
    <w:p>
      <w:pPr>
        <w:jc w:val="both"/>
        <w:ind w:right="260"/>
        <w:spacing w:after="0" w:line="327" w:lineRule="auto"/>
        <w:rPr>
          <w:sz w:val="20"/>
          <w:szCs w:val="20"/>
          <w:color w:val="auto"/>
        </w:rPr>
      </w:pPr>
      <w:r>
        <w:rPr>
          <w:rFonts w:ascii="Arial" w:cs="Arial" w:eastAsia="Arial" w:hAnsi="Arial"/>
          <w:sz w:val="14"/>
          <w:szCs w:val="14"/>
          <w:color w:val="auto"/>
        </w:rPr>
        <w:t>The net change in our accrual in 2010 and 2009 is included in “litigation provision” in our consolidated statements of operations. The litigation accrual of $16.2 million at December 31, 2010 is included in the “accounts payable and accrued expenses” line item in our consolidated balance sheet. During 2010 and 2009, we incurred additional legal and other costs related to this lawsuit and appeal process which are also included in the “litigation provision” line item in the consolidated statements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1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related to defective work done by third party contractors while upgrades were made to certain units being prepared for sale. Due to the inherent uncertainty related to the recovery from insurance or the contractors, these amounts did not reflect any potential recoveries from insurance or the contractors responsible for the defective work. In 2009, we entered into a settlement agreement with the insurance provider and recovered approximately $0.9 million. In 2010, we reached a settlement with the contractors responsible for performing the defective work for approximately $1.0 million. The settlements are included in “Discontinued operations—gain on sale of real estate” in 2009 and 2010.</w:t>
      </w:r>
    </w:p>
    <w:p>
      <w:pPr>
        <w:spacing w:after="0" w:line="12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18" w:lineRule="exact"/>
        <w:rPr>
          <w:sz w:val="20"/>
          <w:szCs w:val="20"/>
          <w:color w:val="auto"/>
        </w:rPr>
      </w:pPr>
    </w:p>
    <w:p>
      <w:pPr>
        <w:spacing w:after="0" w:line="316" w:lineRule="auto"/>
        <w:rPr>
          <w:sz w:val="20"/>
          <w:szCs w:val="20"/>
          <w:color w:val="auto"/>
        </w:rPr>
      </w:pPr>
      <w:r>
        <w:rPr>
          <w:rFonts w:ascii="Arial" w:cs="Arial" w:eastAsia="Arial" w:hAnsi="Arial"/>
          <w:sz w:val="14"/>
          <w:szCs w:val="14"/>
          <w:color w:val="auto"/>
        </w:rPr>
        <w:t>At December 31, 2011 and 2010, our reserves for warranties and general liability costs were $7.1 million and $7.2 million, respectively, and are included in “accounts payable and accrued expenses” in our consolidated balance sheets. Any potential losses which exceed our estimates would result in a decrease in our net income. During 2011 and 2010, we made payments from these reserves of $0.9 million and $1.3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2011, we had letters of credit outstanding of approximately $15.9 million which are collateral for existing indebtedness and other obligations of the Trust.</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As of December 31, 2011 in connection with capital improvement, development, and redevelopment projects, the Trust has contractual obligations of approximately $44.5 million.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80"/>
              <w:spacing w:after="0"/>
              <w:rPr>
                <w:sz w:val="20"/>
                <w:szCs w:val="20"/>
                <w:color w:val="auto"/>
              </w:rPr>
            </w:pPr>
            <w:r>
              <w:rPr>
                <w:rFonts w:ascii="Arial" w:cs="Arial" w:eastAsia="Arial" w:hAnsi="Arial"/>
                <w:sz w:val="13"/>
                <w:szCs w:val="13"/>
                <w:b w:val="1"/>
                <w:bCs w:val="1"/>
                <w:color w:val="auto"/>
                <w:w w:val="98"/>
              </w:rPr>
              <w:t>(In thousands)</w:t>
            </w:r>
          </w:p>
        </w:tc>
      </w:tr>
      <w:tr>
        <w:trPr>
          <w:trHeight w:val="231"/>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1,612</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1,620</w:t>
            </w: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2014</w:t>
            </w: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1,609</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1,559</w:t>
            </w:r>
          </w:p>
        </w:tc>
      </w:tr>
      <w:tr>
        <w:trPr>
          <w:trHeight w:val="220"/>
        </w:trPr>
        <w:tc>
          <w:tcPr>
            <w:tcW w:w="10060" w:type="dxa"/>
            <w:vAlign w:val="bottom"/>
          </w:tcPr>
          <w:p>
            <w:pPr>
              <w:ind w:left="2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1,504</w:t>
            </w:r>
          </w:p>
        </w:tc>
      </w:tr>
      <w:tr>
        <w:trPr>
          <w:trHeight w:val="26"/>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51,843</w:t>
            </w:r>
          </w:p>
        </w:tc>
      </w:tr>
      <w:tr>
        <w:trPr>
          <w:trHeight w:val="212"/>
        </w:trPr>
        <w:tc>
          <w:tcPr>
            <w:tcW w:w="100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59,747</w:t>
            </w:r>
          </w:p>
        </w:tc>
      </w:tr>
      <w:tr>
        <w:trPr>
          <w:trHeight w:val="26"/>
        </w:trPr>
        <w:tc>
          <w:tcPr>
            <w:tcW w:w="10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0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2011, our estimated maximum liability upon exercise of the put option would range from approximately $54 million to $64 million.</w:t>
      </w:r>
    </w:p>
    <w:p>
      <w:pPr>
        <w:spacing w:after="0" w:line="11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11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 master lease for Melville Mall includes a fixed purchase price option in 2021 for $5 million and the assumption of the owner’s debt which is $22.3 million at December 31, 2011. If we fail to exercise our purchase option, the owner of Melville Mall has a put option which would require us to purchase Melville Mall in 2023 for $5 million and the assumption of the owner’s mortgage debt.</w:t>
      </w:r>
    </w:p>
    <w:p>
      <w:pPr>
        <w:spacing w:after="0" w:line="113"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w:t>
      </w:r>
    </w:p>
    <w:p>
      <w:pPr>
        <w:spacing w:after="0" w:line="113" w:lineRule="exact"/>
        <w:rPr>
          <w:sz w:val="20"/>
          <w:szCs w:val="20"/>
          <w:color w:val="auto"/>
        </w:rPr>
      </w:pPr>
    </w:p>
    <w:p>
      <w:pPr>
        <w:ind w:right="300"/>
        <w:spacing w:after="0" w:line="289" w:lineRule="auto"/>
        <w:rPr>
          <w:sz w:val="20"/>
          <w:szCs w:val="20"/>
          <w:color w:val="auto"/>
        </w:rPr>
      </w:pPr>
      <w:r>
        <w:rPr>
          <w:rFonts w:ascii="Arial" w:cs="Arial" w:eastAsia="Arial" w:hAnsi="Arial"/>
          <w:sz w:val="15"/>
          <w:szCs w:val="15"/>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102"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Under the terms of certain partnership agreements, the partners have the right to exchange their operating partnership units for cash or the same number of our common shares, at our option. A total of 360,314 operating partnership units are outstanding which have a total fair value of $32.7 million, based on our closing stock price on December 31, 2011.</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10—SHAREHOLDERS’ EQUITY</w:t>
      </w:r>
    </w:p>
    <w:p>
      <w:pPr>
        <w:spacing w:after="0" w:line="9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a Dividend Reinvestment Plan (the “Plan”), whereby shareholders may use their dividends and optional cash payments to purchase shares. In 2011, 2010 and 2009, 28,823 shares, 34,401 shares and 50,888 shares, respectively, were issued under the Plan.</w:t>
      </w:r>
    </w:p>
    <w:p>
      <w:pPr>
        <w:spacing w:after="0" w:line="10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of December 31, 2011, 2010, and 2009, we had 399,896 shares of 5.417% Series 1 Cumulative Convertible Preferred Shares (“Series 1 Preferred Shares”) outstanding that have a liquidation preference of $25 per share and</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20" w:lineRule="exact"/>
        <w:rPr>
          <w:sz w:val="20"/>
          <w:szCs w:val="20"/>
          <w:color w:val="auto"/>
        </w:rPr>
      </w:pPr>
    </w:p>
    <w:p>
      <w:pPr>
        <w:ind w:right="40"/>
        <w:spacing w:after="0" w:line="316" w:lineRule="auto"/>
        <w:rPr>
          <w:sz w:val="20"/>
          <w:szCs w:val="20"/>
          <w:color w:val="auto"/>
        </w:rPr>
      </w:pPr>
      <w:r>
        <w:rPr>
          <w:rFonts w:ascii="Arial" w:cs="Arial" w:eastAsia="Arial" w:hAnsi="Arial"/>
          <w:sz w:val="14"/>
          <w:szCs w:val="14"/>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year ended December 31, 2011, we issued 1,662,038 common shares at a weighted average price per share of $85.26 for net cash proceeds of $139.3 million and paid $2.1 million in commissions related to the sales of these common shares.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11—DIVIDENDS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dividends declared and paid per share: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96"/>
              </w:rPr>
              <w:t>2011</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89"/>
              </w:rPr>
              <w:t>2009</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8"/>
              </w:rPr>
              <w:t>Declared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3"/>
                <w:szCs w:val="13"/>
                <w:b w:val="1"/>
                <w:bCs w:val="1"/>
                <w:color w:val="auto"/>
              </w:rPr>
              <w:t>Paid</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Declared</w:t>
            </w:r>
          </w:p>
        </w:tc>
        <w:tc>
          <w:tcPr>
            <w:tcW w:w="12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Paid</w:t>
            </w:r>
          </w:p>
        </w:tc>
        <w:tc>
          <w:tcPr>
            <w:tcW w:w="88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3"/>
                <w:szCs w:val="13"/>
                <w:b w:val="1"/>
                <w:bCs w:val="1"/>
                <w:color w:val="auto"/>
              </w:rPr>
              <w:t>Declared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20"/>
                <w:szCs w:val="20"/>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2.700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2.660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2.650</w:t>
            </w:r>
          </w:p>
        </w:tc>
        <w:tc>
          <w:tcPr>
            <w:tcW w:w="4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4"/>
              </w:rPr>
              <w:t>2.620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2.610</w:t>
            </w:r>
          </w:p>
        </w:tc>
        <w:tc>
          <w:tcPr>
            <w:tcW w:w="20" w:type="dxa"/>
            <w:vAlign w:val="bottom"/>
          </w:tcPr>
          <w:p>
            <w:pPr>
              <w:spacing w:after="0"/>
              <w:rPr>
                <w:sz w:val="19"/>
                <w:szCs w:val="19"/>
                <w:color w:val="auto"/>
              </w:rPr>
            </w:pPr>
          </w:p>
        </w:tc>
      </w:tr>
      <w:tr>
        <w:trPr>
          <w:trHeight w:val="220"/>
        </w:trPr>
        <w:tc>
          <w:tcPr>
            <w:tcW w:w="5360" w:type="dxa"/>
            <w:vAlign w:val="bottom"/>
          </w:tcPr>
          <w:p>
            <w:pPr>
              <w:ind w:left="20"/>
              <w:spacing w:after="0"/>
              <w:rPr>
                <w:sz w:val="20"/>
                <w:szCs w:val="20"/>
                <w:color w:val="auto"/>
              </w:rPr>
            </w:pPr>
            <w:r>
              <w:rPr>
                <w:rFonts w:ascii="Arial" w:cs="Arial" w:eastAsia="Arial" w:hAnsi="Arial"/>
                <w:sz w:val="16"/>
                <w:szCs w:val="16"/>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1.354</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8"/>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78"/>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86"/>
              <w:spacing w:after="0"/>
              <w:rPr>
                <w:sz w:val="20"/>
                <w:szCs w:val="20"/>
                <w:color w:val="auto"/>
              </w:rPr>
            </w:pPr>
            <w:r>
              <w:rPr>
                <w:rFonts w:ascii="Arial" w:cs="Arial" w:eastAsia="Arial" w:hAnsi="Arial"/>
                <w:sz w:val="16"/>
                <w:szCs w:val="16"/>
                <w:color w:val="auto"/>
              </w:rPr>
              <w:t>1.354</w:t>
            </w:r>
          </w:p>
        </w:tc>
        <w:tc>
          <w:tcPr>
            <w:tcW w:w="4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94"/>
              </w:rPr>
              <w:t>1.354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1.354</w:t>
            </w:r>
          </w:p>
        </w:tc>
        <w:tc>
          <w:tcPr>
            <w:tcW w:w="20" w:type="dxa"/>
            <w:vAlign w:val="bottom"/>
          </w:tcPr>
          <w:p>
            <w:pPr>
              <w:spacing w:after="0"/>
              <w:rPr>
                <w:sz w:val="19"/>
                <w:szCs w:val="19"/>
                <w:color w:val="auto"/>
              </w:rPr>
            </w:pPr>
          </w:p>
        </w:tc>
      </w:tr>
      <w:tr>
        <w:trPr>
          <w:trHeight w:val="368"/>
        </w:trPr>
        <w:tc>
          <w:tcPr>
            <w:tcW w:w="5360" w:type="dxa"/>
            <w:vAlign w:val="bottom"/>
          </w:tcPr>
          <w:p>
            <w:pPr>
              <w:spacing w:after="0"/>
              <w:rPr>
                <w:sz w:val="20"/>
                <w:szCs w:val="20"/>
                <w:color w:val="auto"/>
              </w:rPr>
            </w:pPr>
            <w:r>
              <w:rPr>
                <w:rFonts w:ascii="Arial" w:cs="Arial" w:eastAsia="Arial" w:hAnsi="Arial"/>
                <w:sz w:val="16"/>
                <w:szCs w:val="16"/>
                <w:color w:val="auto"/>
                <w:w w:val="97"/>
              </w:rPr>
              <w:t>A summary of the income tax status of dividends per share paid is as follows: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238"/>
              <w:spacing w:after="0"/>
              <w:rPr>
                <w:sz w:val="20"/>
                <w:szCs w:val="20"/>
                <w:color w:val="auto"/>
              </w:rPr>
            </w:pPr>
            <w:r>
              <w:rPr>
                <w:rFonts w:ascii="Arial" w:cs="Arial" w:eastAsia="Arial" w:hAnsi="Arial"/>
                <w:sz w:val="13"/>
                <w:szCs w:val="13"/>
                <w:b w:val="1"/>
                <w:bCs w:val="1"/>
                <w:color w:val="auto"/>
                <w:w w:val="92"/>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w w:val="82"/>
              </w:rPr>
              <w:t>2009</w:t>
            </w:r>
          </w:p>
        </w:tc>
        <w:tc>
          <w:tcPr>
            <w:tcW w:w="20" w:type="dxa"/>
            <w:vAlign w:val="bottom"/>
            <w:tcBorders>
              <w:bottom w:val="single" w:sz="8" w:color="auto"/>
            </w:tcBorders>
          </w:tcPr>
          <w:p>
            <w:pPr>
              <w:spacing w:after="0"/>
              <w:rPr>
                <w:sz w:val="20"/>
                <w:szCs w:val="20"/>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20"/>
        </w:trPr>
        <w:tc>
          <w:tcPr>
            <w:tcW w:w="5360" w:type="dxa"/>
            <w:vAlign w:val="bottom"/>
          </w:tcPr>
          <w:p>
            <w:pPr>
              <w:ind w:left="340"/>
              <w:spacing w:after="0"/>
              <w:rPr>
                <w:sz w:val="20"/>
                <w:szCs w:val="20"/>
                <w:color w:val="auto"/>
              </w:rPr>
            </w:pPr>
            <w:r>
              <w:rPr>
                <w:rFonts w:ascii="Arial" w:cs="Arial" w:eastAsia="Arial" w:hAnsi="Arial"/>
                <w:sz w:val="16"/>
                <w:szCs w:val="16"/>
                <w:color w:val="auto"/>
              </w:rPr>
              <w:t>Ordinary dividend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2.519</w:t>
            </w:r>
          </w:p>
        </w:tc>
        <w:tc>
          <w:tcPr>
            <w:tcW w:w="440" w:type="dxa"/>
            <w:vAlign w:val="bottom"/>
            <w:gridSpan w:val="3"/>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2.377</w:t>
            </w:r>
          </w:p>
        </w:tc>
        <w:tc>
          <w:tcPr>
            <w:tcW w:w="20" w:type="dxa"/>
            <w:vAlign w:val="bottom"/>
          </w:tcPr>
          <w:p>
            <w:pPr>
              <w:spacing w:after="0"/>
              <w:rPr>
                <w:sz w:val="19"/>
                <w:szCs w:val="19"/>
                <w:color w:val="auto"/>
              </w:rPr>
            </w:pPr>
          </w:p>
        </w:tc>
      </w:tr>
      <w:tr>
        <w:trPr>
          <w:trHeight w:val="26"/>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6"/>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Ordinary dividend eligible for 15% rate</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0.025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0.024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0"/>
        </w:trPr>
        <w:tc>
          <w:tcPr>
            <w:tcW w:w="5360" w:type="dxa"/>
            <w:vAlign w:val="bottom"/>
          </w:tcPr>
          <w:p>
            <w:pPr>
              <w:ind w:left="340"/>
              <w:spacing w:after="0"/>
              <w:rPr>
                <w:sz w:val="20"/>
                <w:szCs w:val="20"/>
                <w:color w:val="auto"/>
              </w:rPr>
            </w:pPr>
            <w:r>
              <w:rPr>
                <w:rFonts w:ascii="Arial" w:cs="Arial" w:eastAsia="Arial" w:hAnsi="Arial"/>
                <w:sz w:val="16"/>
                <w:szCs w:val="16"/>
                <w:color w:val="auto"/>
              </w:rPr>
              <w:t>Return of capital</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0.106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0.183</w:t>
            </w:r>
          </w:p>
        </w:tc>
        <w:tc>
          <w:tcPr>
            <w:tcW w:w="20" w:type="dxa"/>
            <w:vAlign w:val="bottom"/>
          </w:tcPr>
          <w:p>
            <w:pPr>
              <w:spacing w:after="0"/>
              <w:rPr>
                <w:sz w:val="19"/>
                <w:szCs w:val="19"/>
                <w:color w:val="auto"/>
              </w:rPr>
            </w:pPr>
          </w:p>
        </w:tc>
      </w:tr>
      <w:tr>
        <w:trPr>
          <w:trHeight w:val="26"/>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Capital gain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0.026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2.650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2.610</w:t>
            </w:r>
          </w:p>
        </w:tc>
        <w:tc>
          <w:tcPr>
            <w:tcW w:w="20" w:type="dxa"/>
            <w:vAlign w:val="bottom"/>
            <w:tcBorders>
              <w:top w:val="single" w:sz="8" w:color="auto"/>
            </w:tcBorders>
          </w:tcPr>
          <w:p>
            <w:pPr>
              <w:spacing w:after="0"/>
              <w:rPr>
                <w:sz w:val="18"/>
                <w:szCs w:val="18"/>
                <w:color w:val="auto"/>
              </w:rPr>
            </w:pPr>
          </w:p>
        </w:tc>
      </w:tr>
      <w:tr>
        <w:trPr>
          <w:trHeight w:val="66"/>
        </w:trPr>
        <w:tc>
          <w:tcPr>
            <w:tcW w:w="53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02"/>
        </w:trPr>
        <w:tc>
          <w:tcPr>
            <w:tcW w:w="536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5.417% Series 1 Cumulative Convertible Preferred shares</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20"/>
        </w:trPr>
        <w:tc>
          <w:tcPr>
            <w:tcW w:w="5360" w:type="dxa"/>
            <w:vAlign w:val="bottom"/>
          </w:tcPr>
          <w:p>
            <w:pPr>
              <w:ind w:left="340"/>
              <w:spacing w:after="0"/>
              <w:rPr>
                <w:sz w:val="20"/>
                <w:szCs w:val="20"/>
                <w:color w:val="auto"/>
              </w:rPr>
            </w:pPr>
            <w:r>
              <w:rPr>
                <w:rFonts w:ascii="Arial" w:cs="Arial" w:eastAsia="Arial" w:hAnsi="Arial"/>
                <w:sz w:val="16"/>
                <w:szCs w:val="16"/>
                <w:color w:val="auto"/>
              </w:rPr>
              <w:t>Ordinary dividend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1.341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1.246</w:t>
            </w:r>
          </w:p>
        </w:tc>
        <w:tc>
          <w:tcPr>
            <w:tcW w:w="20" w:type="dxa"/>
            <w:vAlign w:val="bottom"/>
          </w:tcPr>
          <w:p>
            <w:pPr>
              <w:spacing w:after="0"/>
              <w:rPr>
                <w:sz w:val="19"/>
                <w:szCs w:val="19"/>
                <w:color w:val="auto"/>
              </w:rPr>
            </w:pPr>
          </w:p>
        </w:tc>
      </w:tr>
      <w:tr>
        <w:trPr>
          <w:trHeight w:val="26"/>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6"/>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Ordinary dividend eligible for 15% rate</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0.013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0.095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0"/>
        </w:trPr>
        <w:tc>
          <w:tcPr>
            <w:tcW w:w="5360" w:type="dxa"/>
            <w:vAlign w:val="bottom"/>
          </w:tcPr>
          <w:p>
            <w:pPr>
              <w:ind w:left="340"/>
              <w:spacing w:after="0"/>
              <w:rPr>
                <w:sz w:val="20"/>
                <w:szCs w:val="20"/>
                <w:color w:val="auto"/>
              </w:rPr>
            </w:pPr>
            <w:r>
              <w:rPr>
                <w:rFonts w:ascii="Arial" w:cs="Arial" w:eastAsia="Arial" w:hAnsi="Arial"/>
                <w:sz w:val="16"/>
                <w:szCs w:val="16"/>
                <w:color w:val="auto"/>
              </w:rPr>
              <w:t>Capital gain</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0.013</w:t>
            </w:r>
          </w:p>
        </w:tc>
        <w:tc>
          <w:tcPr>
            <w:tcW w:w="20" w:type="dxa"/>
            <w:vAlign w:val="bottom"/>
          </w:tcPr>
          <w:p>
            <w:pPr>
              <w:spacing w:after="0"/>
              <w:rPr>
                <w:sz w:val="19"/>
                <w:szCs w:val="19"/>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1.354</w:t>
            </w:r>
          </w:p>
        </w:tc>
        <w:tc>
          <w:tcPr>
            <w:tcW w:w="440" w:type="dxa"/>
            <w:vAlign w:val="bottom"/>
            <w:tcBorders>
              <w:bottom w:val="single" w:sz="8" w:color="CCEEFF"/>
            </w:tcBorders>
            <w:gridSpan w:val="3"/>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1.354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On November 2, 2011, the Trustees declared a quarterly cash dividend of $0.69 per common share, payable January 17, 2012 to common shareholders of record on January 3, 2012.</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12—OPERATING LEASES</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At December 31, 2011, our 87 predominantly retail shopping center and mixed-use properties are located in 13 states and the District of Columbia. There are approximately 2,500 leases with tenants providing a wide range of retail products and services. These tenants range from sole proprietorships to national retailers; no one tenant or corporate group of tenants accounts for more than 2.5% of annualized base rent.</w:t>
      </w:r>
    </w:p>
    <w:p>
      <w:pPr>
        <w:spacing w:after="0" w:line="113"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one year or less.</w:t>
      </w:r>
    </w:p>
    <w:p>
      <w:pPr>
        <w:spacing w:after="0" w:line="11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As of December 31, 2011, minimum future commercial property rentals from noncancelable operating leases, before any reserve for uncollectible amounts and assuming no early lease terminations, at our operating properties are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7" w:right="239" w:bottom="1440" w:gutter="0" w:footer="0" w:header="0"/>
        </w:sectPr>
      </w:pPr>
    </w:p>
    <w:bookmarkStart w:id="80" w:name="page81"/>
    <w:bookmarkEnd w:id="80"/>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80"/>
              <w:spacing w:after="0"/>
              <w:rPr>
                <w:sz w:val="20"/>
                <w:szCs w:val="20"/>
                <w:color w:val="auto"/>
              </w:rPr>
            </w:pPr>
            <w:r>
              <w:rPr>
                <w:rFonts w:ascii="Arial" w:cs="Arial" w:eastAsia="Arial" w:hAnsi="Arial"/>
                <w:sz w:val="13"/>
                <w:szCs w:val="13"/>
                <w:b w:val="1"/>
                <w:bCs w:val="1"/>
                <w:color w:val="auto"/>
                <w:w w:val="98"/>
              </w:rPr>
              <w:t>(In thousands)</w:t>
            </w:r>
          </w:p>
        </w:tc>
        <w:tc>
          <w:tcPr>
            <w:tcW w:w="0" w:type="dxa"/>
            <w:vAlign w:val="bottom"/>
          </w:tcPr>
          <w:p>
            <w:pPr>
              <w:spacing w:after="0"/>
              <w:rPr>
                <w:sz w:val="1"/>
                <w:szCs w:val="1"/>
                <w:color w:val="auto"/>
              </w:rPr>
            </w:pPr>
          </w:p>
        </w:tc>
      </w:tr>
      <w:tr>
        <w:trPr>
          <w:trHeight w:val="231"/>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2012</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407,213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369,253</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2014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321,418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277,155</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2016</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231,792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1,203,313</w:t>
            </w:r>
          </w:p>
        </w:tc>
        <w:tc>
          <w:tcPr>
            <w:tcW w:w="0" w:type="dxa"/>
            <w:vAlign w:val="bottom"/>
          </w:tcPr>
          <w:p>
            <w:pPr>
              <w:spacing w:after="0"/>
              <w:rPr>
                <w:sz w:val="1"/>
                <w:szCs w:val="1"/>
                <w:color w:val="auto"/>
              </w:rPr>
            </w:pPr>
          </w:p>
        </w:tc>
      </w:tr>
      <w:tr>
        <w:trPr>
          <w:trHeight w:val="212"/>
        </w:trPr>
        <w:tc>
          <w:tcPr>
            <w:tcW w:w="7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2,810,144</w:t>
            </w:r>
          </w:p>
        </w:tc>
        <w:tc>
          <w:tcPr>
            <w:tcW w:w="0" w:type="dxa"/>
            <w:vAlign w:val="bottom"/>
          </w:tcPr>
          <w:p>
            <w:pPr>
              <w:spacing w:after="0"/>
              <w:rPr>
                <w:sz w:val="1"/>
                <w:szCs w:val="1"/>
                <w:color w:val="auto"/>
              </w:rPr>
            </w:pPr>
          </w:p>
        </w:tc>
      </w:tr>
      <w:tr>
        <w:trPr>
          <w:trHeight w:val="26"/>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NOTE 13—COMPONENTS OF RENTAL INCOME AND EXPENSE</w:t>
            </w: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6"/>
                <w:szCs w:val="16"/>
                <w:color w:val="auto"/>
              </w:rPr>
              <w:t>The principal components of rental income are as follows: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7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100" w:type="dxa"/>
            <w:vAlign w:val="bottom"/>
          </w:tcPr>
          <w:p>
            <w:pPr>
              <w:ind w:left="20"/>
              <w:spacing w:after="0"/>
              <w:rPr>
                <w:sz w:val="20"/>
                <w:szCs w:val="20"/>
                <w:color w:val="auto"/>
              </w:rPr>
            </w:pPr>
            <w:r>
              <w:rPr>
                <w:rFonts w:ascii="Arial" w:cs="Arial" w:eastAsia="Arial" w:hAnsi="Arial"/>
                <w:sz w:val="16"/>
                <w:szCs w:val="16"/>
                <w:color w:val="auto"/>
              </w:rPr>
              <w:t>Minimum rents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Retail and commercial</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392,657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378,836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372,148</w:t>
            </w:r>
          </w:p>
        </w:tc>
        <w:tc>
          <w:tcPr>
            <w:tcW w:w="0" w:type="dxa"/>
            <w:vAlign w:val="bottom"/>
          </w:tcPr>
          <w:p>
            <w:pPr>
              <w:spacing w:after="0"/>
              <w:rPr>
                <w:sz w:val="1"/>
                <w:szCs w:val="1"/>
                <w:color w:val="auto"/>
              </w:rPr>
            </w:pP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Residential (1)</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23,101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21,583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21,093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reimbursement</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106,347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107,008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103,498</w:t>
            </w:r>
          </w:p>
        </w:tc>
        <w:tc>
          <w:tcPr>
            <w:tcW w:w="0" w:type="dxa"/>
            <w:vAlign w:val="bottom"/>
          </w:tcPr>
          <w:p>
            <w:pPr>
              <w:spacing w:after="0"/>
              <w:rPr>
                <w:sz w:val="1"/>
                <w:szCs w:val="1"/>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Percentage rent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7,546</w:t>
            </w:r>
          </w:p>
        </w:tc>
        <w:tc>
          <w:tcPr>
            <w:tcW w:w="0" w:type="dxa"/>
            <w:vAlign w:val="bottom"/>
          </w:tcPr>
          <w:p>
            <w:pPr>
              <w:spacing w:after="0"/>
              <w:rPr>
                <w:sz w:val="1"/>
                <w:szCs w:val="1"/>
                <w:color w:val="auto"/>
              </w:rPr>
            </w:pP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Total rental income</w:t>
            </w: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538,701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522,651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510,777</w:t>
            </w:r>
          </w:p>
        </w:tc>
        <w:tc>
          <w:tcPr>
            <w:tcW w:w="0" w:type="dxa"/>
            <w:vAlign w:val="bottom"/>
          </w:tcPr>
          <w:p>
            <w:pPr>
              <w:spacing w:after="0"/>
              <w:rPr>
                <w:sz w:val="1"/>
                <w:szCs w:val="1"/>
                <w:color w:val="auto"/>
              </w:rPr>
            </w:pPr>
          </w:p>
        </w:tc>
      </w:tr>
      <w:tr>
        <w:trPr>
          <w:trHeight w:val="26"/>
        </w:trPr>
        <w:tc>
          <w:tcPr>
            <w:tcW w:w="71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82" w:right="300" w:hanging="582"/>
        <w:spacing w:after="0" w:line="272" w:lineRule="auto"/>
        <w:tabs>
          <w:tab w:leader="none" w:pos="5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color w:val="auto"/>
        </w:rPr>
        <w:t>Minimum rents include the following:</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38"/>
        </w:trPr>
        <w:tc>
          <w:tcPr>
            <w:tcW w:w="4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2009</w:t>
            </w:r>
          </w:p>
        </w:tc>
      </w:tr>
      <w:tr>
        <w:trPr>
          <w:trHeight w:val="171"/>
        </w:trPr>
        <w:tc>
          <w:tcPr>
            <w:tcW w:w="4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(In millions)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1"/>
        </w:trPr>
        <w:tc>
          <w:tcPr>
            <w:tcW w:w="4740" w:type="dxa"/>
            <w:vAlign w:val="bottom"/>
          </w:tcPr>
          <w:p>
            <w:pPr>
              <w:ind w:left="20"/>
              <w:spacing w:after="0"/>
              <w:rPr>
                <w:sz w:val="20"/>
                <w:szCs w:val="20"/>
                <w:color w:val="auto"/>
              </w:rPr>
            </w:pPr>
            <w:r>
              <w:rPr>
                <w:rFonts w:ascii="Arial" w:cs="Arial" w:eastAsia="Arial" w:hAnsi="Arial"/>
                <w:sz w:val="16"/>
                <w:szCs w:val="16"/>
                <w:color w:val="auto"/>
              </w:rPr>
              <w:t>Straight-line rents</w:t>
            </w:r>
          </w:p>
        </w:tc>
        <w:tc>
          <w:tcPr>
            <w:tcW w:w="27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5.4</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amortization of above and below market leases</w:t>
            </w:r>
          </w:p>
        </w:tc>
        <w:tc>
          <w:tcPr>
            <w:tcW w:w="270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r>
      <w:tr>
        <w:trPr>
          <w:trHeight w:val="343"/>
        </w:trPr>
        <w:tc>
          <w:tcPr>
            <w:tcW w:w="4740" w:type="dxa"/>
            <w:vAlign w:val="bottom"/>
          </w:tcPr>
          <w:p>
            <w:pPr>
              <w:spacing w:after="0"/>
              <w:rPr>
                <w:sz w:val="20"/>
                <w:szCs w:val="20"/>
                <w:color w:val="auto"/>
              </w:rPr>
            </w:pPr>
            <w:r>
              <w:rPr>
                <w:rFonts w:ascii="Arial" w:cs="Arial" w:eastAsia="Arial" w:hAnsi="Arial"/>
                <w:sz w:val="16"/>
                <w:szCs w:val="16"/>
                <w:color w:val="auto"/>
              </w:rPr>
              <w:t>The principal components of rental expenses are as follows:</w:t>
            </w: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3"/>
        </w:trPr>
        <w:tc>
          <w:tcPr>
            <w:tcW w:w="4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8"/>
        </w:trPr>
        <w:tc>
          <w:tcPr>
            <w:tcW w:w="4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9"/>
              </w:rPr>
              <w:t>2010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2009</w:t>
            </w:r>
          </w:p>
        </w:tc>
      </w:tr>
      <w:tr>
        <w:trPr>
          <w:trHeight w:val="176"/>
        </w:trPr>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Repairs and maintenance</w:t>
            </w:r>
          </w:p>
        </w:tc>
        <w:tc>
          <w:tcPr>
            <w:tcW w:w="270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41,977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42,278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40,874</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Utilities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18,823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18,545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17,926</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Management fees and costs</w:t>
            </w:r>
          </w:p>
        </w:tc>
        <w:tc>
          <w:tcPr>
            <w:tcW w:w="2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14,342</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Payroll</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8,080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7,770</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Bad debt expense</w:t>
            </w:r>
          </w:p>
        </w:tc>
        <w:tc>
          <w:tcPr>
            <w:tcW w:w="2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6,488</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Ground rent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4,458</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4,865</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Marketing</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4,843</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6,778</w:t>
            </w:r>
          </w:p>
        </w:tc>
      </w:tr>
      <w:tr>
        <w:trPr>
          <w:trHeight w:val="212"/>
        </w:trPr>
        <w:tc>
          <w:tcPr>
            <w:tcW w:w="4740" w:type="dxa"/>
            <w:vAlign w:val="bottom"/>
          </w:tcPr>
          <w:p>
            <w:pPr>
              <w:ind w:left="20"/>
              <w:spacing w:after="0"/>
              <w:rPr>
                <w:sz w:val="20"/>
                <w:szCs w:val="20"/>
                <w:color w:val="auto"/>
              </w:rPr>
            </w:pPr>
            <w:r>
              <w:rPr>
                <w:rFonts w:ascii="Arial" w:cs="Arial" w:eastAsia="Arial" w:hAnsi="Arial"/>
                <w:sz w:val="16"/>
                <w:szCs w:val="16"/>
                <w:color w:val="auto"/>
              </w:rPr>
              <w:t>Total rental expenses</w:t>
            </w:r>
          </w:p>
        </w:tc>
        <w:tc>
          <w:tcPr>
            <w:tcW w:w="236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109,549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110,519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108,344</w:t>
            </w:r>
          </w:p>
        </w:tc>
      </w:tr>
      <w:tr>
        <w:trPr>
          <w:trHeight w:val="26"/>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3"/>
        </w:trPr>
        <w:tc>
          <w:tcPr>
            <w:tcW w:w="4740" w:type="dxa"/>
            <w:vAlign w:val="bottom"/>
          </w:tcPr>
          <w:p>
            <w:pPr>
              <w:spacing w:after="0"/>
              <w:rPr>
                <w:sz w:val="24"/>
                <w:szCs w:val="24"/>
                <w:color w:val="auto"/>
              </w:rPr>
            </w:pPr>
          </w:p>
        </w:tc>
        <w:tc>
          <w:tcPr>
            <w:tcW w:w="2700" w:type="dxa"/>
            <w:vAlign w:val="bottom"/>
            <w:gridSpan w:val="2"/>
          </w:tcPr>
          <w:p>
            <w:pPr>
              <w:jc w:val="right"/>
              <w:ind w:right="1498"/>
              <w:spacing w:after="0"/>
              <w:rPr>
                <w:sz w:val="20"/>
                <w:szCs w:val="20"/>
                <w:color w:val="auto"/>
              </w:rPr>
            </w:pPr>
            <w:r>
              <w:rPr>
                <w:rFonts w:ascii="Arial" w:cs="Arial" w:eastAsia="Arial" w:hAnsi="Arial"/>
                <w:sz w:val="16"/>
                <w:szCs w:val="16"/>
                <w:color w:val="auto"/>
              </w:rPr>
              <w:t>F-27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2"/>
          </w:cols>
          <w:pgMar w:left="238" w:top="127" w:right="2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14—DISCONTINUED OPERATIONS</w:t>
      </w:r>
    </w:p>
    <w:p>
      <w:pPr>
        <w:spacing w:after="0" w:line="90" w:lineRule="exact"/>
        <w:rPr>
          <w:sz w:val="20"/>
          <w:szCs w:val="20"/>
          <w:color w:val="auto"/>
        </w:rPr>
      </w:pPr>
    </w:p>
    <w:p>
      <w:pPr>
        <w:ind w:right="360"/>
        <w:spacing w:after="0" w:line="322" w:lineRule="auto"/>
        <w:rPr>
          <w:sz w:val="20"/>
          <w:szCs w:val="20"/>
          <w:color w:val="auto"/>
        </w:rPr>
      </w:pPr>
      <w:r>
        <w:rPr>
          <w:rFonts w:ascii="Arial" w:cs="Arial" w:eastAsia="Arial" w:hAnsi="Arial"/>
          <w:sz w:val="15"/>
          <w:szCs w:val="15"/>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38"/>
        </w:trPr>
        <w:tc>
          <w:tcPr>
            <w:tcW w:w="7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2009</w:t>
            </w:r>
          </w:p>
        </w:tc>
      </w:tr>
      <w:tr>
        <w:trPr>
          <w:trHeight w:val="17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84"/>
              <w:spacing w:after="0"/>
              <w:rPr>
                <w:sz w:val="20"/>
                <w:szCs w:val="20"/>
                <w:color w:val="auto"/>
              </w:rPr>
            </w:pPr>
            <w:r>
              <w:rPr>
                <w:rFonts w:ascii="Arial" w:cs="Arial" w:eastAsia="Arial" w:hAnsi="Arial"/>
                <w:sz w:val="13"/>
                <w:szCs w:val="13"/>
                <w:b w:val="1"/>
                <w:bCs w:val="1"/>
                <w:color w:val="auto"/>
                <w:w w:val="93"/>
              </w:rPr>
              <w:t>(in millions)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1"/>
        </w:trPr>
        <w:tc>
          <w:tcPr>
            <w:tcW w:w="7100" w:type="dxa"/>
            <w:vAlign w:val="bottom"/>
          </w:tcPr>
          <w:p>
            <w:pPr>
              <w:ind w:left="20"/>
              <w:spacing w:after="0"/>
              <w:rPr>
                <w:sz w:val="20"/>
                <w:szCs w:val="20"/>
                <w:color w:val="auto"/>
              </w:rPr>
            </w:pPr>
            <w:r>
              <w:rPr>
                <w:rFonts w:ascii="Arial" w:cs="Arial" w:eastAsia="Arial" w:hAnsi="Arial"/>
                <w:sz w:val="16"/>
                <w:szCs w:val="16"/>
                <w:color w:val="auto"/>
              </w:rPr>
              <w:t>Revenue from discontinued operations</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4"/>
              <w:spacing w:after="0"/>
              <w:rPr>
                <w:sz w:val="20"/>
                <w:szCs w:val="20"/>
                <w:color w:val="auto"/>
              </w:rPr>
            </w:pPr>
            <w:r>
              <w:rPr>
                <w:rFonts w:ascii="Arial" w:cs="Arial" w:eastAsia="Arial" w:hAnsi="Arial"/>
                <w:sz w:val="16"/>
                <w:szCs w:val="16"/>
                <w:color w:val="auto"/>
              </w:rPr>
              <w:t>3.5</w:t>
            </w:r>
          </w:p>
        </w:tc>
        <w:tc>
          <w:tcPr>
            <w:tcW w:w="36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2.7</w:t>
            </w: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r>
      <w:tr>
        <w:trPr>
          <w:trHeight w:val="392"/>
        </w:trPr>
        <w:tc>
          <w:tcPr>
            <w:tcW w:w="7100" w:type="dxa"/>
            <w:vAlign w:val="bottom"/>
          </w:tcPr>
          <w:p>
            <w:pPr>
              <w:spacing w:after="0"/>
              <w:rPr>
                <w:sz w:val="20"/>
                <w:szCs w:val="20"/>
                <w:color w:val="auto"/>
              </w:rPr>
            </w:pPr>
            <w:r>
              <w:rPr>
                <w:rFonts w:ascii="Arial" w:cs="Arial" w:eastAsia="Arial" w:hAnsi="Arial"/>
                <w:sz w:val="16"/>
                <w:szCs w:val="16"/>
                <w:b w:val="1"/>
                <w:bCs w:val="1"/>
                <w:color w:val="auto"/>
              </w:rPr>
              <w:t>NOTE 15—SHARE-BASED COMPENSATION PLANS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6"/>
                <w:szCs w:val="16"/>
                <w:color w:val="auto"/>
              </w:rPr>
              <w:t>A summary of share-based compensation expense included in net income is as follows:</w:t>
            </w: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64"/>
        </w:trPr>
        <w:tc>
          <w:tcPr>
            <w:tcW w:w="7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8"/>
        </w:trPr>
        <w:tc>
          <w:tcPr>
            <w:tcW w:w="7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2009</w:t>
            </w:r>
          </w:p>
        </w:tc>
      </w:tr>
      <w:tr>
        <w:trPr>
          <w:trHeight w:val="171"/>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04"/>
              <w:spacing w:after="0"/>
              <w:rPr>
                <w:sz w:val="20"/>
                <w:szCs w:val="20"/>
                <w:color w:val="auto"/>
              </w:rPr>
            </w:pPr>
            <w:r>
              <w:rPr>
                <w:rFonts w:ascii="Arial" w:cs="Arial" w:eastAsia="Arial" w:hAnsi="Arial"/>
                <w:sz w:val="13"/>
                <w:szCs w:val="13"/>
                <w:b w:val="1"/>
                <w:bCs w:val="1"/>
                <w:color w:val="auto"/>
                <w:w w:val="91"/>
              </w:rPr>
              <w:t>(In thousands)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1"/>
        </w:trPr>
        <w:tc>
          <w:tcPr>
            <w:tcW w:w="7100" w:type="dxa"/>
            <w:vAlign w:val="bottom"/>
          </w:tcPr>
          <w:p>
            <w:pPr>
              <w:ind w:left="20"/>
              <w:spacing w:after="0"/>
              <w:rPr>
                <w:sz w:val="20"/>
                <w:szCs w:val="20"/>
                <w:color w:val="auto"/>
              </w:rPr>
            </w:pPr>
            <w:r>
              <w:rPr>
                <w:rFonts w:ascii="Arial" w:cs="Arial" w:eastAsia="Arial" w:hAnsi="Arial"/>
                <w:sz w:val="16"/>
                <w:szCs w:val="16"/>
                <w:color w:val="auto"/>
              </w:rPr>
              <w:t>Share-based compensation incurred</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Grants of common shares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5,232</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5,718</w:t>
            </w:r>
          </w:p>
        </w:tc>
      </w:tr>
      <w:tr>
        <w:trPr>
          <w:trHeight w:val="220"/>
        </w:trPr>
        <w:tc>
          <w:tcPr>
            <w:tcW w:w="7100" w:type="dxa"/>
            <w:vAlign w:val="bottom"/>
          </w:tcPr>
          <w:p>
            <w:pPr>
              <w:ind w:left="340"/>
              <w:spacing w:after="0"/>
              <w:rPr>
                <w:sz w:val="20"/>
                <w:szCs w:val="20"/>
                <w:color w:val="auto"/>
              </w:rPr>
            </w:pPr>
            <w:r>
              <w:rPr>
                <w:rFonts w:ascii="Arial" w:cs="Arial" w:eastAsia="Arial" w:hAnsi="Arial"/>
                <w:sz w:val="16"/>
                <w:szCs w:val="16"/>
                <w:color w:val="auto"/>
              </w:rPr>
              <w:t>Grants of options</w:t>
            </w:r>
          </w:p>
        </w:tc>
        <w:tc>
          <w:tcPr>
            <w:tcW w:w="34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24"/>
              <w:spacing w:after="0"/>
              <w:rPr>
                <w:sz w:val="20"/>
                <w:szCs w:val="20"/>
                <w:color w:val="auto"/>
              </w:rPr>
            </w:pPr>
            <w:r>
              <w:rPr>
                <w:rFonts w:ascii="Arial" w:cs="Arial" w:eastAsia="Arial" w:hAnsi="Arial"/>
                <w:sz w:val="16"/>
                <w:szCs w:val="16"/>
                <w:color w:val="auto"/>
              </w:rPr>
              <w:t>1,255</w:t>
            </w:r>
          </w:p>
        </w:tc>
        <w:tc>
          <w:tcPr>
            <w:tcW w:w="36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1,421</w:t>
            </w: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7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6,487</w:t>
            </w: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7,139</w:t>
            </w: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Capitalized 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(745)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6"/>
        </w:trPr>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7,584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5,742</w:t>
            </w:r>
          </w:p>
        </w:tc>
        <w:tc>
          <w:tcPr>
            <w:tcW w:w="3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6,194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As of December 31, 2011, we have grants outstanding under three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 Our 1993 Long Term Incentive Plan (the “1993 Plan”), which expired in May 2003, authorized the grant of share options, common shares and other share-based awards for up to 5,500,000 common shares of beneficial interest.</w:t>
      </w:r>
    </w:p>
    <w:p>
      <w:pPr>
        <w:spacing w:after="0" w:line="10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Option awards under all three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18"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weighted-average assumption used to value options in 2010 and 2009:</w:t>
      </w:r>
    </w:p>
    <w:p>
      <w:pPr>
        <w:spacing w:after="0" w:line="152"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5098415</wp:posOffset>
            </wp:positionH>
            <wp:positionV relativeFrom="paragraph">
              <wp:posOffset>19050</wp:posOffset>
            </wp:positionV>
            <wp:extent cx="21596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00" w:type="dxa"/>
            <w:vAlign w:val="bottom"/>
            <w:gridSpan w:val="2"/>
          </w:tcPr>
          <w:p>
            <w:pPr>
              <w:ind w:left="8720"/>
              <w:spacing w:after="0"/>
              <w:rPr>
                <w:sz w:val="20"/>
                <w:szCs w:val="20"/>
                <w:color w:val="auto"/>
              </w:rPr>
            </w:pPr>
            <w:r>
              <w:rPr>
                <w:rFonts w:ascii="Arial" w:cs="Arial" w:eastAsia="Arial" w:hAnsi="Arial"/>
                <w:sz w:val="13"/>
                <w:szCs w:val="13"/>
                <w:b w:val="1"/>
                <w:bCs w:val="1"/>
                <w:color w:val="auto"/>
              </w:rPr>
              <w:t>2010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601"/>
              <w:spacing w:after="0"/>
              <w:rPr>
                <w:sz w:val="20"/>
                <w:szCs w:val="20"/>
                <w:color w:val="auto"/>
              </w:rPr>
            </w:pPr>
            <w:r>
              <w:rPr>
                <w:rFonts w:ascii="Arial" w:cs="Arial" w:eastAsia="Arial" w:hAnsi="Arial"/>
                <w:sz w:val="13"/>
                <w:szCs w:val="13"/>
                <w:b w:val="1"/>
                <w:bCs w:val="1"/>
                <w:color w:val="auto"/>
              </w:rPr>
              <w:t>2009</w:t>
            </w:r>
          </w:p>
        </w:tc>
      </w:tr>
      <w:tr>
        <w:trPr>
          <w:trHeight w:val="223"/>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20"/>
        </w:trPr>
        <w:tc>
          <w:tcPr>
            <w:tcW w:w="910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6"/>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6"/>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5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w:t>
            </w:r>
          </w:p>
        </w:tc>
      </w:tr>
      <w:tr>
        <w:trPr>
          <w:trHeight w:val="220"/>
        </w:trPr>
        <w:tc>
          <w:tcPr>
            <w:tcW w:w="9100" w:type="dxa"/>
            <w:vAlign w:val="bottom"/>
            <w:gridSpan w:val="2"/>
          </w:tcPr>
          <w:p>
            <w:pPr>
              <w:ind w:left="20"/>
              <w:spacing w:after="0"/>
              <w:rPr>
                <w:sz w:val="20"/>
                <w:szCs w:val="20"/>
                <w:color w:val="auto"/>
              </w:rPr>
            </w:pPr>
            <w:r>
              <w:rPr>
                <w:rFonts w:ascii="Arial" w:cs="Arial" w:eastAsia="Arial" w:hAnsi="Arial"/>
                <w:sz w:val="16"/>
                <w:szCs w:val="16"/>
                <w:color w:val="auto"/>
              </w:rPr>
              <w:t>Risk free interest rate</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42"/>
        </w:trPr>
        <w:tc>
          <w:tcPr>
            <w:tcW w:w="9100" w:type="dxa"/>
            <w:vAlign w:val="bottom"/>
            <w:gridSpan w:val="2"/>
          </w:tcPr>
          <w:p>
            <w:pPr>
              <w:ind w:left="5560"/>
              <w:spacing w:after="0"/>
              <w:rPr>
                <w:sz w:val="20"/>
                <w:szCs w:val="20"/>
                <w:color w:val="auto"/>
              </w:rPr>
            </w:pPr>
            <w:r>
              <w:rPr>
                <w:rFonts w:ascii="Arial" w:cs="Arial" w:eastAsia="Arial" w:hAnsi="Arial"/>
                <w:sz w:val="16"/>
                <w:szCs w:val="16"/>
                <w:color w:val="auto"/>
              </w:rPr>
              <w:t>F-28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82" w:name="page83"/>
    <w:bookmarkEnd w:id="82"/>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option activity for 2011: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left="408"/>
              <w:spacing w:after="0"/>
              <w:rPr>
                <w:sz w:val="20"/>
                <w:szCs w:val="20"/>
                <w:color w:val="auto"/>
              </w:rPr>
            </w:pPr>
            <w:r>
              <w:rPr>
                <w:rFonts w:ascii="Arial" w:cs="Arial" w:eastAsia="Arial" w:hAnsi="Arial"/>
                <w:sz w:val="13"/>
                <w:szCs w:val="13"/>
                <w:b w:val="1"/>
                <w:bCs w:val="1"/>
                <w:color w:val="auto"/>
                <w:w w:val="92"/>
              </w:rPr>
              <w:t>Weighted-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Weighted-</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3"/>
                <w:szCs w:val="13"/>
                <w:b w:val="1"/>
                <w:bCs w:val="1"/>
                <w:color w:val="auto"/>
              </w:rPr>
              <w:t>Shares</w:t>
            </w:r>
          </w:p>
        </w:tc>
        <w:tc>
          <w:tcPr>
            <w:tcW w:w="1100" w:type="dxa"/>
            <w:vAlign w:val="bottom"/>
          </w:tcPr>
          <w:p>
            <w:pPr>
              <w:jc w:val="center"/>
              <w:ind w:left="408"/>
              <w:spacing w:after="0" w:line="135"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Average</w:t>
            </w:r>
          </w:p>
        </w:tc>
        <w:tc>
          <w:tcPr>
            <w:tcW w:w="260" w:type="dxa"/>
            <w:vAlign w:val="bottom"/>
          </w:tcPr>
          <w:p>
            <w:pPr>
              <w:spacing w:after="0"/>
              <w:rPr>
                <w:sz w:val="11"/>
                <w:szCs w:val="11"/>
                <w:color w:val="auto"/>
              </w:rPr>
            </w:pPr>
          </w:p>
        </w:tc>
        <w:tc>
          <w:tcPr>
            <w:tcW w:w="132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3"/>
                <w:szCs w:val="13"/>
                <w:b w:val="1"/>
                <w:bCs w:val="1"/>
                <w:color w:val="auto"/>
              </w:rPr>
              <w:t>Under</w:t>
            </w:r>
          </w:p>
        </w:tc>
        <w:tc>
          <w:tcPr>
            <w:tcW w:w="1100" w:type="dxa"/>
            <w:vAlign w:val="bottom"/>
          </w:tcPr>
          <w:p>
            <w:pPr>
              <w:jc w:val="center"/>
              <w:ind w:left="408"/>
              <w:spacing w:after="0" w:line="135" w:lineRule="exact"/>
              <w:rPr>
                <w:sz w:val="20"/>
                <w:szCs w:val="20"/>
                <w:color w:val="auto"/>
              </w:rPr>
            </w:pPr>
            <w:r>
              <w:rPr>
                <w:rFonts w:ascii="Arial" w:cs="Arial" w:eastAsia="Arial" w:hAnsi="Arial"/>
                <w:sz w:val="13"/>
                <w:szCs w:val="13"/>
                <w:b w:val="1"/>
                <w:bCs w:val="1"/>
                <w:color w:val="auto"/>
                <w:w w:val="85"/>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Remaining</w:t>
            </w:r>
          </w:p>
        </w:tc>
        <w:tc>
          <w:tcPr>
            <w:tcW w:w="260" w:type="dxa"/>
            <w:vAlign w:val="bottom"/>
          </w:tcPr>
          <w:p>
            <w:pPr>
              <w:spacing w:after="0"/>
              <w:rPr>
                <w:sz w:val="11"/>
                <w:szCs w:val="11"/>
                <w:color w:val="auto"/>
              </w:rPr>
            </w:pPr>
          </w:p>
        </w:tc>
        <w:tc>
          <w:tcPr>
            <w:tcW w:w="1320" w:type="dxa"/>
            <w:vAlign w:val="bottom"/>
          </w:tcPr>
          <w:p>
            <w:pPr>
              <w:jc w:val="center"/>
              <w:ind w:right="169"/>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ind w:left="408"/>
              <w:spacing w:after="0"/>
              <w:rPr>
                <w:sz w:val="20"/>
                <w:szCs w:val="20"/>
                <w:color w:val="auto"/>
              </w:rPr>
            </w:pPr>
            <w:r>
              <w:rPr>
                <w:rFonts w:ascii="Arial" w:cs="Arial" w:eastAsia="Arial" w:hAnsi="Arial"/>
                <w:sz w:val="13"/>
                <w:szCs w:val="13"/>
                <w:b w:val="1"/>
                <w:bCs w:val="1"/>
                <w:color w:val="auto"/>
                <w:w w:val="94"/>
              </w:rPr>
              <w:t>Price</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Contractual Term</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 years)</w:t>
            </w:r>
          </w:p>
        </w:tc>
        <w:tc>
          <w:tcPr>
            <w:tcW w:w="260" w:type="dxa"/>
            <w:vAlign w:val="bottom"/>
          </w:tcPr>
          <w:p>
            <w:pPr>
              <w:spacing w:after="0"/>
              <w:rPr>
                <w:sz w:val="19"/>
                <w:szCs w:val="19"/>
                <w:color w:val="auto"/>
              </w:rPr>
            </w:pPr>
          </w:p>
        </w:tc>
        <w:tc>
          <w:tcPr>
            <w:tcW w:w="132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2010</w:t>
            </w:r>
          </w:p>
        </w:tc>
        <w:tc>
          <w:tcPr>
            <w:tcW w:w="16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757,424</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62.09</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color w:val="auto"/>
              </w:rPr>
              <w:t>Granted</w:t>
            </w: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(237,271)</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64.02</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color w:val="auto"/>
              </w:rPr>
              <w:t>Forfeited or expired</w:t>
            </w:r>
          </w:p>
        </w:tc>
        <w:tc>
          <w:tcPr>
            <w:tcW w:w="1620" w:type="dxa"/>
            <w:vAlign w:val="bottom"/>
          </w:tcPr>
          <w:p>
            <w:pPr>
              <w:jc w:val="right"/>
              <w:spacing w:after="0"/>
              <w:rPr>
                <w:sz w:val="20"/>
                <w:szCs w:val="20"/>
                <w:color w:val="auto"/>
              </w:rPr>
            </w:pPr>
            <w:r>
              <w:rPr>
                <w:rFonts w:ascii="Arial" w:cs="Arial" w:eastAsia="Arial" w:hAnsi="Arial"/>
                <w:sz w:val="16"/>
                <w:szCs w:val="16"/>
                <w:color w:val="auto"/>
              </w:rPr>
              <w:t>(2,500)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ind w:right="18"/>
              <w:spacing w:after="0"/>
              <w:rPr>
                <w:sz w:val="20"/>
                <w:szCs w:val="20"/>
                <w:color w:val="auto"/>
              </w:rPr>
            </w:pPr>
            <w:r>
              <w:rPr>
                <w:rFonts w:ascii="Arial" w:cs="Arial" w:eastAsia="Arial" w:hAnsi="Arial"/>
                <w:sz w:val="16"/>
                <w:szCs w:val="16"/>
                <w:color w:val="auto"/>
                <w:w w:val="89"/>
              </w:rPr>
              <w:t>88.60</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2011</w:t>
            </w:r>
          </w:p>
        </w:tc>
        <w:tc>
          <w:tcPr>
            <w:tcW w:w="16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517,653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61.08</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15,423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December 31, 2011</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620" w:type="dxa"/>
            <w:vAlign w:val="bottom"/>
          </w:tcPr>
          <w:p>
            <w:pPr>
              <w:jc w:val="right"/>
              <w:ind w:right="44"/>
              <w:spacing w:after="0"/>
              <w:rPr>
                <w:sz w:val="20"/>
                <w:szCs w:val="20"/>
                <w:color w:val="auto"/>
              </w:rPr>
            </w:pPr>
            <w:r>
              <w:rPr>
                <w:rFonts w:ascii="Arial" w:cs="Arial" w:eastAsia="Arial" w:hAnsi="Arial"/>
                <w:sz w:val="16"/>
                <w:szCs w:val="16"/>
                <w:color w:val="auto"/>
              </w:rPr>
              <w:t>286,054</w:t>
            </w:r>
          </w:p>
        </w:tc>
        <w:tc>
          <w:tcPr>
            <w:tcW w:w="14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8"/>
              <w:spacing w:after="0"/>
              <w:rPr>
                <w:sz w:val="20"/>
                <w:szCs w:val="20"/>
                <w:color w:val="auto"/>
              </w:rPr>
            </w:pPr>
            <w:r>
              <w:rPr>
                <w:rFonts w:ascii="Arial" w:cs="Arial" w:eastAsia="Arial" w:hAnsi="Arial"/>
                <w:sz w:val="16"/>
                <w:szCs w:val="16"/>
                <w:color w:val="auto"/>
                <w:w w:val="89"/>
              </w:rPr>
              <w:t>64.49</w:t>
            </w:r>
          </w:p>
        </w:tc>
        <w:tc>
          <w:tcPr>
            <w:tcW w:w="120" w:type="dxa"/>
            <w:vAlign w:val="bottom"/>
          </w:tcPr>
          <w:p>
            <w:pPr>
              <w:spacing w:after="0"/>
              <w:rPr>
                <w:sz w:val="17"/>
                <w:szCs w:val="17"/>
                <w:color w:val="auto"/>
              </w:rPr>
            </w:pPr>
          </w:p>
        </w:tc>
        <w:tc>
          <w:tcPr>
            <w:tcW w:w="1600" w:type="dxa"/>
            <w:vAlign w:val="bottom"/>
          </w:tcPr>
          <w:p>
            <w:pPr>
              <w:jc w:val="right"/>
              <w:ind w:right="5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2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80"/>
        <w:spacing w:after="0" w:line="271" w:lineRule="auto"/>
        <w:rPr>
          <w:sz w:val="20"/>
          <w:szCs w:val="20"/>
          <w:color w:val="auto"/>
        </w:rPr>
      </w:pPr>
      <w:r>
        <w:rPr>
          <w:rFonts w:ascii="Arial" w:cs="Arial" w:eastAsia="Arial" w:hAnsi="Arial"/>
          <w:sz w:val="16"/>
          <w:szCs w:val="16"/>
          <w:color w:val="auto"/>
        </w:rPr>
        <w:t>The weighted-average grant-date fair value of options granted during 2010 and 2009 was $11.77 per share and $7.62 per share, respectively. The total cash received from options exercised during 2011, 2010 and 2009 was $15.2 million, $4.2 million and $2.9 million, respectively. The total intrinsic value of options exercised during the year ended December 31, 2011, 2010 and 2009 was $5.6 million, $4.2 million and $4.6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restricted share activity for 2011: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04"/>
              <w:spacing w:after="0"/>
              <w:rPr>
                <w:sz w:val="20"/>
                <w:szCs w:val="20"/>
                <w:color w:val="auto"/>
              </w:rPr>
            </w:pPr>
            <w:r>
              <w:rPr>
                <w:rFonts w:ascii="Arial" w:cs="Arial" w:eastAsia="Arial" w:hAnsi="Arial"/>
                <w:sz w:val="13"/>
                <w:szCs w:val="13"/>
                <w:b w:val="1"/>
                <w:bCs w:val="1"/>
                <w:color w:val="auto"/>
                <w:w w:val="91"/>
              </w:rPr>
              <w:t>Weighted-Average</w:t>
            </w:r>
          </w:p>
        </w:tc>
      </w:tr>
      <w:tr>
        <w:trPr>
          <w:trHeight w:val="135"/>
        </w:trPr>
        <w:tc>
          <w:tcPr>
            <w:tcW w:w="8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97"/>
              </w:rPr>
              <w:t>Grant-Date Fair</w:t>
            </w:r>
          </w:p>
        </w:tc>
      </w:tr>
      <w:tr>
        <w:trPr>
          <w:trHeight w:val="174"/>
        </w:trPr>
        <w:tc>
          <w:tcPr>
            <w:tcW w:w="8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04"/>
              <w:spacing w:after="0"/>
              <w:rPr>
                <w:sz w:val="20"/>
                <w:szCs w:val="20"/>
                <w:color w:val="auto"/>
              </w:rPr>
            </w:pPr>
            <w:r>
              <w:rPr>
                <w:rFonts w:ascii="Arial" w:cs="Arial" w:eastAsia="Arial" w:hAnsi="Arial"/>
                <w:sz w:val="13"/>
                <w:szCs w:val="13"/>
                <w:b w:val="1"/>
                <w:bCs w:val="1"/>
                <w:color w:val="auto"/>
                <w:w w:val="92"/>
              </w:rPr>
              <w:t>Value</w:t>
            </w:r>
          </w:p>
        </w:tc>
      </w:tr>
      <w:tr>
        <w:trPr>
          <w:trHeight w:val="22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2010</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270,793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68.07</w:t>
            </w: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103,383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81.94</w:t>
            </w:r>
          </w:p>
        </w:tc>
      </w:tr>
      <w:tr>
        <w:trPr>
          <w:trHeight w:val="26"/>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68.51</w:t>
            </w: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20" w:type="dxa"/>
            <w:vAlign w:val="bottom"/>
          </w:tcPr>
          <w:p>
            <w:pPr>
              <w:jc w:val="right"/>
              <w:spacing w:after="0"/>
              <w:rPr>
                <w:sz w:val="20"/>
                <w:szCs w:val="20"/>
                <w:color w:val="auto"/>
              </w:rPr>
            </w:pPr>
            <w:r>
              <w:rPr>
                <w:rFonts w:ascii="Arial" w:cs="Arial" w:eastAsia="Arial" w:hAnsi="Arial"/>
                <w:sz w:val="16"/>
                <w:szCs w:val="16"/>
                <w:color w:val="auto"/>
              </w:rPr>
              <w:t>(13,975)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48.30</w:t>
            </w:r>
          </w:p>
        </w:tc>
      </w:tr>
      <w:tr>
        <w:trPr>
          <w:trHeight w:val="26"/>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2011</w:t>
            </w: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282,837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74.00</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The weighted-average grant-date fair value of stock awarded in 2011, 2010 and 2009 was $81.94, $73.51 and $45.77, respectively. The total vesting-date fair value of shares vested during the year ended December 31, 2011, 2010 and 2009 was $6.3 million, $4.3 million and $4.6 million, respectively.</w:t>
      </w:r>
    </w:p>
    <w:p>
      <w:pPr>
        <w:spacing w:after="0" w:line="100" w:lineRule="exact"/>
        <w:rPr>
          <w:sz w:val="20"/>
          <w:szCs w:val="20"/>
          <w:color w:val="auto"/>
        </w:rPr>
      </w:pPr>
    </w:p>
    <w:p>
      <w:pPr>
        <w:ind w:right="380"/>
        <w:spacing w:after="0" w:line="322" w:lineRule="auto"/>
        <w:rPr>
          <w:sz w:val="20"/>
          <w:szCs w:val="20"/>
          <w:color w:val="auto"/>
        </w:rPr>
      </w:pPr>
      <w:r>
        <w:rPr>
          <w:rFonts w:ascii="Arial" w:cs="Arial" w:eastAsia="Arial" w:hAnsi="Arial"/>
          <w:sz w:val="15"/>
          <w:szCs w:val="15"/>
          <w:color w:val="auto"/>
        </w:rPr>
        <w:t>As of December 31, 2011, there was $13.8 million of total unrecognized compensation cost related to unvested share-based compensation arrangements (i.e. options and unvested shares) granted under our plans. This cost is expected to be recognized over the next 5.1 years with a weighted-average period of 2.8 years.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31, 2011, common shares were awarded under various compensation plans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Award</w:t>
            </w:r>
          </w:p>
        </w:tc>
        <w:tc>
          <w:tcPr>
            <w:tcW w:w="14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Vesting Term</w:t>
            </w:r>
          </w:p>
        </w:tc>
        <w:tc>
          <w:tcPr>
            <w:tcW w:w="120" w:type="dxa"/>
            <w:vAlign w:val="bottom"/>
            <w:tcBorders>
              <w:bottom w:val="single" w:sz="8" w:color="CCEEFF"/>
            </w:tcBorders>
          </w:tcPr>
          <w:p>
            <w:pPr>
              <w:spacing w:after="0"/>
              <w:rPr>
                <w:sz w:val="15"/>
                <w:szCs w:val="15"/>
                <w:color w:val="auto"/>
              </w:rPr>
            </w:pPr>
          </w:p>
        </w:tc>
        <w:tc>
          <w:tcPr>
            <w:tcW w:w="3180" w:type="dxa"/>
            <w:vAlign w:val="bottom"/>
            <w:tcBorders>
              <w:bottom w:val="single" w:sz="8" w:color="auto"/>
            </w:tcBorders>
          </w:tcPr>
          <w:p>
            <w:pPr>
              <w:ind w:left="1280"/>
              <w:spacing w:after="0"/>
              <w:rPr>
                <w:sz w:val="20"/>
                <w:szCs w:val="20"/>
                <w:color w:val="auto"/>
              </w:rPr>
            </w:pPr>
            <w:r>
              <w:rPr>
                <w:rFonts w:ascii="Arial" w:cs="Arial" w:eastAsia="Arial" w:hAnsi="Arial"/>
                <w:sz w:val="13"/>
                <w:szCs w:val="13"/>
                <w:b w:val="1"/>
                <w:bCs w:val="1"/>
                <w:color w:val="auto"/>
              </w:rPr>
              <w:t>Beneficiary</w:t>
            </w: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9, 2012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112,043</w:t>
            </w:r>
          </w:p>
        </w:tc>
        <w:tc>
          <w:tcPr>
            <w:tcW w:w="2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Restricted shares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3 to 5 years</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Officers and key employees</w:t>
            </w:r>
          </w:p>
        </w:tc>
      </w:tr>
      <w:tr>
        <w:trPr>
          <w:trHeight w:val="220"/>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January 3, 2012</w:t>
            </w:r>
          </w:p>
        </w:tc>
        <w:tc>
          <w:tcPr>
            <w:tcW w:w="980" w:type="dxa"/>
            <w:vAlign w:val="bottom"/>
          </w:tcPr>
          <w:p>
            <w:pPr>
              <w:jc w:val="right"/>
              <w:spacing w:after="0"/>
              <w:rPr>
                <w:sz w:val="20"/>
                <w:szCs w:val="20"/>
                <w:color w:val="auto"/>
              </w:rPr>
            </w:pPr>
            <w:r>
              <w:rPr>
                <w:rFonts w:ascii="Arial" w:cs="Arial" w:eastAsia="Arial" w:hAnsi="Arial"/>
                <w:sz w:val="16"/>
                <w:szCs w:val="16"/>
                <w:color w:val="auto"/>
              </w:rPr>
              <w:t>6,613</w:t>
            </w:r>
          </w:p>
        </w:tc>
        <w:tc>
          <w:tcPr>
            <w:tcW w:w="2460" w:type="dxa"/>
            <w:vAlign w:val="bottom"/>
            <w:gridSpan w:val="2"/>
          </w:tcPr>
          <w:p>
            <w:pPr>
              <w:ind w:left="60"/>
              <w:spacing w:after="0"/>
              <w:rPr>
                <w:sz w:val="20"/>
                <w:szCs w:val="20"/>
                <w:color w:val="auto"/>
              </w:rPr>
            </w:pPr>
            <w:r>
              <w:rPr>
                <w:rFonts w:ascii="Arial" w:cs="Arial" w:eastAsia="Arial" w:hAnsi="Arial"/>
                <w:sz w:val="16"/>
                <w:szCs w:val="16"/>
                <w:color w:val="auto"/>
              </w:rPr>
              <w:t>Shares</w:t>
            </w: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Immediate</w:t>
            </w:r>
          </w:p>
        </w:tc>
        <w:tc>
          <w:tcPr>
            <w:tcW w:w="3180" w:type="dxa"/>
            <w:vAlign w:val="bottom"/>
          </w:tcPr>
          <w:p>
            <w:pPr>
              <w:ind w:left="20"/>
              <w:spacing w:after="0"/>
              <w:rPr>
                <w:sz w:val="20"/>
                <w:szCs w:val="20"/>
                <w:color w:val="auto"/>
              </w:rPr>
            </w:pPr>
            <w:r>
              <w:rPr>
                <w:rFonts w:ascii="Arial" w:cs="Arial" w:eastAsia="Arial" w:hAnsi="Arial"/>
                <w:sz w:val="16"/>
                <w:szCs w:val="16"/>
                <w:color w:val="auto"/>
              </w:rPr>
              <w:t>Trustees</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16—SAVINGS AND RETIREMENT PLANS</w:t>
      </w:r>
    </w:p>
    <w:p>
      <w:pPr>
        <w:spacing w:after="0" w:line="9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$16,500 for 2011, 2010 and 2009.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first anniversary of employment. Our expense for the years ended December 31, 2011, 2010 and 2009 was approximately $365,000, $596,000 and $282,000, respectively.</w:t>
      </w:r>
    </w:p>
    <w:p>
      <w:pPr>
        <w:spacing w:after="0" w:line="12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A non-qualified deferred compensation plan for our officers and certain other employees was established in 1994 that allows the participants to defer a portion of their income. As of December 31, 2011 and 2010, we are liable to participants for approximately $5.9 million and $5.7 million, respectively, under this plan. Although this is an unfunded plan, we have purchased certain investments to match this obligation. Our obligation under this plan and the related investments are both included in the accompanying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7" w:right="2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17—EARNINGS PER SHARE</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2011, 2010 and 2009, we had 0.3 million, 0.2 million and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Approximately 0.1 million, 0.2 million and 0.6 million stock options have been excluded in 2011, 2010 and 2009, respectively,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258"/>
              <w:spacing w:after="0"/>
              <w:rPr>
                <w:sz w:val="20"/>
                <w:szCs w:val="20"/>
                <w:color w:val="auto"/>
              </w:rPr>
            </w:pPr>
            <w:r>
              <w:rPr>
                <w:rFonts w:ascii="Arial" w:cs="Arial" w:eastAsia="Arial" w:hAnsi="Arial"/>
                <w:sz w:val="13"/>
                <w:szCs w:val="13"/>
                <w:b w:val="1"/>
                <w:bCs w:val="1"/>
                <w:color w:val="auto"/>
                <w:w w:val="90"/>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9"/>
              <w:spacing w:after="0"/>
              <w:rPr>
                <w:sz w:val="20"/>
                <w:szCs w:val="20"/>
                <w:color w:val="auto"/>
              </w:rPr>
            </w:pPr>
            <w:r>
              <w:rPr>
                <w:rFonts w:ascii="Arial" w:cs="Arial" w:eastAsia="Arial" w:hAnsi="Arial"/>
                <w:sz w:val="13"/>
                <w:szCs w:val="13"/>
                <w:b w:val="1"/>
                <w:bCs w:val="1"/>
                <w:color w:val="auto"/>
                <w:w w:val="89"/>
              </w:rPr>
              <w:t>2010</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w w:val="96"/>
              </w:rPr>
              <w:t>2009</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center"/>
              <w:ind w:left="400"/>
              <w:spacing w:after="0"/>
              <w:rPr>
                <w:sz w:val="20"/>
                <w:szCs w:val="20"/>
                <w:color w:val="auto"/>
              </w:rPr>
            </w:pPr>
            <w:r>
              <w:rPr>
                <w:rFonts w:ascii="Arial" w:cs="Arial" w:eastAsia="Arial" w:hAnsi="Arial"/>
                <w:sz w:val="13"/>
                <w:szCs w:val="13"/>
                <w:b w:val="1"/>
                <w:bCs w:val="1"/>
                <w:color w:val="auto"/>
                <w:w w:val="90"/>
              </w:rPr>
              <w:t>(In thousands, except per share data)</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640" w:type="dxa"/>
            <w:vAlign w:val="bottom"/>
            <w:tcBorders>
              <w:bottom w:val="single" w:sz="8" w:color="CCEEFF"/>
            </w:tcBorders>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131,554</w:t>
            </w:r>
          </w:p>
        </w:tc>
        <w:tc>
          <w:tcPr>
            <w:tcW w:w="460" w:type="dxa"/>
            <w:vAlign w:val="bottom"/>
            <w:tcBorders>
              <w:bottom w:val="single" w:sz="8" w:color="CCEEFF"/>
            </w:tcBorders>
            <w:gridSpan w:val="3"/>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125,851</w:t>
            </w:r>
          </w:p>
        </w:tc>
        <w:tc>
          <w:tcPr>
            <w:tcW w:w="4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101,325</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Less: Preferred share dividends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Less: Income from continuing operations attributable to noncontrolling interests</w:t>
            </w:r>
          </w:p>
        </w:tc>
        <w:tc>
          <w:tcPr>
            <w:tcW w:w="2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(5,475)</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(5,247)</w:t>
            </w:r>
          </w:p>
        </w:tc>
        <w:tc>
          <w:tcPr>
            <w:tcW w:w="4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Less: Earnings allocated to unvested shares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6"/>
        </w:trPr>
        <w:tc>
          <w:tcPr>
            <w:tcW w:w="54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available for common shareholders</w:t>
            </w:r>
          </w:p>
        </w:tc>
        <w:tc>
          <w:tcPr>
            <w:tcW w:w="2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124,833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119,491</w:t>
            </w:r>
          </w:p>
        </w:tc>
        <w:tc>
          <w:tcPr>
            <w:tcW w:w="4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94,706</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Results from discontinued operations attributable to the Trust</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1,776</w:t>
            </w:r>
          </w:p>
        </w:tc>
        <w:tc>
          <w:tcPr>
            <w:tcW w:w="4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2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Arial" w:cs="Arial" w:eastAsia="Arial" w:hAnsi="Arial"/>
                <w:sz w:val="16"/>
                <w:szCs w:val="16"/>
                <w:color w:val="auto"/>
              </w:rPr>
              <w:t>Net income available for common shareholders, basic and diluted</w:t>
            </w:r>
          </w:p>
        </w:tc>
        <w:tc>
          <w:tcPr>
            <w:tcW w:w="236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142,671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121,677</w:t>
            </w:r>
          </w:p>
        </w:tc>
        <w:tc>
          <w:tcPr>
            <w:tcW w:w="48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97,253</w:t>
            </w:r>
          </w:p>
        </w:tc>
        <w:tc>
          <w:tcPr>
            <w:tcW w:w="0" w:type="dxa"/>
            <w:vAlign w:val="bottom"/>
          </w:tcPr>
          <w:p>
            <w:pPr>
              <w:spacing w:after="0"/>
              <w:rPr>
                <w:sz w:val="1"/>
                <w:szCs w:val="1"/>
                <w:color w:val="auto"/>
              </w:rPr>
            </w:pPr>
          </w:p>
        </w:tc>
      </w:tr>
      <w:tr>
        <w:trPr>
          <w:trHeight w:val="66"/>
        </w:trPr>
        <w:tc>
          <w:tcPr>
            <w:tcW w:w="542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42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DENOMINATOR</w:t>
            </w:r>
          </w:p>
        </w:tc>
        <w:tc>
          <w:tcPr>
            <w:tcW w:w="2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outstanding—basic</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61,182</w:t>
            </w:r>
          </w:p>
        </w:tc>
        <w:tc>
          <w:tcPr>
            <w:tcW w:w="4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59,704</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340"/>
              <w:spacing w:after="0"/>
              <w:rPr>
                <w:sz w:val="20"/>
                <w:szCs w:val="20"/>
                <w:color w:val="auto"/>
              </w:rPr>
            </w:pPr>
            <w:r>
              <w:rPr>
                <w:rFonts w:ascii="Arial" w:cs="Arial" w:eastAsia="Arial" w:hAnsi="Arial"/>
                <w:sz w:val="16"/>
                <w:szCs w:val="16"/>
                <w:color w:val="auto"/>
              </w:rPr>
              <w:t>Stock options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4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
        </w:trPr>
        <w:tc>
          <w:tcPr>
            <w:tcW w:w="54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outstanding—diluted</w:t>
            </w:r>
          </w:p>
        </w:tc>
        <w:tc>
          <w:tcPr>
            <w:tcW w:w="2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62,603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61,324</w:t>
            </w: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 BASIC</w:t>
            </w: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vMerge w:val="continue"/>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54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2640" w:type="dxa"/>
            <w:vAlign w:val="bottom"/>
            <w:tcBorders>
              <w:bottom w:val="single" w:sz="8" w:color="CCEEFF"/>
            </w:tcBorders>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tcBorders>
              <w:bottom w:val="single" w:sz="8" w:color="CCEEFF"/>
            </w:tcBorders>
            <w:gridSpan w:val="3"/>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w:t>
            </w:r>
          </w:p>
        </w:tc>
        <w:tc>
          <w:tcPr>
            <w:tcW w:w="4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0.03</w:t>
            </w:r>
          </w:p>
        </w:tc>
        <w:tc>
          <w:tcPr>
            <w:tcW w:w="4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sale of real estate</w:t>
            </w:r>
          </w:p>
        </w:tc>
        <w:tc>
          <w:tcPr>
            <w:tcW w:w="2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w:t>
            </w:r>
          </w:p>
        </w:tc>
        <w:tc>
          <w:tcPr>
            <w:tcW w:w="48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66"/>
        </w:trPr>
        <w:tc>
          <w:tcPr>
            <w:tcW w:w="542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42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EARNINGS PER COMMON SHARE, DILUTED</w:t>
            </w:r>
          </w:p>
        </w:tc>
        <w:tc>
          <w:tcPr>
            <w:tcW w:w="2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2640" w:type="dxa"/>
            <w:vAlign w:val="bottom"/>
            <w:gridSpan w:val="2"/>
          </w:tcPr>
          <w:p>
            <w:pPr>
              <w:jc w:val="right"/>
              <w:ind w:right="9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1.99</w:t>
            </w:r>
          </w:p>
        </w:tc>
        <w:tc>
          <w:tcPr>
            <w:tcW w:w="460" w:type="dxa"/>
            <w:vAlign w:val="bottom"/>
            <w:gridSpan w:val="3"/>
          </w:tcPr>
          <w:p>
            <w:pPr>
              <w:jc w:val="right"/>
              <w:ind w:right="9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48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2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4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0"/>
        </w:trPr>
        <w:tc>
          <w:tcPr>
            <w:tcW w:w="5420" w:type="dxa"/>
            <w:vAlign w:val="bottom"/>
          </w:tcPr>
          <w:p>
            <w:pPr>
              <w:ind w:left="20"/>
              <w:spacing w:after="0"/>
              <w:rPr>
                <w:sz w:val="20"/>
                <w:szCs w:val="20"/>
                <w:color w:val="auto"/>
              </w:rPr>
            </w:pPr>
            <w:r>
              <w:rPr>
                <w:rFonts w:ascii="Arial" w:cs="Arial" w:eastAsia="Arial" w:hAnsi="Arial"/>
                <w:sz w:val="16"/>
                <w:szCs w:val="16"/>
                <w:color w:val="auto"/>
              </w:rPr>
              <w:t>Gain on sale of real estate</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4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54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460" w:type="dxa"/>
            <w:vAlign w:val="bottom"/>
            <w:tcBorders>
              <w:bottom w:val="single" w:sz="8" w:color="CCEEFF"/>
            </w:tcBorders>
            <w:gridSpan w:val="3"/>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w:t>
            </w:r>
          </w:p>
        </w:tc>
        <w:tc>
          <w:tcPr>
            <w:tcW w:w="4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from continuing operations attributable to the Trust</w:t>
            </w:r>
          </w:p>
        </w:tc>
        <w:tc>
          <w:tcPr>
            <w:tcW w:w="2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2640" w:type="dxa"/>
            <w:vAlign w:val="bottom"/>
            <w:gridSpan w:val="2"/>
          </w:tcPr>
          <w:p>
            <w:pPr>
              <w:jc w:val="right"/>
              <w:ind w:right="9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126,079</w:t>
            </w:r>
          </w:p>
        </w:tc>
        <w:tc>
          <w:tcPr>
            <w:tcW w:w="460" w:type="dxa"/>
            <w:vAlign w:val="bottom"/>
            <w:gridSpan w:val="3"/>
          </w:tcPr>
          <w:p>
            <w:pPr>
              <w:jc w:val="right"/>
              <w:ind w:right="9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120,604</w:t>
            </w:r>
          </w:p>
        </w:tc>
        <w:tc>
          <w:tcPr>
            <w:tcW w:w="48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95,757</w:t>
            </w:r>
          </w:p>
        </w:tc>
        <w:tc>
          <w:tcPr>
            <w:tcW w:w="0" w:type="dxa"/>
            <w:vAlign w:val="bottom"/>
          </w:tcPr>
          <w:p>
            <w:pPr>
              <w:spacing w:after="0"/>
              <w:rPr>
                <w:sz w:val="1"/>
                <w:szCs w:val="1"/>
                <w:color w:val="auto"/>
              </w:rPr>
            </w:pPr>
          </w:p>
        </w:tc>
      </w:tr>
      <w:tr>
        <w:trPr>
          <w:trHeight w:val="835"/>
        </w:trPr>
        <w:tc>
          <w:tcPr>
            <w:tcW w:w="5420" w:type="dxa"/>
            <w:vAlign w:val="bottom"/>
          </w:tcPr>
          <w:p>
            <w:pPr>
              <w:spacing w:after="0"/>
              <w:rPr>
                <w:sz w:val="24"/>
                <w:szCs w:val="24"/>
                <w:color w:val="auto"/>
              </w:rPr>
            </w:pPr>
          </w:p>
        </w:tc>
        <w:tc>
          <w:tcPr>
            <w:tcW w:w="2640" w:type="dxa"/>
            <w:vAlign w:val="bottom"/>
            <w:gridSpan w:val="2"/>
          </w:tcPr>
          <w:p>
            <w:pPr>
              <w:jc w:val="right"/>
              <w:ind w:right="2118"/>
              <w:spacing w:after="0"/>
              <w:rPr>
                <w:sz w:val="20"/>
                <w:szCs w:val="20"/>
                <w:color w:val="auto"/>
              </w:rPr>
            </w:pPr>
            <w:r>
              <w:rPr>
                <w:rFonts w:ascii="Arial" w:cs="Arial" w:eastAsia="Arial" w:hAnsi="Arial"/>
                <w:sz w:val="16"/>
                <w:szCs w:val="16"/>
                <w:color w:val="auto"/>
              </w:rPr>
              <w:t>F-30</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4" w:name="page85"/>
    <w:bookmarkEnd w:id="84"/>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18—SELECTED QUARTERLY FINANCIAL DATA (UNAUDITED)</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6"/>
          <w:szCs w:val="16"/>
          <w:color w:val="auto"/>
        </w:rPr>
        <w:t>Summarized quarterly financial data is as follows:</w:t>
      </w:r>
    </w:p>
    <w:p>
      <w:pPr>
        <w:spacing w:after="0" w:line="13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22"/>
              <w:spacing w:after="0"/>
              <w:rPr>
                <w:sz w:val="20"/>
                <w:szCs w:val="20"/>
                <w:color w:val="auto"/>
              </w:rPr>
            </w:pPr>
            <w:r>
              <w:rPr>
                <w:rFonts w:ascii="Arial" w:cs="Arial" w:eastAsia="Arial" w:hAnsi="Arial"/>
                <w:sz w:val="13"/>
                <w:szCs w:val="13"/>
                <w:b w:val="1"/>
                <w:bCs w:val="1"/>
                <w:color w:val="auto"/>
                <w:w w:val="92"/>
              </w:rPr>
              <w:t>First</w:t>
            </w:r>
          </w:p>
        </w:tc>
        <w:tc>
          <w:tcPr>
            <w:tcW w:w="340" w:type="dxa"/>
            <w:vAlign w:val="bottom"/>
          </w:tcPr>
          <w:p>
            <w:pPr>
              <w:spacing w:after="0"/>
              <w:rPr>
                <w:sz w:val="13"/>
                <w:szCs w:val="13"/>
                <w:color w:val="auto"/>
              </w:rPr>
            </w:pPr>
          </w:p>
        </w:tc>
        <w:tc>
          <w:tcPr>
            <w:tcW w:w="1140" w:type="dxa"/>
            <w:vAlign w:val="bottom"/>
          </w:tcPr>
          <w:p>
            <w:pPr>
              <w:jc w:val="center"/>
              <w:ind w:right="183"/>
              <w:spacing w:after="0"/>
              <w:rPr>
                <w:sz w:val="20"/>
                <w:szCs w:val="20"/>
                <w:color w:val="auto"/>
              </w:rPr>
            </w:pPr>
            <w:r>
              <w:rPr>
                <w:rFonts w:ascii="Arial" w:cs="Arial" w:eastAsia="Arial" w:hAnsi="Arial"/>
                <w:sz w:val="13"/>
                <w:szCs w:val="13"/>
                <w:b w:val="1"/>
                <w:bCs w:val="1"/>
                <w:color w:val="auto"/>
                <w:w w:val="85"/>
              </w:rPr>
              <w:t>Second</w:t>
            </w:r>
          </w:p>
        </w:tc>
        <w:tc>
          <w:tcPr>
            <w:tcW w:w="380" w:type="dxa"/>
            <w:vAlign w:val="bottom"/>
          </w:tcPr>
          <w:p>
            <w:pPr>
              <w:spacing w:after="0"/>
              <w:rPr>
                <w:sz w:val="13"/>
                <w:szCs w:val="13"/>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8"/>
              </w:rPr>
              <w:t>Third</w:t>
            </w:r>
          </w:p>
        </w:tc>
        <w:tc>
          <w:tcPr>
            <w:tcW w:w="380" w:type="dxa"/>
            <w:vAlign w:val="bottom"/>
          </w:tcPr>
          <w:p>
            <w:pPr>
              <w:spacing w:after="0"/>
              <w:rPr>
                <w:sz w:val="13"/>
                <w:szCs w:val="13"/>
                <w:color w:val="auto"/>
              </w:rPr>
            </w:pPr>
          </w:p>
        </w:tc>
        <w:tc>
          <w:tcPr>
            <w:tcW w:w="1080" w:type="dxa"/>
            <w:vAlign w:val="bottom"/>
          </w:tcPr>
          <w:p>
            <w:pPr>
              <w:jc w:val="center"/>
              <w:ind w:right="182"/>
              <w:spacing w:after="0"/>
              <w:rPr>
                <w:sz w:val="20"/>
                <w:szCs w:val="20"/>
                <w:color w:val="auto"/>
              </w:rPr>
            </w:pPr>
            <w:r>
              <w:rPr>
                <w:rFonts w:ascii="Arial" w:cs="Arial" w:eastAsia="Arial" w:hAnsi="Arial"/>
                <w:sz w:val="13"/>
                <w:szCs w:val="13"/>
                <w:b w:val="1"/>
                <w:bCs w:val="1"/>
                <w:color w:val="auto"/>
                <w:w w:val="92"/>
              </w:rPr>
              <w:t>Fourth</w:t>
            </w:r>
          </w:p>
        </w:tc>
      </w:tr>
      <w:tr>
        <w:trPr>
          <w:trHeight w:val="174"/>
        </w:trPr>
        <w:tc>
          <w:tcPr>
            <w:tcW w:w="5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Quarter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7"/>
              </w:rPr>
              <w:t>Quarter</w:t>
            </w:r>
          </w:p>
        </w:tc>
      </w:tr>
      <w:tr>
        <w:trPr>
          <w:trHeight w:val="176"/>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w w:val="94"/>
              </w:rPr>
              <w:t>(In thousands, except per share data)</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Revenue(1)</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137,650</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136,279</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137,664</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141,466</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56,373</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57,334</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56,757</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57,233</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Net income(2)</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32,384</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36,471</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48,302</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32,455</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Trust(2)</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31,186</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34,757</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47,053</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30,921</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Net income available for common shareholders(2)</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31,051</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34,622</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46,917</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30,786</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share—basic(2)</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0.50</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0.55</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0.74</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0.48</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Earnings per common share—diluted(2)</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0.50</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0.55</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0.74</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0.48</w:t>
            </w:r>
          </w:p>
        </w:tc>
      </w:tr>
      <w:tr>
        <w:trPr>
          <w:trHeight w:val="165"/>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22"/>
              <w:spacing w:after="0"/>
              <w:rPr>
                <w:sz w:val="20"/>
                <w:szCs w:val="20"/>
                <w:color w:val="auto"/>
              </w:rPr>
            </w:pPr>
            <w:r>
              <w:rPr>
                <w:rFonts w:ascii="Arial" w:cs="Arial" w:eastAsia="Arial" w:hAnsi="Arial"/>
                <w:sz w:val="13"/>
                <w:szCs w:val="13"/>
                <w:b w:val="1"/>
                <w:bCs w:val="1"/>
                <w:color w:val="auto"/>
                <w:w w:val="92"/>
              </w:rPr>
              <w:t>First</w:t>
            </w:r>
          </w:p>
        </w:tc>
        <w:tc>
          <w:tcPr>
            <w:tcW w:w="340" w:type="dxa"/>
            <w:vAlign w:val="bottom"/>
          </w:tcPr>
          <w:p>
            <w:pPr>
              <w:spacing w:after="0"/>
              <w:rPr>
                <w:sz w:val="14"/>
                <w:szCs w:val="14"/>
                <w:color w:val="auto"/>
              </w:rPr>
            </w:pPr>
          </w:p>
        </w:tc>
        <w:tc>
          <w:tcPr>
            <w:tcW w:w="1140" w:type="dxa"/>
            <w:vAlign w:val="bottom"/>
          </w:tcPr>
          <w:p>
            <w:pPr>
              <w:jc w:val="center"/>
              <w:ind w:right="183"/>
              <w:spacing w:after="0"/>
              <w:rPr>
                <w:sz w:val="20"/>
                <w:szCs w:val="20"/>
                <w:color w:val="auto"/>
              </w:rPr>
            </w:pPr>
            <w:r>
              <w:rPr>
                <w:rFonts w:ascii="Arial" w:cs="Arial" w:eastAsia="Arial" w:hAnsi="Arial"/>
                <w:sz w:val="13"/>
                <w:szCs w:val="13"/>
                <w:b w:val="1"/>
                <w:bCs w:val="1"/>
                <w:color w:val="auto"/>
                <w:w w:val="85"/>
              </w:rPr>
              <w:t>Second</w:t>
            </w:r>
          </w:p>
        </w:tc>
        <w:tc>
          <w:tcPr>
            <w:tcW w:w="380" w:type="dxa"/>
            <w:vAlign w:val="bottom"/>
          </w:tcPr>
          <w:p>
            <w:pPr>
              <w:spacing w:after="0"/>
              <w:rPr>
                <w:sz w:val="14"/>
                <w:szCs w:val="14"/>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8"/>
              </w:rPr>
              <w:t>Third</w:t>
            </w:r>
          </w:p>
        </w:tc>
        <w:tc>
          <w:tcPr>
            <w:tcW w:w="380" w:type="dxa"/>
            <w:vAlign w:val="bottom"/>
          </w:tcPr>
          <w:p>
            <w:pPr>
              <w:spacing w:after="0"/>
              <w:rPr>
                <w:sz w:val="14"/>
                <w:szCs w:val="14"/>
                <w:color w:val="auto"/>
              </w:rPr>
            </w:pPr>
          </w:p>
        </w:tc>
        <w:tc>
          <w:tcPr>
            <w:tcW w:w="1080" w:type="dxa"/>
            <w:vAlign w:val="bottom"/>
          </w:tcPr>
          <w:p>
            <w:pPr>
              <w:jc w:val="center"/>
              <w:ind w:right="182"/>
              <w:spacing w:after="0"/>
              <w:rPr>
                <w:sz w:val="20"/>
                <w:szCs w:val="20"/>
                <w:color w:val="auto"/>
              </w:rPr>
            </w:pPr>
            <w:r>
              <w:rPr>
                <w:rFonts w:ascii="Arial" w:cs="Arial" w:eastAsia="Arial" w:hAnsi="Arial"/>
                <w:sz w:val="13"/>
                <w:szCs w:val="13"/>
                <w:b w:val="1"/>
                <w:bCs w:val="1"/>
                <w:color w:val="auto"/>
                <w:w w:val="92"/>
              </w:rPr>
              <w:t>Fourth</w:t>
            </w:r>
          </w:p>
        </w:tc>
      </w:tr>
      <w:tr>
        <w:trPr>
          <w:trHeight w:val="174"/>
        </w:trPr>
        <w:tc>
          <w:tcPr>
            <w:tcW w:w="5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Quarter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Quarter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7"/>
              </w:rPr>
              <w:t>Quarter</w:t>
            </w:r>
          </w:p>
        </w:tc>
      </w:tr>
      <w:tr>
        <w:trPr>
          <w:trHeight w:val="176"/>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w w:val="94"/>
              </w:rPr>
              <w:t>(In thousands, except per share data)</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2010</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Revenue(1)</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137,801</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133,216</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133,446</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137,334</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58,718</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55,841</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55,897</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58,762</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30,554</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32,368</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31,010</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34,305</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Trust</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29,220</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31,114</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29,640</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32,816</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Net income available for common shareholders</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29,085</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30,979</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29,504</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32,681</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share—basic</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0.47</w:t>
            </w:r>
          </w:p>
        </w:tc>
        <w:tc>
          <w:tcPr>
            <w:tcW w:w="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0.50</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0.48</w:t>
            </w:r>
          </w:p>
        </w:tc>
        <w:tc>
          <w:tcPr>
            <w:tcW w:w="3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0.53</w:t>
            </w:r>
          </w:p>
        </w:tc>
      </w:tr>
      <w:tr>
        <w:trPr>
          <w:trHeight w:val="220"/>
        </w:trPr>
        <w:tc>
          <w:tcPr>
            <w:tcW w:w="5600" w:type="dxa"/>
            <w:vAlign w:val="bottom"/>
          </w:tcPr>
          <w:p>
            <w:pPr>
              <w:ind w:left="20"/>
              <w:spacing w:after="0"/>
              <w:rPr>
                <w:sz w:val="20"/>
                <w:szCs w:val="20"/>
                <w:color w:val="auto"/>
              </w:rPr>
            </w:pPr>
            <w:r>
              <w:rPr>
                <w:rFonts w:ascii="Arial" w:cs="Arial" w:eastAsia="Arial" w:hAnsi="Arial"/>
                <w:sz w:val="16"/>
                <w:szCs w:val="16"/>
                <w:color w:val="auto"/>
              </w:rPr>
              <w:t>Earnings per common share—diluted</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0.47</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0.50</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0.48</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0.53</w:t>
            </w:r>
          </w:p>
        </w:tc>
      </w:tr>
    </w:tbl>
    <w:p>
      <w:pPr>
        <w:spacing w:after="0" w:line="210" w:lineRule="exact"/>
        <w:rPr>
          <w:sz w:val="20"/>
          <w:szCs w:val="20"/>
          <w:color w:val="auto"/>
        </w:rPr>
      </w:pPr>
    </w:p>
    <w:p>
      <w:pPr>
        <w:ind w:left="582" w:hanging="582"/>
        <w:spacing w:after="0"/>
        <w:tabs>
          <w:tab w:leader="none" w:pos="582"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Revenue has been reduced to reflect the results of discontinued operations. Revenue from discontinued operations, by quarter, is summarized as follows:</w:t>
      </w:r>
    </w:p>
    <w:p>
      <w:pPr>
        <w:spacing w:after="0" w:line="149" w:lineRule="exact"/>
        <w:rPr>
          <w:sz w:val="20"/>
          <w:szCs w:val="20"/>
          <w:color w:val="auto"/>
        </w:rPr>
      </w:pPr>
    </w:p>
    <w:tbl>
      <w:tblPr>
        <w:tblLayout w:type="fixed"/>
        <w:tblInd w:w="782"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506"/>
              <w:spacing w:after="0"/>
              <w:rPr>
                <w:sz w:val="20"/>
                <w:szCs w:val="20"/>
                <w:color w:val="auto"/>
              </w:rPr>
            </w:pPr>
            <w:r>
              <w:rPr>
                <w:rFonts w:ascii="Arial" w:cs="Arial" w:eastAsia="Arial" w:hAnsi="Arial"/>
                <w:sz w:val="13"/>
                <w:szCs w:val="13"/>
                <w:b w:val="1"/>
                <w:bCs w:val="1"/>
                <w:color w:val="auto"/>
              </w:rPr>
              <w:t>First</w:t>
            </w:r>
          </w:p>
        </w:tc>
        <w:tc>
          <w:tcPr>
            <w:tcW w:w="400" w:type="dxa"/>
            <w:vAlign w:val="bottom"/>
          </w:tcPr>
          <w:p>
            <w:pPr>
              <w:spacing w:after="0"/>
              <w:rPr>
                <w:sz w:val="13"/>
                <w:szCs w:val="13"/>
                <w:color w:val="auto"/>
              </w:rPr>
            </w:pPr>
          </w:p>
        </w:tc>
        <w:tc>
          <w:tcPr>
            <w:tcW w:w="1100" w:type="dxa"/>
            <w:vAlign w:val="bottom"/>
          </w:tcPr>
          <w:p>
            <w:pPr>
              <w:jc w:val="right"/>
              <w:ind w:right="428"/>
              <w:spacing w:after="0"/>
              <w:rPr>
                <w:sz w:val="20"/>
                <w:szCs w:val="20"/>
                <w:color w:val="auto"/>
              </w:rPr>
            </w:pPr>
            <w:r>
              <w:rPr>
                <w:rFonts w:ascii="Arial" w:cs="Arial" w:eastAsia="Arial" w:hAnsi="Arial"/>
                <w:sz w:val="13"/>
                <w:szCs w:val="13"/>
                <w:b w:val="1"/>
                <w:bCs w:val="1"/>
                <w:color w:val="auto"/>
              </w:rPr>
              <w:t>Second</w:t>
            </w:r>
          </w:p>
        </w:tc>
        <w:tc>
          <w:tcPr>
            <w:tcW w:w="480" w:type="dxa"/>
            <w:vAlign w:val="bottom"/>
          </w:tcPr>
          <w:p>
            <w:pPr>
              <w:spacing w:after="0"/>
              <w:rPr>
                <w:sz w:val="13"/>
                <w:szCs w:val="13"/>
                <w:color w:val="auto"/>
              </w:rPr>
            </w:pPr>
          </w:p>
        </w:tc>
        <w:tc>
          <w:tcPr>
            <w:tcW w:w="980" w:type="dxa"/>
            <w:vAlign w:val="bottom"/>
          </w:tcPr>
          <w:p>
            <w:pPr>
              <w:jc w:val="right"/>
              <w:ind w:right="446"/>
              <w:spacing w:after="0"/>
              <w:rPr>
                <w:sz w:val="20"/>
                <w:szCs w:val="20"/>
                <w:color w:val="auto"/>
              </w:rPr>
            </w:pPr>
            <w:r>
              <w:rPr>
                <w:rFonts w:ascii="Arial" w:cs="Arial" w:eastAsia="Arial" w:hAnsi="Arial"/>
                <w:sz w:val="13"/>
                <w:szCs w:val="13"/>
                <w:b w:val="1"/>
                <w:bCs w:val="1"/>
                <w:color w:val="auto"/>
              </w:rPr>
              <w:t>Third</w:t>
            </w:r>
          </w:p>
        </w:tc>
        <w:tc>
          <w:tcPr>
            <w:tcW w:w="380" w:type="dxa"/>
            <w:vAlign w:val="bottom"/>
          </w:tcPr>
          <w:p>
            <w:pPr>
              <w:spacing w:after="0"/>
              <w:rPr>
                <w:sz w:val="13"/>
                <w:szCs w:val="13"/>
                <w:color w:val="auto"/>
              </w:rPr>
            </w:pPr>
          </w:p>
        </w:tc>
        <w:tc>
          <w:tcPr>
            <w:tcW w:w="1080" w:type="dxa"/>
            <w:vAlign w:val="bottom"/>
          </w:tcPr>
          <w:p>
            <w:pPr>
              <w:jc w:val="right"/>
              <w:ind w:right="406"/>
              <w:spacing w:after="0"/>
              <w:rPr>
                <w:sz w:val="20"/>
                <w:szCs w:val="20"/>
                <w:color w:val="auto"/>
              </w:rPr>
            </w:pPr>
            <w:r>
              <w:rPr>
                <w:rFonts w:ascii="Arial" w:cs="Arial" w:eastAsia="Arial" w:hAnsi="Arial"/>
                <w:sz w:val="13"/>
                <w:szCs w:val="13"/>
                <w:b w:val="1"/>
                <w:bCs w:val="1"/>
                <w:color w:val="auto"/>
              </w:rPr>
              <w:t>Fourth</w:t>
            </w:r>
          </w:p>
        </w:tc>
      </w:tr>
      <w:tr>
        <w:trPr>
          <w:trHeight w:val="174"/>
        </w:trPr>
        <w:tc>
          <w:tcPr>
            <w:tcW w:w="4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Quarter</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Quarter</w:t>
            </w: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Quarter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Quarter</w:t>
            </w:r>
          </w:p>
        </w:tc>
      </w:tr>
      <w:tr>
        <w:trPr>
          <w:trHeight w:val="226"/>
        </w:trPr>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2011 revenue from discontinued operations</w:t>
            </w: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978</w:t>
            </w:r>
          </w:p>
        </w:tc>
        <w:tc>
          <w:tcPr>
            <w:tcW w:w="4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1,048</w:t>
            </w:r>
          </w:p>
        </w:tc>
        <w:tc>
          <w:tcPr>
            <w:tcW w:w="48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163</w:t>
            </w:r>
          </w:p>
        </w:tc>
        <w:tc>
          <w:tcPr>
            <w:tcW w:w="3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93</w:t>
            </w:r>
          </w:p>
        </w:tc>
      </w:tr>
      <w:tr>
        <w:trPr>
          <w:trHeight w:val="220"/>
        </w:trPr>
        <w:tc>
          <w:tcPr>
            <w:tcW w:w="4800" w:type="dxa"/>
            <w:vAlign w:val="bottom"/>
          </w:tcPr>
          <w:p>
            <w:pPr>
              <w:ind w:left="20"/>
              <w:spacing w:after="0"/>
              <w:rPr>
                <w:sz w:val="20"/>
                <w:szCs w:val="20"/>
                <w:color w:val="auto"/>
              </w:rPr>
            </w:pPr>
            <w:r>
              <w:rPr>
                <w:rFonts w:ascii="Arial" w:cs="Arial" w:eastAsia="Arial" w:hAnsi="Arial"/>
                <w:sz w:val="16"/>
                <w:szCs w:val="16"/>
                <w:color w:val="auto"/>
              </w:rPr>
              <w:t>2010 revenue from discontinued operations</w:t>
            </w:r>
          </w:p>
        </w:tc>
        <w:tc>
          <w:tcPr>
            <w:tcW w:w="3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669</w:t>
            </w:r>
          </w:p>
        </w:tc>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619</w:t>
            </w:r>
          </w:p>
        </w:tc>
        <w:tc>
          <w:tcPr>
            <w:tcW w:w="480" w:type="dxa"/>
            <w:vAlign w:val="bottom"/>
          </w:tcPr>
          <w:p>
            <w:pPr>
              <w:jc w:val="right"/>
              <w:ind w:right="21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618</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
              <w:spacing w:after="0"/>
              <w:rPr>
                <w:sz w:val="20"/>
                <w:szCs w:val="20"/>
                <w:color w:val="auto"/>
              </w:rPr>
            </w:pPr>
            <w:r>
              <w:rPr>
                <w:rFonts w:ascii="Arial" w:cs="Arial" w:eastAsia="Arial" w:hAnsi="Arial"/>
                <w:sz w:val="16"/>
                <w:szCs w:val="16"/>
                <w:color w:val="auto"/>
              </w:rPr>
              <w:t>1,627</w:t>
            </w:r>
          </w:p>
        </w:tc>
      </w:tr>
    </w:tbl>
    <w:p>
      <w:pPr>
        <w:spacing w:after="0" w:line="185" w:lineRule="exact"/>
        <w:rPr>
          <w:sz w:val="20"/>
          <w:szCs w:val="20"/>
          <w:color w:val="auto"/>
        </w:rPr>
      </w:pPr>
    </w:p>
    <w:p>
      <w:pPr>
        <w:ind w:left="5562" w:right="2220" w:hanging="5562"/>
        <w:spacing w:after="0" w:line="831" w:lineRule="auto"/>
        <w:tabs>
          <w:tab w:leader="none" w:pos="5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Third quarter 2011 amounts include a $14.8 million gain on sale of our Feasterville Shopping Center as further discussed in Note 3. F-31</w:t>
      </w:r>
    </w:p>
    <w:p>
      <w:pPr>
        <w:sectPr>
          <w:pgSz w:w="11900" w:h="16838" w:orient="portrait"/>
          <w:cols w:equalWidth="0" w:num="1">
            <w:col w:w="11422"/>
          </w:cols>
          <w:pgMar w:left="238" w:top="127" w:right="2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OF REAL ESTATE AND ACCUMULATED DEPRECIATION</w:t>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DECEMBER 31, 2011</w:t>
      </w:r>
    </w:p>
    <w:p>
      <w:pPr>
        <w:spacing w:after="0" w:line="12"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COLUMN A</w:t>
            </w:r>
          </w:p>
        </w:tc>
        <w:tc>
          <w:tcPr>
            <w:tcW w:w="46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COLUMN B</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COLUMN C</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COLUMN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COLUMN 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COLUMN F</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COLUMN G</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COLUMN H</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131"/>
        </w:trPr>
        <w:tc>
          <w:tcPr>
            <w:tcW w:w="17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Life on</w:t>
            </w: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0" w:type="dxa"/>
            <w:vAlign w:val="bottom"/>
            <w:gridSpan w:val="7"/>
            <w:vMerge w:val="restart"/>
          </w:tcPr>
          <w:p>
            <w:pPr>
              <w:jc w:val="center"/>
              <w:ind w:right="240"/>
              <w:spacing w:after="0"/>
              <w:rPr>
                <w:sz w:val="20"/>
                <w:szCs w:val="20"/>
                <w:color w:val="auto"/>
              </w:rPr>
            </w:pPr>
            <w:r>
              <w:rPr>
                <w:rFonts w:ascii="Arial" w:cs="Arial" w:eastAsia="Arial" w:hAnsi="Arial"/>
                <w:sz w:val="11"/>
                <w:szCs w:val="11"/>
                <w:b w:val="1"/>
                <w:bCs w:val="1"/>
                <w:color w:val="auto"/>
                <w:w w:val="94"/>
              </w:rPr>
              <w:t>Gross amount at which carried at</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which</w:t>
            </w: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ind w:left="40"/>
              <w:spacing w:after="0" w:line="114" w:lineRule="exact"/>
              <w:rPr>
                <w:sz w:val="20"/>
                <w:szCs w:val="20"/>
                <w:color w:val="auto"/>
              </w:rPr>
            </w:pPr>
            <w:r>
              <w:rPr>
                <w:rFonts w:ascii="Arial" w:cs="Arial" w:eastAsia="Arial" w:hAnsi="Arial"/>
                <w:sz w:val="11"/>
                <w:szCs w:val="11"/>
                <w:b w:val="1"/>
                <w:bCs w:val="1"/>
                <w:color w:val="auto"/>
                <w:w w:val="91"/>
              </w:rPr>
              <w:t>depreciation</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1"/>
                <w:szCs w:val="11"/>
                <w:b w:val="1"/>
                <w:bCs w:val="1"/>
                <w:color w:val="auto"/>
              </w:rPr>
              <w:t>Initial cost to company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Cost</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1"/>
                <w:szCs w:val="11"/>
                <w:b w:val="1"/>
                <w:bCs w:val="1"/>
                <w:color w:val="auto"/>
                <w:w w:val="89"/>
              </w:rPr>
              <w:t>close of period</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in latest</w:t>
            </w: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6"/>
              </w:rPr>
              <w:t>Capitalized</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5"/>
              </w:rPr>
              <w:t>Accumulated</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88"/>
              </w:rPr>
              <w:t>Subsequent</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Depreciation</w:t>
            </w: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statements</w:t>
            </w:r>
          </w:p>
        </w:tc>
        <w:tc>
          <w:tcPr>
            <w:tcW w:w="0" w:type="dxa"/>
            <w:vAlign w:val="bottom"/>
          </w:tcPr>
          <w:p>
            <w:pPr>
              <w:spacing w:after="0"/>
              <w:rPr>
                <w:sz w:val="1"/>
                <w:szCs w:val="1"/>
                <w:color w:val="auto"/>
              </w:rPr>
            </w:pPr>
          </w:p>
        </w:tc>
      </w:tr>
      <w:tr>
        <w:trPr>
          <w:trHeight w:val="123"/>
        </w:trPr>
        <w:tc>
          <w:tcPr>
            <w:tcW w:w="1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35"/>
              <w:spacing w:after="0" w:line="123" w:lineRule="exact"/>
              <w:rPr>
                <w:sz w:val="20"/>
                <w:szCs w:val="20"/>
                <w:color w:val="auto"/>
              </w:rPr>
            </w:pPr>
            <w:r>
              <w:rPr>
                <w:rFonts w:ascii="Arial" w:cs="Arial" w:eastAsia="Arial" w:hAnsi="Arial"/>
                <w:sz w:val="11"/>
                <w:szCs w:val="11"/>
                <w:b w:val="1"/>
                <w:bCs w:val="1"/>
                <w:color w:val="auto"/>
                <w:w w:val="92"/>
              </w:rPr>
              <w:t>Building and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76"/>
              </w:rPr>
              <w:t>to</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5"/>
              </w:rPr>
              <w:t>Building and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300"/>
              <w:spacing w:after="0" w:line="123" w:lineRule="exact"/>
              <w:rPr>
                <w:sz w:val="20"/>
                <w:szCs w:val="20"/>
                <w:color w:val="auto"/>
              </w:rPr>
            </w:pPr>
            <w:r>
              <w:rPr>
                <w:rFonts w:ascii="Arial" w:cs="Arial" w:eastAsia="Arial" w:hAnsi="Arial"/>
                <w:sz w:val="11"/>
                <w:szCs w:val="11"/>
                <w:b w:val="1"/>
                <w:bCs w:val="1"/>
                <w:color w:val="auto"/>
                <w:w w:val="91"/>
              </w:rPr>
              <w:t>and</w:t>
            </w: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of</w:t>
            </w:r>
          </w:p>
        </w:tc>
        <w:tc>
          <w:tcPr>
            <w:tcW w:w="8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6"/>
              </w:rPr>
              <w:t>is</w:t>
            </w:r>
          </w:p>
        </w:tc>
        <w:tc>
          <w:tcPr>
            <w:tcW w:w="0" w:type="dxa"/>
            <w:vAlign w:val="bottom"/>
          </w:tcPr>
          <w:p>
            <w:pPr>
              <w:spacing w:after="0"/>
              <w:rPr>
                <w:sz w:val="1"/>
                <w:szCs w:val="1"/>
                <w:color w:val="auto"/>
              </w:rPr>
            </w:pPr>
          </w:p>
        </w:tc>
      </w:tr>
      <w:tr>
        <w:trPr>
          <w:trHeight w:val="156"/>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Descriptions</w:t>
            </w:r>
          </w:p>
        </w:tc>
        <w:tc>
          <w:tcPr>
            <w:tcW w:w="46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Encumbrance</w:t>
            </w: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Land</w:t>
            </w:r>
          </w:p>
        </w:tc>
        <w:tc>
          <w:tcPr>
            <w:tcW w:w="840" w:type="dxa"/>
            <w:vAlign w:val="bottom"/>
            <w:gridSpan w:val="2"/>
          </w:tcPr>
          <w:p>
            <w:pPr>
              <w:jc w:val="right"/>
              <w:spacing w:after="0"/>
              <w:rPr>
                <w:sz w:val="20"/>
                <w:szCs w:val="20"/>
                <w:color w:val="auto"/>
              </w:rPr>
            </w:pPr>
            <w:r>
              <w:rPr>
                <w:rFonts w:ascii="Arial" w:cs="Arial" w:eastAsia="Arial" w:hAnsi="Arial"/>
                <w:sz w:val="11"/>
                <w:szCs w:val="11"/>
                <w:b w:val="1"/>
                <w:bCs w:val="1"/>
                <w:color w:val="auto"/>
              </w:rPr>
              <w:t>Improvements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Acquisition</w:t>
            </w:r>
          </w:p>
        </w:tc>
        <w:tc>
          <w:tcPr>
            <w:tcW w:w="180" w:type="dxa"/>
            <w:vAlign w:val="bottom"/>
          </w:tcPr>
          <w:p>
            <w:pPr>
              <w:spacing w:after="0"/>
              <w:rPr>
                <w:sz w:val="13"/>
                <w:szCs w:val="13"/>
                <w:color w:val="auto"/>
              </w:rPr>
            </w:pPr>
          </w:p>
        </w:tc>
        <w:tc>
          <w:tcPr>
            <w:tcW w:w="600" w:type="dxa"/>
            <w:vAlign w:val="bottom"/>
          </w:tcPr>
          <w:p>
            <w:pPr>
              <w:jc w:val="right"/>
              <w:ind w:right="195"/>
              <w:spacing w:after="0"/>
              <w:rPr>
                <w:sz w:val="20"/>
                <w:szCs w:val="20"/>
                <w:color w:val="auto"/>
              </w:rPr>
            </w:pPr>
            <w:r>
              <w:rPr>
                <w:rFonts w:ascii="Arial" w:cs="Arial" w:eastAsia="Arial" w:hAnsi="Arial"/>
                <w:sz w:val="11"/>
                <w:szCs w:val="11"/>
                <w:b w:val="1"/>
                <w:bCs w:val="1"/>
                <w:color w:val="auto"/>
              </w:rPr>
              <w:t>Land</w:t>
            </w: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5"/>
              </w:rPr>
              <w:t>Improvements</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c>
          <w:tcPr>
            <w:tcW w:w="8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Amortization</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Construction</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computed</w:t>
            </w:r>
          </w:p>
        </w:tc>
        <w:tc>
          <w:tcPr>
            <w:tcW w:w="0" w:type="dxa"/>
            <w:vAlign w:val="bottom"/>
          </w:tcPr>
          <w:p>
            <w:pPr>
              <w:spacing w:after="0"/>
              <w:rPr>
                <w:sz w:val="1"/>
                <w:szCs w:val="1"/>
                <w:color w:val="auto"/>
              </w:rPr>
            </w:pPr>
          </w:p>
        </w:tc>
      </w:tr>
      <w:tr>
        <w:trPr>
          <w:trHeight w:val="143"/>
        </w:trPr>
        <w:tc>
          <w:tcPr>
            <w:tcW w:w="174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150 POST STREET</w:t>
            </w:r>
          </w:p>
        </w:tc>
        <w:tc>
          <w:tcPr>
            <w:tcW w:w="4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26,173</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$ 37,858</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10/23/1997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rPr>
                <w:sz w:val="20"/>
                <w:szCs w:val="20"/>
                <w:color w:val="auto"/>
              </w:rPr>
            </w:pPr>
            <w:r>
              <w:rPr>
                <w:rFonts w:ascii="Arial" w:cs="Arial" w:eastAsia="Arial" w:hAnsi="Arial"/>
                <w:sz w:val="13"/>
                <w:szCs w:val="13"/>
                <w:color w:val="auto"/>
              </w:rPr>
              <w:t>ANDORRA (Pennsylvania)</w:t>
            </w:r>
          </w:p>
        </w:tc>
        <w:tc>
          <w:tcPr>
            <w:tcW w:w="460" w:type="dxa"/>
            <w:vAlign w:val="bottom"/>
          </w:tcPr>
          <w:p>
            <w:pPr>
              <w:ind w:left="120"/>
              <w:spacing w:after="0"/>
              <w:rPr>
                <w:sz w:val="20"/>
                <w:szCs w:val="20"/>
                <w:color w:val="auto"/>
              </w:rPr>
            </w:pPr>
            <w:r>
              <w:rPr>
                <w:rFonts w:ascii="Arial" w:cs="Arial" w:eastAsia="Arial" w:hAnsi="Arial"/>
                <w:sz w:val="13"/>
                <w:szCs w:val="13"/>
                <w:color w:val="auto"/>
              </w:rPr>
              <w:t>PA</w:t>
            </w:r>
          </w:p>
        </w:tc>
        <w:tc>
          <w:tcPr>
            <w:tcW w:w="2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22,262</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24,694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14,411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1/12/1988</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ASSEMBLY SQUARE</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MARKETPLACE/ASSEMBLY</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ROW (Massachusetts)</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155,423</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230,829</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2005-2011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Arial" w:cs="Arial" w:eastAsia="Arial" w:hAnsi="Arial"/>
                <w:sz w:val="13"/>
                <w:szCs w:val="13"/>
                <w:color w:val="auto"/>
              </w:rPr>
              <w:t>THE AVENUE AT WHITE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MARSH (Maryland)</w:t>
            </w:r>
          </w:p>
        </w:tc>
        <w:tc>
          <w:tcPr>
            <w:tcW w:w="460" w:type="dxa"/>
            <w:vAlign w:val="bottom"/>
          </w:tcPr>
          <w:p>
            <w:pPr>
              <w:ind w:left="120"/>
              <w:spacing w:after="0"/>
              <w:rPr>
                <w:sz w:val="20"/>
                <w:szCs w:val="20"/>
                <w:color w:val="auto"/>
              </w:rPr>
            </w:pPr>
            <w:r>
              <w:rPr>
                <w:rFonts w:ascii="Arial" w:cs="Arial" w:eastAsia="Arial" w:hAnsi="Arial"/>
                <w:sz w:val="13"/>
                <w:szCs w:val="13"/>
                <w:color w:val="auto"/>
              </w:rPr>
              <w:t>MD</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56,629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72,432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75,386</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96,068</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13,311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3/8/2007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34,696</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38,262</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9/22/1993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rPr>
                <w:sz w:val="20"/>
                <w:szCs w:val="20"/>
                <w:color w:val="auto"/>
              </w:rPr>
            </w:pPr>
            <w:r>
              <w:rPr>
                <w:rFonts w:ascii="Arial" w:cs="Arial" w:eastAsia="Arial" w:hAnsi="Arial"/>
                <w:sz w:val="13"/>
                <w:szCs w:val="13"/>
                <w:color w:val="auto"/>
              </w:rPr>
              <w:t>BARRACKS ROAD (Virginia)</w:t>
            </w:r>
          </w:p>
        </w:tc>
        <w:tc>
          <w:tcPr>
            <w:tcW w:w="460" w:type="dxa"/>
            <w:vAlign w:val="bottom"/>
          </w:tcPr>
          <w:p>
            <w:pPr>
              <w:ind w:left="120"/>
              <w:spacing w:after="0"/>
              <w:rPr>
                <w:sz w:val="20"/>
                <w:szCs w:val="20"/>
                <w:color w:val="auto"/>
              </w:rPr>
            </w:pPr>
            <w:r>
              <w:rPr>
                <w:rFonts w:ascii="Arial" w:cs="Arial" w:eastAsia="Arial" w:hAnsi="Arial"/>
                <w:sz w:val="13"/>
                <w:szCs w:val="13"/>
                <w:color w:val="auto"/>
              </w:rPr>
              <w:t>VA</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38,995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49,682</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54,045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31,819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12/31/1985</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12/31/93,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1/20/06,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9/25/08,</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9/30/08, &amp;</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35 - 50</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BETHESDA ROW (Maryland)</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141,873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169,370</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214,250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37,167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1945-2008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years</w:t>
            </w:r>
          </w:p>
        </w:tc>
        <w:tc>
          <w:tcPr>
            <w:tcW w:w="0" w:type="dxa"/>
            <w:vAlign w:val="bottom"/>
          </w:tcPr>
          <w:p>
            <w:pPr>
              <w:spacing w:after="0"/>
              <w:rPr>
                <w:sz w:val="1"/>
                <w:szCs w:val="1"/>
                <w:color w:val="auto"/>
              </w:rPr>
            </w:pPr>
          </w:p>
        </w:tc>
      </w:tr>
      <w:tr>
        <w:trPr>
          <w:trHeight w:val="240"/>
        </w:trPr>
        <w:tc>
          <w:tcPr>
            <w:tcW w:w="1740" w:type="dxa"/>
            <w:vAlign w:val="bottom"/>
          </w:tcPr>
          <w:p>
            <w:pPr>
              <w:ind w:left="20"/>
              <w:spacing w:after="0"/>
              <w:rPr>
                <w:sz w:val="20"/>
                <w:szCs w:val="20"/>
                <w:color w:val="auto"/>
              </w:rPr>
            </w:pPr>
            <w:r>
              <w:rPr>
                <w:rFonts w:ascii="Arial" w:cs="Arial" w:eastAsia="Arial" w:hAnsi="Arial"/>
                <w:sz w:val="13"/>
                <w:szCs w:val="13"/>
                <w:color w:val="auto"/>
              </w:rPr>
              <w:t>BRICK PLAZA (New Jersey)</w:t>
            </w:r>
          </w:p>
        </w:tc>
        <w:tc>
          <w:tcPr>
            <w:tcW w:w="460" w:type="dxa"/>
            <w:vAlign w:val="bottom"/>
          </w:tcPr>
          <w:p>
            <w:pPr>
              <w:ind w:left="120"/>
              <w:spacing w:after="0"/>
              <w:rPr>
                <w:sz w:val="20"/>
                <w:szCs w:val="20"/>
                <w:color w:val="auto"/>
              </w:rPr>
            </w:pPr>
            <w:r>
              <w:rPr>
                <w:rFonts w:ascii="Arial" w:cs="Arial" w:eastAsia="Arial" w:hAnsi="Arial"/>
                <w:sz w:val="13"/>
                <w:szCs w:val="13"/>
                <w:color w:val="auto"/>
              </w:rPr>
              <w:t>NJ</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28,757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35,959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56,743</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60,674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37,698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12/28/1989</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51"/>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BRISTOL (Connecticut)</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CT</w:t>
            </w:r>
          </w:p>
        </w:tc>
        <w:tc>
          <w:tcPr>
            <w:tcW w:w="2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24,233</w:t>
            </w: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28,089</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9/22/1995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08/25/06,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
              <w:spacing w:after="0" w:line="135" w:lineRule="exact"/>
              <w:rPr>
                <w:sz w:val="20"/>
                <w:szCs w:val="20"/>
                <w:color w:val="auto"/>
              </w:rPr>
            </w:pPr>
            <w:r>
              <w:rPr>
                <w:rFonts w:ascii="Arial" w:cs="Arial" w:eastAsia="Arial" w:hAnsi="Arial"/>
                <w:sz w:val="13"/>
                <w:szCs w:val="13"/>
                <w:color w:val="auto"/>
              </w:rPr>
              <w:t>CHELSEA COMMONS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1/30/07, &amp;</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(Massachusetts)</w:t>
            </w:r>
          </w:p>
        </w:tc>
        <w:tc>
          <w:tcPr>
            <w:tcW w:w="460" w:type="dxa"/>
            <w:vAlign w:val="bottom"/>
          </w:tcPr>
          <w:p>
            <w:pPr>
              <w:ind w:left="120"/>
              <w:spacing w:after="0"/>
              <w:rPr>
                <w:sz w:val="20"/>
                <w:szCs w:val="20"/>
                <w:color w:val="auto"/>
              </w:rPr>
            </w:pPr>
            <w:r>
              <w:rPr>
                <w:rFonts w:ascii="Arial" w:cs="Arial" w:eastAsia="Arial" w:hAnsi="Arial"/>
                <w:sz w:val="13"/>
                <w:szCs w:val="13"/>
                <w:color w:val="auto"/>
              </w:rPr>
              <w:t>MA</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20,905</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30,301</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2,978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91"/>
              </w:rPr>
              <w:t>1962/1969/2008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7/16/08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 BLVD</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12/31/96 &amp;</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11,735</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16,997</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1905/1915/1980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8/14/98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Arial" w:cs="Arial" w:eastAsia="Arial" w:hAnsi="Arial"/>
                <w:sz w:val="13"/>
                <w:szCs w:val="13"/>
                <w:color w:val="auto"/>
              </w:rPr>
              <w:t>CONGRESSIONAL PLAZA</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(Maryland)</w:t>
            </w:r>
          </w:p>
        </w:tc>
        <w:tc>
          <w:tcPr>
            <w:tcW w:w="460" w:type="dxa"/>
            <w:vAlign w:val="bottom"/>
          </w:tcPr>
          <w:p>
            <w:pPr>
              <w:ind w:left="120"/>
              <w:spacing w:after="0"/>
              <w:rPr>
                <w:sz w:val="20"/>
                <w:szCs w:val="20"/>
                <w:color w:val="auto"/>
              </w:rPr>
            </w:pPr>
            <w:r>
              <w:rPr>
                <w:rFonts w:ascii="Arial" w:cs="Arial" w:eastAsia="Arial" w:hAnsi="Arial"/>
                <w:sz w:val="13"/>
                <w:szCs w:val="13"/>
                <w:color w:val="auto"/>
              </w:rPr>
              <w:t>MD</w:t>
            </w: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63,505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72,702</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73,722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41,991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1965/2003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4/1/1965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COURTHOUSE CENTER</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4,539</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12/17/1997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Arial" w:cs="Arial" w:eastAsia="Arial" w:hAnsi="Arial"/>
                <w:sz w:val="13"/>
                <w:szCs w:val="13"/>
                <w:color w:val="auto"/>
              </w:rPr>
              <w:t>COURTYARD SHOPS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(Florida)</w:t>
            </w:r>
          </w:p>
        </w:tc>
        <w:tc>
          <w:tcPr>
            <w:tcW w:w="460" w:type="dxa"/>
            <w:vAlign w:val="bottom"/>
          </w:tcPr>
          <w:p>
            <w:pPr>
              <w:ind w:left="120"/>
              <w:spacing w:after="0"/>
              <w:rPr>
                <w:sz w:val="20"/>
                <w:szCs w:val="20"/>
                <w:color w:val="auto"/>
              </w:rPr>
            </w:pPr>
            <w:r>
              <w:rPr>
                <w:rFonts w:ascii="Arial" w:cs="Arial" w:eastAsia="Arial" w:hAnsi="Arial"/>
                <w:sz w:val="13"/>
                <w:szCs w:val="13"/>
                <w:color w:val="auto"/>
              </w:rPr>
              <w:t>FL</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21,851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23,213</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40,107</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9/4/2008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51"/>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CROSSROADS (Illinois)</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IL</w:t>
            </w:r>
          </w:p>
        </w:tc>
        <w:tc>
          <w:tcPr>
            <w:tcW w:w="2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26,244</w:t>
            </w: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30,879</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7/19/1993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Arial" w:cs="Arial" w:eastAsia="Arial" w:hAnsi="Arial"/>
                <w:sz w:val="13"/>
                <w:szCs w:val="13"/>
                <w:color w:val="auto"/>
                <w:w w:val="98"/>
              </w:rPr>
              <w:t>CROW CANYON COMMONS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660"/>
              <w:spacing w:after="0" w:line="144" w:lineRule="exact"/>
              <w:rPr>
                <w:sz w:val="20"/>
                <w:szCs w:val="20"/>
                <w:color w:val="auto"/>
              </w:rPr>
            </w:pPr>
            <w:r>
              <w:rPr>
                <w:rFonts w:ascii="Arial" w:cs="Arial" w:eastAsia="Arial" w:hAnsi="Arial"/>
                <w:sz w:val="13"/>
                <w:szCs w:val="13"/>
                <w:color w:val="auto"/>
              </w:rPr>
              <w:t>Late</w:t>
            </w: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12/29/05 &amp;</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460" w:type="dxa"/>
            <w:vAlign w:val="bottom"/>
          </w:tcPr>
          <w:p>
            <w:pPr>
              <w:ind w:left="120"/>
              <w:spacing w:after="0"/>
              <w:rPr>
                <w:sz w:val="20"/>
                <w:szCs w:val="20"/>
                <w:color w:val="auto"/>
              </w:rPr>
            </w:pPr>
            <w:r>
              <w:rPr>
                <w:rFonts w:ascii="Arial" w:cs="Arial" w:eastAsia="Arial" w:hAnsi="Arial"/>
                <w:sz w:val="13"/>
                <w:szCs w:val="13"/>
                <w:color w:val="auto"/>
              </w:rPr>
              <w:t>CA</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54,575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57,130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69,794</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10,326</w:t>
            </w: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1970's/2006</w:t>
            </w:r>
          </w:p>
        </w:tc>
        <w:tc>
          <w:tcPr>
            <w:tcW w:w="700" w:type="dxa"/>
            <w:vAlign w:val="bottom"/>
          </w:tcPr>
          <w:p>
            <w:pPr>
              <w:jc w:val="right"/>
              <w:spacing w:after="0"/>
              <w:rPr>
                <w:sz w:val="20"/>
                <w:szCs w:val="20"/>
                <w:color w:val="auto"/>
              </w:rPr>
            </w:pPr>
            <w:r>
              <w:rPr>
                <w:rFonts w:ascii="Arial" w:cs="Arial" w:eastAsia="Arial" w:hAnsi="Arial"/>
                <w:sz w:val="13"/>
                <w:szCs w:val="13"/>
                <w:color w:val="auto"/>
              </w:rPr>
              <w:t>02/28/07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21,013</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33,300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12/31/1993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520"/>
          </w:cols>
          <w:pgMar w:left="240" w:top="127" w:right="139" w:bottom="1440" w:gutter="0" w:footer="0" w:header="0"/>
        </w:sectPr>
      </w:pPr>
    </w:p>
    <w:bookmarkStart w:id="86" w:name="page87"/>
    <w:bookmarkEnd w:id="8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OF REAL ESTATE AND ACCUMULATED DEPRECIATION</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2011</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(Dollars in thousands)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480" w:type="dxa"/>
            <w:vAlign w:val="bottom"/>
          </w:tcPr>
          <w:p>
            <w:pPr>
              <w:ind w:left="20"/>
              <w:spacing w:after="0"/>
              <w:rPr>
                <w:sz w:val="20"/>
                <w:szCs w:val="20"/>
                <w:color w:val="auto"/>
              </w:rPr>
            </w:pPr>
            <w:r>
              <w:rPr>
                <w:rFonts w:ascii="Arial" w:cs="Arial" w:eastAsia="Arial" w:hAnsi="Arial"/>
                <w:sz w:val="11"/>
                <w:szCs w:val="11"/>
                <w:b w:val="1"/>
                <w:bCs w:val="1"/>
                <w:color w:val="auto"/>
              </w:rPr>
              <w:t>COLUMN A</w:t>
            </w:r>
          </w:p>
        </w:tc>
        <w:tc>
          <w:tcPr>
            <w:tcW w:w="52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C</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F</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COLUMN G</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COLUMN H</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131"/>
        </w:trPr>
        <w:tc>
          <w:tcPr>
            <w:tcW w:w="14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1"/>
                <w:szCs w:val="11"/>
                <w:b w:val="1"/>
                <w:bCs w:val="1"/>
                <w:color w:val="auto"/>
                <w:w w:val="94"/>
              </w:rPr>
              <w:t>Gross amount at which carried at</w:t>
            </w: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Life on which</w:t>
            </w:r>
          </w:p>
        </w:tc>
        <w:tc>
          <w:tcPr>
            <w:tcW w:w="0" w:type="dxa"/>
            <w:vAlign w:val="bottom"/>
          </w:tcPr>
          <w:p>
            <w:pPr>
              <w:spacing w:after="0"/>
              <w:rPr>
                <w:sz w:val="1"/>
                <w:szCs w:val="1"/>
                <w:color w:val="auto"/>
              </w:rPr>
            </w:pPr>
          </w:p>
        </w:tc>
      </w:tr>
      <w:tr>
        <w:trPr>
          <w:trHeight w:val="114"/>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9"/>
              </w:rPr>
              <w:t>Cost</w:t>
            </w:r>
          </w:p>
        </w:tc>
        <w:tc>
          <w:tcPr>
            <w:tcW w:w="24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1"/>
              </w:rPr>
              <w:t>depreciation</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1"/>
                <w:szCs w:val="11"/>
                <w:b w:val="1"/>
                <w:bCs w:val="1"/>
                <w:color w:val="auto"/>
              </w:rPr>
              <w:t>Initial cost to company</w:t>
            </w:r>
          </w:p>
        </w:tc>
        <w:tc>
          <w:tcPr>
            <w:tcW w:w="8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Capitalized</w:t>
            </w: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9"/>
              </w:rPr>
              <w:t>close of period</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Accumulated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in latest</w:t>
            </w:r>
          </w:p>
        </w:tc>
        <w:tc>
          <w:tcPr>
            <w:tcW w:w="0" w:type="dxa"/>
            <w:vAlign w:val="bottom"/>
          </w:tcPr>
          <w:p>
            <w:pPr>
              <w:spacing w:after="0"/>
              <w:rPr>
                <w:sz w:val="1"/>
                <w:szCs w:val="1"/>
                <w:color w:val="auto"/>
              </w:rPr>
            </w:pPr>
          </w:p>
        </w:tc>
      </w:tr>
      <w:tr>
        <w:trPr>
          <w:trHeight w:val="99"/>
        </w:trPr>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2"/>
              </w:rPr>
              <w:t>Subsequent</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5"/>
              </w:rPr>
              <w:t>Depreciation</w:t>
            </w:r>
          </w:p>
        </w:tc>
        <w:tc>
          <w:tcPr>
            <w:tcW w:w="84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5"/>
              <w:spacing w:after="0" w:line="123" w:lineRule="exact"/>
              <w:rPr>
                <w:sz w:val="20"/>
                <w:szCs w:val="20"/>
                <w:color w:val="auto"/>
              </w:rPr>
            </w:pPr>
            <w:r>
              <w:rPr>
                <w:rFonts w:ascii="Arial" w:cs="Arial" w:eastAsia="Arial" w:hAnsi="Arial"/>
                <w:sz w:val="11"/>
                <w:szCs w:val="11"/>
                <w:b w:val="1"/>
                <w:bCs w:val="1"/>
                <w:color w:val="auto"/>
              </w:rPr>
              <w:t>Building and</w:t>
            </w:r>
          </w:p>
        </w:tc>
        <w:tc>
          <w:tcPr>
            <w:tcW w:w="80" w:type="dxa"/>
            <w:vAlign w:val="bottom"/>
          </w:tcPr>
          <w:p>
            <w:pPr>
              <w:spacing w:after="0"/>
              <w:rPr>
                <w:sz w:val="10"/>
                <w:szCs w:val="10"/>
                <w:color w:val="auto"/>
              </w:rPr>
            </w:pPr>
          </w:p>
        </w:tc>
        <w:tc>
          <w:tcPr>
            <w:tcW w:w="84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to</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2"/>
              </w:rPr>
              <w:t>Building and</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rPr>
              <w:t>and</w:t>
            </w:r>
          </w:p>
        </w:tc>
        <w:tc>
          <w:tcPr>
            <w:tcW w:w="84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of</w:t>
            </w:r>
          </w:p>
        </w:tc>
        <w:tc>
          <w:tcPr>
            <w:tcW w:w="8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Date</w:t>
            </w:r>
          </w:p>
        </w:tc>
        <w:tc>
          <w:tcPr>
            <w:tcW w:w="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statements is</w:t>
            </w:r>
          </w:p>
        </w:tc>
        <w:tc>
          <w:tcPr>
            <w:tcW w:w="0" w:type="dxa"/>
            <w:vAlign w:val="bottom"/>
          </w:tcPr>
          <w:p>
            <w:pPr>
              <w:spacing w:after="0"/>
              <w:rPr>
                <w:sz w:val="1"/>
                <w:szCs w:val="1"/>
                <w:color w:val="auto"/>
              </w:rPr>
            </w:pPr>
          </w:p>
        </w:tc>
      </w:tr>
      <w:tr>
        <w:trPr>
          <w:trHeight w:val="156"/>
        </w:trPr>
        <w:tc>
          <w:tcPr>
            <w:tcW w:w="1480" w:type="dxa"/>
            <w:vAlign w:val="bottom"/>
          </w:tcPr>
          <w:p>
            <w:pPr>
              <w:ind w:left="20"/>
              <w:spacing w:after="0"/>
              <w:rPr>
                <w:sz w:val="20"/>
                <w:szCs w:val="20"/>
                <w:color w:val="auto"/>
              </w:rPr>
            </w:pPr>
            <w:r>
              <w:rPr>
                <w:rFonts w:ascii="Arial" w:cs="Arial" w:eastAsia="Arial" w:hAnsi="Arial"/>
                <w:sz w:val="11"/>
                <w:szCs w:val="11"/>
                <w:b w:val="1"/>
                <w:bCs w:val="1"/>
                <w:color w:val="auto"/>
              </w:rPr>
              <w:t>Descriptions</w:t>
            </w:r>
          </w:p>
        </w:tc>
        <w:tc>
          <w:tcPr>
            <w:tcW w:w="52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Encumbrance</w:t>
            </w: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95"/>
              </w:rPr>
              <w:t>Improvements</w:t>
            </w:r>
          </w:p>
        </w:tc>
        <w:tc>
          <w:tcPr>
            <w:tcW w:w="8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Acquisition</w:t>
            </w: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Land</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Improvements</w:t>
            </w:r>
          </w:p>
        </w:tc>
        <w:tc>
          <w:tcPr>
            <w:tcW w:w="740" w:type="dxa"/>
            <w:vAlign w:val="bottom"/>
          </w:tcPr>
          <w:p>
            <w:pPr>
              <w:jc w:val="right"/>
              <w:ind w:right="195"/>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Amortization</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Construction</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computed</w:t>
            </w:r>
          </w:p>
        </w:tc>
        <w:tc>
          <w:tcPr>
            <w:tcW w:w="0" w:type="dxa"/>
            <w:vAlign w:val="bottom"/>
          </w:tcPr>
          <w:p>
            <w:pPr>
              <w:spacing w:after="0"/>
              <w:rPr>
                <w:sz w:val="1"/>
                <w:szCs w:val="1"/>
                <w:color w:val="auto"/>
              </w:rPr>
            </w:pPr>
          </w:p>
        </w:tc>
      </w:tr>
      <w:tr>
        <w:trPr>
          <w:trHeight w:val="143"/>
        </w:trPr>
        <w:tc>
          <w:tcPr>
            <w:tcW w:w="148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color w:val="auto"/>
              </w:rPr>
              <w:t>DEL MAR VILLAGE</w:t>
            </w:r>
          </w:p>
        </w:tc>
        <w:tc>
          <w:tcPr>
            <w:tcW w:w="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5/30/08 &amp;</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(Florida)</w:t>
            </w:r>
          </w:p>
        </w:tc>
        <w:tc>
          <w:tcPr>
            <w:tcW w:w="520" w:type="dxa"/>
            <w:vAlign w:val="bottom"/>
          </w:tcPr>
          <w:p>
            <w:pPr>
              <w:ind w:left="120"/>
              <w:spacing w:after="0"/>
              <w:rPr>
                <w:sz w:val="20"/>
                <w:szCs w:val="20"/>
                <w:color w:val="auto"/>
              </w:rPr>
            </w:pPr>
            <w:r>
              <w:rPr>
                <w:rFonts w:ascii="Arial" w:cs="Arial" w:eastAsia="Arial" w:hAnsi="Arial"/>
                <w:sz w:val="13"/>
                <w:szCs w:val="13"/>
                <w:color w:val="auto"/>
              </w:rPr>
              <w:t>FL</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14,218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39,559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1,443</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14,180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41,040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55,220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4,984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1982/1984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7/11/08</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EASTGATE (North</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Carolina)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NC</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19,134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14,555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12/18/1986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ELLISBURG CIRCLE</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NJ</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14,691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26,015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10/16/1992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ESCONDIDO</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3"/>
                <w:szCs w:val="13"/>
                <w:color w:val="auto"/>
              </w:rPr>
              <w:t>PROMENADE</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12/31/96 &amp;</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520" w:type="dxa"/>
            <w:vAlign w:val="bottom"/>
          </w:tcPr>
          <w:p>
            <w:pPr>
              <w:ind w:left="120"/>
              <w:spacing w:after="0"/>
              <w:rPr>
                <w:sz w:val="20"/>
                <w:szCs w:val="20"/>
                <w:color w:val="auto"/>
              </w:rPr>
            </w:pPr>
            <w:r>
              <w:rPr>
                <w:rFonts w:ascii="Arial" w:cs="Arial" w:eastAsia="Arial" w:hAnsi="Arial"/>
                <w:sz w:val="13"/>
                <w:szCs w:val="13"/>
                <w:color w:val="auto"/>
              </w:rPr>
              <w:t>CA</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19,117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15,829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9,525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25,354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44,471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8,034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11/10/10</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09/30/67 &amp;</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FALLS PLAZA (Virginia)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9,370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6,711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1960/1962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10/05/72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FEDERAL PLAZA</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(Maryland)</w:t>
            </w:r>
          </w:p>
        </w:tc>
        <w:tc>
          <w:tcPr>
            <w:tcW w:w="520" w:type="dxa"/>
            <w:vAlign w:val="bottom"/>
          </w:tcPr>
          <w:p>
            <w:pPr>
              <w:ind w:left="120"/>
              <w:spacing w:after="0"/>
              <w:rPr>
                <w:sz w:val="20"/>
                <w:szCs w:val="20"/>
                <w:color w:val="auto"/>
              </w:rPr>
            </w:pPr>
            <w:r>
              <w:rPr>
                <w:rFonts w:ascii="Arial" w:cs="Arial" w:eastAsia="Arial" w:hAnsi="Arial"/>
                <w:sz w:val="13"/>
                <w:szCs w:val="13"/>
                <w:color w:val="auto"/>
              </w:rPr>
              <w:t>MD</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10,216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17,895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35,067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10,216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52,962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63,178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32,216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1970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6/29/1989</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FIFTH AVENUE</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3,323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1888-1995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FINLEY SQUARE</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(Illinois)</w:t>
            </w:r>
          </w:p>
        </w:tc>
        <w:tc>
          <w:tcPr>
            <w:tcW w:w="520" w:type="dxa"/>
            <w:vAlign w:val="bottom"/>
          </w:tcPr>
          <w:p>
            <w:pPr>
              <w:ind w:left="120"/>
              <w:spacing w:after="0"/>
              <w:rPr>
                <w:sz w:val="20"/>
                <w:szCs w:val="20"/>
                <w:color w:val="auto"/>
              </w:rPr>
            </w:pPr>
            <w:r>
              <w:rPr>
                <w:rFonts w:ascii="Arial" w:cs="Arial" w:eastAsia="Arial" w:hAnsi="Arial"/>
                <w:sz w:val="13"/>
                <w:szCs w:val="13"/>
                <w:color w:val="auto"/>
              </w:rPr>
              <w:t>IL</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9,252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9,544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13,680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9,252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23,224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32,476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13,958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1974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4/27/1995</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7,439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4/25/1980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FOREST HILLS (New</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York)</w:t>
            </w:r>
          </w:p>
        </w:tc>
        <w:tc>
          <w:tcPr>
            <w:tcW w:w="520" w:type="dxa"/>
            <w:vAlign w:val="bottom"/>
          </w:tcPr>
          <w:p>
            <w:pPr>
              <w:ind w:left="120"/>
              <w:spacing w:after="0"/>
              <w:rPr>
                <w:sz w:val="20"/>
                <w:szCs w:val="20"/>
                <w:color w:val="auto"/>
              </w:rPr>
            </w:pPr>
            <w:r>
              <w:rPr>
                <w:rFonts w:ascii="Arial" w:cs="Arial" w:eastAsia="Arial" w:hAnsi="Arial"/>
                <w:sz w:val="13"/>
                <w:szCs w:val="13"/>
                <w:color w:val="auto"/>
              </w:rPr>
              <w:t>NY</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2,885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2,441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3,031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5,180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8,211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2,325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1937 - 1987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12/16/1997</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FRESH MEADOWS</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NY</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25,655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50,906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22,950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1946-1949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12/5/1997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FRIENDSHIP CTR</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(District of Columbia)</w:t>
            </w:r>
          </w:p>
        </w:tc>
        <w:tc>
          <w:tcPr>
            <w:tcW w:w="520" w:type="dxa"/>
            <w:vAlign w:val="bottom"/>
          </w:tcPr>
          <w:p>
            <w:pPr>
              <w:ind w:left="120"/>
              <w:spacing w:after="0"/>
              <w:rPr>
                <w:sz w:val="20"/>
                <w:szCs w:val="20"/>
                <w:color w:val="auto"/>
              </w:rPr>
            </w:pPr>
            <w:r>
              <w:rPr>
                <w:rFonts w:ascii="Arial" w:cs="Arial" w:eastAsia="Arial" w:hAnsi="Arial"/>
                <w:sz w:val="13"/>
                <w:szCs w:val="13"/>
                <w:color w:val="auto"/>
              </w:rPr>
              <w:t>DC</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12,696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20,803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1,811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12,696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22,614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35,310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6,298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9/21/2001</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GAITHERSBURG</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SQUARE (Maryland)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12,174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13,487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4/22/1993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GARDEN MARKET</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(Illinois)</w:t>
            </w:r>
          </w:p>
        </w:tc>
        <w:tc>
          <w:tcPr>
            <w:tcW w:w="520" w:type="dxa"/>
            <w:vAlign w:val="bottom"/>
          </w:tcPr>
          <w:p>
            <w:pPr>
              <w:ind w:left="120"/>
              <w:spacing w:after="0"/>
              <w:rPr>
                <w:sz w:val="20"/>
                <w:szCs w:val="20"/>
                <w:color w:val="auto"/>
              </w:rPr>
            </w:pPr>
            <w:r>
              <w:rPr>
                <w:rFonts w:ascii="Arial" w:cs="Arial" w:eastAsia="Arial" w:hAnsi="Arial"/>
                <w:sz w:val="13"/>
                <w:szCs w:val="13"/>
                <w:color w:val="auto"/>
              </w:rPr>
              <w:t>IL</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2,677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4,829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4,786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9,615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12,292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5,113</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7/28/1994</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GOVERNOR PLAZA</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19,065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13,546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10/1/1985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GRATIOT PLAZA</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(Michigan)</w:t>
            </w:r>
          </w:p>
        </w:tc>
        <w:tc>
          <w:tcPr>
            <w:tcW w:w="520" w:type="dxa"/>
            <w:vAlign w:val="bottom"/>
          </w:tcPr>
          <w:p>
            <w:pPr>
              <w:ind w:left="120"/>
              <w:spacing w:after="0"/>
              <w:rPr>
                <w:sz w:val="20"/>
                <w:szCs w:val="20"/>
                <w:color w:val="auto"/>
              </w:rPr>
            </w:pPr>
            <w:r>
              <w:rPr>
                <w:rFonts w:ascii="Arial" w:cs="Arial" w:eastAsia="Arial" w:hAnsi="Arial"/>
                <w:sz w:val="13"/>
                <w:szCs w:val="13"/>
                <w:color w:val="auto"/>
              </w:rPr>
              <w:t>MI</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16,876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18,477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19,002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12,772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3/29/1973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25 3/4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GREENWICH AVENUE</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(Connecticut)</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1900-1993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40"/>
        </w:trPr>
        <w:tc>
          <w:tcPr>
            <w:tcW w:w="1480" w:type="dxa"/>
            <w:vAlign w:val="bottom"/>
          </w:tcPr>
          <w:p>
            <w:pPr>
              <w:ind w:left="20"/>
              <w:spacing w:after="0"/>
              <w:rPr>
                <w:sz w:val="20"/>
                <w:szCs w:val="20"/>
                <w:color w:val="auto"/>
              </w:rPr>
            </w:pPr>
            <w:r>
              <w:rPr>
                <w:rFonts w:ascii="Arial" w:cs="Arial" w:eastAsia="Arial" w:hAnsi="Arial"/>
                <w:sz w:val="13"/>
                <w:szCs w:val="13"/>
                <w:color w:val="auto"/>
                <w:w w:val="95"/>
              </w:rPr>
              <w:t>HAUPPAUGE (New York)</w:t>
            </w:r>
          </w:p>
        </w:tc>
        <w:tc>
          <w:tcPr>
            <w:tcW w:w="520" w:type="dxa"/>
            <w:vAlign w:val="bottom"/>
          </w:tcPr>
          <w:p>
            <w:pPr>
              <w:ind w:left="120"/>
              <w:spacing w:after="0"/>
              <w:rPr>
                <w:sz w:val="20"/>
                <w:szCs w:val="20"/>
                <w:color w:val="auto"/>
              </w:rPr>
            </w:pPr>
            <w:r>
              <w:rPr>
                <w:rFonts w:ascii="Arial" w:cs="Arial" w:eastAsia="Arial" w:hAnsi="Arial"/>
                <w:sz w:val="13"/>
                <w:szCs w:val="13"/>
                <w:color w:val="auto"/>
              </w:rPr>
              <w:t>NY</w:t>
            </w:r>
          </w:p>
        </w:tc>
        <w:tc>
          <w:tcPr>
            <w:tcW w:w="760" w:type="dxa"/>
            <w:vAlign w:val="bottom"/>
          </w:tcPr>
          <w:p>
            <w:pPr>
              <w:jc w:val="right"/>
              <w:spacing w:after="0"/>
              <w:rPr>
                <w:sz w:val="20"/>
                <w:szCs w:val="20"/>
                <w:color w:val="auto"/>
              </w:rPr>
            </w:pPr>
            <w:r>
              <w:rPr>
                <w:rFonts w:ascii="Arial" w:cs="Arial" w:eastAsia="Arial" w:hAnsi="Arial"/>
                <w:sz w:val="13"/>
                <w:szCs w:val="13"/>
                <w:color w:val="auto"/>
              </w:rPr>
              <w:t>14,700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8,791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15,262</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3,942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8,791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19,204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27,995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7,704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8/6/1998</w:t>
            </w:r>
          </w:p>
        </w:tc>
        <w:tc>
          <w:tcPr>
            <w:tcW w:w="1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HERMOSA AVE.</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4,082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9/17/1997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HOLLYWOOD BLVD.</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3/22/99 &amp;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520" w:type="dxa"/>
            <w:vAlign w:val="bottom"/>
          </w:tcPr>
          <w:p>
            <w:pPr>
              <w:ind w:left="120"/>
              <w:spacing w:after="0"/>
              <w:rPr>
                <w:sz w:val="20"/>
                <w:szCs w:val="20"/>
                <w:color w:val="auto"/>
              </w:rPr>
            </w:pPr>
            <w:r>
              <w:rPr>
                <w:rFonts w:ascii="Arial" w:cs="Arial" w:eastAsia="Arial" w:hAnsi="Arial"/>
                <w:sz w:val="13"/>
                <w:szCs w:val="13"/>
                <w:color w:val="auto"/>
              </w:rPr>
              <w:t>CA</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8,300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16,920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14,042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8,300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30,962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39,262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7,087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1929/1991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6/18/99</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HOUSTON STREET</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TX</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48,751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50,629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22,647</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var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4" w:lineRule="exact"/>
              <w:rPr>
                <w:sz w:val="20"/>
                <w:szCs w:val="20"/>
                <w:color w:val="auto"/>
              </w:rPr>
            </w:pPr>
            <w:r>
              <w:rPr>
                <w:rFonts w:ascii="Arial" w:cs="Arial" w:eastAsia="Arial" w:hAnsi="Arial"/>
                <w:sz w:val="13"/>
                <w:szCs w:val="13"/>
                <w:color w:val="auto"/>
              </w:rPr>
              <w:t>HUNTINGTON (New</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12/12/88 &amp;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ind w:left="20"/>
              <w:spacing w:after="0"/>
              <w:rPr>
                <w:sz w:val="20"/>
                <w:szCs w:val="20"/>
                <w:color w:val="auto"/>
              </w:rPr>
            </w:pPr>
            <w:r>
              <w:rPr>
                <w:rFonts w:ascii="Arial" w:cs="Arial" w:eastAsia="Arial" w:hAnsi="Arial"/>
                <w:sz w:val="13"/>
                <w:szCs w:val="13"/>
                <w:color w:val="auto"/>
              </w:rPr>
              <w:t>York)</w:t>
            </w:r>
          </w:p>
        </w:tc>
        <w:tc>
          <w:tcPr>
            <w:tcW w:w="520" w:type="dxa"/>
            <w:vAlign w:val="bottom"/>
          </w:tcPr>
          <w:p>
            <w:pPr>
              <w:ind w:left="120"/>
              <w:spacing w:after="0"/>
              <w:rPr>
                <w:sz w:val="20"/>
                <w:szCs w:val="20"/>
                <w:color w:val="auto"/>
              </w:rPr>
            </w:pPr>
            <w:r>
              <w:rPr>
                <w:rFonts w:ascii="Arial" w:cs="Arial" w:eastAsia="Arial" w:hAnsi="Arial"/>
                <w:sz w:val="13"/>
                <w:szCs w:val="13"/>
                <w:color w:val="auto"/>
              </w:rPr>
              <w:t>NY</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16,008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22,814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11,713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27,109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38,822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8,905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10/26/07</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360"/>
          </w:cols>
          <w:pgMar w:left="240" w:top="127" w:right="299" w:bottom="1440" w:gutter="0" w:footer="0" w:header="0"/>
        </w:sectPr>
      </w:pPr>
    </w:p>
    <w:bookmarkStart w:id="87" w:name="page88"/>
    <w:bookmarkEnd w:id="87"/>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OF REAL ESTATE AND ACCUMULATED DEPRECIATION</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2011</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(Dollars in thousands)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300" w:type="dxa"/>
            <w:vAlign w:val="bottom"/>
          </w:tcPr>
          <w:p>
            <w:pPr>
              <w:ind w:left="20"/>
              <w:spacing w:after="0"/>
              <w:rPr>
                <w:sz w:val="20"/>
                <w:szCs w:val="20"/>
                <w:color w:val="auto"/>
              </w:rPr>
            </w:pPr>
            <w:r>
              <w:rPr>
                <w:rFonts w:ascii="Arial" w:cs="Arial" w:eastAsia="Arial" w:hAnsi="Arial"/>
                <w:sz w:val="11"/>
                <w:szCs w:val="11"/>
                <w:b w:val="1"/>
                <w:bCs w:val="1"/>
                <w:color w:val="auto"/>
              </w:rPr>
              <w:t>COLUMN A</w:t>
            </w:r>
          </w:p>
        </w:tc>
        <w:tc>
          <w:tcPr>
            <w:tcW w:w="5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C</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COLUMN F</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COLUMN G</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COLUMN H</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131"/>
        </w:trPr>
        <w:tc>
          <w:tcPr>
            <w:tcW w:w="13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1"/>
                <w:szCs w:val="11"/>
                <w:b w:val="1"/>
                <w:bCs w:val="1"/>
                <w:color w:val="auto"/>
                <w:w w:val="94"/>
              </w:rPr>
              <w:t>Gross amount at which carried at</w:t>
            </w: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Life on which</w:t>
            </w: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9"/>
              </w:rPr>
              <w:t>Cost</w:t>
            </w:r>
          </w:p>
        </w:tc>
        <w:tc>
          <w:tcPr>
            <w:tcW w:w="24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1"/>
              </w:rPr>
              <w:t>depreciation</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1"/>
                <w:szCs w:val="11"/>
                <w:b w:val="1"/>
                <w:bCs w:val="1"/>
                <w:color w:val="auto"/>
              </w:rPr>
              <w:t>Initial cost to company</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Capitalized</w:t>
            </w: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9"/>
              </w:rPr>
              <w:t>close of period</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Accumulated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in latest</w:t>
            </w: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92"/>
              </w:rPr>
              <w:t>Subsequent</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95"/>
              </w:rPr>
              <w:t>Depreciation</w:t>
            </w:r>
          </w:p>
        </w:tc>
        <w:tc>
          <w:tcPr>
            <w:tcW w:w="100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23"/>
        </w:trPr>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5"/>
              <w:spacing w:after="0" w:line="123" w:lineRule="exact"/>
              <w:rPr>
                <w:sz w:val="20"/>
                <w:szCs w:val="20"/>
                <w:color w:val="auto"/>
              </w:rPr>
            </w:pPr>
            <w:r>
              <w:rPr>
                <w:rFonts w:ascii="Arial" w:cs="Arial" w:eastAsia="Arial" w:hAnsi="Arial"/>
                <w:sz w:val="11"/>
                <w:szCs w:val="11"/>
                <w:b w:val="1"/>
                <w:bCs w:val="1"/>
                <w:color w:val="auto"/>
              </w:rPr>
              <w:t>Building and</w:t>
            </w:r>
          </w:p>
        </w:tc>
        <w:tc>
          <w:tcPr>
            <w:tcW w:w="100" w:type="dxa"/>
            <w:vAlign w:val="bottom"/>
          </w:tcPr>
          <w:p>
            <w:pPr>
              <w:spacing w:after="0"/>
              <w:rPr>
                <w:sz w:val="10"/>
                <w:szCs w:val="10"/>
                <w:color w:val="auto"/>
              </w:rPr>
            </w:pPr>
          </w:p>
        </w:tc>
        <w:tc>
          <w:tcPr>
            <w:tcW w:w="8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5"/>
              </w:rPr>
              <w:t>to</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2"/>
              </w:rPr>
              <w:t>Building and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rPr>
              <w:t>and</w:t>
            </w: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of</w:t>
            </w:r>
          </w:p>
        </w:tc>
        <w:tc>
          <w:tcPr>
            <w:tcW w:w="8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Date</w:t>
            </w:r>
          </w:p>
        </w:tc>
        <w:tc>
          <w:tcPr>
            <w:tcW w:w="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statements is</w:t>
            </w:r>
          </w:p>
        </w:tc>
        <w:tc>
          <w:tcPr>
            <w:tcW w:w="0" w:type="dxa"/>
            <w:vAlign w:val="bottom"/>
          </w:tcPr>
          <w:p>
            <w:pPr>
              <w:spacing w:after="0"/>
              <w:rPr>
                <w:sz w:val="1"/>
                <w:szCs w:val="1"/>
                <w:color w:val="auto"/>
              </w:rPr>
            </w:pPr>
          </w:p>
        </w:tc>
      </w:tr>
      <w:tr>
        <w:trPr>
          <w:trHeight w:val="156"/>
        </w:trPr>
        <w:tc>
          <w:tcPr>
            <w:tcW w:w="1300" w:type="dxa"/>
            <w:vAlign w:val="bottom"/>
          </w:tcPr>
          <w:p>
            <w:pPr>
              <w:ind w:left="20"/>
              <w:spacing w:after="0"/>
              <w:rPr>
                <w:sz w:val="20"/>
                <w:szCs w:val="20"/>
                <w:color w:val="auto"/>
              </w:rPr>
            </w:pPr>
            <w:r>
              <w:rPr>
                <w:rFonts w:ascii="Arial" w:cs="Arial" w:eastAsia="Arial" w:hAnsi="Arial"/>
                <w:sz w:val="11"/>
                <w:szCs w:val="11"/>
                <w:b w:val="1"/>
                <w:bCs w:val="1"/>
                <w:color w:val="auto"/>
              </w:rPr>
              <w:t>Descriptions</w:t>
            </w:r>
          </w:p>
        </w:tc>
        <w:tc>
          <w:tcPr>
            <w:tcW w:w="5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Encumbrance</w:t>
            </w: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95"/>
              </w:rPr>
              <w:t>Improvements</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Acquisition</w:t>
            </w: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Land</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Improvements</w:t>
            </w:r>
          </w:p>
        </w:tc>
        <w:tc>
          <w:tcPr>
            <w:tcW w:w="740" w:type="dxa"/>
            <w:vAlign w:val="bottom"/>
          </w:tcPr>
          <w:p>
            <w:pPr>
              <w:jc w:val="right"/>
              <w:ind w:right="195"/>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Amortization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Construction</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computed</w:t>
            </w:r>
          </w:p>
        </w:tc>
        <w:tc>
          <w:tcPr>
            <w:tcW w:w="0" w:type="dxa"/>
            <w:vAlign w:val="bottom"/>
          </w:tcPr>
          <w:p>
            <w:pPr>
              <w:spacing w:after="0"/>
              <w:rPr>
                <w:sz w:val="1"/>
                <w:szCs w:val="1"/>
                <w:color w:val="auto"/>
              </w:rPr>
            </w:pPr>
          </w:p>
        </w:tc>
      </w:tr>
      <w:tr>
        <w:trPr>
          <w:trHeight w:val="143"/>
        </w:trPr>
        <w:tc>
          <w:tcPr>
            <w:tcW w:w="130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HUNTINGTON</w:t>
            </w:r>
          </w:p>
        </w:tc>
        <w:tc>
          <w:tcPr>
            <w:tcW w:w="5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1980/2004-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SQUARE (New York)</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NY</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10,075</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8/16/2010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IDYLWOOD PLAZA</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780" w:type="dxa"/>
            <w:vAlign w:val="bottom"/>
          </w:tcPr>
          <w:p>
            <w:pPr>
              <w:jc w:val="right"/>
              <w:spacing w:after="0"/>
              <w:rPr>
                <w:sz w:val="20"/>
                <w:szCs w:val="20"/>
                <w:color w:val="auto"/>
              </w:rPr>
            </w:pPr>
            <w:r>
              <w:rPr>
                <w:rFonts w:ascii="Arial" w:cs="Arial" w:eastAsia="Arial" w:hAnsi="Arial"/>
                <w:sz w:val="13"/>
                <w:szCs w:val="13"/>
                <w:color w:val="auto"/>
              </w:rPr>
              <w:t>16,276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4,308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10,026</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2,049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4,308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12,075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16,383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6,049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4/15/1994</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KINGS COURT</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10,714</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888</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6,187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8/24/1998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26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LANCASTER</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500" w:type="dxa"/>
            <w:vAlign w:val="bottom"/>
          </w:tcPr>
          <w:p>
            <w:pPr>
              <w:ind w:left="120"/>
              <w:spacing w:after="0"/>
              <w:rPr>
                <w:sz w:val="20"/>
                <w:szCs w:val="20"/>
                <w:color w:val="auto"/>
              </w:rPr>
            </w:pPr>
            <w:r>
              <w:rPr>
                <w:rFonts w:ascii="Arial" w:cs="Arial" w:eastAsia="Arial" w:hAnsi="Arial"/>
                <w:sz w:val="13"/>
                <w:szCs w:val="13"/>
                <w:color w:val="auto"/>
              </w:rPr>
              <w:t>PA</w:t>
            </w:r>
          </w:p>
        </w:tc>
        <w:tc>
          <w:tcPr>
            <w:tcW w:w="780" w:type="dxa"/>
            <w:vAlign w:val="bottom"/>
          </w:tcPr>
          <w:p>
            <w:pPr>
              <w:jc w:val="right"/>
              <w:spacing w:after="0"/>
              <w:rPr>
                <w:sz w:val="20"/>
                <w:szCs w:val="20"/>
                <w:color w:val="auto"/>
              </w:rPr>
            </w:pPr>
            <w:r>
              <w:rPr>
                <w:rFonts w:ascii="Arial" w:cs="Arial" w:eastAsia="Arial" w:hAnsi="Arial"/>
                <w:sz w:val="13"/>
                <w:szCs w:val="13"/>
                <w:color w:val="auto"/>
              </w:rPr>
              <w:t>4,907</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2,103</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10,725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12,753</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12,828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6,360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4/24/1980</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LANGHORNE</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SQUARE</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2,974</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16,572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11,214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1/31/1985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40"/>
        </w:trPr>
        <w:tc>
          <w:tcPr>
            <w:tcW w:w="1300" w:type="dxa"/>
            <w:vAlign w:val="bottom"/>
          </w:tcPr>
          <w:p>
            <w:pPr>
              <w:ind w:left="20"/>
              <w:spacing w:after="0"/>
              <w:rPr>
                <w:sz w:val="20"/>
                <w:szCs w:val="20"/>
                <w:color w:val="auto"/>
              </w:rPr>
            </w:pPr>
            <w:r>
              <w:rPr>
                <w:rFonts w:ascii="Arial" w:cs="Arial" w:eastAsia="Arial" w:hAnsi="Arial"/>
                <w:sz w:val="13"/>
                <w:szCs w:val="13"/>
                <w:color w:val="auto"/>
              </w:rPr>
              <w:t>LAUREL (Maryland)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7,458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22,525</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19,055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7,576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41,462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49,038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29,700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8/15/1986</w:t>
            </w:r>
          </w:p>
        </w:tc>
        <w:tc>
          <w:tcPr>
            <w:tcW w:w="1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27,640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7,160</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17,836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21,379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7/23/1980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LEESBURG PLAZA</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780" w:type="dxa"/>
            <w:vAlign w:val="bottom"/>
          </w:tcPr>
          <w:p>
            <w:pPr>
              <w:jc w:val="right"/>
              <w:spacing w:after="0"/>
              <w:rPr>
                <w:sz w:val="20"/>
                <w:szCs w:val="20"/>
                <w:color w:val="auto"/>
              </w:rPr>
            </w:pPr>
            <w:r>
              <w:rPr>
                <w:rFonts w:ascii="Arial" w:cs="Arial" w:eastAsia="Arial" w:hAnsi="Arial"/>
                <w:sz w:val="13"/>
                <w:szCs w:val="13"/>
                <w:color w:val="auto"/>
              </w:rPr>
              <w:t>28,320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8,184</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10,722</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16,086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8,184</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26,808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34,992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8,981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9/15/1998</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LINDEN SQUARE</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79,382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19,247</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47,895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67,255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8,188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1960-2008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8/24/2006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LOEHMANN'S</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PLAZA (Virginia)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780" w:type="dxa"/>
            <w:vAlign w:val="bottom"/>
          </w:tcPr>
          <w:p>
            <w:pPr>
              <w:jc w:val="right"/>
              <w:spacing w:after="0"/>
              <w:rPr>
                <w:sz w:val="20"/>
                <w:szCs w:val="20"/>
                <w:color w:val="auto"/>
              </w:rPr>
            </w:pPr>
            <w:r>
              <w:rPr>
                <w:rFonts w:ascii="Arial" w:cs="Arial" w:eastAsia="Arial" w:hAnsi="Arial"/>
                <w:sz w:val="13"/>
                <w:szCs w:val="13"/>
                <w:color w:val="auto"/>
              </w:rPr>
              <w:t>36,621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15,096</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16,655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31,740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32,988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21,594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7/21/1983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MELVILLE MALL</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NY</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32,882</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4,972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10/16/2006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MERCER MALL</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(New Jersey)</w:t>
            </w:r>
          </w:p>
        </w:tc>
        <w:tc>
          <w:tcPr>
            <w:tcW w:w="500" w:type="dxa"/>
            <w:vAlign w:val="bottom"/>
          </w:tcPr>
          <w:p>
            <w:pPr>
              <w:ind w:left="120"/>
              <w:spacing w:after="0"/>
              <w:rPr>
                <w:sz w:val="20"/>
                <w:szCs w:val="20"/>
                <w:color w:val="auto"/>
              </w:rPr>
            </w:pPr>
            <w:r>
              <w:rPr>
                <w:rFonts w:ascii="Arial" w:cs="Arial" w:eastAsia="Arial" w:hAnsi="Arial"/>
                <w:sz w:val="13"/>
                <w:szCs w:val="13"/>
                <w:color w:val="auto"/>
              </w:rPr>
              <w:t>NJ</w:t>
            </w:r>
          </w:p>
        </w:tc>
        <w:tc>
          <w:tcPr>
            <w:tcW w:w="780" w:type="dxa"/>
            <w:vAlign w:val="bottom"/>
          </w:tcPr>
          <w:p>
            <w:pPr>
              <w:jc w:val="right"/>
              <w:spacing w:after="0"/>
              <w:rPr>
                <w:sz w:val="20"/>
                <w:szCs w:val="20"/>
                <w:color w:val="auto"/>
              </w:rPr>
            </w:pPr>
            <w:r>
              <w:rPr>
                <w:rFonts w:ascii="Arial" w:cs="Arial" w:eastAsia="Arial" w:hAnsi="Arial"/>
                <w:sz w:val="13"/>
                <w:szCs w:val="13"/>
                <w:color w:val="auto"/>
              </w:rPr>
              <w:t>47,270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70,076</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34,007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5,032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103,539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108,571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28,937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10/14/2003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w w:val="97"/>
              </w:rPr>
              <w:t>25 - 35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 PIKE PLAZA</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05/18/82 &amp;</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10,335</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43,036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9,918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10/26/07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MONTROSE</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CROSSING</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1960-1979,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780" w:type="dxa"/>
            <w:vAlign w:val="bottom"/>
          </w:tcPr>
          <w:p>
            <w:pPr>
              <w:jc w:val="right"/>
              <w:spacing w:after="0"/>
              <w:rPr>
                <w:sz w:val="20"/>
                <w:szCs w:val="20"/>
                <w:color w:val="auto"/>
              </w:rPr>
            </w:pPr>
            <w:r>
              <w:rPr>
                <w:rFonts w:ascii="Arial" w:cs="Arial" w:eastAsia="Arial" w:hAnsi="Arial"/>
                <w:sz w:val="13"/>
                <w:szCs w:val="13"/>
                <w:color w:val="auto"/>
              </w:rPr>
              <w:t>80,000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35,746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105,010</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35,746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105,010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140,756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1996 &amp; 2011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12/27/2011</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MOUNT</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VERNON/SOUTH</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VALLEY/7770</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03/31/03,</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RICHMOND HWY.</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3/21/03, &amp;</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33,501</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35,033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68,398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18,116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1972/1966/1974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TOWN CENTER OF</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NEW BRITAIN</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500" w:type="dxa"/>
            <w:vAlign w:val="bottom"/>
          </w:tcPr>
          <w:p>
            <w:pPr>
              <w:ind w:left="120"/>
              <w:spacing w:after="0"/>
              <w:rPr>
                <w:sz w:val="20"/>
                <w:szCs w:val="20"/>
                <w:color w:val="auto"/>
              </w:rPr>
            </w:pPr>
            <w:r>
              <w:rPr>
                <w:rFonts w:ascii="Arial" w:cs="Arial" w:eastAsia="Arial" w:hAnsi="Arial"/>
                <w:sz w:val="13"/>
                <w:szCs w:val="13"/>
                <w:color w:val="auto"/>
              </w:rPr>
              <w:t>PA</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1,282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12,285</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890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13,195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14,457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2,392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6/29/2006</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DARTMOUTH</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(17,846)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8/24/2006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NORTHEAST</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(Pennsylvania)</w:t>
            </w:r>
          </w:p>
        </w:tc>
        <w:tc>
          <w:tcPr>
            <w:tcW w:w="500" w:type="dxa"/>
            <w:vAlign w:val="bottom"/>
          </w:tcPr>
          <w:p>
            <w:pPr>
              <w:ind w:left="120"/>
              <w:spacing w:after="0"/>
              <w:rPr>
                <w:sz w:val="20"/>
                <w:szCs w:val="20"/>
                <w:color w:val="auto"/>
              </w:rPr>
            </w:pPr>
            <w:r>
              <w:rPr>
                <w:rFonts w:ascii="Arial" w:cs="Arial" w:eastAsia="Arial" w:hAnsi="Arial"/>
                <w:sz w:val="13"/>
                <w:szCs w:val="13"/>
                <w:color w:val="auto"/>
              </w:rPr>
              <w:t>PA</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10,596</w:t>
            </w: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11,764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22,359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23,512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16,130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8/30/1983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LAKE</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COMMONS (Illinois)</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IL</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w:t>
            </w: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2,770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4/27/1994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360"/>
          </w:cols>
          <w:pgMar w:left="240" w:top="127" w:right="299" w:bottom="1440" w:gutter="0" w:footer="0" w:header="0"/>
        </w:sectPr>
      </w:pPr>
    </w:p>
    <w:bookmarkStart w:id="88" w:name="page89"/>
    <w:bookmarkEnd w:id="88"/>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OF REAL ESTATE AND ACCUMULATED DEPRECIATION</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2011</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(Dollars in thousands)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COLUMN A</w:t>
            </w:r>
          </w:p>
        </w:tc>
        <w:tc>
          <w:tcPr>
            <w:tcW w:w="5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B</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C</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D</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COLUMN F</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COLUMN G</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COLUMN H</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131"/>
        </w:trPr>
        <w:tc>
          <w:tcPr>
            <w:tcW w:w="15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1"/>
                <w:szCs w:val="11"/>
                <w:b w:val="1"/>
                <w:bCs w:val="1"/>
                <w:color w:val="auto"/>
                <w:w w:val="94"/>
              </w:rPr>
              <w:t>Gross amount at which carried at</w:t>
            </w: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1"/>
                <w:szCs w:val="11"/>
                <w:b w:val="1"/>
                <w:bCs w:val="1"/>
                <w:color w:val="auto"/>
              </w:rPr>
              <w:t>Life on which</w:t>
            </w:r>
          </w:p>
        </w:tc>
        <w:tc>
          <w:tcPr>
            <w:tcW w:w="0" w:type="dxa"/>
            <w:vAlign w:val="bottom"/>
          </w:tcPr>
          <w:p>
            <w:pPr>
              <w:spacing w:after="0"/>
              <w:rPr>
                <w:sz w:val="1"/>
                <w:szCs w:val="1"/>
                <w:color w:val="auto"/>
              </w:rPr>
            </w:pPr>
          </w:p>
        </w:tc>
      </w:tr>
      <w:tr>
        <w:trPr>
          <w:trHeight w:val="114"/>
        </w:trPr>
        <w:tc>
          <w:tcPr>
            <w:tcW w:w="1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97"/>
              </w:rPr>
              <w:t>Cost</w:t>
            </w:r>
          </w:p>
        </w:tc>
        <w:tc>
          <w:tcPr>
            <w:tcW w:w="24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1"/>
              </w:rPr>
              <w:t>depreciation</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1"/>
                <w:szCs w:val="11"/>
                <w:b w:val="1"/>
                <w:bCs w:val="1"/>
                <w:color w:val="auto"/>
              </w:rPr>
              <w:t>Initial cost to company</w:t>
            </w:r>
          </w:p>
        </w:tc>
        <w:tc>
          <w:tcPr>
            <w:tcW w:w="1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Capitalized</w:t>
            </w: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9"/>
              </w:rPr>
              <w:t>close of period</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Accumulated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in latest</w:t>
            </w: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88"/>
              </w:rPr>
              <w:t>Subsequent</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2"/>
              </w:rPr>
              <w:t>Depreciation</w:t>
            </w:r>
          </w:p>
        </w:tc>
        <w:tc>
          <w:tcPr>
            <w:tcW w:w="80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92"/>
              </w:rPr>
              <w:t>Date</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23"/>
        </w:trPr>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5"/>
              <w:spacing w:after="0" w:line="123" w:lineRule="exact"/>
              <w:rPr>
                <w:sz w:val="20"/>
                <w:szCs w:val="20"/>
                <w:color w:val="auto"/>
              </w:rPr>
            </w:pPr>
            <w:r>
              <w:rPr>
                <w:rFonts w:ascii="Arial" w:cs="Arial" w:eastAsia="Arial" w:hAnsi="Arial"/>
                <w:sz w:val="11"/>
                <w:szCs w:val="11"/>
                <w:b w:val="1"/>
                <w:bCs w:val="1"/>
                <w:color w:val="auto"/>
              </w:rPr>
              <w:t>Building and</w:t>
            </w: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76"/>
              </w:rPr>
              <w:t>to</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Building and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1"/>
              </w:rPr>
              <w:t>and</w:t>
            </w:r>
          </w:p>
        </w:tc>
        <w:tc>
          <w:tcPr>
            <w:tcW w:w="8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of</w:t>
            </w:r>
          </w:p>
        </w:tc>
        <w:tc>
          <w:tcPr>
            <w:tcW w:w="8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Date</w:t>
            </w:r>
          </w:p>
        </w:tc>
        <w:tc>
          <w:tcPr>
            <w:tcW w:w="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statements is</w:t>
            </w:r>
          </w:p>
        </w:tc>
        <w:tc>
          <w:tcPr>
            <w:tcW w:w="0" w:type="dxa"/>
            <w:vAlign w:val="bottom"/>
          </w:tcPr>
          <w:p>
            <w:pPr>
              <w:spacing w:after="0"/>
              <w:rPr>
                <w:sz w:val="1"/>
                <w:szCs w:val="1"/>
                <w:color w:val="auto"/>
              </w:rPr>
            </w:pPr>
          </w:p>
        </w:tc>
      </w:tr>
      <w:tr>
        <w:trPr>
          <w:trHeight w:val="156"/>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Descriptions</w:t>
            </w:r>
          </w:p>
        </w:tc>
        <w:tc>
          <w:tcPr>
            <w:tcW w:w="5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Encumbrance</w:t>
            </w: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Land</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95"/>
              </w:rPr>
              <w:t>Improvements</w:t>
            </w:r>
          </w:p>
        </w:tc>
        <w:tc>
          <w:tcPr>
            <w:tcW w:w="1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Acquisition</w:t>
            </w:r>
          </w:p>
        </w:tc>
        <w:tc>
          <w:tcPr>
            <w:tcW w:w="820" w:type="dxa"/>
            <w:vAlign w:val="bottom"/>
            <w:gridSpan w:val="2"/>
          </w:tcPr>
          <w:p>
            <w:pPr>
              <w:ind w:left="220"/>
              <w:spacing w:after="0"/>
              <w:rPr>
                <w:sz w:val="20"/>
                <w:szCs w:val="20"/>
                <w:color w:val="auto"/>
              </w:rPr>
            </w:pPr>
            <w:r>
              <w:rPr>
                <w:rFonts w:ascii="Arial" w:cs="Arial" w:eastAsia="Arial" w:hAnsi="Arial"/>
                <w:sz w:val="11"/>
                <w:szCs w:val="11"/>
                <w:b w:val="1"/>
                <w:bCs w:val="1"/>
                <w:color w:val="auto"/>
              </w:rPr>
              <w:t>Land</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Improvements</w:t>
            </w:r>
          </w:p>
        </w:tc>
        <w:tc>
          <w:tcPr>
            <w:tcW w:w="740" w:type="dxa"/>
            <w:vAlign w:val="bottom"/>
          </w:tcPr>
          <w:p>
            <w:pPr>
              <w:jc w:val="right"/>
              <w:ind w:right="175"/>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Amortization</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Construction</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computed</w:t>
            </w:r>
          </w:p>
        </w:tc>
        <w:tc>
          <w:tcPr>
            <w:tcW w:w="0" w:type="dxa"/>
            <w:vAlign w:val="bottom"/>
          </w:tcPr>
          <w:p>
            <w:pPr>
              <w:spacing w:after="0"/>
              <w:rPr>
                <w:sz w:val="1"/>
                <w:szCs w:val="1"/>
                <w:color w:val="auto"/>
              </w:rPr>
            </w:pPr>
          </w:p>
        </w:tc>
      </w:tr>
      <w:tr>
        <w:trPr>
          <w:trHeight w:val="143"/>
        </w:trPr>
        <w:tc>
          <w:tcPr>
            <w:tcW w:w="154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color w:val="auto"/>
              </w:rPr>
              <w:t>OLD KEENE MILL</w:t>
            </w: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4,660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5,658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6,296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4,637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6/15/1976</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33 1/3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1962, 1997-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28,263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31,028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15,821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10/22/1997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PAN AM SHOPPING</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CENTER (Virginia)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8,694</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12,929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6,941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8,695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19,869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28,564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11,411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1979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2/5/1993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 &amp;</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52,572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85,934</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88,889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31,473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1999 - 2002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PERRING PLAZA</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6,461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18,392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24,853</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27,653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18,108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10/1/1985</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5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PIKE 7 (Virginia)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25,948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11,464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3/31/1997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PLAZA EL SEGUNDO</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2006 &amp;</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500" w:type="dxa"/>
            <w:vAlign w:val="bottom"/>
          </w:tcPr>
          <w:p>
            <w:pPr>
              <w:ind w:left="120"/>
              <w:spacing w:after="0"/>
              <w:rPr>
                <w:sz w:val="20"/>
                <w:szCs w:val="20"/>
                <w:color w:val="auto"/>
              </w:rPr>
            </w:pPr>
            <w:r>
              <w:rPr>
                <w:rFonts w:ascii="Arial" w:cs="Arial" w:eastAsia="Arial" w:hAnsi="Arial"/>
                <w:sz w:val="13"/>
                <w:szCs w:val="13"/>
                <w:color w:val="auto"/>
              </w:rPr>
              <w:t>CA</w:t>
            </w:r>
          </w:p>
        </w:tc>
        <w:tc>
          <w:tcPr>
            <w:tcW w:w="780" w:type="dxa"/>
            <w:vAlign w:val="bottom"/>
          </w:tcPr>
          <w:p>
            <w:pPr>
              <w:jc w:val="right"/>
              <w:spacing w:after="0"/>
              <w:rPr>
                <w:sz w:val="20"/>
                <w:szCs w:val="20"/>
                <w:color w:val="auto"/>
              </w:rPr>
            </w:pPr>
            <w:r>
              <w:rPr>
                <w:rFonts w:ascii="Arial" w:cs="Arial" w:eastAsia="Arial" w:hAnsi="Arial"/>
                <w:sz w:val="13"/>
                <w:szCs w:val="13"/>
                <w:color w:val="auto"/>
              </w:rPr>
              <w:t>185,568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53,723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164,427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53,705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164,697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218,402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12/30/2011</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QUEEN ANNE PLAZA</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7,237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12/23/1994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QUINCE ORCHARD</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PLAZA (Maryland)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3,197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7,949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11,976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20,194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23,122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12,475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4/22/1993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ROCKVILLE TOWN</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SQUARE (Maryland)</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36,061</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44,153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2005 - 2007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2006 - 2007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ROLLINGWOOD APTS.</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780" w:type="dxa"/>
            <w:vAlign w:val="bottom"/>
          </w:tcPr>
          <w:p>
            <w:pPr>
              <w:jc w:val="right"/>
              <w:spacing w:after="0"/>
              <w:rPr>
                <w:sz w:val="20"/>
                <w:szCs w:val="20"/>
                <w:color w:val="auto"/>
              </w:rPr>
            </w:pPr>
            <w:r>
              <w:rPr>
                <w:rFonts w:ascii="Arial" w:cs="Arial" w:eastAsia="Arial" w:hAnsi="Arial"/>
                <w:sz w:val="13"/>
                <w:szCs w:val="13"/>
                <w:color w:val="auto"/>
              </w:rPr>
              <w:t>23,236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5,952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8,178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8,750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6,865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1/15/1971</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25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SAM'S PARK &amp; SHOP</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(District of Columbia)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DC</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12/1/1995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SANTANA ROW</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1999 -</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500" w:type="dxa"/>
            <w:vAlign w:val="bottom"/>
          </w:tcPr>
          <w:p>
            <w:pPr>
              <w:ind w:left="120"/>
              <w:spacing w:after="0"/>
              <w:rPr>
                <w:sz w:val="20"/>
                <w:szCs w:val="20"/>
                <w:color w:val="auto"/>
              </w:rPr>
            </w:pPr>
            <w:r>
              <w:rPr>
                <w:rFonts w:ascii="Arial" w:cs="Arial" w:eastAsia="Arial" w:hAnsi="Arial"/>
                <w:sz w:val="13"/>
                <w:szCs w:val="13"/>
                <w:color w:val="auto"/>
              </w:rPr>
              <w:t>CA</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41,969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537,483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49,725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530,888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580,613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96,342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2009, 2011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3/5/1997</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w w:val="97"/>
              </w:rPr>
              <w:t>40 - 50 years</w:t>
            </w:r>
          </w:p>
        </w:tc>
        <w:tc>
          <w:tcPr>
            <w:tcW w:w="0" w:type="dxa"/>
            <w:vAlign w:val="bottom"/>
          </w:tcPr>
          <w:p>
            <w:pPr>
              <w:spacing w:after="0"/>
              <w:rPr>
                <w:sz w:val="1"/>
                <w:szCs w:val="1"/>
                <w:color w:val="auto"/>
              </w:rPr>
            </w:pPr>
          </w:p>
        </w:tc>
      </w:tr>
      <w:tr>
        <w:trPr>
          <w:trHeight w:val="25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SAUGUS (Massachusetts)</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4,262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10/1/1996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w w:val="95"/>
              </w:rPr>
              <w:t>1940, 2006-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SHIRLINGTON (Virginia)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780" w:type="dxa"/>
            <w:vAlign w:val="bottom"/>
          </w:tcPr>
          <w:p>
            <w:pPr>
              <w:jc w:val="right"/>
              <w:spacing w:after="0"/>
              <w:rPr>
                <w:sz w:val="20"/>
                <w:szCs w:val="20"/>
                <w:color w:val="auto"/>
              </w:rPr>
            </w:pPr>
            <w:r>
              <w:rPr>
                <w:rFonts w:ascii="Arial" w:cs="Arial" w:eastAsia="Arial" w:hAnsi="Arial"/>
                <w:sz w:val="13"/>
                <w:szCs w:val="13"/>
                <w:color w:val="auto"/>
              </w:rPr>
              <w:t>6,364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9,761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14,808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32,113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5,798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50,884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56,682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15,035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12/21/1995</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SHOPPERS WORLD</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20,733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3,243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1975 - 2001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5/30/2007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4" w:lineRule="exact"/>
              <w:rPr>
                <w:sz w:val="20"/>
                <w:szCs w:val="20"/>
                <w:color w:val="auto"/>
              </w:rPr>
            </w:pPr>
            <w:r>
              <w:rPr>
                <w:rFonts w:ascii="Arial" w:cs="Arial" w:eastAsia="Arial" w:hAnsi="Arial"/>
                <w:sz w:val="13"/>
                <w:szCs w:val="13"/>
                <w:color w:val="auto"/>
              </w:rPr>
              <w:t>THE SHOPPES AT</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line="135" w:lineRule="exact"/>
              <w:rPr>
                <w:sz w:val="20"/>
                <w:szCs w:val="20"/>
                <w:color w:val="auto"/>
              </w:rPr>
            </w:pPr>
            <w:r>
              <w:rPr>
                <w:rFonts w:ascii="Arial" w:cs="Arial" w:eastAsia="Arial" w:hAnsi="Arial"/>
                <w:sz w:val="13"/>
                <w:szCs w:val="13"/>
                <w:color w:val="auto"/>
              </w:rPr>
              <w:t>NOTTINGHAM SQUARE</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3"/>
                <w:szCs w:val="13"/>
                <w:color w:val="auto"/>
              </w:rPr>
              <w:t>(Maryland)</w:t>
            </w:r>
          </w:p>
        </w:tc>
        <w:tc>
          <w:tcPr>
            <w:tcW w:w="500" w:type="dxa"/>
            <w:vAlign w:val="bottom"/>
          </w:tcPr>
          <w:p>
            <w:pPr>
              <w:ind w:left="120"/>
              <w:spacing w:after="0"/>
              <w:rPr>
                <w:sz w:val="20"/>
                <w:szCs w:val="20"/>
                <w:color w:val="auto"/>
              </w:rPr>
            </w:pPr>
            <w:r>
              <w:rPr>
                <w:rFonts w:ascii="Arial" w:cs="Arial" w:eastAsia="Arial" w:hAnsi="Arial"/>
                <w:sz w:val="13"/>
                <w:szCs w:val="13"/>
                <w:color w:val="auto"/>
              </w:rPr>
              <w:t>MD</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4,441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12,849</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4,441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12,881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17,322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2,172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5"/>
              </w:rPr>
              <w:t>2005 - 2006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3/8/2007</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THIRD STREET</w:t>
            </w: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PROMENADE (California)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41,625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23,698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1888-2000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40"/>
        </w:trPr>
        <w:tc>
          <w:tcPr>
            <w:tcW w:w="1540" w:type="dxa"/>
            <w:vAlign w:val="bottom"/>
          </w:tcPr>
          <w:p>
            <w:pPr>
              <w:ind w:left="20"/>
              <w:spacing w:after="0"/>
              <w:rPr>
                <w:sz w:val="20"/>
                <w:szCs w:val="20"/>
                <w:color w:val="auto"/>
              </w:rPr>
            </w:pPr>
            <w:r>
              <w:rPr>
                <w:rFonts w:ascii="Arial" w:cs="Arial" w:eastAsia="Arial" w:hAnsi="Arial"/>
                <w:sz w:val="13"/>
                <w:szCs w:val="13"/>
                <w:color w:val="auto"/>
              </w:rPr>
              <w:t>TOWER (Virginia)</w:t>
            </w:r>
          </w:p>
        </w:tc>
        <w:tc>
          <w:tcPr>
            <w:tcW w:w="500" w:type="dxa"/>
            <w:vAlign w:val="bottom"/>
          </w:tcPr>
          <w:p>
            <w:pPr>
              <w:ind w:left="120"/>
              <w:spacing w:after="0"/>
              <w:rPr>
                <w:sz w:val="20"/>
                <w:szCs w:val="20"/>
                <w:color w:val="auto"/>
              </w:rPr>
            </w:pPr>
            <w:r>
              <w:rPr>
                <w:rFonts w:ascii="Arial" w:cs="Arial" w:eastAsia="Arial" w:hAnsi="Arial"/>
                <w:sz w:val="13"/>
                <w:szCs w:val="13"/>
                <w:color w:val="auto"/>
              </w:rPr>
              <w:t>VA</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7,170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3,382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7,280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13,790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21,070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5,721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1953-1960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8/24/1998</w:t>
            </w:r>
          </w:p>
        </w:tc>
        <w:tc>
          <w:tcPr>
            <w:tcW w:w="1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51"/>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TOWER SHOPS (Florida)</w:t>
            </w:r>
          </w:p>
        </w:tc>
        <w:tc>
          <w:tcPr>
            <w:tcW w:w="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FL</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28,823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28,823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1/19/2011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360"/>
          </w:cols>
          <w:pgMar w:left="240" w:top="127" w:right="299" w:bottom="1440" w:gutter="0" w:footer="0" w:header="0"/>
        </w:sectPr>
      </w:pPr>
    </w:p>
    <w:bookmarkStart w:id="89" w:name="page90"/>
    <w:bookmarkEnd w:id="89"/>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OF REAL ESTATE AND ACCUMULATED DEPRECIATION</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2011</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(Dollars in thousands)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COLUMN A</w:t>
            </w:r>
          </w:p>
        </w:tc>
        <w:tc>
          <w:tcPr>
            <w:tcW w:w="520" w:type="dxa"/>
            <w:vAlign w:val="bottom"/>
          </w:tcPr>
          <w:p>
            <w:pPr>
              <w:spacing w:after="0"/>
              <w:rPr>
                <w:sz w:val="13"/>
                <w:szCs w:val="1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COLUMN B</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COLUMN C</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COLUMN D</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COLUMN E</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COLUMN F</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COLUMN G</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COLUMN H</w:t>
            </w:r>
          </w:p>
        </w:tc>
        <w:tc>
          <w:tcPr>
            <w:tcW w:w="100" w:type="dxa"/>
            <w:vAlign w:val="bottom"/>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6"/>
            <w:vMerge w:val="restart"/>
          </w:tcPr>
          <w:p>
            <w:pPr>
              <w:jc w:val="center"/>
              <w:ind w:right="80"/>
              <w:spacing w:after="0"/>
              <w:rPr>
                <w:sz w:val="20"/>
                <w:szCs w:val="20"/>
                <w:color w:val="auto"/>
              </w:rPr>
            </w:pPr>
            <w:r>
              <w:rPr>
                <w:rFonts w:ascii="Arial" w:cs="Arial" w:eastAsia="Arial" w:hAnsi="Arial"/>
                <w:sz w:val="11"/>
                <w:szCs w:val="11"/>
                <w:b w:val="1"/>
                <w:bCs w:val="1"/>
                <w:color w:val="auto"/>
                <w:w w:val="94"/>
              </w:rPr>
              <w:t>Gross amount at which carried at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Life on which</w:t>
            </w: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9"/>
              </w:rPr>
              <w:t>Cost</w:t>
            </w:r>
          </w:p>
        </w:tc>
        <w:tc>
          <w:tcPr>
            <w:tcW w:w="2680" w:type="dxa"/>
            <w:vAlign w:val="bottom"/>
            <w:gridSpan w:val="6"/>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1"/>
              </w:rPr>
              <w:t>depreciation</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4"/>
          </w:tcPr>
          <w:p>
            <w:pPr>
              <w:ind w:left="300"/>
              <w:spacing w:after="0"/>
              <w:rPr>
                <w:sz w:val="20"/>
                <w:szCs w:val="20"/>
                <w:color w:val="auto"/>
              </w:rPr>
            </w:pPr>
            <w:r>
              <w:rPr>
                <w:rFonts w:ascii="Arial" w:cs="Arial" w:eastAsia="Arial" w:hAnsi="Arial"/>
                <w:sz w:val="11"/>
                <w:szCs w:val="11"/>
                <w:b w:val="1"/>
                <w:bCs w:val="1"/>
                <w:color w:val="auto"/>
              </w:rPr>
              <w:t>Initial cost to company</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Capitalized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close of period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in latest</w:t>
            </w:r>
          </w:p>
        </w:tc>
        <w:tc>
          <w:tcPr>
            <w:tcW w:w="0" w:type="dxa"/>
            <w:vAlign w:val="bottom"/>
          </w:tcPr>
          <w:p>
            <w:pPr>
              <w:spacing w:after="0"/>
              <w:rPr>
                <w:sz w:val="1"/>
                <w:szCs w:val="1"/>
                <w:color w:val="auto"/>
              </w:rPr>
            </w:pPr>
          </w:p>
        </w:tc>
      </w:tr>
      <w:tr>
        <w:trPr>
          <w:trHeight w:val="99"/>
        </w:trPr>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w w:val="88"/>
              </w:rPr>
              <w:t>Subsequent</w:t>
            </w: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2"/>
              </w:rPr>
              <w:t>Depreciation</w:t>
            </w:r>
          </w:p>
        </w:tc>
        <w:tc>
          <w:tcPr>
            <w:tcW w:w="100" w:type="dxa"/>
            <w:vAlign w:val="bottom"/>
          </w:tcPr>
          <w:p>
            <w:pPr>
              <w:spacing w:after="0"/>
              <w:rPr>
                <w:sz w:val="8"/>
                <w:szCs w:val="8"/>
                <w:color w:val="auto"/>
              </w:rPr>
            </w:pPr>
          </w:p>
        </w:tc>
        <w:tc>
          <w:tcPr>
            <w:tcW w:w="860" w:type="dxa"/>
            <w:vAlign w:val="bottom"/>
            <w:gridSpan w:val="2"/>
          </w:tcPr>
          <w:p>
            <w:pPr>
              <w:jc w:val="center"/>
              <w:ind w:right="100"/>
              <w:spacing w:after="0" w:line="100"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123"/>
        </w:trPr>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Building and</w:t>
            </w:r>
          </w:p>
        </w:tc>
        <w:tc>
          <w:tcPr>
            <w:tcW w:w="90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5"/>
              </w:rPr>
              <w:t>to</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2"/>
              </w:rPr>
              <w:t>Building and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1"/>
              </w:rPr>
              <w:t>and</w:t>
            </w:r>
          </w:p>
        </w:tc>
        <w:tc>
          <w:tcPr>
            <w:tcW w:w="100" w:type="dxa"/>
            <w:vAlign w:val="bottom"/>
          </w:tcPr>
          <w:p>
            <w:pPr>
              <w:spacing w:after="0"/>
              <w:rPr>
                <w:sz w:val="10"/>
                <w:szCs w:val="10"/>
                <w:color w:val="auto"/>
              </w:rPr>
            </w:pPr>
          </w:p>
        </w:tc>
        <w:tc>
          <w:tcPr>
            <w:tcW w:w="8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5"/>
              </w:rPr>
              <w:t>of</w:t>
            </w:r>
          </w:p>
        </w:tc>
        <w:tc>
          <w:tcPr>
            <w:tcW w:w="8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statements is</w:t>
            </w:r>
          </w:p>
        </w:tc>
        <w:tc>
          <w:tcPr>
            <w:tcW w:w="0" w:type="dxa"/>
            <w:vAlign w:val="bottom"/>
          </w:tcPr>
          <w:p>
            <w:pPr>
              <w:spacing w:after="0"/>
              <w:rPr>
                <w:sz w:val="1"/>
                <w:szCs w:val="1"/>
                <w:color w:val="auto"/>
              </w:rPr>
            </w:pPr>
          </w:p>
        </w:tc>
      </w:tr>
      <w:tr>
        <w:trPr>
          <w:trHeight w:val="156"/>
        </w:trPr>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Descriptions</w:t>
            </w:r>
          </w:p>
        </w:tc>
        <w:tc>
          <w:tcPr>
            <w:tcW w:w="5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Encumbrance</w:t>
            </w:r>
          </w:p>
        </w:tc>
        <w:tc>
          <w:tcPr>
            <w:tcW w:w="880" w:type="dxa"/>
            <w:vAlign w:val="bottom"/>
            <w:gridSpan w:val="2"/>
          </w:tcPr>
          <w:p>
            <w:pPr>
              <w:ind w:left="260"/>
              <w:spacing w:after="0"/>
              <w:rPr>
                <w:sz w:val="20"/>
                <w:szCs w:val="20"/>
                <w:color w:val="auto"/>
              </w:rPr>
            </w:pPr>
            <w:r>
              <w:rPr>
                <w:rFonts w:ascii="Arial" w:cs="Arial" w:eastAsia="Arial" w:hAnsi="Arial"/>
                <w:sz w:val="11"/>
                <w:szCs w:val="11"/>
                <w:b w:val="1"/>
                <w:bCs w:val="1"/>
                <w:color w:val="auto"/>
              </w:rPr>
              <w:t>Land</w:t>
            </w: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Improvements</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Acquisition</w:t>
            </w:r>
          </w:p>
        </w:tc>
        <w:tc>
          <w:tcPr>
            <w:tcW w:w="880" w:type="dxa"/>
            <w:vAlign w:val="bottom"/>
            <w:gridSpan w:val="2"/>
          </w:tcPr>
          <w:p>
            <w:pPr>
              <w:ind w:left="260"/>
              <w:spacing w:after="0"/>
              <w:rPr>
                <w:sz w:val="20"/>
                <w:szCs w:val="20"/>
                <w:color w:val="auto"/>
              </w:rPr>
            </w:pPr>
            <w:r>
              <w:rPr>
                <w:rFonts w:ascii="Arial" w:cs="Arial" w:eastAsia="Arial" w:hAnsi="Arial"/>
                <w:sz w:val="11"/>
                <w:szCs w:val="11"/>
                <w:b w:val="1"/>
                <w:bCs w:val="1"/>
                <w:color w:val="auto"/>
              </w:rPr>
              <w:t>Land</w:t>
            </w: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Improvements</w:t>
            </w: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Amortization</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Construction</w:t>
            </w: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1"/>
              </w:rPr>
              <w:t>computed</w:t>
            </w:r>
          </w:p>
        </w:tc>
        <w:tc>
          <w:tcPr>
            <w:tcW w:w="0" w:type="dxa"/>
            <w:vAlign w:val="bottom"/>
          </w:tcPr>
          <w:p>
            <w:pPr>
              <w:spacing w:after="0"/>
              <w:rPr>
                <w:sz w:val="1"/>
                <w:szCs w:val="1"/>
                <w:color w:val="auto"/>
              </w:rPr>
            </w:pPr>
          </w:p>
        </w:tc>
      </w:tr>
      <w:tr>
        <w:trPr>
          <w:trHeight w:val="143"/>
        </w:trPr>
        <w:tc>
          <w:tcPr>
            <w:tcW w:w="110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3"/>
                <w:szCs w:val="13"/>
                <w:color w:val="auto"/>
              </w:rPr>
              <w:t>TROY (New</w:t>
            </w:r>
          </w:p>
        </w:tc>
        <w:tc>
          <w:tcPr>
            <w:tcW w:w="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rPr>
                <w:sz w:val="20"/>
                <w:szCs w:val="20"/>
                <w:color w:val="auto"/>
              </w:rPr>
            </w:pPr>
            <w:r>
              <w:rPr>
                <w:rFonts w:ascii="Arial" w:cs="Arial" w:eastAsia="Arial" w:hAnsi="Arial"/>
                <w:sz w:val="13"/>
                <w:szCs w:val="13"/>
                <w:color w:val="auto"/>
              </w:rPr>
              <w:t>Jersey)</w:t>
            </w:r>
          </w:p>
        </w:tc>
        <w:tc>
          <w:tcPr>
            <w:tcW w:w="520" w:type="dxa"/>
            <w:vAlign w:val="bottom"/>
          </w:tcPr>
          <w:p>
            <w:pPr>
              <w:ind w:left="120"/>
              <w:spacing w:after="0"/>
              <w:rPr>
                <w:sz w:val="20"/>
                <w:szCs w:val="20"/>
                <w:color w:val="auto"/>
              </w:rPr>
            </w:pPr>
            <w:r>
              <w:rPr>
                <w:rFonts w:ascii="Arial" w:cs="Arial" w:eastAsia="Arial" w:hAnsi="Arial"/>
                <w:sz w:val="13"/>
                <w:szCs w:val="13"/>
                <w:color w:val="auto"/>
              </w:rPr>
              <w:t>NJ</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3,126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5,193</w:t>
            </w:r>
          </w:p>
        </w:tc>
        <w:tc>
          <w:tcPr>
            <w:tcW w:w="1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20,001</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4,028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24,292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28,320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16,545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1966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7/23/1980</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TYSON'S</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STATION</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(Virginia)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3,321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1/17/1978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17 years</w:t>
            </w:r>
          </w:p>
        </w:tc>
        <w:tc>
          <w:tcPr>
            <w:tcW w:w="0" w:type="dxa"/>
            <w:vAlign w:val="bottom"/>
          </w:tcPr>
          <w:p>
            <w:pPr>
              <w:spacing w:after="0"/>
              <w:rPr>
                <w:sz w:val="1"/>
                <w:szCs w:val="1"/>
                <w:color w:val="auto"/>
              </w:rPr>
            </w:pPr>
          </w:p>
        </w:tc>
      </w:tr>
      <w:tr>
        <w:trPr>
          <w:trHeight w:val="144"/>
        </w:trPr>
        <w:tc>
          <w:tcPr>
            <w:tcW w:w="1100" w:type="dxa"/>
            <w:vAlign w:val="bottom"/>
          </w:tcPr>
          <w:p>
            <w:pPr>
              <w:ind w:left="20"/>
              <w:spacing w:after="0" w:line="144" w:lineRule="exact"/>
              <w:rPr>
                <w:sz w:val="20"/>
                <w:szCs w:val="20"/>
                <w:color w:val="auto"/>
              </w:rPr>
            </w:pPr>
            <w:r>
              <w:rPr>
                <w:rFonts w:ascii="Arial" w:cs="Arial" w:eastAsia="Arial" w:hAnsi="Arial"/>
                <w:sz w:val="13"/>
                <w:szCs w:val="13"/>
                <w:color w:val="auto"/>
              </w:rPr>
              <w:t>WESTGATE</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rPr>
                <w:sz w:val="20"/>
                <w:szCs w:val="20"/>
                <w:color w:val="auto"/>
              </w:rPr>
            </w:pPr>
            <w:r>
              <w:rPr>
                <w:rFonts w:ascii="Arial" w:cs="Arial" w:eastAsia="Arial" w:hAnsi="Arial"/>
                <w:sz w:val="13"/>
                <w:szCs w:val="13"/>
                <w:color w:val="auto"/>
              </w:rPr>
              <w:t>MALL (California)</w:t>
            </w:r>
          </w:p>
        </w:tc>
        <w:tc>
          <w:tcPr>
            <w:tcW w:w="520" w:type="dxa"/>
            <w:vAlign w:val="bottom"/>
          </w:tcPr>
          <w:p>
            <w:pPr>
              <w:ind w:left="120"/>
              <w:spacing w:after="0"/>
              <w:rPr>
                <w:sz w:val="20"/>
                <w:szCs w:val="20"/>
                <w:color w:val="auto"/>
              </w:rPr>
            </w:pPr>
            <w:r>
              <w:rPr>
                <w:rFonts w:ascii="Arial" w:cs="Arial" w:eastAsia="Arial" w:hAnsi="Arial"/>
                <w:sz w:val="13"/>
                <w:szCs w:val="13"/>
                <w:color w:val="auto"/>
              </w:rPr>
              <w:t>CA</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6,319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107,284</w:t>
            </w:r>
          </w:p>
        </w:tc>
        <w:tc>
          <w:tcPr>
            <w:tcW w:w="1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4,859</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112,143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118,462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21,847</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1960-1966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3/31/2004</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WHITE MARSH</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PLAZA (Maryland)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21,547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3/8/2007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5"/>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WHITE MARSH</w:t>
            </w: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MD</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(23,108)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39,135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3/8/2007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100" w:type="dxa"/>
            <w:vAlign w:val="bottom"/>
          </w:tcPr>
          <w:p>
            <w:pPr>
              <w:ind w:left="20"/>
              <w:spacing w:after="0" w:line="144" w:lineRule="exact"/>
              <w:rPr>
                <w:sz w:val="20"/>
                <w:szCs w:val="20"/>
                <w:color w:val="auto"/>
              </w:rPr>
            </w:pPr>
            <w:r>
              <w:rPr>
                <w:rFonts w:ascii="Arial" w:cs="Arial" w:eastAsia="Arial" w:hAnsi="Arial"/>
                <w:sz w:val="13"/>
                <w:szCs w:val="13"/>
                <w:color w:val="auto"/>
              </w:rPr>
              <w:t>WILDWOOD</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rPr>
                <w:sz w:val="20"/>
                <w:szCs w:val="20"/>
                <w:color w:val="auto"/>
              </w:rPr>
            </w:pPr>
            <w:r>
              <w:rPr>
                <w:rFonts w:ascii="Arial" w:cs="Arial" w:eastAsia="Arial" w:hAnsi="Arial"/>
                <w:sz w:val="13"/>
                <w:szCs w:val="13"/>
                <w:color w:val="auto"/>
              </w:rPr>
              <w:t>(Maryland)</w:t>
            </w:r>
          </w:p>
        </w:tc>
        <w:tc>
          <w:tcPr>
            <w:tcW w:w="520" w:type="dxa"/>
            <w:vAlign w:val="bottom"/>
          </w:tcPr>
          <w:p>
            <w:pPr>
              <w:ind w:left="120"/>
              <w:spacing w:after="0"/>
              <w:rPr>
                <w:sz w:val="20"/>
                <w:szCs w:val="20"/>
                <w:color w:val="auto"/>
              </w:rPr>
            </w:pPr>
            <w:r>
              <w:rPr>
                <w:rFonts w:ascii="Arial" w:cs="Arial" w:eastAsia="Arial" w:hAnsi="Arial"/>
                <w:sz w:val="13"/>
                <w:szCs w:val="13"/>
                <w:color w:val="auto"/>
              </w:rPr>
              <w:t>MD</w:t>
            </w:r>
          </w:p>
        </w:tc>
        <w:tc>
          <w:tcPr>
            <w:tcW w:w="800" w:type="dxa"/>
            <w:vAlign w:val="bottom"/>
          </w:tcPr>
          <w:p>
            <w:pPr>
              <w:jc w:val="right"/>
              <w:spacing w:after="0"/>
              <w:rPr>
                <w:sz w:val="20"/>
                <w:szCs w:val="20"/>
                <w:color w:val="auto"/>
              </w:rPr>
            </w:pPr>
            <w:r>
              <w:rPr>
                <w:rFonts w:ascii="Arial" w:cs="Arial" w:eastAsia="Arial" w:hAnsi="Arial"/>
                <w:sz w:val="13"/>
                <w:szCs w:val="13"/>
                <w:color w:val="auto"/>
              </w:rPr>
              <w:t>24,295</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9,111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7,962</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9,111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9,023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18,134</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7,782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5/5/1969</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33 1/3 years</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WILLOW GROVE</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20,588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11/20/1984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4"/>
        </w:trPr>
        <w:tc>
          <w:tcPr>
            <w:tcW w:w="1100" w:type="dxa"/>
            <w:vAlign w:val="bottom"/>
          </w:tcPr>
          <w:p>
            <w:pPr>
              <w:ind w:left="20"/>
              <w:spacing w:after="0" w:line="144" w:lineRule="exact"/>
              <w:rPr>
                <w:sz w:val="20"/>
                <w:szCs w:val="20"/>
                <w:color w:val="auto"/>
              </w:rPr>
            </w:pPr>
            <w:r>
              <w:rPr>
                <w:rFonts w:ascii="Arial" w:cs="Arial" w:eastAsia="Arial" w:hAnsi="Arial"/>
                <w:sz w:val="13"/>
                <w:szCs w:val="13"/>
                <w:color w:val="auto"/>
              </w:rPr>
              <w:t>WILLOW LAWN</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rPr>
                <w:sz w:val="20"/>
                <w:szCs w:val="20"/>
                <w:color w:val="auto"/>
              </w:rPr>
            </w:pPr>
            <w:r>
              <w:rPr>
                <w:rFonts w:ascii="Arial" w:cs="Arial" w:eastAsia="Arial" w:hAnsi="Arial"/>
                <w:sz w:val="13"/>
                <w:szCs w:val="13"/>
                <w:color w:val="auto"/>
              </w:rPr>
              <w:t>(Virginia)</w:t>
            </w:r>
          </w:p>
        </w:tc>
        <w:tc>
          <w:tcPr>
            <w:tcW w:w="520" w:type="dxa"/>
            <w:vAlign w:val="bottom"/>
          </w:tcPr>
          <w:p>
            <w:pPr>
              <w:ind w:left="120"/>
              <w:spacing w:after="0"/>
              <w:rPr>
                <w:sz w:val="20"/>
                <w:szCs w:val="20"/>
                <w:color w:val="auto"/>
              </w:rPr>
            </w:pPr>
            <w:r>
              <w:rPr>
                <w:rFonts w:ascii="Arial" w:cs="Arial" w:eastAsia="Arial" w:hAnsi="Arial"/>
                <w:sz w:val="13"/>
                <w:szCs w:val="13"/>
                <w:color w:val="auto"/>
              </w:rPr>
              <w:t>VA</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3,192</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7,723</w:t>
            </w:r>
          </w:p>
        </w:tc>
        <w:tc>
          <w:tcPr>
            <w:tcW w:w="10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70,385</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7,790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73,510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81,300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43,740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1957</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12/5/1983</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28,168</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8,055</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13,759</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14,805</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8,055</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28,564</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36,619</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10/29/1996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219"/>
        </w:trPr>
        <w:tc>
          <w:tcPr>
            <w:tcW w:w="1100" w:type="dxa"/>
            <w:vAlign w:val="bottom"/>
          </w:tcPr>
          <w:p>
            <w:pPr>
              <w:ind w:left="20"/>
              <w:spacing w:after="0"/>
              <w:rPr>
                <w:sz w:val="20"/>
                <w:szCs w:val="20"/>
                <w:color w:val="auto"/>
              </w:rPr>
            </w:pPr>
            <w:r>
              <w:rPr>
                <w:rFonts w:ascii="Arial" w:cs="Arial" w:eastAsia="Arial" w:hAnsi="Arial"/>
                <w:sz w:val="13"/>
                <w:szCs w:val="13"/>
                <w:color w:val="auto"/>
              </w:rPr>
              <w:t>TOTALS</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$810,616</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$919,112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1,517,305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w w:val="96"/>
              </w:rPr>
              <w:t>$  1,998,127</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$922,595</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3,511,949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  4,434,544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  1,127,588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360"/>
          </w:cols>
          <w:pgMar w:left="240" w:top="127" w:right="2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2"/>
        </w:trPr>
        <w:tc>
          <w:tcPr>
            <w:tcW w:w="8900" w:type="dxa"/>
            <w:vAlign w:val="bottom"/>
            <w:gridSpan w:val="3"/>
          </w:tcPr>
          <w:p>
            <w:pPr>
              <w:spacing w:after="0"/>
              <w:rPr>
                <w:rFonts w:ascii="Arial" w:cs="Arial" w:eastAsia="Arial" w:hAnsi="Arial"/>
                <w:sz w:val="15"/>
                <w:szCs w:val="15"/>
                <w:b w:val="1"/>
                <w:bCs w:val="1"/>
                <w:color w:val="0000FF"/>
              </w:rPr>
            </w:pPr>
            <w:hyperlink w:anchor="page54">
              <w:r>
                <w:rPr>
                  <w:rFonts w:ascii="Arial" w:cs="Arial" w:eastAsia="Arial" w:hAnsi="Arial"/>
                  <w:sz w:val="15"/>
                  <w:szCs w:val="15"/>
                  <w:b w:val="1"/>
                  <w:bCs w:val="1"/>
                  <w:color w:val="0000FF"/>
                </w:rPr>
                <w:t>Table of Contents</w:t>
              </w:r>
            </w:hyperlink>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1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rPr>
              <w:t>FEDERAL REALTY INVESTMENT TRUST</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rPr>
              <w:t>SCHEDULE III</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40" w:type="dxa"/>
            <w:vAlign w:val="bottom"/>
            <w:gridSpan w:val="2"/>
          </w:tcPr>
          <w:p>
            <w:pPr>
              <w:jc w:val="center"/>
              <w:ind w:left="718"/>
              <w:spacing w:after="0"/>
              <w:rPr>
                <w:sz w:val="20"/>
                <w:szCs w:val="20"/>
                <w:color w:val="auto"/>
              </w:rPr>
            </w:pPr>
            <w:r>
              <w:rPr>
                <w:rFonts w:ascii="Arial" w:cs="Arial" w:eastAsia="Arial" w:hAnsi="Arial"/>
                <w:sz w:val="16"/>
                <w:szCs w:val="16"/>
                <w:b w:val="1"/>
                <w:bCs w:val="1"/>
                <w:color w:val="auto"/>
              </w:rPr>
              <w:t>SUMMARY OF REAL ESTATE AND ACCUMULATED DEPRECIATION - CONTINUED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w w:val="91"/>
              </w:rPr>
              <w:t>Three Years Ended December 31, 2011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w w:val="91"/>
              </w:rPr>
              <w:t>Reconciliation of Total Cost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jc w:val="center"/>
              <w:ind w:left="918"/>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3,673,685</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6"/>
                <w:szCs w:val="16"/>
                <w:color w:val="auto"/>
              </w:rPr>
              <w:t>Additions during period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Acquisitions</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34,485</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6"/>
                <w:szCs w:val="16"/>
                <w:color w:val="auto"/>
              </w:rPr>
              <w:t>Improvements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93,304</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 during period—disposition and retirements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(42,240)</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2009</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3,759,234</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Additions during period</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34,855</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Consolidation of VIE</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18,311</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6"/>
                <w:szCs w:val="16"/>
                <w:color w:val="auto"/>
              </w:rPr>
              <w:t>Improvements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97,129</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 during period—disposition and retirements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(13,587)</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2010</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3,895,942</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Additions during period</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439,061</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Improvements</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147,793</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6"/>
                <w:szCs w:val="16"/>
                <w:color w:val="auto"/>
              </w:rPr>
              <w:t>Deconsolidation of VIE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(18,311)</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 during period—disposition and retirements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2011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4,434,544</w:t>
            </w: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900" w:type="dxa"/>
            <w:vAlign w:val="bottom"/>
            <w:gridSpan w:val="3"/>
          </w:tcPr>
          <w:p>
            <w:pPr>
              <w:spacing w:after="0"/>
              <w:rPr>
                <w:sz w:val="20"/>
                <w:szCs w:val="20"/>
                <w:color w:val="auto"/>
              </w:rPr>
            </w:pPr>
            <w:r>
              <w:rPr>
                <w:rFonts w:ascii="Arial" w:cs="Arial" w:eastAsia="Arial" w:hAnsi="Arial"/>
                <w:sz w:val="16"/>
                <w:szCs w:val="16"/>
                <w:color w:val="auto"/>
              </w:rPr>
              <w:t>(1)  For Federal tax purposes, the aggregate cost basis is approximately $3.9 billion as of December 31, 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jc w:val="center"/>
              <w:ind w:left="898"/>
              <w:spacing w:after="0"/>
              <w:rPr>
                <w:sz w:val="20"/>
                <w:szCs w:val="20"/>
                <w:color w:val="auto"/>
              </w:rPr>
            </w:pPr>
            <w:r>
              <w:rPr>
                <w:rFonts w:ascii="Arial" w:cs="Arial" w:eastAsia="Arial" w:hAnsi="Arial"/>
                <w:sz w:val="16"/>
                <w:szCs w:val="16"/>
                <w:color w:val="auto"/>
                <w:w w:val="91"/>
              </w:rPr>
              <w:t>F-37</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1440" w:gutter="0" w:footer="0" w:header="0"/>
        </w:sectPr>
      </w:pPr>
    </w:p>
    <w:bookmarkStart w:id="91" w:name="page92"/>
    <w:bookmarkEnd w:id="91"/>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SCHEDULE III</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SUMMARY OF REAL ESTATE AND ACCUMULATED DEPRECIATION - CONTINUED</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Years Ended December 31, 2011</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Reconciliation of Accumulated Depreciation and Amortization</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thousands)</w:t>
      </w:r>
    </w:p>
    <w:p>
      <w:pPr>
        <w:spacing w:after="0" w:line="32" w:lineRule="exact"/>
        <w:rPr>
          <w:sz w:val="20"/>
          <w:szCs w:val="20"/>
          <w:color w:val="auto"/>
        </w:rPr>
      </w:pPr>
    </w:p>
    <w:tbl>
      <w:tblPr>
        <w:tblLayout w:type="fixed"/>
        <w:tblInd w:w="1540" w:type="dxa"/>
        <w:tblCellMar>
          <w:top w:w="0" w:type="dxa"/>
          <w:left w:w="0" w:type="dxa"/>
          <w:bottom w:w="0" w:type="dxa"/>
          <w:right w:w="0" w:type="dxa"/>
        </w:tblCellMar>
      </w:tblPr>
      <w:tr>
        <w:trPr>
          <w:trHeight w:val="22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846,258</w:t>
            </w:r>
          </w:p>
        </w:tc>
        <w:tc>
          <w:tcPr>
            <w:tcW w:w="0" w:type="dxa"/>
            <w:vAlign w:val="bottom"/>
          </w:tcPr>
          <w:p>
            <w:pPr>
              <w:spacing w:after="0"/>
              <w:rPr>
                <w:sz w:val="1"/>
                <w:szCs w:val="1"/>
                <w:color w:val="auto"/>
              </w:rPr>
            </w:pPr>
          </w:p>
        </w:tc>
      </w:tr>
      <w:tr>
        <w:trPr>
          <w:trHeight w:val="220"/>
        </w:trPr>
        <w:tc>
          <w:tcPr>
            <w:tcW w:w="7360" w:type="dxa"/>
            <w:vAlign w:val="bottom"/>
          </w:tcPr>
          <w:p>
            <w:pPr>
              <w:ind w:left="240"/>
              <w:spacing w:after="0"/>
              <w:rPr>
                <w:sz w:val="20"/>
                <w:szCs w:val="20"/>
                <w:color w:val="auto"/>
              </w:rPr>
            </w:pPr>
            <w:r>
              <w:rPr>
                <w:rFonts w:ascii="Arial" w:cs="Arial" w:eastAsia="Arial" w:hAnsi="Arial"/>
                <w:sz w:val="16"/>
                <w:szCs w:val="16"/>
                <w:color w:val="auto"/>
              </w:rPr>
              <w:t>Additions during period—depreciation and amortization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103,698</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Deductions during period—disposition and retirements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(11,869)</w:t>
            </w: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2009</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938,087</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Additions during period—depreciation and amortization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108,261</w:t>
            </w:r>
          </w:p>
        </w:tc>
        <w:tc>
          <w:tcPr>
            <w:tcW w:w="0" w:type="dxa"/>
            <w:vAlign w:val="bottom"/>
          </w:tcPr>
          <w:p>
            <w:pPr>
              <w:spacing w:after="0"/>
              <w:rPr>
                <w:sz w:val="1"/>
                <w:szCs w:val="1"/>
                <w:color w:val="auto"/>
              </w:rPr>
            </w:pPr>
          </w:p>
        </w:tc>
      </w:tr>
      <w:tr>
        <w:trPr>
          <w:trHeight w:val="220"/>
        </w:trPr>
        <w:tc>
          <w:tcPr>
            <w:tcW w:w="7360" w:type="dxa"/>
            <w:vAlign w:val="bottom"/>
          </w:tcPr>
          <w:p>
            <w:pPr>
              <w:ind w:left="240"/>
              <w:spacing w:after="0"/>
              <w:rPr>
                <w:sz w:val="20"/>
                <w:szCs w:val="20"/>
                <w:color w:val="auto"/>
              </w:rPr>
            </w:pPr>
            <w:r>
              <w:rPr>
                <w:rFonts w:ascii="Arial" w:cs="Arial" w:eastAsia="Arial" w:hAnsi="Arial"/>
                <w:sz w:val="16"/>
                <w:szCs w:val="16"/>
                <w:color w:val="auto"/>
              </w:rPr>
              <w:t>Deductions during period—disposition and retirements of property</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(11,144)</w:t>
            </w:r>
          </w:p>
        </w:tc>
        <w:tc>
          <w:tcPr>
            <w:tcW w:w="0" w:type="dxa"/>
            <w:vAlign w:val="bottom"/>
          </w:tcPr>
          <w:p>
            <w:pPr>
              <w:spacing w:after="0"/>
              <w:rPr>
                <w:sz w:val="1"/>
                <w:szCs w:val="1"/>
                <w:color w:val="auto"/>
              </w:rPr>
            </w:pPr>
          </w:p>
        </w:tc>
      </w:tr>
      <w:tr>
        <w:trPr>
          <w:trHeight w:val="26"/>
        </w:trPr>
        <w:tc>
          <w:tcPr>
            <w:tcW w:w="7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2010</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1,035,204</w:t>
            </w:r>
          </w:p>
        </w:tc>
        <w:tc>
          <w:tcPr>
            <w:tcW w:w="0" w:type="dxa"/>
            <w:vAlign w:val="bottom"/>
          </w:tcPr>
          <w:p>
            <w:pPr>
              <w:spacing w:after="0"/>
              <w:rPr>
                <w:sz w:val="1"/>
                <w:szCs w:val="1"/>
                <w:color w:val="auto"/>
              </w:rPr>
            </w:pPr>
          </w:p>
        </w:tc>
      </w:tr>
      <w:tr>
        <w:trPr>
          <w:trHeight w:val="220"/>
        </w:trPr>
        <w:tc>
          <w:tcPr>
            <w:tcW w:w="7360" w:type="dxa"/>
            <w:vAlign w:val="bottom"/>
          </w:tcPr>
          <w:p>
            <w:pPr>
              <w:ind w:left="240"/>
              <w:spacing w:after="0"/>
              <w:rPr>
                <w:sz w:val="20"/>
                <w:szCs w:val="20"/>
                <w:color w:val="auto"/>
              </w:rPr>
            </w:pPr>
            <w:r>
              <w:rPr>
                <w:rFonts w:ascii="Arial" w:cs="Arial" w:eastAsia="Arial" w:hAnsi="Arial"/>
                <w:sz w:val="16"/>
                <w:szCs w:val="16"/>
                <w:color w:val="auto"/>
              </w:rPr>
              <w:t>Additions during period—depreciation and amortization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114,180</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Deductions during period—disposition and retirements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(21,796)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2011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1,127,588</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20"/>
              <w:spacing w:after="0"/>
              <w:rPr>
                <w:sz w:val="20"/>
                <w:szCs w:val="20"/>
                <w:color w:val="auto"/>
              </w:rPr>
            </w:pPr>
            <w:r>
              <w:rPr>
                <w:rFonts w:ascii="Arial" w:cs="Arial" w:eastAsia="Arial" w:hAnsi="Arial"/>
                <w:sz w:val="16"/>
                <w:szCs w:val="16"/>
                <w:color w:val="auto"/>
              </w:rPr>
              <w:t>F-38</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7" w:right="1440" w:bottom="1440" w:gutter="0" w:footer="0" w:header="0"/>
        </w:sectPr>
      </w:pPr>
    </w:p>
    <w:bookmarkStart w:id="92" w:name="page93"/>
    <w:bookmarkEnd w:id="92"/>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p>
      <w:pPr>
        <w:jc w:val="center"/>
        <w:ind w:right="3018"/>
        <w:spacing w:after="0"/>
        <w:rPr>
          <w:sz w:val="20"/>
          <w:szCs w:val="20"/>
          <w:color w:val="auto"/>
        </w:rPr>
      </w:pPr>
      <w:r>
        <w:rPr>
          <w:rFonts w:ascii="Arial" w:cs="Arial" w:eastAsia="Arial" w:hAnsi="Arial"/>
          <w:sz w:val="16"/>
          <w:szCs w:val="16"/>
          <w:b w:val="1"/>
          <w:bCs w:val="1"/>
          <w:color w:val="auto"/>
        </w:rPr>
        <w:t>FEDERAL REALTY INVESTMENT TRUST</w:t>
      </w:r>
    </w:p>
    <w:p>
      <w:pPr>
        <w:spacing w:after="0" w:line="28" w:lineRule="exact"/>
        <w:rPr>
          <w:sz w:val="20"/>
          <w:szCs w:val="20"/>
          <w:color w:val="auto"/>
        </w:rPr>
      </w:pPr>
    </w:p>
    <w:p>
      <w:pPr>
        <w:jc w:val="center"/>
        <w:ind w:right="3018"/>
        <w:spacing w:after="0"/>
        <w:rPr>
          <w:sz w:val="20"/>
          <w:szCs w:val="20"/>
          <w:color w:val="auto"/>
        </w:rPr>
      </w:pPr>
      <w:r>
        <w:rPr>
          <w:rFonts w:ascii="Arial" w:cs="Arial" w:eastAsia="Arial" w:hAnsi="Arial"/>
          <w:sz w:val="16"/>
          <w:szCs w:val="16"/>
          <w:b w:val="1"/>
          <w:bCs w:val="1"/>
          <w:color w:val="auto"/>
        </w:rPr>
        <w:t>SCHEDULE IV</w:t>
      </w:r>
    </w:p>
    <w:p>
      <w:pPr>
        <w:spacing w:after="0" w:line="12" w:lineRule="exact"/>
        <w:rPr>
          <w:sz w:val="20"/>
          <w:szCs w:val="20"/>
          <w:color w:val="auto"/>
        </w:rPr>
      </w:pPr>
    </w:p>
    <w:p>
      <w:pPr>
        <w:jc w:val="center"/>
        <w:ind w:right="3018"/>
        <w:spacing w:after="0"/>
        <w:rPr>
          <w:sz w:val="20"/>
          <w:szCs w:val="20"/>
          <w:color w:val="auto"/>
        </w:rPr>
      </w:pPr>
      <w:r>
        <w:rPr>
          <w:rFonts w:ascii="Arial" w:cs="Arial" w:eastAsia="Arial" w:hAnsi="Arial"/>
          <w:sz w:val="16"/>
          <w:szCs w:val="16"/>
          <w:b w:val="1"/>
          <w:bCs w:val="1"/>
          <w:color w:val="auto"/>
        </w:rPr>
        <w:t>MORTGAGE LOANS ON REAL ESTATE</w:t>
      </w:r>
    </w:p>
    <w:p>
      <w:pPr>
        <w:spacing w:after="0" w:line="12" w:lineRule="exact"/>
        <w:rPr>
          <w:sz w:val="20"/>
          <w:szCs w:val="20"/>
          <w:color w:val="auto"/>
        </w:rPr>
      </w:pPr>
    </w:p>
    <w:p>
      <w:pPr>
        <w:jc w:val="center"/>
        <w:ind w:right="3018"/>
        <w:spacing w:after="0"/>
        <w:rPr>
          <w:sz w:val="20"/>
          <w:szCs w:val="20"/>
          <w:color w:val="auto"/>
        </w:rPr>
      </w:pPr>
      <w:r>
        <w:rPr>
          <w:rFonts w:ascii="Arial" w:cs="Arial" w:eastAsia="Arial" w:hAnsi="Arial"/>
          <w:sz w:val="16"/>
          <w:szCs w:val="16"/>
          <w:b w:val="1"/>
          <w:bCs w:val="1"/>
          <w:color w:val="auto"/>
        </w:rPr>
        <w:t>Year Ended December 31, 2011</w:t>
      </w:r>
    </w:p>
    <w:p>
      <w:pPr>
        <w:spacing w:after="0" w:line="12" w:lineRule="exact"/>
        <w:rPr>
          <w:sz w:val="20"/>
          <w:szCs w:val="20"/>
          <w:color w:val="auto"/>
        </w:rPr>
      </w:pPr>
    </w:p>
    <w:p>
      <w:pPr>
        <w:jc w:val="center"/>
        <w:ind w:right="3018"/>
        <w:spacing w:after="0"/>
        <w:rPr>
          <w:sz w:val="20"/>
          <w:szCs w:val="20"/>
          <w:color w:val="auto"/>
        </w:rPr>
      </w:pPr>
      <w:r>
        <w:rPr>
          <w:rFonts w:ascii="Arial" w:cs="Arial" w:eastAsia="Arial" w:hAnsi="Arial"/>
          <w:sz w:val="16"/>
          <w:szCs w:val="16"/>
          <w:b w:val="1"/>
          <w:bCs w:val="1"/>
          <w:color w:val="auto"/>
        </w:rPr>
        <w:t>(Dollars in thousands)</w:t>
      </w:r>
    </w:p>
    <w:p>
      <w:pPr>
        <w:spacing w:after="0" w:line="79"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Column B</w:t>
            </w: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Column C</w:t>
            </w: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Column D</w:t>
            </w:r>
          </w:p>
        </w:tc>
        <w:tc>
          <w:tcPr>
            <w:tcW w:w="14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Column E</w:t>
            </w:r>
          </w:p>
        </w:tc>
        <w:tc>
          <w:tcPr>
            <w:tcW w:w="12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Column F</w:t>
            </w:r>
          </w:p>
        </w:tc>
        <w:tc>
          <w:tcPr>
            <w:tcW w:w="10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Column G</w:t>
            </w: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Column H</w:t>
            </w:r>
          </w:p>
        </w:tc>
        <w:tc>
          <w:tcPr>
            <w:tcW w:w="0" w:type="dxa"/>
            <w:vAlign w:val="bottom"/>
          </w:tcPr>
          <w:p>
            <w:pPr>
              <w:spacing w:after="0"/>
              <w:rPr>
                <w:sz w:val="1"/>
                <w:szCs w:val="1"/>
                <w:color w:val="auto"/>
              </w:rPr>
            </w:pPr>
          </w:p>
        </w:tc>
      </w:tr>
      <w:tr>
        <w:trPr>
          <w:trHeight w:val="137"/>
        </w:trPr>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0"/>
              <w:spacing w:after="0" w:line="138"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of Loans</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9"/>
              </w:rPr>
              <w:t>Subject to</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Carrying</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delinquent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Periodic Payment</w:t>
            </w:r>
          </w:p>
        </w:tc>
        <w:tc>
          <w:tcPr>
            <w:tcW w:w="140" w:type="dxa"/>
            <w:vAlign w:val="bottom"/>
          </w:tcPr>
          <w:p>
            <w:pPr>
              <w:spacing w:after="0"/>
              <w:rPr>
                <w:sz w:val="11"/>
                <w:szCs w:val="11"/>
                <w:color w:val="auto"/>
              </w:rPr>
            </w:pPr>
          </w:p>
        </w:tc>
        <w:tc>
          <w:tcPr>
            <w:tcW w:w="94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Prior</w:t>
            </w:r>
          </w:p>
        </w:tc>
        <w:tc>
          <w:tcPr>
            <w:tcW w:w="120" w:type="dxa"/>
            <w:vAlign w:val="bottom"/>
          </w:tcPr>
          <w:p>
            <w:pPr>
              <w:spacing w:after="0"/>
              <w:rPr>
                <w:sz w:val="11"/>
                <w:szCs w:val="11"/>
                <w:color w:val="auto"/>
              </w:rPr>
            </w:pPr>
          </w:p>
        </w:tc>
        <w:tc>
          <w:tcPr>
            <w:tcW w:w="9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Face Amount</w:t>
            </w:r>
          </w:p>
        </w:tc>
        <w:tc>
          <w:tcPr>
            <w:tcW w:w="100" w:type="dxa"/>
            <w:vAlign w:val="bottom"/>
          </w:tcPr>
          <w:p>
            <w:pPr>
              <w:spacing w:after="0"/>
              <w:rPr>
                <w:sz w:val="11"/>
                <w:szCs w:val="11"/>
                <w:color w:val="auto"/>
              </w:rPr>
            </w:pPr>
          </w:p>
        </w:tc>
        <w:tc>
          <w:tcPr>
            <w:tcW w:w="11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Description of Lien</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Interest Rate</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7"/>
              </w:rPr>
              <w:t>Maturity Date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Terms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4"/>
              </w:rPr>
              <w:t>Liens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of Mortgages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of Mortgages(1)</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or Interest</w:t>
            </w:r>
          </w:p>
        </w:tc>
        <w:tc>
          <w:tcPr>
            <w:tcW w:w="0" w:type="dxa"/>
            <w:vAlign w:val="bottom"/>
          </w:tcPr>
          <w:p>
            <w:pPr>
              <w:spacing w:after="0"/>
              <w:rPr>
                <w:sz w:val="1"/>
                <w:szCs w:val="1"/>
                <w:color w:val="auto"/>
              </w:rPr>
            </w:pPr>
          </w:p>
        </w:tc>
      </w:tr>
      <w:tr>
        <w:trPr>
          <w:trHeight w:val="198"/>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Mortgage on</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8% or 10%</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May 2021</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only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20,113   (2)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retail buildings in</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based on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monthly;</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Philadelphia, PA</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timing of</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balloon</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draws, plus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payment due</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participation</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at maturity</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Mortgage on</w:t>
            </w:r>
          </w:p>
        </w:tc>
        <w:tc>
          <w:tcPr>
            <w:tcW w:w="900" w:type="dxa"/>
            <w:vAlign w:val="bottom"/>
            <w:gridSpan w:val="2"/>
          </w:tcPr>
          <w:p>
            <w:pPr>
              <w:ind w:left="40"/>
              <w:spacing w:after="0"/>
              <w:rPr>
                <w:sz w:val="20"/>
                <w:szCs w:val="20"/>
                <w:color w:val="auto"/>
              </w:rPr>
            </w:pPr>
            <w:r>
              <w:rPr>
                <w:rFonts w:ascii="Arial" w:cs="Arial" w:eastAsia="Arial" w:hAnsi="Arial"/>
                <w:sz w:val="15"/>
                <w:szCs w:val="15"/>
                <w:color w:val="auto"/>
              </w:rPr>
              <w:t>10% plus</w:t>
            </w: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May 2021</w:t>
            </w: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Interest only</w:t>
            </w:r>
          </w:p>
        </w:tc>
        <w:tc>
          <w:tcPr>
            <w:tcW w:w="140" w:type="dxa"/>
            <w:vAlign w:val="bottom"/>
          </w:tcPr>
          <w:p>
            <w:pPr>
              <w:spacing w:after="0"/>
              <w:rPr>
                <w:sz w:val="17"/>
                <w:szCs w:val="17"/>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9,250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9,250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retail buildings in</w:t>
            </w:r>
          </w:p>
        </w:tc>
        <w:tc>
          <w:tcPr>
            <w:tcW w:w="900" w:type="dxa"/>
            <w:vAlign w:val="bottom"/>
            <w:gridSpan w:val="2"/>
          </w:tcPr>
          <w:p>
            <w:pPr>
              <w:ind w:left="40"/>
              <w:spacing w:after="0"/>
              <w:rPr>
                <w:sz w:val="20"/>
                <w:szCs w:val="20"/>
                <w:color w:val="auto"/>
              </w:rPr>
            </w:pPr>
            <w:r>
              <w:rPr>
                <w:rFonts w:ascii="Arial" w:cs="Arial" w:eastAsia="Arial" w:hAnsi="Arial"/>
                <w:sz w:val="15"/>
                <w:szCs w:val="15"/>
                <w:color w:val="auto"/>
              </w:rPr>
              <w:t>participation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monthly;</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Philadelphia, PA</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balloon</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payment due</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at maturity</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9"/>
              </w:rPr>
              <w:t>Second Mortgage</w:t>
            </w:r>
          </w:p>
        </w:tc>
        <w:tc>
          <w:tcPr>
            <w:tcW w:w="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August 2016</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Principal and</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35,000  (4)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on hotel building</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balloon</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 San Jose, CA</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payment due</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at maturity(3)</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Mortgage on</w:t>
            </w:r>
          </w:p>
        </w:tc>
        <w:tc>
          <w:tcPr>
            <w:tcW w:w="800" w:type="dxa"/>
            <w:vAlign w:val="bottom"/>
          </w:tcPr>
          <w:p>
            <w:pPr>
              <w:ind w:left="4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December</w:t>
            </w: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Interest only</w:t>
            </w:r>
          </w:p>
        </w:tc>
        <w:tc>
          <w:tcPr>
            <w:tcW w:w="140" w:type="dxa"/>
            <w:vAlign w:val="bottom"/>
          </w:tcPr>
          <w:p>
            <w:pPr>
              <w:spacing w:after="0"/>
              <w:rPr>
                <w:sz w:val="17"/>
                <w:szCs w:val="17"/>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3,637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3,637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restaurant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5"/>
                <w:szCs w:val="15"/>
                <w:color w:val="auto"/>
              </w:rPr>
              <w:t>2014</w:t>
            </w: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monthly through</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building in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January 31,</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rPr>
                <w:sz w:val="20"/>
                <w:szCs w:val="20"/>
                <w:color w:val="auto"/>
              </w:rPr>
            </w:pPr>
            <w:r>
              <w:rPr>
                <w:rFonts w:ascii="Arial" w:cs="Arial" w:eastAsia="Arial" w:hAnsi="Arial"/>
                <w:sz w:val="15"/>
                <w:szCs w:val="15"/>
                <w:color w:val="auto"/>
              </w:rPr>
              <w:t>Rockville, MD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2011; balloon</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payment due</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color w:val="auto"/>
              </w:rPr>
              <w:t>at maturity(5)</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Mortgage on</w:t>
            </w:r>
          </w:p>
        </w:tc>
        <w:tc>
          <w:tcPr>
            <w:tcW w:w="800" w:type="dxa"/>
            <w:vAlign w:val="bottom"/>
            <w:shd w:val="clear" w:color="auto" w:fill="CCEEFF"/>
          </w:tcPr>
          <w:p>
            <w:pPr>
              <w:ind w:left="4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June 2014</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only;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retail building in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9"/>
              </w:rPr>
              <w:t>balloon payment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Norwalk, CT</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due at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maturity(6)</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1"/>
              </w:rPr>
              <w:t>35,000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58,867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55,967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
        </w:trPr>
        <w:tc>
          <w:tcPr>
            <w:tcW w:w="202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w:t>
            </w: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20" w:type="dxa"/>
            <w:vAlign w:val="bottom"/>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2" w:hanging="302"/>
        <w:spacing w:after="0"/>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Federal tax purposes, the aggregate tax basis is approximately $58.9 million as of December 31, 2011.</w:t>
      </w:r>
    </w:p>
    <w:p>
      <w:pPr>
        <w:spacing w:after="0" w:line="4" w:lineRule="exact"/>
        <w:rPr>
          <w:rFonts w:ascii="Arial" w:cs="Arial" w:eastAsia="Arial" w:hAnsi="Arial"/>
          <w:sz w:val="15"/>
          <w:szCs w:val="15"/>
          <w:color w:val="auto"/>
        </w:rPr>
      </w:pPr>
    </w:p>
    <w:p>
      <w:pPr>
        <w:ind w:left="302" w:hanging="302"/>
        <w:spacing w:after="0"/>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mortgage is available for up to $25.0 million.</w:t>
      </w:r>
    </w:p>
    <w:p>
      <w:pPr>
        <w:ind w:left="302" w:right="40" w:hanging="302"/>
        <w:spacing w:after="0" w:line="239" w:lineRule="auto"/>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note was amended on August 4, 2006. The amended note decreased the interest from 14% to 9% per annum, and requires monthly payments of principal and interest based on 15-year amortization schedule.</w:t>
      </w:r>
    </w:p>
    <w:p>
      <w:pPr>
        <w:ind w:left="302" w:hanging="302"/>
        <w:spacing w:after="0"/>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do not hold the first mortgage loan on this property. Accordingly, the amount of the prior lien at December 31, 2011 is estimated.</w:t>
      </w:r>
    </w:p>
    <w:p>
      <w:pPr>
        <w:ind w:left="302" w:hanging="302"/>
        <w:spacing w:after="0" w:line="239" w:lineRule="auto"/>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Beginning February 1, 2011, the note requires monthly payments of principal and interest based on a 30-year amortization schedule. The borrower has one, three-year extension option with an interest rate of 12% which increases 1% in each subsequent year of the extension term.</w:t>
      </w:r>
    </w:p>
    <w:p>
      <w:pPr>
        <w:ind w:left="302" w:hanging="302"/>
        <w:spacing w:after="0"/>
        <w:tabs>
          <w:tab w:leader="none" w:pos="3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loan is subject to a one year extension option with an interest rate of 7% .</w:t>
      </w:r>
    </w:p>
    <w:p>
      <w:pPr>
        <w:spacing w:after="0" w:line="20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02"/>
          </w:cols>
          <w:pgMar w:left="238" w:top="127" w:right="2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39" w:lineRule="exact"/>
        <w:rPr>
          <w:sz w:val="20"/>
          <w:szCs w:val="20"/>
          <w:color w:val="auto"/>
        </w:rPr>
      </w:pPr>
    </w:p>
    <w:tbl>
      <w:tblPr>
        <w:tblLayout w:type="fixed"/>
        <w:tblInd w:w="1540" w:type="dxa"/>
        <w:tblCellMar>
          <w:top w:w="0" w:type="dxa"/>
          <w:left w:w="0" w:type="dxa"/>
          <w:bottom w:w="0" w:type="dxa"/>
          <w:right w:w="0" w:type="dxa"/>
        </w:tblCellMar>
      </w:tblPr>
      <w:tr>
        <w:trPr>
          <w:trHeight w:val="196"/>
        </w:trPr>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rPr>
              <w:t>FEDERAL REALTY INVESTMENT TRUST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jc w:val="center"/>
              <w:ind w:left="918"/>
              <w:spacing w:after="0"/>
              <w:rPr>
                <w:sz w:val="20"/>
                <w:szCs w:val="20"/>
                <w:color w:val="auto"/>
              </w:rPr>
            </w:pPr>
            <w:r>
              <w:rPr>
                <w:rFonts w:ascii="Arial" w:cs="Arial" w:eastAsia="Arial" w:hAnsi="Arial"/>
                <w:sz w:val="16"/>
                <w:szCs w:val="16"/>
                <w:b w:val="1"/>
                <w:bCs w:val="1"/>
                <w:color w:val="auto"/>
              </w:rPr>
              <w:t>SCHEDULE IV</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rPr>
              <w:t>MORTGAGE LOANS ON REAL ESTATE - CONTINUED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jc w:val="center"/>
              <w:ind w:left="898"/>
              <w:spacing w:after="0"/>
              <w:rPr>
                <w:sz w:val="20"/>
                <w:szCs w:val="20"/>
                <w:color w:val="auto"/>
              </w:rPr>
            </w:pPr>
            <w:r>
              <w:rPr>
                <w:rFonts w:ascii="Arial" w:cs="Arial" w:eastAsia="Arial" w:hAnsi="Arial"/>
                <w:sz w:val="16"/>
                <w:szCs w:val="16"/>
                <w:b w:val="1"/>
                <w:bCs w:val="1"/>
                <w:color w:val="auto"/>
                <w:w w:val="91"/>
              </w:rPr>
              <w:t>Three Years Ended December 31, 2011</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jc w:val="center"/>
              <w:ind w:left="918"/>
              <w:spacing w:after="0"/>
              <w:rPr>
                <w:sz w:val="20"/>
                <w:szCs w:val="20"/>
                <w:color w:val="auto"/>
              </w:rPr>
            </w:pPr>
            <w:r>
              <w:rPr>
                <w:rFonts w:ascii="Arial" w:cs="Arial" w:eastAsia="Arial" w:hAnsi="Arial"/>
                <w:sz w:val="16"/>
                <w:szCs w:val="16"/>
                <w:b w:val="1"/>
                <w:bCs w:val="1"/>
                <w:color w:val="auto"/>
                <w:w w:val="93"/>
              </w:rPr>
              <w:t>Reconciliation of Carrying Amount</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60" w:type="dxa"/>
            <w:vAlign w:val="bottom"/>
          </w:tcPr>
          <w:p>
            <w:pPr>
              <w:jc w:val="center"/>
              <w:ind w:left="918"/>
              <w:spacing w:after="0"/>
              <w:rPr>
                <w:sz w:val="20"/>
                <w:szCs w:val="20"/>
                <w:color w:val="auto"/>
              </w:rPr>
            </w:pPr>
            <w:r>
              <w:rPr>
                <w:rFonts w:ascii="Arial" w:cs="Arial" w:eastAsia="Arial" w:hAnsi="Arial"/>
                <w:sz w:val="16"/>
                <w:szCs w:val="16"/>
                <w:b w:val="1"/>
                <w:bCs w:val="1"/>
                <w:color w:val="auto"/>
                <w:w w:val="90"/>
              </w:rPr>
              <w:t>(in thousands)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2008</w:t>
            </w: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45,780</w:t>
            </w:r>
          </w:p>
        </w:tc>
        <w:tc>
          <w:tcPr>
            <w:tcW w:w="0" w:type="dxa"/>
            <w:vAlign w:val="bottom"/>
          </w:tcPr>
          <w:p>
            <w:pPr>
              <w:spacing w:after="0"/>
              <w:rPr>
                <w:sz w:val="1"/>
                <w:szCs w:val="1"/>
                <w:color w:val="auto"/>
              </w:rPr>
            </w:pPr>
          </w:p>
        </w:tc>
      </w:tr>
      <w:tr>
        <w:trPr>
          <w:trHeight w:val="220"/>
        </w:trPr>
        <w:tc>
          <w:tcPr>
            <w:tcW w:w="7360" w:type="dxa"/>
            <w:vAlign w:val="bottom"/>
          </w:tcPr>
          <w:p>
            <w:pPr>
              <w:ind w:left="240"/>
              <w:spacing w:after="0"/>
              <w:rPr>
                <w:sz w:val="20"/>
                <w:szCs w:val="20"/>
                <w:color w:val="auto"/>
              </w:rPr>
            </w:pPr>
            <w:r>
              <w:rPr>
                <w:rFonts w:ascii="Arial" w:cs="Arial" w:eastAsia="Arial" w:hAnsi="Arial"/>
                <w:sz w:val="16"/>
                <w:szCs w:val="16"/>
                <w:color w:val="auto"/>
              </w:rPr>
              <w:t>Additions during period: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Issuance of loans</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Loan fee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Deductions during period:</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Collection and satisfaction of loans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Amortization of discount /loan fee</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2009</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48,336</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Additions during period:</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Issuance of loans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14,787</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Deductions during period:</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Collection and satisfaction of loans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Amortization of discount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Consolidation of VIE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(18,311)</w:t>
            </w:r>
          </w:p>
        </w:tc>
        <w:tc>
          <w:tcPr>
            <w:tcW w:w="0" w:type="dxa"/>
            <w:vAlign w:val="bottom"/>
          </w:tcPr>
          <w:p>
            <w:pPr>
              <w:spacing w:after="0"/>
              <w:rPr>
                <w:sz w:val="1"/>
                <w:szCs w:val="1"/>
                <w:color w:val="auto"/>
              </w:rPr>
            </w:pPr>
          </w:p>
        </w:tc>
      </w:tr>
      <w:tr>
        <w:trPr>
          <w:trHeight w:val="26"/>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2010</w:t>
            </w: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44,813</w:t>
            </w:r>
          </w:p>
        </w:tc>
        <w:tc>
          <w:tcPr>
            <w:tcW w:w="0" w:type="dxa"/>
            <w:vAlign w:val="bottom"/>
          </w:tcPr>
          <w:p>
            <w:pPr>
              <w:spacing w:after="0"/>
              <w:rPr>
                <w:sz w:val="1"/>
                <w:szCs w:val="1"/>
                <w:color w:val="auto"/>
              </w:rPr>
            </w:pPr>
          </w:p>
        </w:tc>
      </w:tr>
      <w:tr>
        <w:trPr>
          <w:trHeight w:val="220"/>
        </w:trPr>
        <w:tc>
          <w:tcPr>
            <w:tcW w:w="7360" w:type="dxa"/>
            <w:vAlign w:val="bottom"/>
          </w:tcPr>
          <w:p>
            <w:pPr>
              <w:ind w:left="240"/>
              <w:spacing w:after="0"/>
              <w:rPr>
                <w:sz w:val="20"/>
                <w:szCs w:val="20"/>
                <w:color w:val="auto"/>
              </w:rPr>
            </w:pPr>
            <w:r>
              <w:rPr>
                <w:rFonts w:ascii="Arial" w:cs="Arial" w:eastAsia="Arial" w:hAnsi="Arial"/>
                <w:sz w:val="16"/>
                <w:szCs w:val="16"/>
                <w:color w:val="auto"/>
              </w:rPr>
              <w:t>Additions during period: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Issuance of loans</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Deconsolidation of VIE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18,311</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Deductions during period:</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tcPr>
          <w:p>
            <w:pPr>
              <w:ind w:left="420"/>
              <w:spacing w:after="0"/>
              <w:rPr>
                <w:sz w:val="20"/>
                <w:szCs w:val="20"/>
                <w:color w:val="auto"/>
              </w:rPr>
            </w:pPr>
            <w:r>
              <w:rPr>
                <w:rFonts w:ascii="Arial" w:cs="Arial" w:eastAsia="Arial" w:hAnsi="Arial"/>
                <w:sz w:val="16"/>
                <w:szCs w:val="16"/>
                <w:color w:val="auto"/>
              </w:rPr>
              <w:t>Collection and satisfaction of loans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(7,598)</w:t>
            </w: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Amortization of discount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6"/>
                <w:szCs w:val="16"/>
                <w:color w:val="auto"/>
              </w:rPr>
              <w:t>Balance, December 31, 2011</w:t>
            </w: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55,967</w:t>
            </w:r>
          </w:p>
        </w:tc>
        <w:tc>
          <w:tcPr>
            <w:tcW w:w="0" w:type="dxa"/>
            <w:vAlign w:val="bottom"/>
          </w:tcPr>
          <w:p>
            <w:pPr>
              <w:spacing w:after="0"/>
              <w:rPr>
                <w:sz w:val="1"/>
                <w:szCs w:val="1"/>
                <w:color w:val="auto"/>
              </w:rPr>
            </w:pPr>
          </w:p>
        </w:tc>
      </w:tr>
      <w:tr>
        <w:trPr>
          <w:trHeight w:val="20"/>
        </w:trPr>
        <w:tc>
          <w:tcPr>
            <w:tcW w:w="7360" w:type="dxa"/>
            <w:vAlign w:val="bottom"/>
            <w:vMerge w:val="restart"/>
          </w:tcPr>
          <w:p>
            <w:pPr>
              <w:jc w:val="center"/>
              <w:ind w:left="898"/>
              <w:spacing w:after="0"/>
              <w:rPr>
                <w:sz w:val="20"/>
                <w:szCs w:val="20"/>
                <w:color w:val="auto"/>
              </w:rPr>
            </w:pPr>
            <w:r>
              <w:rPr>
                <w:rFonts w:ascii="Arial" w:cs="Arial" w:eastAsia="Arial" w:hAnsi="Arial"/>
                <w:sz w:val="16"/>
                <w:szCs w:val="16"/>
                <w:color w:val="auto"/>
                <w:w w:val="91"/>
              </w:rPr>
              <w:t>F-40</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7" w:right="1440" w:bottom="1440" w:gutter="0" w:footer="0" w:header="0"/>
        </w:sectPr>
      </w:pPr>
    </w:p>
    <w:bookmarkStart w:id="94" w:name="page95"/>
    <w:bookmarkEnd w:id="94"/>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60"/>
              <w:spacing w:after="0"/>
              <w:rPr>
                <w:sz w:val="20"/>
                <w:szCs w:val="20"/>
                <w:color w:val="auto"/>
              </w:rPr>
            </w:pPr>
            <w:r>
              <w:rPr>
                <w:rFonts w:ascii="Arial" w:cs="Arial" w:eastAsia="Arial" w:hAnsi="Arial"/>
                <w:sz w:val="16"/>
                <w:szCs w:val="16"/>
                <w:b w:val="1"/>
                <w:bCs w:val="1"/>
                <w:color w:val="auto"/>
              </w:rPr>
              <w:t>EXHIBIT INDEX</w:t>
            </w:r>
          </w:p>
        </w:tc>
      </w:tr>
      <w:tr>
        <w:trPr>
          <w:trHeight w:val="435"/>
        </w:trPr>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Exhibit</w:t>
            </w:r>
          </w:p>
        </w:tc>
        <w:tc>
          <w:tcPr>
            <w:tcW w:w="10400" w:type="dxa"/>
            <w:vAlign w:val="bottom"/>
          </w:tcPr>
          <w:p>
            <w:pPr>
              <w:spacing w:after="0"/>
              <w:rPr>
                <w:sz w:val="24"/>
                <w:szCs w:val="24"/>
                <w:color w:val="auto"/>
              </w:rPr>
            </w:pPr>
          </w:p>
        </w:tc>
      </w:tr>
      <w:tr>
        <w:trPr>
          <w:trHeight w:val="174"/>
        </w:trPr>
        <w:tc>
          <w:tcPr>
            <w:tcW w:w="1020" w:type="dxa"/>
            <w:vAlign w:val="bottom"/>
            <w:gridSpan w:val="2"/>
          </w:tcPr>
          <w:p>
            <w:pPr>
              <w:ind w:left="360"/>
              <w:spacing w:after="0"/>
              <w:rPr>
                <w:sz w:val="20"/>
                <w:szCs w:val="20"/>
                <w:color w:val="auto"/>
              </w:rPr>
            </w:pPr>
            <w:r>
              <w:rPr>
                <w:rFonts w:ascii="Arial" w:cs="Arial" w:eastAsia="Arial" w:hAnsi="Arial"/>
                <w:sz w:val="13"/>
                <w:szCs w:val="13"/>
                <w:b w:val="1"/>
                <w:bCs w:val="1"/>
                <w:color w:val="auto"/>
              </w:rPr>
              <w:t>No.</w:t>
            </w:r>
          </w:p>
        </w:tc>
        <w:tc>
          <w:tcPr>
            <w:tcW w:w="10400" w:type="dxa"/>
            <w:vAlign w:val="bottom"/>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317"/>
        </w:trPr>
        <w:tc>
          <w:tcPr>
            <w:tcW w:w="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0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6"/>
              </w:rPr>
              <w:t>Declaration of Trust of Federal Realty Investment Trust dated May 5, 1999 as amended by the Articles of Amendment of Declaration of Trust of Federal</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Realty Investment Trust dated May 6, 2004, as corrected by the Certificate of Correction of Articles of Amendment of Declaration of Trust of Federal Realty</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Investment Trust dated June 17, 2004, as amended by the Articles of Amendment of Declaration of Trust of Federal Realty Investment Trust dated May 6,</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9"/>
              </w:rPr>
              <w:t>2009 (previously filed as Exhibit 3.1 to the Trust’s Registration Statement on Form S-3 (File No. 333-160009)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2"/>
              </w:rPr>
              <w:t>Amended and Restated Bylaws of Federal Realty Investment Trust dated February 12, 2003, as amended October 29, 2003, May 5, 2004, February 17, 2006</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8"/>
              </w:rPr>
              <w:t>and May 6, 2009 (previously filed as Exhibit 3.2 to the Trust’s Registration Statement on Form S-3 (File No. 333-160009) and incorporated herein by</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Specimen Common Share certificate (previously filed as Exhibit 4(i) to the Trust’s Annual Report on Form 10-K for the year ended December 31, 1999 (File</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No. 1-07533)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Articles Supplementary relating to the 5.417% Series 1 Cumulative Convertible Preferred Shares of Beneficial Interest (previously filed as Exhibit 4.1 to the</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Trust’s Current Report on Form 8-K filed on March 13, 2007, (File No. 1-07533)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Amended and Restated Rights Agreement, dated March 11, 1999, between the Trust and American Stock Transfer &amp; Trust Company (previously filed as</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Exhibit 1 to the Trust’s Registration Statement on Form 8-A/A filed on March 11, 1999 (File No. 1-07533)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7"/>
              </w:rPr>
              <w:t>First Amendment to Amended and Restated Rights Agreement, dated as of November 2003, between the Trust and American Stock Transfer &amp; Trust</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9"/>
              </w:rPr>
              <w:t>Company (previously filed as Exhibit 4.5 to the Trust’s Annual Report on Form 10-K for the year ended December 31, 2003 (File No. 1-07533) and</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Second Amendment to Amended and Restated Rights Agreement, dated as of March 11, 2009, between the Trust and American Stock Transfer &amp; Trust</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Company (previously filed as Exhibit 4.3 to the Trust’s current Report on Form 8-K (File No. 001-07533)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Indenture dated December 1, 1993 related to the Trust’s 7.48% Debentures due August 15, 2026; and 6.82% Medium Term Notes due August 1, 2027;</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(previously filed as Exhibit 4(a) to the Trust’s Registration Statement on Form S-3 (File No. 33-51029), and amended on Form S-3 (File No. 33-63687), filed</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on December 13, 1993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Indenture dated September 1, 1998 related to the Trust’s 5.65% Notes due 2016; 6.00% Notes due 2012; 6.20% Notes due 2017; 5.40% Notes due 2013;</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5.95% Notes due 2014 and the 5.90% Notes due 2020 (previously filed as Exhibit 4(a) to the Trust’s Registration Statement on Form S-3 (File No. 333-</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63619) filed on September 17, 1998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Pursuant to Regulation S-K Item 601(b)(4)(iii), the Trust by this filing agrees, upon request, to furnish to the Securities and Exchange Commission a copy of</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other instruments defining the rights of holders of long-term debt of the Trust</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9"/>
              </w:rPr>
              <w:t>Amended and Restated 1993 Long-Term Incentive Plan, as amended on October 6, 1997 and further amended on May 6, 1998 (previously filed as</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Exhibit 10.26 to the Trust’s Annual Report on Form 10-K for the year ended December 31, 1998 (File No. 1-07533)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 Severance Agreement between the Trust and Donald C. Wood dated February 22, 1999 (previously filed as a portion of Exhibit 10 to the Trust’s Quarterly</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Report on Form 10-Q for the quarter ended March 31, 1999 (File No. 1-07533) (the “1999 1Q Form 10-Q”)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Executive Agreement between Federal Realty Investment Trust and Donald C. Wood dated February 22, 1999 (previously filed as a portion of Exhibit 10 to</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the 1999 1Q Form 10-Q and incorporated herein by reference)</w:t>
            </w: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 Amendment to Executive Agreement between Federal Realty Investment Trust and Donald C. Wood dated February 16, 2005 (previously filed as Exhibit</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10.12 to the Trust’s Annual Report on Form 10-K for the year ended December 31, 2004 (File No. 1-07533) (the “2004 Form 10-K”) and incorporated herein</w:t>
            </w:r>
          </w:p>
        </w:tc>
      </w:tr>
      <w:tr>
        <w:trPr>
          <w:trHeight w:val="208"/>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by reference)</w:t>
            </w:r>
          </w:p>
        </w:tc>
      </w:tr>
      <w:tr>
        <w:trPr>
          <w:trHeight w:val="6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27" w:right="2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Exhibit</w:t>
            </w:r>
          </w:p>
        </w:tc>
        <w:tc>
          <w:tcPr>
            <w:tcW w:w="10400" w:type="dxa"/>
            <w:vAlign w:val="bottom"/>
          </w:tcPr>
          <w:p>
            <w:pPr>
              <w:spacing w:after="0"/>
              <w:rPr>
                <w:sz w:val="13"/>
                <w:szCs w:val="13"/>
                <w:color w:val="auto"/>
              </w:rPr>
            </w:pPr>
          </w:p>
        </w:tc>
      </w:tr>
      <w:tr>
        <w:trPr>
          <w:trHeight w:val="174"/>
        </w:trPr>
        <w:tc>
          <w:tcPr>
            <w:tcW w:w="1020" w:type="dxa"/>
            <w:vAlign w:val="bottom"/>
            <w:gridSpan w:val="2"/>
          </w:tcPr>
          <w:p>
            <w:pPr>
              <w:ind w:left="360"/>
              <w:spacing w:after="0"/>
              <w:rPr>
                <w:sz w:val="20"/>
                <w:szCs w:val="20"/>
                <w:color w:val="auto"/>
              </w:rPr>
            </w:pPr>
            <w:r>
              <w:rPr>
                <w:rFonts w:ascii="Arial" w:cs="Arial" w:eastAsia="Arial" w:hAnsi="Arial"/>
                <w:sz w:val="13"/>
                <w:szCs w:val="13"/>
                <w:b w:val="1"/>
                <w:bCs w:val="1"/>
                <w:color w:val="auto"/>
              </w:rPr>
              <w:t>No.</w:t>
            </w:r>
          </w:p>
        </w:tc>
        <w:tc>
          <w:tcPr>
            <w:tcW w:w="10400" w:type="dxa"/>
            <w:vAlign w:val="bottom"/>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206"/>
        </w:trPr>
        <w:tc>
          <w:tcPr>
            <w:tcW w:w="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0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6"/>
              </w:rPr>
              <w:t>* Split Dollar Life Insurance Agreement dated August 12, 1998 between the Trust and Donald C. Wood (previously filed as a portion of Exhibit 10 to the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Trust’s Annual Report on Form 10-K for the year ended December 31, 2000 (File No. 1-07533)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Severance Agreement between the Trust and Jeffrey S. Berkes dated March 1, 2000 (previously filed as a portion of Exhibit 10 to the Trust’s Annual Report</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on Form 10-K for the year ended December 31, 2001 (File No. 1-07533)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Amendment to Severance Agreement between Federal Realty Investment Trust and Jeffrey S. Berkes dated February 16, 2005 (previously filed as Exhibit</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10.17 to the 2004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2001 Long-Term Incentive Plan (previously filed as Exhibit 99.1 to the Trust’s S-8 Registration Number 333-60364 filed on May 7, 2001 and incorporated</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 Health Coverage Continuation Agreement between Federal Realty Investment Trust and Donald C. Wood dated February 16, 2005 (previously filed as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Exhibit 10.26 to the 2004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 Severance Agreement between the Trust and Dawn M. Becker dated April 19, 2000 (previously filed as Exhibit 10.26 to the Trust’s 2005 2Q Form 10-Q</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Amendment to Severance Agreement between the Trust and Dawn M. Becker dated February 16, 2005 (previously filed as Exhibit 10.27 to the 2004 Form</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Form of Restricted Share Award Agreement for awards made under the Trust’s 2003 Long-Term Incentive Award Program for shares issued out of 2001</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Long-Term Incentive Plan (previously filed as Exhibit 10.28 to the 2004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Form of Restricted Share Award Agreement for awards made under the Trust’s Annual Incentive Bonus Program for shares issued out of 2001 Long-Term</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Incentive Plan (previously filed as Exhibit 10.29 to the 2004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Form of Option Award Agreement for awards made under the Trust’s 2003 Long-Term Incentive Award Program for shares issued out of the 2001 Long-</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Term Incentive Plan (previously filed as Exhibit 10.32 to the 2005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Amended and Restated 2001 Long-Term Incentive Plan (previously filed as Exhibit 10.34 to the Trust’s Quarterly Report on Form 10-Q for the quarter ended</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June 30, 2008 (File No. 1-07533)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Change in Control Agreement between the Trust and Andrew P. Blocher dated February 12, 2007 (previously filed as Exhibit 10.27 to the Trust’s Quarterly</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Report on Form 10-Q for the quarter ended September 30, 2008 (File No. 1-07533)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2"/>
              </w:rPr>
              <w:t>* Amendment to Severance Agreement between the Trust and Donald C. Wood dated January 1, 2009 (previously filed as Exhibit 10.26 to the Trust’s Annual</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Report on Form 10-K for the year ended December 31, 2008 (File No. 1-07533) (“the 2008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Second Amendment to Executive Agreement between the Trust and Donald C. Wood dated January 1, 2009 (previously filed as Exhibit 10.27 to the Trust’s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2008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 Amendment to Health Coverage Continuation Agreement between the Trust and Donald C. Wood dated January 1, 2009 (previously filed as Exhibit 10.28</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to the Trust’s 2008 Form 10-K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 Second Amendment to Severance Agreement between the Trust and Jeffrey S. Berkes dated January 1, 2009 (previously filed as Exhibit 10.29 to the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Trust’s 2008 Form 10-K and incorporated herein by reference)</w:t>
            </w:r>
          </w:p>
        </w:tc>
      </w:tr>
      <w:tr>
        <w:trPr>
          <w:trHeight w:val="44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127" w:right="2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Exhibit</w:t>
            </w:r>
          </w:p>
        </w:tc>
        <w:tc>
          <w:tcPr>
            <w:tcW w:w="10400" w:type="dxa"/>
            <w:vAlign w:val="bottom"/>
          </w:tcPr>
          <w:p>
            <w:pPr>
              <w:spacing w:after="0"/>
              <w:rPr>
                <w:sz w:val="13"/>
                <w:szCs w:val="13"/>
                <w:color w:val="auto"/>
              </w:rPr>
            </w:pPr>
          </w:p>
        </w:tc>
      </w:tr>
      <w:tr>
        <w:trPr>
          <w:trHeight w:val="174"/>
        </w:trPr>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No.</w:t>
            </w:r>
          </w:p>
        </w:tc>
        <w:tc>
          <w:tcPr>
            <w:tcW w:w="10400" w:type="dxa"/>
            <w:vAlign w:val="bottom"/>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206"/>
        </w:trPr>
        <w:tc>
          <w:tcPr>
            <w:tcW w:w="900" w:type="dxa"/>
            <w:vAlign w:val="bottom"/>
            <w:tcBorders>
              <w:top w:val="single" w:sz="8" w:color="auto"/>
            </w:tcBorders>
          </w:tcPr>
          <w:p>
            <w:pPr>
              <w:jc w:val="right"/>
              <w:ind w:right="420"/>
              <w:spacing w:after="0"/>
              <w:rPr>
                <w:sz w:val="20"/>
                <w:szCs w:val="20"/>
                <w:color w:val="auto"/>
              </w:rPr>
            </w:pPr>
            <w:r>
              <w:rPr>
                <w:rFonts w:ascii="Arial" w:cs="Arial" w:eastAsia="Arial" w:hAnsi="Arial"/>
                <w:sz w:val="16"/>
                <w:szCs w:val="16"/>
                <w:color w:val="auto"/>
                <w:w w:val="94"/>
              </w:rPr>
              <w:t>10.21</w:t>
            </w:r>
          </w:p>
        </w:tc>
        <w:tc>
          <w:tcPr>
            <w:tcW w:w="120" w:type="dxa"/>
            <w:vAlign w:val="bottom"/>
          </w:tcPr>
          <w:p>
            <w:pPr>
              <w:spacing w:after="0"/>
              <w:rPr>
                <w:sz w:val="17"/>
                <w:szCs w:val="17"/>
                <w:color w:val="auto"/>
              </w:rPr>
            </w:pPr>
          </w:p>
        </w:tc>
        <w:tc>
          <w:tcPr>
            <w:tcW w:w="10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7"/>
              </w:rPr>
              <w:t>* Second Amendment to Severance Agreement between the Trust and Dawn M. Becker dated January 1, 2009 (previously filed as Exhibit 10.30 to the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Trust’s 2008 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10.22</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7"/>
              </w:rPr>
              <w:t>Amendment to Change in Control Agreement between the Trust and Andrew P. Blocher dated January 1, 2009 (previously filed as Exhibit 10.31 to the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Trust’s 2008 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10.23</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Amendment to Stock Option Agreements between the Trust and Andrew P. Blocher dated February 17, 2009 (previously filed as Exhibit 10.32 to the Trust’s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2008 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10.24</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Restricted Share Award Agreement between the Trust and Andrew P. Blocher dated February 17, 2009 (previously filed as Exhibit 10.33 to the Trust’s 2008</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10.25</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Combined Incentive and Non-Qualified Stock Option Agreement between the Trust and Andrew P. Blocher dated February 17, 2009 (previously filed as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Exhibit 10.34 to the Trust’s 2008 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10.26</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 Severance Agreement between the Trust and Andrew P. Blocher dated February 17, 2009 (previously filed as Exhibit 10.35 to the Trust’s 2008 Form 10-K</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10.27</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2010 Performance Incentive Plan (previously filed as Appendix A to the Trust’s Definitive Proxy Statement for the 2010 Annual Meeting of Shareholders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(File No. 01-07533)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10.28</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Amendment to 2010 Performance Incentive Plan (“the 2010 Plan”) (previously filed as Appendix A to the Trust’s Proxy Supplement for the 2010 Annual</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Meeting of Shareholders (File No. 01-07533)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10.29</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8"/>
              </w:rPr>
              <w:t>* Restricted Share Award Agreement between the Trust and Donald C. Wood dated October 12, 2010 (previously filed as Exhibit 10.36 to the Trust’s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Quarterly Report on Form 10-Q for the quarter ended September 30, 2010 (File No. 01-07533)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10.30</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Form of Restricted Share Award Agreement for awards made under the Trust’s Long-Term Incentive Award Program and the Trust’s Annual Incentive Bonus</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Program and basic awards with annual vesting for shares issued out of the 2010 Plan (previously filed as Exhibit 10.34 to the Trust’s Annual Report on Form</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10-K for the year ended December 31, 2010 (File No. 1-07533) (the “2010 Form 10-K”)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10.31</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6"/>
              </w:rPr>
              <w:t>Form of Restricted Share Award Agreement for long-term vesting and retention awards made under the Trust’s Long-Term Incentive Award Program for</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shares issued out of the 2010 Plan (previously filed as Exhibit 10.35 to the Trust’s 2010 Form 10-K (File No. 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10.32</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2"/>
              </w:rPr>
              <w:t>Form of Restricted Share Award Agreement for front loaded awards made under the Trust’s Long-Term Incentive Award Program for shares issued out of the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2010 Plan (previously filed as Exhibit 10.36 to the Trust’s 2010 Form 10-K (File No. 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10.33</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Form of Performance Share Award Agreement for shares awarded out of the 2010 Plan (previously filed as Exhibit 10.37 to the Trust’s 2010 Form 10-K (File</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No. 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10.34</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Form of Option Award Agreement for awards made under the Trust’s Long-Term Incentive Award Program for shares issued out of the 2010 Plan (previously</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filed as Exhibit 10.38 to the Trust’s 2010 Form 10-K (File No. 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10.35</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Form of Option Award Agreement for front loaded awards made under the Trust’s Long-Term Incentive Award Program for shares issued out of the 2010</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Plan (previously filed as Exhibit 10.39 to the Trust’s 2010 Form 10-K (File No. 1-07533) and incorporated herein by reference)</w:t>
            </w:r>
          </w:p>
        </w:tc>
      </w:tr>
      <w:tr>
        <w:trPr>
          <w:trHeight w:val="345"/>
        </w:trPr>
        <w:tc>
          <w:tcPr>
            <w:tcW w:w="900" w:type="dxa"/>
            <w:vAlign w:val="bottom"/>
          </w:tcPr>
          <w:p>
            <w:pPr>
              <w:jc w:val="right"/>
              <w:ind w:right="420"/>
              <w:spacing w:after="0"/>
              <w:rPr>
                <w:sz w:val="20"/>
                <w:szCs w:val="20"/>
                <w:color w:val="auto"/>
              </w:rPr>
            </w:pPr>
            <w:r>
              <w:rPr>
                <w:rFonts w:ascii="Arial" w:cs="Arial" w:eastAsia="Arial" w:hAnsi="Arial"/>
                <w:sz w:val="16"/>
                <w:szCs w:val="16"/>
                <w:color w:val="auto"/>
                <w:w w:val="94"/>
              </w:rPr>
              <w:t>10.36</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Form of Option Award Agreement for basic options awarded out of the 2010 Plan (previously filed as Exhibit 10.40 to the Trust’s 2010 Form 10-K (File No.</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1-07533) and incorporated herein by reference)</w:t>
            </w:r>
          </w:p>
        </w:tc>
      </w:tr>
      <w:tr>
        <w:trPr>
          <w:trHeight w:val="44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20"/>
          </w:cols>
          <w:pgMar w:left="240" w:top="127" w:right="239" w:bottom="1440" w:gutter="0" w:footer="0" w:header="0"/>
        </w:sectPr>
      </w:pPr>
    </w:p>
    <w:bookmarkStart w:id="97" w:name="page98"/>
    <w:bookmarkEnd w:id="97"/>
    <w:p>
      <w:pPr>
        <w:ind w:left="2"/>
        <w:spacing w:after="0"/>
        <w:rPr>
          <w:rFonts w:ascii="Arial" w:cs="Arial" w:eastAsia="Arial" w:hAnsi="Arial"/>
          <w:sz w:val="15"/>
          <w:szCs w:val="15"/>
          <w:b w:val="1"/>
          <w:bCs w:val="1"/>
          <w:u w:val="single" w:color="auto"/>
          <w:color w:val="0000FF"/>
        </w:rPr>
      </w:pPr>
      <w:hyperlink w:anchor="page54">
        <w:r>
          <w:rPr>
            <w:rFonts w:ascii="Arial" w:cs="Arial" w:eastAsia="Arial" w:hAnsi="Arial"/>
            <w:sz w:val="15"/>
            <w:szCs w:val="15"/>
            <w:b w:val="1"/>
            <w:bCs w:val="1"/>
            <w:u w:val="single" w:color="auto"/>
            <w:color w:val="0000FF"/>
          </w:rPr>
          <w:t>Table of Contents</w:t>
        </w:r>
      </w:hyperlink>
    </w:p>
    <w:p>
      <w:pPr>
        <w:spacing w:after="0" w:line="345"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Exhibit</w:t>
            </w:r>
          </w:p>
        </w:tc>
        <w:tc>
          <w:tcPr>
            <w:tcW w:w="10400" w:type="dxa"/>
            <w:vAlign w:val="bottom"/>
          </w:tcPr>
          <w:p>
            <w:pPr>
              <w:spacing w:after="0"/>
              <w:rPr>
                <w:sz w:val="13"/>
                <w:szCs w:val="13"/>
                <w:color w:val="auto"/>
              </w:rPr>
            </w:pPr>
          </w:p>
        </w:tc>
      </w:tr>
      <w:tr>
        <w:trPr>
          <w:trHeight w:val="174"/>
        </w:trPr>
        <w:tc>
          <w:tcPr>
            <w:tcW w:w="1020" w:type="dxa"/>
            <w:vAlign w:val="bottom"/>
            <w:gridSpan w:val="2"/>
          </w:tcPr>
          <w:p>
            <w:pPr>
              <w:ind w:left="360"/>
              <w:spacing w:after="0"/>
              <w:rPr>
                <w:sz w:val="20"/>
                <w:szCs w:val="20"/>
                <w:color w:val="auto"/>
              </w:rPr>
            </w:pPr>
            <w:r>
              <w:rPr>
                <w:rFonts w:ascii="Arial" w:cs="Arial" w:eastAsia="Arial" w:hAnsi="Arial"/>
                <w:sz w:val="13"/>
                <w:szCs w:val="13"/>
                <w:b w:val="1"/>
                <w:bCs w:val="1"/>
                <w:color w:val="auto"/>
              </w:rPr>
              <w:t>No.</w:t>
            </w:r>
          </w:p>
        </w:tc>
        <w:tc>
          <w:tcPr>
            <w:tcW w:w="10400" w:type="dxa"/>
            <w:vAlign w:val="bottom"/>
          </w:tcPr>
          <w:p>
            <w:pPr>
              <w:ind w:left="40"/>
              <w:spacing w:after="0"/>
              <w:rPr>
                <w:sz w:val="20"/>
                <w:szCs w:val="20"/>
                <w:color w:val="auto"/>
              </w:rPr>
            </w:pPr>
            <w:r>
              <w:rPr>
                <w:rFonts w:ascii="Arial" w:cs="Arial" w:eastAsia="Arial" w:hAnsi="Arial"/>
                <w:sz w:val="13"/>
                <w:szCs w:val="13"/>
                <w:b w:val="1"/>
                <w:bCs w:val="1"/>
                <w:color w:val="auto"/>
              </w:rPr>
              <w:t>Description</w:t>
            </w:r>
          </w:p>
        </w:tc>
      </w:tr>
      <w:tr>
        <w:trPr>
          <w:trHeight w:val="206"/>
        </w:trPr>
        <w:tc>
          <w:tcPr>
            <w:tcW w:w="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7"/>
                <w:szCs w:val="17"/>
                <w:color w:val="auto"/>
              </w:rPr>
            </w:pPr>
          </w:p>
        </w:tc>
        <w:tc>
          <w:tcPr>
            <w:tcW w:w="10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2"/>
              </w:rPr>
              <w:t>Form of Restricted Share Award Agreement, dated as of February 10, 2011, between the Trust and each of Dawn M. Becker, Jeffrey S. Berkes and Andrew P.</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Blocher (previously filed as Exhibit 10.41 to the Trust’s 2010 Form 10-K (File No. 1-07533)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Credit Agreement dated as of July 7, 2011, by and among the Trust, as Borrower, the financial institutions party thereto and their permitted assignees under</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Section 12.6., as Lenders, Wells Fargo Bank, National Association, as Administrative Agent, PNC Bank, National Association, as Syndication Agent, Wells</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Fargo Securities, LLC, as a Lead Arranger and Book Manager, and PNC Capital Markets LLC, as a Lead Arranger and Book Manager (previously filed as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Exhibit 10.1 to the Trust’s Current Report on Form 8-K (File No. 1-07533), filed on July 11, 2011 and incorporated herein by reference)</w:t>
            </w:r>
          </w:p>
        </w:tc>
      </w:tr>
      <w:tr>
        <w:trPr>
          <w:trHeight w:val="345"/>
        </w:trPr>
        <w:tc>
          <w:tcPr>
            <w:tcW w:w="900" w:type="dxa"/>
            <w:vAlign w:val="bottom"/>
          </w:tcPr>
          <w:p>
            <w:pPr>
              <w:ind w:left="2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3"/>
              </w:rPr>
              <w:t>Credit Agreement dated as of November 22, 2011, by and among the Trust, as Borrower, the financial institutions party thereto and their permitted assignees</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4"/>
              </w:rPr>
              <w:t>under Section 12.6., as Lenders, PNC Bank, National Association, as Administrative Agent, Capital One, N.A., as Syndication Agent, PNC Capital Markets,</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w w:val="95"/>
              </w:rPr>
              <w:t>LLC, as a Lead Arranger and Book Manager, and Capital One, N.A., as a Lead Arranger and Book Manager (previously filed as Exhibit 10.1 to the Trust’s</w:t>
            </w:r>
          </w:p>
        </w:tc>
      </w:tr>
      <w:tr>
        <w:trPr>
          <w:trHeight w:val="20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Current Report on Form 8-K (File No. 1-07533), filed on November 28, 2011 and incorporated herein by reference)</w:t>
            </w:r>
          </w:p>
        </w:tc>
      </w:tr>
      <w:tr>
        <w:trPr>
          <w:trHeight w:val="356"/>
        </w:trPr>
        <w:tc>
          <w:tcPr>
            <w:tcW w:w="90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Rule 13a-14(a) Certification of Chief Executive Officer (filed herewith)</w:t>
            </w:r>
          </w:p>
        </w:tc>
      </w:tr>
      <w:tr>
        <w:trPr>
          <w:trHeight w:val="356"/>
        </w:trPr>
        <w:tc>
          <w:tcPr>
            <w:tcW w:w="90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Rule 13a-14(a) Certification of Chief Financial Officer (filed herewith)</w:t>
            </w:r>
          </w:p>
        </w:tc>
      </w:tr>
      <w:tr>
        <w:trPr>
          <w:trHeight w:val="356"/>
        </w:trPr>
        <w:tc>
          <w:tcPr>
            <w:tcW w:w="90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Section 1350 Certification of Chief Executive Officer (filed herewith)</w:t>
            </w:r>
          </w:p>
        </w:tc>
      </w:tr>
      <w:tr>
        <w:trPr>
          <w:trHeight w:val="356"/>
        </w:trPr>
        <w:tc>
          <w:tcPr>
            <w:tcW w:w="90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10400" w:type="dxa"/>
            <w:vAlign w:val="bottom"/>
          </w:tcPr>
          <w:p>
            <w:pPr>
              <w:ind w:left="40"/>
              <w:spacing w:after="0"/>
              <w:rPr>
                <w:sz w:val="20"/>
                <w:szCs w:val="20"/>
                <w:color w:val="auto"/>
              </w:rPr>
            </w:pPr>
            <w:r>
              <w:rPr>
                <w:rFonts w:ascii="Arial" w:cs="Arial" w:eastAsia="Arial" w:hAnsi="Arial"/>
                <w:sz w:val="16"/>
                <w:szCs w:val="16"/>
                <w:color w:val="auto"/>
              </w:rPr>
              <w:t>Section 1350 Certification of Chief Financial Officer (filed herewith)</w:t>
            </w:r>
          </w:p>
        </w:tc>
      </w:tr>
    </w:tbl>
    <w:p>
      <w:pPr>
        <w:spacing w:after="0" w:line="148" w:lineRule="exact"/>
        <w:rPr>
          <w:sz w:val="20"/>
          <w:szCs w:val="20"/>
          <w:color w:val="auto"/>
        </w:rPr>
      </w:pPr>
    </w:p>
    <w:p>
      <w:pPr>
        <w:ind w:left="1062" w:right="100" w:hanging="1037"/>
        <w:spacing w:after="0" w:line="264" w:lineRule="auto"/>
        <w:tabs>
          <w:tab w:leader="none" w:pos="10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following materials from Federal Realty Investment Trust’s Quarterly Report on Form 10-K for the year ended December 31, 2011,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that have been detail tagged.</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_____________________</w:t>
      </w:r>
    </w:p>
    <w:p>
      <w:pPr>
        <w:spacing w:after="0" w:line="24" w:lineRule="exact"/>
        <w:rPr>
          <w:sz w:val="20"/>
          <w:szCs w:val="20"/>
          <w:color w:val="auto"/>
        </w:rPr>
      </w:pPr>
    </w:p>
    <w:p>
      <w:pPr>
        <w:ind w:left="5682" w:right="3760" w:hanging="5682"/>
        <w:spacing w:after="0" w:line="560" w:lineRule="auto"/>
        <w:tabs>
          <w:tab w:leader="none" w:pos="13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Management contract or compensatory plan required to be filed as an exhibit pursuant to Item 15(b) of Form 10-K. 4</w:t>
      </w:r>
    </w:p>
    <w:p>
      <w:pPr>
        <w:sectPr>
          <w:pgSz w:w="11900" w:h="16838" w:orient="portrait"/>
          <w:cols w:equalWidth="0" w:num="1">
            <w:col w:w="11422"/>
          </w:cols>
          <w:pgMar w:left="238" w:top="12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21.1</w:t>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FEDERAL REALTY INVESTMENT TRUST AND SUBSIDIARIES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NAME OF</w:t>
            </w:r>
          </w:p>
        </w:tc>
        <w:tc>
          <w:tcPr>
            <w:tcW w:w="4580" w:type="dxa"/>
            <w:vAlign w:val="bottom"/>
          </w:tcPr>
          <w:p>
            <w:pPr>
              <w:jc w:val="center"/>
              <w:spacing w:after="0"/>
              <w:rPr>
                <w:sz w:val="20"/>
                <w:szCs w:val="20"/>
                <w:color w:val="auto"/>
              </w:rPr>
            </w:pPr>
            <w:r>
              <w:rPr>
                <w:rFonts w:ascii="Arial" w:cs="Arial" w:eastAsia="Arial" w:hAnsi="Arial"/>
                <w:sz w:val="11"/>
                <w:szCs w:val="11"/>
                <w:b w:val="1"/>
                <w:bCs w:val="1"/>
                <w:color w:val="auto"/>
              </w:rPr>
              <w:t>STATE OF INCORPORATION OF</w:t>
            </w:r>
          </w:p>
        </w:tc>
      </w:tr>
      <w:tr>
        <w:trPr>
          <w:trHeight w:val="148"/>
        </w:trPr>
        <w:tc>
          <w:tcPr>
            <w:tcW w:w="4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SUBSIDIARY</w:t>
            </w:r>
          </w:p>
        </w:tc>
        <w:tc>
          <w:tcPr>
            <w:tcW w:w="4580" w:type="dxa"/>
            <w:vAlign w:val="bottom"/>
          </w:tcPr>
          <w:p>
            <w:pPr>
              <w:jc w:val="center"/>
              <w:spacing w:after="0"/>
              <w:rPr>
                <w:sz w:val="20"/>
                <w:szCs w:val="20"/>
                <w:color w:val="auto"/>
              </w:rPr>
            </w:pPr>
            <w:r>
              <w:rPr>
                <w:rFonts w:ascii="Arial" w:cs="Arial" w:eastAsia="Arial" w:hAnsi="Arial"/>
                <w:sz w:val="11"/>
                <w:szCs w:val="11"/>
                <w:b w:val="1"/>
                <w:bCs w:val="1"/>
                <w:color w:val="auto"/>
              </w:rPr>
              <w:t>ORGANIZATION</w:t>
            </w:r>
          </w:p>
        </w:tc>
      </w:tr>
      <w:tr>
        <w:trPr>
          <w:trHeight w:val="101"/>
        </w:trPr>
        <w:tc>
          <w:tcPr>
            <w:tcW w:w="4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r>
      <w:tr>
        <w:trPr>
          <w:trHeight w:val="196"/>
        </w:trPr>
        <w:tc>
          <w:tcPr>
            <w:tcW w:w="480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Street Retail, Inc</w:t>
            </w:r>
          </w:p>
        </w:tc>
        <w:tc>
          <w:tcPr>
            <w:tcW w:w="4580" w:type="dxa"/>
            <w:vAlign w:val="bottom"/>
          </w:tcPr>
          <w:p>
            <w:pPr>
              <w:jc w:val="center"/>
              <w:spacing w:after="0"/>
              <w:rPr>
                <w:sz w:val="20"/>
                <w:szCs w:val="20"/>
                <w:color w:val="auto"/>
              </w:rPr>
            </w:pPr>
            <w:r>
              <w:rPr>
                <w:rFonts w:ascii="Arial" w:cs="Arial" w:eastAsia="Arial" w:hAnsi="Arial"/>
                <w:sz w:val="15"/>
                <w:szCs w:val="15"/>
                <w:color w:val="auto"/>
                <w:w w:val="93"/>
              </w:rPr>
              <w:t>Maryland</w:t>
            </w:r>
          </w:p>
        </w:tc>
      </w:tr>
      <w:tr>
        <w:trPr>
          <w:trHeight w:val="230"/>
        </w:trPr>
        <w:tc>
          <w:tcPr>
            <w:tcW w:w="4800" w:type="dxa"/>
            <w:vAlign w:val="bottom"/>
            <w:gridSpan w:val="2"/>
          </w:tcPr>
          <w:p>
            <w:pPr>
              <w:jc w:val="center"/>
              <w:ind w:right="200"/>
              <w:spacing w:after="0"/>
              <w:rPr>
                <w:sz w:val="20"/>
                <w:szCs w:val="20"/>
                <w:color w:val="auto"/>
              </w:rPr>
            </w:pPr>
            <w:r>
              <w:rPr>
                <w:rFonts w:ascii="Arial" w:cs="Arial" w:eastAsia="Arial" w:hAnsi="Arial"/>
                <w:sz w:val="15"/>
                <w:szCs w:val="15"/>
                <w:color w:val="auto"/>
                <w:w w:val="86"/>
              </w:rPr>
              <w:t>FRIT San Jose Town and</w:t>
            </w:r>
          </w:p>
        </w:tc>
        <w:tc>
          <w:tcPr>
            <w:tcW w:w="4580" w:type="dxa"/>
            <w:vAlign w:val="bottom"/>
          </w:tcPr>
          <w:p>
            <w:pPr>
              <w:spacing w:after="0"/>
              <w:rPr>
                <w:sz w:val="20"/>
                <w:szCs w:val="20"/>
                <w:color w:val="auto"/>
              </w:rPr>
            </w:pPr>
          </w:p>
        </w:tc>
      </w:tr>
      <w:tr>
        <w:trPr>
          <w:trHeight w:val="200"/>
        </w:trPr>
        <w:tc>
          <w:tcPr>
            <w:tcW w:w="480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Country Village, LLC</w:t>
            </w:r>
          </w:p>
        </w:tc>
        <w:tc>
          <w:tcPr>
            <w:tcW w:w="4580" w:type="dxa"/>
            <w:vAlign w:val="bottom"/>
          </w:tcPr>
          <w:p>
            <w:pPr>
              <w:jc w:val="center"/>
              <w:spacing w:after="0"/>
              <w:rPr>
                <w:sz w:val="20"/>
                <w:szCs w:val="20"/>
                <w:color w:val="auto"/>
              </w:rPr>
            </w:pPr>
            <w:r>
              <w:rPr>
                <w:rFonts w:ascii="Arial" w:cs="Arial" w:eastAsia="Arial" w:hAnsi="Arial"/>
                <w:sz w:val="15"/>
                <w:szCs w:val="15"/>
                <w:color w:val="auto"/>
                <w:w w:val="94"/>
              </w:rPr>
              <w:t>California</w:t>
            </w:r>
          </w:p>
        </w:tc>
      </w:tr>
    </w:tbl>
    <w:p>
      <w:pPr>
        <w:sectPr>
          <w:pgSz w:w="11900" w:h="16838" w:orient="portrait"/>
          <w:cols w:equalWidth="0" w:num="1">
            <w:col w:w="10400"/>
          </w:cols>
          <w:pgMar w:left="1260" w:top="688"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23.1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64"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We have issued our reports dated February 15, 2012, with respect to the consolidated financial statements, schedules, and internal control over financial reporting included in the Annual Report of Federal Realty Investment Trust on Form 10-K for the year ended December 31, 2011. We hereby consent to the incorporation by reference of said reports in the Registration Statements of Federal Realty Investment Trust on Forms S-3 (File No. 333-166060 effective 4/14/2010, File No. 333-160009 effective 6/16/2009, File No. 333-160306 effective 6/29/2009, File No. 333-124195 effective 4/20/2005, File No. 333-100819 effective 10/29/2002, File No. 033-63687 effective 10/25/1995 and File No. 333-135159 effective 6/20/2006) and on Forms S-8 (File No. 333-166531 effective 5/5/2010, File No. 333-60364 effective 05/07/2001, File No. 333-63617 effective 09/17/1998, File No. 333-147080 effective 11/01/2007 and File No. 333-147081 effective 11/01/2007).</w:t>
      </w:r>
    </w:p>
    <w:p>
      <w:pPr>
        <w:spacing w:after="0" w:line="200" w:lineRule="exact"/>
        <w:rPr>
          <w:sz w:val="20"/>
          <w:szCs w:val="20"/>
          <w:color w:val="auto"/>
        </w:rPr>
      </w:pPr>
    </w:p>
    <w:p>
      <w:pPr>
        <w:spacing w:after="0" w:line="25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GRANT THORNTON LLP</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McLean, Virginia</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2012</w:t>
      </w:r>
    </w:p>
    <w:p>
      <w:pPr>
        <w:sectPr>
          <w:pgSz w:w="11900" w:h="16838" w:orient="portrait"/>
          <w:cols w:equalWidth="0" w:num="1">
            <w:col w:w="11420"/>
          </w:cols>
          <w:pgMar w:left="240" w:top="54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 Donald C. Wood, certify that:</w:t>
      </w:r>
    </w:p>
    <w:p>
      <w:pPr>
        <w:spacing w:after="0" w:line="86" w:lineRule="exact"/>
        <w:rPr>
          <w:sz w:val="20"/>
          <w:szCs w:val="20"/>
          <w:color w:val="auto"/>
        </w:rPr>
      </w:pPr>
    </w:p>
    <w:p>
      <w:pPr>
        <w:ind w:left="780" w:hanging="413"/>
        <w:spacing w:after="0"/>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Federal Realty Investment Trust;</w:t>
      </w:r>
    </w:p>
    <w:p>
      <w:pPr>
        <w:spacing w:after="0" w:line="86" w:lineRule="exact"/>
        <w:rPr>
          <w:rFonts w:ascii="Arial" w:cs="Arial" w:eastAsia="Arial" w:hAnsi="Arial"/>
          <w:sz w:val="16"/>
          <w:szCs w:val="16"/>
          <w:color w:val="auto"/>
        </w:rPr>
      </w:pPr>
    </w:p>
    <w:p>
      <w:pPr>
        <w:ind w:left="780" w:right="380" w:hanging="413"/>
        <w:spacing w:after="0" w:line="322"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Arial" w:cs="Arial" w:eastAsia="Arial" w:hAnsi="Arial"/>
          <w:sz w:val="15"/>
          <w:szCs w:val="15"/>
          <w:color w:val="auto"/>
        </w:rPr>
      </w:pPr>
    </w:p>
    <w:p>
      <w:pPr>
        <w:ind w:left="780" w:right="460" w:hanging="413"/>
        <w:spacing w:after="0" w:line="287"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780" w:right="280" w:hanging="413"/>
        <w:spacing w:after="0" w:line="271"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1280" w:right="120" w:hanging="398"/>
        <w:spacing w:after="0" w:line="271"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1280" w:hanging="398"/>
        <w:spacing w:after="0" w:line="271"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1280" w:right="40" w:hanging="398"/>
        <w:spacing w:after="0" w:line="287"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jc w:val="both"/>
        <w:ind w:left="1280" w:right="20" w:hanging="398"/>
        <w:spacing w:after="0" w:line="271"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780" w:right="280" w:hanging="413"/>
        <w:spacing w:after="0" w:line="287"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Arial" w:cs="Arial" w:eastAsia="Arial" w:hAnsi="Arial"/>
          <w:sz w:val="16"/>
          <w:szCs w:val="16"/>
          <w:color w:val="auto"/>
        </w:rPr>
      </w:pPr>
    </w:p>
    <w:p>
      <w:pPr>
        <w:ind w:left="1280" w:right="220" w:hanging="398"/>
        <w:spacing w:after="0" w:line="287"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1280" w:right="460" w:hanging="398"/>
        <w:spacing w:after="0" w:line="287" w:lineRule="auto"/>
        <w:tabs>
          <w:tab w:leader="none" w:pos="12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7960" w:val="left"/>
        </w:tabs>
        <w:rPr>
          <w:sz w:val="20"/>
          <w:szCs w:val="20"/>
          <w:color w:val="auto"/>
        </w:rPr>
      </w:pPr>
      <w:r>
        <w:rPr>
          <w:rFonts w:ascii="Arial" w:cs="Arial" w:eastAsia="Arial" w:hAnsi="Arial"/>
          <w:sz w:val="16"/>
          <w:szCs w:val="16"/>
          <w:color w:val="auto"/>
        </w:rPr>
        <w:t>February 15, 2012</w:t>
      </w:r>
      <w:r>
        <w:rPr>
          <w:sz w:val="20"/>
          <w:szCs w:val="20"/>
          <w:color w:val="auto"/>
        </w:rPr>
        <w:tab/>
      </w:r>
      <w:r>
        <w:rPr>
          <w:rFonts w:ascii="Arial" w:cs="Arial" w:eastAsia="Arial" w:hAnsi="Arial"/>
          <w:sz w:val="14"/>
          <w:szCs w:val="14"/>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31750</wp:posOffset>
            </wp:positionV>
            <wp:extent cx="35553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5365" cy="7620"/>
                    </a:xfrm>
                    <a:prstGeom prst="rect">
                      <a:avLst/>
                    </a:prstGeom>
                    <a:noFill/>
                  </pic:spPr>
                </pic:pic>
              </a:graphicData>
            </a:graphic>
          </wp:anchor>
        </w:drawing>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Donald C. Wood,</w:t>
      </w:r>
    </w:p>
    <w:p>
      <w:pPr>
        <w:spacing w:after="0" w:line="62"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President, Chief Executive Officer and Trustee</w:t>
      </w:r>
    </w:p>
    <w:p>
      <w:pPr>
        <w:spacing w:after="0" w:line="62"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54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Andrew P. Blocher</w:t>
      </w:r>
      <w:r>
        <w:rPr>
          <w:rFonts w:ascii="Arial" w:cs="Arial" w:eastAsia="Arial" w:hAnsi="Arial"/>
          <w:sz w:val="16"/>
          <w:szCs w:val="16"/>
          <w:color w:val="auto"/>
        </w:rPr>
        <w:t>, certify that:</w:t>
      </w:r>
    </w:p>
    <w:p>
      <w:pPr>
        <w:spacing w:after="0" w:line="86" w:lineRule="exact"/>
        <w:rPr>
          <w:sz w:val="20"/>
          <w:szCs w:val="20"/>
          <w:color w:val="auto"/>
        </w:rPr>
      </w:pPr>
    </w:p>
    <w:p>
      <w:pPr>
        <w:ind w:left="780" w:hanging="413"/>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Federal Realty Investment Trust;</w:t>
      </w:r>
    </w:p>
    <w:p>
      <w:pPr>
        <w:spacing w:after="0" w:line="86" w:lineRule="exact"/>
        <w:rPr>
          <w:rFonts w:ascii="Arial" w:cs="Arial" w:eastAsia="Arial" w:hAnsi="Arial"/>
          <w:sz w:val="16"/>
          <w:szCs w:val="16"/>
          <w:color w:val="auto"/>
        </w:rPr>
      </w:pPr>
    </w:p>
    <w:p>
      <w:pPr>
        <w:ind w:left="780" w:right="380" w:hanging="413"/>
        <w:spacing w:after="0" w:line="322" w:lineRule="auto"/>
        <w:tabs>
          <w:tab w:leader="none" w:pos="7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Arial" w:cs="Arial" w:eastAsia="Arial" w:hAnsi="Arial"/>
          <w:sz w:val="15"/>
          <w:szCs w:val="15"/>
          <w:color w:val="auto"/>
        </w:rPr>
      </w:pPr>
    </w:p>
    <w:p>
      <w:pPr>
        <w:ind w:left="780" w:right="460" w:hanging="413"/>
        <w:spacing w:after="0" w:line="287"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780" w:right="280" w:hanging="413"/>
        <w:spacing w:after="0" w:line="271"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1280" w:right="120" w:hanging="398"/>
        <w:spacing w:after="0" w:line="271"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1280" w:hanging="398"/>
        <w:spacing w:after="0" w:line="271"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1280" w:right="40" w:hanging="398"/>
        <w:spacing w:after="0" w:line="287"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jc w:val="both"/>
        <w:ind w:left="1280" w:right="20" w:hanging="398"/>
        <w:spacing w:after="0" w:line="271"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780" w:right="280" w:hanging="413"/>
        <w:spacing w:after="0" w:line="287"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Arial" w:cs="Arial" w:eastAsia="Arial" w:hAnsi="Arial"/>
          <w:sz w:val="16"/>
          <w:szCs w:val="16"/>
          <w:color w:val="auto"/>
        </w:rPr>
      </w:pPr>
    </w:p>
    <w:p>
      <w:pPr>
        <w:ind w:left="1280" w:right="220" w:hanging="398"/>
        <w:spacing w:after="0" w:line="287"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1280" w:right="460" w:hanging="398"/>
        <w:spacing w:after="0" w:line="287" w:lineRule="auto"/>
        <w:tabs>
          <w:tab w:leader="none" w:pos="12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6"/>
          <w:szCs w:val="16"/>
          <w:color w:val="auto"/>
        </w:rPr>
        <w:t>February 15, 2012</w:t>
      </w:r>
      <w:r>
        <w:rPr>
          <w:sz w:val="20"/>
          <w:szCs w:val="20"/>
          <w:color w:val="auto"/>
        </w:rPr>
        <w:tab/>
      </w:r>
      <w:r>
        <w:rPr>
          <w:rFonts w:ascii="Arial" w:cs="Arial" w:eastAsia="Arial" w:hAnsi="Arial"/>
          <w:sz w:val="14"/>
          <w:szCs w:val="14"/>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31750</wp:posOffset>
            </wp:positionV>
            <wp:extent cx="35553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5365" cy="7620"/>
                    </a:xfrm>
                    <a:prstGeom prst="rect">
                      <a:avLst/>
                    </a:prstGeom>
                    <a:noFill/>
                  </pic:spPr>
                </pic:pic>
              </a:graphicData>
            </a:graphic>
          </wp:anchor>
        </w:drawing>
      </w:r>
    </w:p>
    <w:p>
      <w:pPr>
        <w:spacing w:after="0" w:line="5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Andrew P. Blocher,</w:t>
      </w:r>
    </w:p>
    <w:p>
      <w:pPr>
        <w:spacing w:after="0" w:line="62"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Senior Vice President -</w:t>
      </w:r>
    </w:p>
    <w:p>
      <w:pPr>
        <w:spacing w:after="0" w:line="28"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4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Financial and Accounting Officer)</w:t>
      </w:r>
    </w:p>
    <w:p>
      <w:pPr>
        <w:sectPr>
          <w:pgSz w:w="11900" w:h="16838" w:orient="portrait"/>
          <w:cols w:equalWidth="0" w:num="1">
            <w:col w:w="11420"/>
          </w:cols>
          <w:pgMar w:left="240" w:top="54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32.1</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CERTIFICATION</w:t>
      </w:r>
    </w:p>
    <w:p>
      <w:pPr>
        <w:spacing w:after="0" w:line="16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right="240" w:firstLine="393"/>
        <w:spacing w:after="0" w:line="271" w:lineRule="auto"/>
        <w:rPr>
          <w:sz w:val="20"/>
          <w:szCs w:val="20"/>
          <w:color w:val="auto"/>
        </w:rPr>
      </w:pPr>
      <w:r>
        <w:rPr>
          <w:rFonts w:ascii="Arial" w:cs="Arial" w:eastAsia="Arial" w:hAnsi="Arial"/>
          <w:sz w:val="16"/>
          <w:szCs w:val="16"/>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2011 (the “Report”). The undersigned hereby certifies, to the best of his knowledge, that:</w:t>
      </w:r>
    </w:p>
    <w:p>
      <w:pPr>
        <w:spacing w:after="0" w:line="64" w:lineRule="exact"/>
        <w:rPr>
          <w:sz w:val="20"/>
          <w:szCs w:val="20"/>
          <w:color w:val="auto"/>
        </w:rPr>
      </w:pPr>
    </w:p>
    <w:p>
      <w:pPr>
        <w:ind w:left="1180" w:hanging="813"/>
        <w:spacing w:after="0"/>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1180" w:hanging="813"/>
        <w:spacing w:after="0"/>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tabs>
          <w:tab w:leader="none" w:pos="7960" w:val="left"/>
        </w:tabs>
        <w:rPr>
          <w:sz w:val="20"/>
          <w:szCs w:val="20"/>
          <w:color w:val="auto"/>
        </w:rPr>
      </w:pPr>
      <w:r>
        <w:rPr>
          <w:rFonts w:ascii="Arial" w:cs="Arial" w:eastAsia="Arial" w:hAnsi="Arial"/>
          <w:sz w:val="16"/>
          <w:szCs w:val="16"/>
          <w:color w:val="auto"/>
        </w:rPr>
        <w:t>February 15, 2012</w:t>
      </w:r>
      <w:r>
        <w:rPr>
          <w:sz w:val="20"/>
          <w:szCs w:val="20"/>
          <w:color w:val="auto"/>
        </w:rPr>
        <w:tab/>
      </w:r>
      <w:r>
        <w:rPr>
          <w:rFonts w:ascii="Arial" w:cs="Arial" w:eastAsia="Arial" w:hAnsi="Arial"/>
          <w:sz w:val="14"/>
          <w:szCs w:val="14"/>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31750</wp:posOffset>
            </wp:positionV>
            <wp:extent cx="35553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5365" cy="7620"/>
                    </a:xfrm>
                    <a:prstGeom prst="rect">
                      <a:avLst/>
                    </a:prstGeom>
                    <a:noFill/>
                  </pic:spPr>
                </pic:pic>
              </a:graphicData>
            </a:graphic>
          </wp:anchor>
        </w:drawing>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Donald C. Wood,</w:t>
      </w:r>
    </w:p>
    <w:p>
      <w:pPr>
        <w:spacing w:after="0" w:line="62"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President, Chief Executive Officer and Trustee</w:t>
      </w:r>
    </w:p>
    <w:p>
      <w:pPr>
        <w:spacing w:after="0" w:line="62"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54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32.2</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CERTIFICATION</w:t>
      </w:r>
    </w:p>
    <w:p>
      <w:pPr>
        <w:spacing w:after="0" w:line="16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8" w:lineRule="exact"/>
        <w:rPr>
          <w:sz w:val="20"/>
          <w:szCs w:val="20"/>
          <w:color w:val="auto"/>
        </w:rPr>
      </w:pPr>
    </w:p>
    <w:p>
      <w:pPr>
        <w:ind w:right="200" w:firstLine="393"/>
        <w:spacing w:after="0" w:line="271" w:lineRule="auto"/>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2011 (the “Report”). The undersigned hereby certifies, to the best of his knowledge, that:</w:t>
      </w:r>
    </w:p>
    <w:p>
      <w:pPr>
        <w:spacing w:after="0" w:line="64" w:lineRule="exact"/>
        <w:rPr>
          <w:sz w:val="20"/>
          <w:szCs w:val="20"/>
          <w:color w:val="auto"/>
        </w:rPr>
      </w:pPr>
    </w:p>
    <w:p>
      <w:pPr>
        <w:ind w:left="1180" w:hanging="813"/>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1180" w:hanging="813"/>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6"/>
          <w:szCs w:val="16"/>
          <w:color w:val="auto"/>
        </w:rPr>
        <w:t>February 15, 2012</w:t>
      </w:r>
      <w:r>
        <w:rPr>
          <w:sz w:val="20"/>
          <w:szCs w:val="20"/>
          <w:color w:val="auto"/>
        </w:rPr>
        <w:tab/>
      </w:r>
      <w:r>
        <w:rPr>
          <w:rFonts w:ascii="Arial" w:cs="Arial" w:eastAsia="Arial" w:hAnsi="Arial"/>
          <w:sz w:val="14"/>
          <w:szCs w:val="14"/>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31750</wp:posOffset>
            </wp:positionV>
            <wp:extent cx="35553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5365" cy="7620"/>
                    </a:xfrm>
                    <a:prstGeom prst="rect">
                      <a:avLst/>
                    </a:prstGeom>
                    <a:noFill/>
                  </pic:spPr>
                </pic:pic>
              </a:graphicData>
            </a:graphic>
          </wp:anchor>
        </w:drawing>
      </w:r>
    </w:p>
    <w:p>
      <w:pPr>
        <w:spacing w:after="0" w:line="5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Andrew P. Blocher,</w:t>
      </w:r>
    </w:p>
    <w:p>
      <w:pPr>
        <w:spacing w:after="0" w:line="62"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Senior Vice President -</w:t>
      </w:r>
    </w:p>
    <w:p>
      <w:pPr>
        <w:spacing w:after="0" w:line="28"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4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Financial and Accounting Officer)</w:t>
      </w:r>
    </w:p>
    <w:sectPr>
      <w:pgSz w:w="11900" w:h="16838" w:orient="portrait"/>
      <w:cols w:equalWidth="0" w:num="1">
        <w:col w:w="11420"/>
      </w:cols>
      <w:pgMar w:left="240" w:top="5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3"/>
    </w:lvl>
  </w:abstractNum>
  <w:abstractNum w:abstractNumId="29">
    <w:nsid w:val="749ABB43"/>
    <w:multiLevelType w:val="hybridMultilevel"/>
    <w:lvl w:ilvl="0">
      <w:lvlJc w:val="left"/>
      <w:lvlText w:val="(%1)"/>
      <w:numFmt w:val="decimal"/>
      <w:start w:val="5"/>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2"/>
    </w:lvl>
  </w:abstractNum>
  <w:abstractNum w:abstractNumId="48">
    <w:nsid w:val="15B5AF5C"/>
    <w:multiLevelType w:val="hybridMultilevel"/>
    <w:lvl w:ilvl="0">
      <w:lvlJc w:val="left"/>
      <w:lvlText w:val="(%1)"/>
      <w:numFmt w:val="lowerLetter"/>
      <w:start w:val="1"/>
    </w:lvl>
    <w:lvl w:ilvl="1">
      <w:lvlJc w:val="left"/>
      <w:lvlText w:val="(%2)"/>
      <w:numFmt w:val="lowerLetter"/>
      <w:start w:val="2"/>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lowerLetter"/>
      <w:start w:val="2"/>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2"/>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0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2019-12-09T07:31:08Z</dcterms:created>
  <dcterms:modified xsi:type="dcterms:W3CDTF">2019-12-09T07:31:08Z</dcterms:modified>
</cp:coreProperties>
</file>