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8, 2024</w:t>
      </w:r>
    </w:p>
    <w:p>
      <w:pPr>
        <w:spacing w:after="0" w:line="31" w:lineRule="exact"/>
        <w:rPr>
          <w:sz w:val="24"/>
          <w:szCs w:val="24"/>
          <w:color w:val="auto"/>
        </w:rPr>
      </w:pPr>
    </w:p>
    <w:p>
      <w:pPr>
        <w:ind w:left="896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7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22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80" w:type="dxa"/>
        <w:tblCellMar>
          <w:top w:w="0" w:type="dxa"/>
          <w:left w:w="0" w:type="dxa"/>
          <w:bottom w:w="0" w:type="dxa"/>
          <w:right w:w="0" w:type="dxa"/>
        </w:tblCellMar>
      </w:tblPr>
      <w:tr>
        <w:trPr>
          <w:trHeight w:val="216"/>
        </w:trPr>
        <w:tc>
          <w:tcPr>
            <w:tcW w:w="5080" w:type="dxa"/>
            <w:vAlign w:val="bottom"/>
          </w:tcPr>
          <w:p>
            <w:pPr>
              <w:jc w:val="center"/>
              <w:ind w:right="1559"/>
              <w:spacing w:after="0"/>
              <w:rPr>
                <w:sz w:val="20"/>
                <w:szCs w:val="20"/>
                <w:color w:val="auto"/>
              </w:rPr>
            </w:pPr>
            <w:r>
              <w:rPr>
                <w:rFonts w:ascii="Times New Roman" w:cs="Times New Roman" w:eastAsia="Times New Roman" w:hAnsi="Times New Roman"/>
                <w:sz w:val="18"/>
                <w:szCs w:val="18"/>
                <w:b w:val="1"/>
                <w:bCs w:val="1"/>
                <w:color w:val="auto"/>
                <w:w w:val="99"/>
              </w:rPr>
              <w:t>Maryland (Federal Realty Investment Trust)</w:t>
            </w:r>
          </w:p>
        </w:tc>
        <w:tc>
          <w:tcPr>
            <w:tcW w:w="2760" w:type="dxa"/>
            <w:vAlign w:val="bottom"/>
          </w:tcPr>
          <w:p>
            <w:pPr>
              <w:jc w:val="center"/>
              <w:ind w:left="1559"/>
              <w:spacing w:after="0"/>
              <w:rPr>
                <w:sz w:val="20"/>
                <w:szCs w:val="20"/>
                <w:color w:val="auto"/>
              </w:rPr>
            </w:pPr>
            <w:r>
              <w:rPr>
                <w:rFonts w:ascii="Times New Roman" w:cs="Times New Roman" w:eastAsia="Times New Roman" w:hAnsi="Times New Roman"/>
                <w:sz w:val="18"/>
                <w:szCs w:val="18"/>
                <w:b w:val="1"/>
                <w:bCs w:val="1"/>
                <w:color w:val="auto"/>
              </w:rPr>
              <w:t>87-3916363</w:t>
            </w:r>
          </w:p>
        </w:tc>
      </w:tr>
      <w:tr>
        <w:trPr>
          <w:trHeight w:val="227"/>
        </w:trPr>
        <w:tc>
          <w:tcPr>
            <w:tcW w:w="5080" w:type="dxa"/>
            <w:vAlign w:val="bottom"/>
          </w:tcPr>
          <w:p>
            <w:pPr>
              <w:jc w:val="center"/>
              <w:ind w:right="1559"/>
              <w:spacing w:after="0"/>
              <w:rPr>
                <w:sz w:val="20"/>
                <w:szCs w:val="20"/>
                <w:color w:val="auto"/>
              </w:rPr>
            </w:pPr>
            <w:r>
              <w:rPr>
                <w:rFonts w:ascii="Times New Roman" w:cs="Times New Roman" w:eastAsia="Times New Roman" w:hAnsi="Times New Roman"/>
                <w:sz w:val="18"/>
                <w:szCs w:val="18"/>
                <w:b w:val="1"/>
                <w:bCs w:val="1"/>
                <w:color w:val="auto"/>
              </w:rPr>
              <w:t>Delaware (Federal Realty OP LP)</w:t>
            </w:r>
          </w:p>
        </w:tc>
        <w:tc>
          <w:tcPr>
            <w:tcW w:w="2760" w:type="dxa"/>
            <w:vAlign w:val="bottom"/>
          </w:tcPr>
          <w:p>
            <w:pPr>
              <w:jc w:val="center"/>
              <w:ind w:left="1559"/>
              <w:spacing w:after="0"/>
              <w:rPr>
                <w:sz w:val="20"/>
                <w:szCs w:val="20"/>
                <w:color w:val="auto"/>
              </w:rPr>
            </w:pPr>
            <w:r>
              <w:rPr>
                <w:rFonts w:ascii="Times New Roman" w:cs="Times New Roman" w:eastAsia="Times New Roman" w:hAnsi="Times New Roman"/>
                <w:sz w:val="18"/>
                <w:szCs w:val="18"/>
                <w:b w:val="1"/>
                <w:bCs w:val="1"/>
                <w:color w:val="auto"/>
              </w:rPr>
              <w:t>52-0782497</w:t>
            </w:r>
          </w:p>
        </w:tc>
      </w:tr>
      <w:tr>
        <w:trPr>
          <w:trHeight w:val="149"/>
        </w:trPr>
        <w:tc>
          <w:tcPr>
            <w:tcW w:w="5080" w:type="dxa"/>
            <w:vAlign w:val="bottom"/>
          </w:tcPr>
          <w:p>
            <w:pPr>
              <w:jc w:val="center"/>
              <w:ind w:right="15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60" w:type="dxa"/>
            <w:vAlign w:val="bottom"/>
          </w:tcPr>
          <w:p>
            <w:pPr>
              <w:jc w:val="center"/>
              <w:ind w:left="155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080" w:type="dxa"/>
            <w:vAlign w:val="bottom"/>
          </w:tcPr>
          <w:p>
            <w:pPr>
              <w:jc w:val="center"/>
              <w:ind w:right="15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60" w:type="dxa"/>
            <w:vAlign w:val="bottom"/>
          </w:tcPr>
          <w:p>
            <w:pPr>
              <w:jc w:val="center"/>
              <w:ind w:left="155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909 Rose Avenue, Suite 200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North Bethesda, Maryland 20852</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Telephone: (301) 998-8100</w:t>
      </w:r>
    </w:p>
    <w:p>
      <w:pPr>
        <w:spacing w:after="0" w:line="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Dawn M. Becker, Executive Vice President, General Counsel and Secretary</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909 Rose Avenue, Suite 200</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North Bethesda, Maryland 20852</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Telephone: (301) 998-8100</w:t>
      </w:r>
    </w:p>
    <w:p>
      <w:pPr>
        <w:spacing w:after="0" w:line="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Justin J. Bintrim, Esq.</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Pillsbury Winthrop Shaw Pittman LLP</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1200 Seventeenth Street, N.W.</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20036</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of the securities to the public: </w:t>
      </w:r>
      <w:r>
        <w:rPr>
          <w:rFonts w:ascii="Times New Roman" w:cs="Times New Roman" w:eastAsia="Times New Roman" w:hAnsi="Times New Roman"/>
          <w:sz w:val="18"/>
          <w:szCs w:val="18"/>
          <w:color w:val="auto"/>
        </w:rPr>
        <w:t>From time to time following the effective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w:t>
      </w:r>
    </w:p>
    <w:p>
      <w:pPr>
        <w:spacing w:after="0" w:line="159" w:lineRule="exact"/>
        <w:rPr>
          <w:sz w:val="24"/>
          <w:szCs w:val="24"/>
          <w:color w:val="auto"/>
        </w:rPr>
      </w:pPr>
    </w:p>
    <w:p>
      <w:pPr>
        <w:ind w:left="120" w:right="6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120" w:right="1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120" w:right="2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left="120" w:right="14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left="1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64" w:orient="portrait"/>
          <w:cols w:equalWidth="0" w:num="1">
            <w:col w:w="11080"/>
          </w:cols>
          <w:pgMar w:left="320" w:top="226" w:right="499" w:bottom="0" w:gutter="0" w:footer="0" w:header="0"/>
        </w:sectPr>
      </w:pPr>
    </w:p>
    <w:bookmarkStart w:id="1" w:name="page2"/>
    <w:bookmarkEnd w:id="1"/>
    <w:p>
      <w:pPr>
        <w:ind w:right="68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4"/>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Federal Realty OP LP:</w:t>
            </w:r>
          </w:p>
        </w:tc>
        <w:tc>
          <w:tcPr>
            <w:tcW w:w="34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87"/>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Federal Realty Investment Trust 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Federal Realty OP LP 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231775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121"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173990</wp:posOffset>
            </wp:positionV>
            <wp:extent cx="2245995" cy="728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4599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2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Common Shares, Preferred Shares, Depositary Shares, Share Purchase</w:t>
      </w:r>
    </w:p>
    <w:p>
      <w:pPr>
        <w:spacing w:after="0" w:line="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Contracts, Warrants, Guarantees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spacing w:after="0" w:line="2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Federal Realty Investment Trust, which we refer to as the Company, or any selling security holder, may from time to time offer, in one or more classes or series, separately or together:</w:t>
      </w:r>
    </w:p>
    <w:p>
      <w:pPr>
        <w:spacing w:after="0" w:line="67"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of beneficial interest, par value $.01 per share, which we refer to as common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 of beneficial interest, par value $.01 per share, which we refer to as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 representing interests in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purchase contracts to purchase or sell common shares or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common shares or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debt securities issued by Federal Realty OP LP,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two or more securities described in this prospectus.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Federal Realty OP LP, which we refer to as the Partnership, may from time to time offer debt securities in one or more classes or series.</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or any selling security holder, if applicable, will offer our securities in amounts, at prices and on terms to be determined at the time such securities are offered. We will prepare a prospectus supplement describing the offering and the terms of the class or series of securities being offered. Such terms may include limitations on direct or beneficial ownership and restrictions on transfer that we believe are appropriate to preserve the Company’s status as a real estate investment trust for federal income tax purposes.</w:t>
      </w:r>
    </w:p>
    <w:p>
      <w:pPr>
        <w:spacing w:after="0" w:line="180"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also contain information, where applicable, about certain United States federal income tax considerations relating to the securities covered by such prospectus supplement.</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or any selling security holder may offer our securities directly, through agents or to or through underwriters or dealers, on a continuous or delayed basis.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Company’s common shares and depositary shares representing interests in the Company’s Series C preferred shares are listed on the New York Stock Exchange under the symbols “FRT” and “FRT-C,”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Investing in our securities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4 of this prospectus.</w:t>
      </w:r>
    </w:p>
    <w:p>
      <w:pPr>
        <w:spacing w:after="0" w:line="21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980"/>
          </w:cols>
          <w:pgMar w:left="320" w:top="455" w:right="599" w:bottom="1043"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The date of this prospectus is March 8, 2024.</w:t>
      </w:r>
    </w:p>
    <w:p>
      <w:pPr>
        <w:sectPr>
          <w:pgSz w:w="11900" w:h="16838" w:orient="portrait"/>
          <w:cols w:equalWidth="0" w:num="1">
            <w:col w:w="10980"/>
          </w:cols>
          <w:pgMar w:left="320" w:top="455" w:right="599" w:bottom="1043"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40" w:type="dxa"/>
            <w:vAlign w:val="bottom"/>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r>
      <w:tr>
        <w:trPr>
          <w:trHeight w:val="392"/>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3"/>
        </w:trPr>
        <w:tc>
          <w:tcPr>
            <w:tcW w:w="15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9080" w:type="dxa"/>
            <w:vAlign w:val="bottom"/>
            <w:gridSpan w:val="7"/>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1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856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5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914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that may be Offered by Federal Realty Investment Trust or a Selling Security Holder</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51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Securities that may be Offered by Federal Realty OP LP</w:t>
            </w:r>
          </w:p>
        </w:tc>
        <w:tc>
          <w:tcPr>
            <w:tcW w:w="2800" w:type="dxa"/>
            <w:vAlign w:val="bottom"/>
            <w:tcBorders>
              <w:top w:val="single" w:sz="8" w:color="0000EE"/>
            </w:tcBorders>
          </w:tcPr>
          <w:p>
            <w:pPr>
              <w:spacing w:after="0"/>
              <w:rPr>
                <w:sz w:val="17"/>
                <w:szCs w:val="17"/>
                <w:color w:val="auto"/>
              </w:rPr>
            </w:pPr>
          </w:p>
        </w:tc>
        <w:tc>
          <w:tcPr>
            <w:tcW w:w="27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32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Federal Income Tax Considerations</w:t>
            </w:r>
          </w:p>
        </w:tc>
        <w:tc>
          <w:tcPr>
            <w:tcW w:w="744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Selling Security Holders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17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890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924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66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78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using a “shelf” registration process. Under this shelf process, we or any selling security holder may sell any combination of the securities described in this prospectus either separately or in units, in one or more offerings. Our prospectus provides you with a general description of these securities. Each time we sell, or any selling security holder sells, securities, we or they will provide a prospectus supplement that will contain specific information about all of the terms of that offering. The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noted, references herein to “we,” “us,” “our” or “ours” refer to Federal Realty Investment Trust and its directly or indirectly owned subsidiaries, including Federal Realty OP LP, unless the context otherwise requires. The term “you” refers to a prospective investor. The term “Company” refers to Federal Realty Investment Trust. The term “Partnership” refers to Federal Realty OP LP.</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statements that are not based on historical facts,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 statements or information with words such as “may,” “will,” “seeks,” “could,” “should,” “plans,” “intends,” “expects,” “believes,”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“estimates,” “anticipates,” “continues” and other similar words. These statements constitute forward-looking statements within the meaning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27A of the Securities Act of 1933, as amended, or the “Securities Act,” Section 21E of the Securities Exchange Act of 1934, as amended, 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Act,” and the Private Securities Litigation Reform Act of 1995. In particular, the risk factors included in or incorporated by reference into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describe forward-looking information. The risk factors, including those in our Annual Report on Form 10-K for the year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filed with the SEC on February 12, 2024, describe risks that may affect these statements but are not exhaustive, particularly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 to possible future events. Many things can happen that can cause actual results to be different from those we describe. These factors include, but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are not limited to:</w:t>
      </w:r>
    </w:p>
    <w:p>
      <w:pPr>
        <w:spacing w:after="0" w:line="112" w:lineRule="exact"/>
        <w:rPr>
          <w:sz w:val="20"/>
          <w:szCs w:val="20"/>
          <w:color w:val="auto"/>
        </w:rPr>
      </w:pPr>
    </w:p>
    <w:p>
      <w:pPr>
        <w:ind w:left="1080" w:right="4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 or to fill existing vacancies;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 or if the costs of capital we obtain are significantly higher than historical levels;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inflation and local economic conditions in our geographic markets;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status as a real estate investment trust, commonly referred to as a REIT, for federal income tax purposes, such as the existence of complex tax regulations relating to the Company’s status as a REIT, the effect of future changes in REIT requirements as a result of new legislation, and the adverse consequences of the failure to qualify as a REIT; and</w:t>
      </w:r>
    </w:p>
    <w:p>
      <w:pPr>
        <w:spacing w:after="0" w:line="202"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these forward-looking statements or those contained in or incorporated by reference into this prospectus. We also make no promise to update any of the forward-looking statements, or to publicly release the results if we revise any of them.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213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42132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16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7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Federal Realty Investment Trust and Federal Realty OP LP</w:t>
      </w:r>
    </w:p>
    <w:p>
      <w:pPr>
        <w:spacing w:after="0" w:line="229" w:lineRule="exact"/>
        <w:rPr>
          <w:sz w:val="20"/>
          <w:szCs w:val="20"/>
          <w:color w:val="auto"/>
        </w:rPr>
      </w:pPr>
    </w:p>
    <w:p>
      <w:pPr>
        <w:ind w:left="300" w:right="120" w:firstLine="426"/>
        <w:spacing w:after="0" w:line="254" w:lineRule="auto"/>
        <w:rPr>
          <w:sz w:val="20"/>
          <w:szCs w:val="20"/>
          <w:color w:val="auto"/>
        </w:rPr>
      </w:pPr>
      <w:r>
        <w:rPr>
          <w:rFonts w:ascii="Times New Roman" w:cs="Times New Roman" w:eastAsia="Times New Roman" w:hAnsi="Times New Roman"/>
          <w:sz w:val="18"/>
          <w:szCs w:val="18"/>
          <w:color w:val="auto"/>
        </w:rPr>
        <w:t>Federal Realty Investment Trust, which we refer to as the Company, is an equity real estate investment trust, or REIT, specializing in the ownership, management, and redevelopment of high quality retail and mixed-use properties located primarily in communities where we believe retail demand exceeds supply, in strategically selected metropolitan markets in the Northeast and Mid-Atlantic regions of the United States, California, and South Florida. The Company conducts substantially all of its operations and owns substantially all of its assets through Federal Realty OP LP, which we refer to as the Partnership. The Company owns 100% of the limited liability company interests of, is the sole member of and exercises exclusive control over Federal Realty GP LLC, which is the sole general partner of the Partnership. The Company does not have substantial assets or liabilities other than through its investment in the Partnership. As of the date of this prospectus, the Company owns all of the outstanding limited partnership interests in the Partnership.</w:t>
      </w:r>
    </w:p>
    <w:p>
      <w:pPr>
        <w:spacing w:after="0" w:line="19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As of December 31, 2023, we owned or had a majority interest in community and neighborhood shopping centers and mixed-use properties which are operated as 102 predominantly retail real estate projects comprising approximately 26.0 million commercial square feet. In total, the real estate projects were 94.2% leased and 92.2% occupied at December 31, 2023. Our revenue is primarily generated from lease agreements with tenants. We have paid quarterly dividends to our shareholders continuously since our founding in 1962 and have increased our dividends per common share for 56 consecutive years.</w:t>
      </w:r>
    </w:p>
    <w:p>
      <w:pPr>
        <w:spacing w:after="0" w:line="183"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The Company qualifies for taxation as a REIT pursuant to the Internal Revenue Code of 1986, as amended, or the “Code,” and we intend to operate in a manner that will allow us to maintain such qualification.</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909 Rose Ave., Suite 200, North Bethesda, MD 20852. Our telephone number is</w:t>
      </w:r>
    </w:p>
    <w:p>
      <w:pPr>
        <w:spacing w:after="0" w:line="27" w:lineRule="exact"/>
        <w:rPr>
          <w:sz w:val="20"/>
          <w:szCs w:val="20"/>
          <w:color w:val="auto"/>
        </w:rPr>
      </w:pPr>
    </w:p>
    <w:p>
      <w:pPr>
        <w:ind w:left="300" w:hanging="2"/>
        <w:spacing w:after="0" w:line="260"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998-8100. Our website address is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The information contained on our website is not a part of this prospectus and is not incorporated herein by reference.</w:t>
      </w:r>
    </w:p>
    <w:p>
      <w:pPr>
        <w:spacing w:after="0" w:line="2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320" w:top="455" w:right="6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risks. Before making an investment decision, please consider the risks described under the caption “Risk Factors” in our Annual Report on Form 10-K for the fiscal year ended December 31, 2023,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will use the net proceeds from the sale of securities pursuant to this prospectus for one or more of the following:</w:t>
      </w:r>
    </w:p>
    <w:p>
      <w:pPr>
        <w:spacing w:after="0" w:line="67"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additional properties;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our development and redevelopment pipeline;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preferred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and general corporate purposes.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proceeds from the sale of securities by selling security holders.</w:t>
      </w:r>
    </w:p>
    <w:p>
      <w:pPr>
        <w:spacing w:after="0" w:line="200" w:lineRule="exact"/>
        <w:rPr>
          <w:sz w:val="20"/>
          <w:szCs w:val="20"/>
          <w:color w:val="auto"/>
        </w:rPr>
      </w:pPr>
    </w:p>
    <w:p>
      <w:pPr>
        <w:spacing w:after="0" w:line="237" w:lineRule="exact"/>
        <w:rPr>
          <w:sz w:val="20"/>
          <w:szCs w:val="20"/>
          <w:color w:val="auto"/>
        </w:rPr>
      </w:pPr>
    </w:p>
    <w:p>
      <w:pPr>
        <w:jc w:val="center"/>
        <w:ind w:left="440" w:right="460"/>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SECURITIES THAT MAY BE OFFERED BY FEDERAL REALTY INVESTMENT TRUST OR A SELLING SECURITY HOLDER</w:t>
      </w:r>
    </w:p>
    <w:p>
      <w:pPr>
        <w:spacing w:after="0" w:line="157"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In the following section, references to “we,” “us,” “our” and “ours” refer only to Federal Realty Investment Trust and not to the Partnership or its subsidiaries unless the context requires otherwise.</w:t>
      </w: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of Beneficial Interest of Federal Realty Investment Trust</w:t>
      </w:r>
    </w:p>
    <w:p>
      <w:pPr>
        <w:spacing w:after="0" w:line="22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We are a Maryland real estate investment trust. Your rights as a shareholder are governed by the Code of Maryland, including Title 8 of the Corporations and Associations Article, or “Maryland REIT Law,” our declaration of trust, which sets forth the terms of our shares of beneficial interest, and our bylaws. The following summary of the material terms, rights and preferences of the shares of beneficial interest is not complete and is subject to and qualified in its entirety by reference to the laws of the State of Maryland, including the Maryland REIT Law, our declaration of trust and our bylaws.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declaration of trust allows us to issue up to 200,000,000 common shares of beneficial interest, par value $.01 per share, and 15,000,000 preferred shares of beneficial interest, par value $.01 per share. As of December 31, 2023, we had issued and outstanding 82,775,286 common shares, 392,878 preferred shares designated as 5.417% Series 1 Cumulative Convertible Preferred Shares, which we refer to as the “Series 1 preferred shares,” and 6,000 preferred shares designated as 5.000% Series C Cumulative Redeemable Preferred Shares, which we refer to as the “Series C preferred shares.”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Authority of the Board of Trustees Relating to Authorization and Classification of Shares. </w:t>
      </w:r>
      <w:r>
        <w:rPr>
          <w:rFonts w:ascii="Times New Roman" w:cs="Times New Roman" w:eastAsia="Times New Roman" w:hAnsi="Times New Roman"/>
          <w:sz w:val="18"/>
          <w:szCs w:val="18"/>
          <w:color w:val="auto"/>
        </w:rPr>
        <w:t>Our declaration of trust allows our Board of Trustees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take the following actions without approval by any shareholder:</w:t>
      </w:r>
    </w:p>
    <w:p>
      <w:pPr>
        <w:spacing w:after="0" w:line="64" w:lineRule="exact"/>
        <w:rPr>
          <w:sz w:val="20"/>
          <w:szCs w:val="20"/>
          <w:color w:val="auto"/>
        </w:rPr>
      </w:pPr>
    </w:p>
    <w:p>
      <w:pPr>
        <w:ind w:left="1080" w:right="6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classify or reclassify any authorized but unissued common shares or preferred shares into one or more classes or series of shares of beneficial interest;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total number of shares of beneficial interest authorized;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there are any laws or stock exchange rules which require us to obtain shareholder approval in order for us to take these actions, however, we will contact our shareholders to solicit that approval.</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Shares of the Company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w:t>
      </w:r>
    </w:p>
    <w:p>
      <w:pPr>
        <w:spacing w:after="0" w:line="188"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outstanding common share owned by a shareholder entitles that holder to one vote on all matters submitted to a vote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shareholders, including the election of trustees. The right to vote is subject to the provisions of our declaration of trust regarding the restriction of the transfer of shares of beneficial interest, which we describe under “— Restrictions on Ownership and Transfer of Company Shares,” below. There is no cumulative voting in the election of trustees, which means that, under Maryland law and our bylaws, the holders of a majority of all of the votes cast at a meeting of shareholders duly called and at which a quorum is present can elect a trustee. The holders of the remaining shares will not be able to elect any trustees.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holder of common shares, you will not have any right to:</w:t>
      </w:r>
    </w:p>
    <w:p>
      <w:pPr>
        <w:spacing w:after="0" w:line="13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your shares into any other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any funds set aside for future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repurchase your shares;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1" w:lineRule="exact"/>
        <w:rPr>
          <w:sz w:val="20"/>
          <w:szCs w:val="20"/>
          <w:color w:val="auto"/>
        </w:rPr>
      </w:pPr>
    </w:p>
    <w:p>
      <w:pPr>
        <w:ind w:left="1080" w:right="3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trustees in any election in which the number of nominees exceeds the number of trustees to be elected (which requires a plurality of all the votes cast at a meeting of our shareholders at which a quorum is present);</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67"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under Maryland law, 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85"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as a real estate investment trust under Maryland REIT Law or the Code;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72"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Preemptive Rights. </w:t>
      </w:r>
      <w:r>
        <w:rPr>
          <w:rFonts w:ascii="Times New Roman" w:cs="Times New Roman" w:eastAsia="Times New Roman" w:hAnsi="Times New Roman"/>
          <w:sz w:val="18"/>
          <w:szCs w:val="18"/>
          <w:color w:val="auto"/>
        </w:rPr>
        <w:t>Under our declaration of trust, no holder of shares of beneficial interest has any preemptive rights to subscribe to any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 Exchange Listing. </w:t>
      </w:r>
      <w:r>
        <w:rPr>
          <w:rFonts w:ascii="Times New Roman" w:cs="Times New Roman" w:eastAsia="Times New Roman" w:hAnsi="Times New Roman"/>
          <w:sz w:val="18"/>
          <w:szCs w:val="18"/>
          <w:color w:val="auto"/>
        </w:rPr>
        <w:t>The common shares are traded on the New York Stock Exchange under the trading symbol “FRT.”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common shares is Equiniti Trust Company, LLC, New York, New York.</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1 Preferred Shares of the Company</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Below is a brief description of the terms of the Series 1 preferred shares, which is subject to and qualified in its entirety by reference to our declaration of trust, which sets forth the terms of the Series 1 preferred shares.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The Series 1 preferred shares rank pari passu with the Series C preferred shares and senior to the common shares with respect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of 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85" w:lineRule="exact"/>
        <w:rPr>
          <w:sz w:val="20"/>
          <w:szCs w:val="20"/>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Each Series 1 preferred share is entitled to receive, when, as and if authorized by our Board of Trustees out of funds legally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that purpose, cumulative preferential dividends payable in cash at a rate of 5.417% of the liquidation price of $25, which is equivalent to $1.35425 per annum.</w:t>
      </w:r>
    </w:p>
    <w:p>
      <w:pPr>
        <w:spacing w:after="0" w:line="171"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the holders of Series 1 preferred shares shall be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$25 per share, plus all accrued and unpaid dividends, before any distribution shall be made with respect to the common shares.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The Series 1 preferred shares shall have no voting rights.</w:t>
      </w:r>
    </w:p>
    <w:p>
      <w:pPr>
        <w:spacing w:after="0" w:line="225" w:lineRule="exact"/>
        <w:rPr>
          <w:sz w:val="20"/>
          <w:szCs w:val="20"/>
          <w:color w:val="auto"/>
        </w:rPr>
      </w:pPr>
    </w:p>
    <w:p>
      <w:pPr>
        <w:ind w:left="120" w:right="60" w:firstLine="4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Conversion Rights. </w:t>
      </w:r>
      <w:r>
        <w:rPr>
          <w:rFonts w:ascii="Times New Roman" w:cs="Times New Roman" w:eastAsia="Times New Roman" w:hAnsi="Times New Roman"/>
          <w:sz w:val="17"/>
          <w:szCs w:val="17"/>
          <w:color w:val="auto"/>
        </w:rPr>
        <w:t>Subject to other applicable provisions within our declaration of trust pertaining to the Series 1 preferred shares, the Series 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preferred shares shall be convertible, at the option of each holder, into a number of fully paid and nonassessable common shares determined by dividing</w:t>
      </w:r>
    </w:p>
    <w:p>
      <w:pPr>
        <w:spacing w:after="0" w:line="1" w:lineRule="exact"/>
        <w:rPr>
          <w:sz w:val="20"/>
          <w:szCs w:val="20"/>
          <w:color w:val="auto"/>
        </w:rPr>
      </w:pPr>
    </w:p>
    <w:p>
      <w:pPr>
        <w:ind w:left="120" w:right="780" w:hanging="4"/>
        <w:spacing w:after="0" w:line="260" w:lineRule="auto"/>
        <w:tabs>
          <w:tab w:leader="none" w:pos="4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obtained by multiplying (i) the number of Series 1 preferred shares being converted by (ii) liquidation price; by (B) the option conversion price as in effect immediately prior to the close of business on the option conversion date.</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Series 1 preferred shares is Equiniti Trust Company, LLC, New York, New</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York.</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C Preferred Shares of the Company</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Below is a brief description of the terms of the Series C preferred shares, which is subject to and qualified in its entirety by reference to our declaration of trust, which sets forth the terms of the Series C preferred shares.</w:t>
      </w:r>
    </w:p>
    <w:p>
      <w:pPr>
        <w:spacing w:after="0" w:line="158"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The Series C preferred shares rank pari passu with the Series 1 preferred shares and senior to the common shares with respect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of dividends and the distribution of assets upon our liquidation, dissolution or winding up. Our declaration of trust provides that, unless full cumulative dividends on all outstanding Series C preferred shares and any Parity Shares shall have been declared and paid or declared and set apart for payment for all past dividend periods, then no dividends, other than dividends paid solely in common shares, or options, warrants or rights to subscribe for or purchase common shares, or any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Junior Shares).</w:t>
      </w:r>
    </w:p>
    <w:p>
      <w:pPr>
        <w:spacing w:after="0" w:line="185"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Each Series C preferred share is entitled to receive, when, as and if authorized by our Board of Trustees out of funds legally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that purpose, cumulative preferential dividends payable in cash at a rate of 5.000% of the liquidation price of $25,000, which is equivalent to $1,250 per annum.</w:t>
      </w:r>
    </w:p>
    <w:p>
      <w:pPr>
        <w:spacing w:after="0" w:line="171"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the holders of Series C preferred shares shall be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$25,000 per share, plus all accrued and unpaid dividends, before any distribution shall be made with respect to the common shares.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The Series C preferred shares generally have no voting rights. However, if and whenever dividends payable on the Series 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The Series C preferred shares have no conversion rights.</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by the Company. </w:t>
      </w:r>
      <w:r>
        <w:rPr>
          <w:rFonts w:ascii="Times New Roman" w:cs="Times New Roman" w:eastAsia="Times New Roman" w:hAnsi="Times New Roman"/>
          <w:sz w:val="18"/>
          <w:szCs w:val="18"/>
          <w:color w:val="auto"/>
        </w:rPr>
        <w:t>The Series C preferred shares may be redeemed for cash, in whole or from time to time in part, on any date 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September 29, 2022 at the option of the Company at a price per share equal to $25,000.00 plus accrued and unpaid dividends thereon, if any, to, but excluding, the redemption date.</w:t>
      </w:r>
    </w:p>
    <w:p>
      <w:pPr>
        <w:spacing w:after="0" w:line="171"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Depositary Shares. </w:t>
      </w:r>
      <w:r>
        <w:rPr>
          <w:rFonts w:ascii="Times New Roman" w:cs="Times New Roman" w:eastAsia="Times New Roman" w:hAnsi="Times New Roman"/>
          <w:sz w:val="18"/>
          <w:szCs w:val="18"/>
          <w:color w:val="auto"/>
        </w:rPr>
        <w:t>Interests in the Series C preferred shares are represented by depositary shares, which we refer to as the “Series C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Each Series C depositary share represents a 1/1000th fractional interest in a Series C preferred share. The Series C preferred shares have been deposited with Equiniti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 Exchange Listing. </w:t>
      </w:r>
      <w:r>
        <w:rPr>
          <w:rFonts w:ascii="Times New Roman" w:cs="Times New Roman" w:eastAsia="Times New Roman" w:hAnsi="Times New Roman"/>
          <w:sz w:val="18"/>
          <w:szCs w:val="18"/>
          <w:color w:val="auto"/>
        </w:rPr>
        <w:t>The Series C depositary shares are traded on the New York Stock Exchange under the trading symbol “FRT-C.”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Transfer Agent and Registrar. </w:t>
      </w:r>
      <w:r>
        <w:rPr>
          <w:rFonts w:ascii="Times New Roman" w:cs="Times New Roman" w:eastAsia="Times New Roman" w:hAnsi="Times New Roman"/>
          <w:sz w:val="17"/>
          <w:szCs w:val="17"/>
          <w:color w:val="auto"/>
        </w:rPr>
        <w:t>The transfer agent and registrar for the Series C preferred shares is Equiniti Trust Company, LLC, New York, New</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York.</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Shares of the Company</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7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Preferred shares may be offered and sold from time to time, in one or more series, as authorized by the Board of Trustees.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82"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Terms. </w:t>
      </w:r>
      <w:r>
        <w:rPr>
          <w:rFonts w:ascii="Times New Roman" w:cs="Times New Roman" w:eastAsia="Times New Roman" w:hAnsi="Times New Roman"/>
          <w:sz w:val="18"/>
          <w:szCs w:val="18"/>
          <w:color w:val="auto"/>
        </w:rPr>
        <w:t>You should refer to the prospectus supplement relating to the offering of any preferred shares for specific terms, including the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w:t>
      </w:r>
    </w:p>
    <w:p>
      <w:pPr>
        <w:spacing w:after="0" w:line="64"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those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offered and the offering price of those preferred shares;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amounts and/or payment date(s) or method(s) of calculation of any of those terms that apply to those preferred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from which dividends on those preferred shares will accumulate, if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 of a sinking fund, if any, for the purchase or redemption of those preferred shares;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including conditions, time(s) and the redemption price(s), if applicable, of those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those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those preferred shares on any securities exchange;</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 of those preferred shares as to dividend rights and rights upon liquidation, dissolution or the winding up of our affairs;</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those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those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additional federal income tax consequences applicable to those preferred shares; and</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direct or beneficial ownership and restrictions on transfer in addition to those described in “— Restrictions on Ownership and Transfer of Company Shares,” in each case as may be appropriate to preserve our status as a REIT.</w:t>
      </w:r>
    </w:p>
    <w:p>
      <w:pPr>
        <w:spacing w:after="0" w:line="16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The terms of any preferred shares we issue through this prospectus will be set forth in articles supplementary to our declaration of trust or in an amendment to our declaration of trust. We will file the articles supplementary or any such amendment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or amendment to our declaration of trust for a complete description of all of the terms.</w:t>
      </w:r>
    </w:p>
    <w:p>
      <w:pPr>
        <w:spacing w:after="0" w:line="179"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Unless we say otherwise in a prospectus supplement, the preferred shares offered through that supplement will, with respect to dividend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and rights upon our liquidation, dissolution or winding up, rank:</w:t>
      </w:r>
    </w:p>
    <w:p>
      <w:pPr>
        <w:spacing w:after="0" w:line="64"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our common shares, and to all other equity securities ranking junior to those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of our equity securities ranking on a parity with the preferred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of our equity securities ranking senior to the preferred shares.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description of our preferred shares, the term “equity securities” does not include convertible debt securities that we may offer from time to time.</w:t>
      </w:r>
    </w:p>
    <w:p>
      <w:pPr>
        <w:spacing w:after="0" w:line="15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any preferential rights of any outstanding shares or series of shares and to the provisions of our declaration of trust regarding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ownership of shares in excess of the ownership limitation described below under “— Restrictions on Ownership and Transfer of Company Shares,” our preferred shareholders are entitled to receive dividends, when and as authorized by our Board of Trustees, out of legally available funds.</w:t>
      </w:r>
    </w:p>
    <w:p>
      <w:pPr>
        <w:spacing w:after="0" w:line="171"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w:t>
      </w:r>
      <w:r>
        <w:rPr>
          <w:rFonts w:ascii="Times New Roman" w:cs="Times New Roman" w:eastAsia="Times New Roman" w:hAnsi="Times New Roman"/>
          <w:sz w:val="18"/>
          <w:szCs w:val="18"/>
          <w:color w:val="auto"/>
        </w:rPr>
        <w:t>If we provide for a redemption right in a prospectus supplement, the preferred shares offered through that supplement will be subject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mandatory redemption or redemption at our option, in whole or in part, in each case upon the terms, at the times and at the redemption prices set forth in that supplement.</w:t>
      </w:r>
    </w:p>
    <w:p>
      <w:pPr>
        <w:spacing w:after="0" w:line="17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As to any liquidation preference applicable to preferred shares offered through this prospectus, the applicable supplement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9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76"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Unless otherwise indicated in the applicable supplement, holders of preferred shares we issue in the future will not have any 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except as may be required by applicable law or any applicable rules and regulations of the New York Stock Exchange.</w:t>
      </w:r>
    </w:p>
    <w:p>
      <w:pPr>
        <w:spacing w:after="0" w:line="15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The terms and conditions, if any, upon which any series of preferred shares is convertible into common shares will be set forth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prospectus supplement relating to the offering of those preferred shares. These terms typically will include:</w:t>
      </w:r>
    </w:p>
    <w:p>
      <w:pPr>
        <w:spacing w:after="0" w:line="64"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into which the preferred shares are convertible;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or rate (or manner of calculation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whether conversion will be at the option of the holders of the preferred shares or at our option;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requiring an adjustment of the conversion price;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in the event of the redemption of that series of preferred shares.</w:t>
      </w:r>
    </w:p>
    <w:p>
      <w:pPr>
        <w:spacing w:after="0" w:line="221"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We will identify the transfer agent and registrar for any additional series of preferred shares issued through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in a prospectus supplement.</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 of Company Shares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67" w:lineRule="exact"/>
        <w:rPr>
          <w:sz w:val="20"/>
          <w:szCs w:val="20"/>
          <w:color w:val="auto"/>
        </w:rPr>
      </w:pPr>
    </w:p>
    <w:p>
      <w:pPr>
        <w:ind w:left="108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85"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REIT’s shares or beneficial interests must be owned by 100 or more persons during at least 335 days of a taxable year of 12 months or during a proportionate part of a shorter taxable year.</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shares (which includes any common shares and our preferred shares). In this prospectus, the term “ownership limitation” is used to describe this provision of our declaration of trust.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any person owning, directly or indirectly, shares in excess of the ownership limitation;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shares being owned by fewer than 100 persons (determined without reference to any rules of attribution);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our being “closely held” (within the meaning of Section 856(h) of the Code);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us to own, directly or constructively, 10% or more of the ownership interests in a tenant of our real property (within the meaning of Section 856(d)(2)(B) of the Code);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results in our failure to qualify as a REIT.</w:t>
      </w:r>
    </w:p>
    <w:p>
      <w:pPr>
        <w:spacing w:after="0" w:line="221" w:lineRule="exact"/>
        <w:rPr>
          <w:sz w:val="20"/>
          <w:szCs w:val="20"/>
          <w:color w:val="auto"/>
        </w:rPr>
      </w:pPr>
    </w:p>
    <w:p>
      <w:pPr>
        <w:ind w:left="120" w:right="420" w:firstLine="4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Automatic Transfer of Shares to Trust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certain exceptions described below, if any purported transfer of shares would violate any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restrictions described in the immediately preceding paragraph, then the transfer will be null and void, and those shares will be</w:t>
      </w:r>
    </w:p>
    <w:p>
      <w:pPr>
        <w:spacing w:after="0" w:line="1"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89"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8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if any, paid by the record holder for the shares;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amount was paid for such shares (e.g., if such shares were received through a gift or devise),</w:t>
      </w:r>
    </w:p>
    <w:p>
      <w:pPr>
        <w:spacing w:after="0" w:line="130"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equal to the market price (which is calculated as defined in our declaration of trust) on the date the shares were received, or</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received by the trustee from the sale of such shares-in-trust.</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76"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If a shareholder owns more than 5% of the outstanding common shares or preferred shares, then the shareholder must notify us of its share ownership by January 30 of each year.</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Depositary Shares of the Company</w:t>
      </w:r>
    </w:p>
    <w:p>
      <w:pPr>
        <w:spacing w:after="0" w:line="11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We may issue depositary shares, each of which will represent a fractional interest of a share of a particular series of preferred shares.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December 31, 2023, we had 6,000,000 depositary shares issued and outstanding, each representing a 1/1000th fractional interest in a Series C preferred share. See “—Series C Preferred Shares of the Company.”</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72"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Provisions. </w:t>
      </w:r>
      <w:r>
        <w:rPr>
          <w:rFonts w:ascii="Times New Roman" w:cs="Times New Roman" w:eastAsia="Times New Roman" w:hAnsi="Times New Roman"/>
          <w:sz w:val="18"/>
          <w:szCs w:val="18"/>
          <w:color w:val="auto"/>
        </w:rPr>
        <w:t>If you are a “record holder” (as defined below) of depositary receipts and we pay a cash dividend or other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58"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Withdrawal of Preferred Shares. </w:t>
      </w:r>
      <w:r>
        <w:rPr>
          <w:rFonts w:ascii="Times New Roman" w:cs="Times New Roman" w:eastAsia="Times New Roman" w:hAnsi="Times New Roman"/>
          <w:sz w:val="18"/>
          <w:szCs w:val="18"/>
          <w:color w:val="auto"/>
        </w:rPr>
        <w:t>If you surrender your depositary receipts, the depositary will be required to deliver certificates to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evidencing the 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Depositary Shares. </w:t>
      </w:r>
      <w:r>
        <w:rPr>
          <w:rFonts w:ascii="Times New Roman" w:cs="Times New Roman" w:eastAsia="Times New Roman" w:hAnsi="Times New Roman"/>
          <w:sz w:val="18"/>
          <w:szCs w:val="18"/>
          <w:color w:val="auto"/>
        </w:rPr>
        <w:t>If we redeem a series of preferred shares represented by depositary receipts, the depositary will redeem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83"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the Preferred Shares. </w:t>
      </w:r>
      <w:r>
        <w:rPr>
          <w:rFonts w:ascii="Times New Roman" w:cs="Times New Roman" w:eastAsia="Times New Roman" w:hAnsi="Times New Roman"/>
          <w:sz w:val="18"/>
          <w:szCs w:val="18"/>
          <w:color w:val="auto"/>
        </w:rPr>
        <w:t>When the depositary receives notice of any meeting at which the holders of preferred shares are entitled to vote,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will mail information contained in the notice to you as a record holder of the depositary shares relating to the preferred shares. As a record holder of the depositary shares on the</w:t>
      </w: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5" w:lineRule="exact"/>
        <w:rPr>
          <w:sz w:val="20"/>
          <w:szCs w:val="20"/>
          <w:color w:val="auto"/>
        </w:rPr>
      </w:pPr>
    </w:p>
    <w:p>
      <w:pPr>
        <w:ind w:left="120" w:right="3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whether voluntary or involuntary, you will be entitled,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holder of depositary shares, to the fraction of the liquidation preference accorded each applicable preferred share, as has been set forth in a prospectus supplement.</w:t>
      </w:r>
    </w:p>
    <w:p>
      <w:pPr>
        <w:spacing w:after="0" w:line="17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of Preferred Shares. </w:t>
      </w:r>
      <w:r>
        <w:rPr>
          <w:rFonts w:ascii="Times New Roman" w:cs="Times New Roman" w:eastAsia="Times New Roman" w:hAnsi="Times New Roman"/>
          <w:sz w:val="18"/>
          <w:szCs w:val="18"/>
          <w:color w:val="auto"/>
        </w:rPr>
        <w:t>Our depositary shares, as such, are not convertible into common shares or any of our other securities or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85" w:lineRule="exact"/>
        <w:rPr>
          <w:sz w:val="20"/>
          <w:szCs w:val="20"/>
          <w:color w:val="auto"/>
        </w:rPr>
      </w:pPr>
    </w:p>
    <w:p>
      <w:pPr>
        <w:jc w:val="both"/>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and Termination of the Deposit Agreement. </w:t>
      </w:r>
      <w:r>
        <w:rPr>
          <w:rFonts w:ascii="Times New Roman" w:cs="Times New Roman" w:eastAsia="Times New Roman" w:hAnsi="Times New Roman"/>
          <w:sz w:val="18"/>
          <w:szCs w:val="18"/>
          <w:color w:val="auto"/>
        </w:rPr>
        <w:t>We and the depositary may amend the form of depositary receipt and any provision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redeem all outstanding depositary shares;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preferred share to which the depositary shares and agreement relate shall have been converted into shares of beneficial interest not represented by depositary shares.</w:t>
      </w:r>
    </w:p>
    <w:p>
      <w:pPr>
        <w:spacing w:after="0" w:line="158"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Resignation and Removal of Depositary. </w:t>
      </w:r>
      <w:r>
        <w:rPr>
          <w:rFonts w:ascii="Times New Roman" w:cs="Times New Roman" w:eastAsia="Times New Roman" w:hAnsi="Times New Roman"/>
          <w:sz w:val="17"/>
          <w:szCs w:val="17"/>
          <w:color w:val="auto"/>
        </w:rPr>
        <w:t>The depositary may resign at any time by delivering a notice to us of its election to do so. Additionally,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61"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Charges of Depositary. </w:t>
      </w:r>
      <w:r>
        <w:rPr>
          <w:rFonts w:ascii="Times New Roman" w:cs="Times New Roman" w:eastAsia="Times New Roman" w:hAnsi="Times New Roman"/>
          <w:sz w:val="18"/>
          <w:szCs w:val="18"/>
          <w:color w:val="auto"/>
        </w:rPr>
        <w:t>We will pay all transfer and other taxes and governmental charges arising solely from the existence of the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76"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Miscellaneous. </w:t>
      </w:r>
      <w:r>
        <w:rPr>
          <w:rFonts w:ascii="Times New Roman" w:cs="Times New Roman" w:eastAsia="Times New Roman" w:hAnsi="Times New Roman"/>
          <w:sz w:val="18"/>
          <w:szCs w:val="18"/>
          <w:color w:val="auto"/>
        </w:rPr>
        <w:t>The depositary will forward to you all reports and communications from us that we are required, or otherwise determine,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furnish to 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7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Share Purchase Contracts that may be offered by Federal Realty Investment Trust</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Share Purchase Contracts</w:t>
      </w:r>
      <w:r>
        <w:rPr>
          <w:rFonts w:ascii="Times New Roman" w:cs="Times New Roman" w:eastAsia="Times New Roman" w:hAnsi="Times New Roman"/>
          <w:sz w:val="18"/>
          <w:szCs w:val="18"/>
          <w:color w:val="auto"/>
        </w:rPr>
        <w:t>. We may issue share purchase contracts, which are contracts obligating holders to purchase from or sell to us,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obligating us to purchase from or sell to the holders, a specified number of our common shares of beneficial interest or preferred shares of beneficial interest at a future date or dates. If we offer share purchase contracts, we will describe the terms in a prospectus supplement. Share purchase contracts may be offered independently, together with other securities offered by any prospectus supplement, or through a dividend or other distribution to shareholders and may be attached to or separate from other securities. The price per common share of beneficial interest or preferred share of beneficial interest may be fixed at the time the share purchase contracts are issued or may be determined by reference to a specific formula contained in the share purchase contracts. We may issue share purchase contracts in such amounts and in as many distinct series as we wish.</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some of the share purchase contract terms that could be described in a prospectus supplement:</w:t>
      </w:r>
    </w:p>
    <w:p>
      <w:pPr>
        <w:spacing w:after="0" w:line="131" w:lineRule="exact"/>
        <w:rPr>
          <w:sz w:val="20"/>
          <w:szCs w:val="20"/>
          <w:color w:val="auto"/>
        </w:rPr>
      </w:pPr>
    </w:p>
    <w:p>
      <w:pPr>
        <w:ind w:left="108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 purchase contracts obligate the holder to purchase or sell, or both purchase and sell, common shares of beneficial interest or preferred shares of beneficial interest and the nature and amount of common shares of beneficial interest or preferred shares of beneficial interest, or the method of determining that amount;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 purchase contracts are to be prepaid or not;</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 purchase contracts are to be settled by delivery, or by reference or linkage to the value, performance or level of our common shares of beneficial interest or preferred shares of beneficial interest;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the share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share purchase contracts;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 purchase contracts will be issued in fully registered or global form.</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Warrants that may be offered by Federal Realty Investment Trust</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issue warrants for the purchase of common shares, preferred shares or depositary shares representing interests in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If we offer warrants, we will describe the terms in a prospectus 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some of the warrant terms that could be described in a prospectus supplement:</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 will be issued;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common shares, preferred shares or depositary shares representing interests in preferred shares that may be purchased on exercise of the warrant;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security purchasable on exercise of the warrant may be purchased;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purchase the securities purchasable on exercise of the warrant will begin and end;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number of securities that may be purchased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protection;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warrant terms, including terms relating to transferability, exchange or exercise of the warrant.</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Guarantees that may be offered by Federal Realty Investment Trust</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guarantee (either fully or unconditionally or in a limited manner) the due and punctual payment of the principal of, and any premium and interest on, one or more classes or series of debt securities of the Partnership, whether at maturity, by acceleration, redemption, repayment or otherwise, in accordance with the terms of such guarantee and the applicable indenture. In case of the failure of the Partnership punctually to pay any principal, premium or interest on any guaranteed debt security, we will cause any such payment to be made as it becomes due and payable, whether at maturity, upon acceleration, redemption, repayment or otherwise, and as if such payment were made by the Partnership. The particular terms of the guarantee, if any, will be set forth in a prospectus supplement relating to the guaranteed debt securities.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60"/>
          </w:cols>
          <w:pgMar w:left="320" w:top="455" w:right="5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 that may be offered by Federal Realty Investment Trust</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may issue units from time to time in such amounts and in as many distinct series as we determine. We will issue each series of units under a unit agreement to be entered into between us and a unit agent to be identified in the applicable prospectus supplement. When we refer to a series of units, we mean all units issued as part of the same series under the applicable unit agreement.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two or more securities described in this prospectus. Each unit will be issued so that the holder of the unit is also the holder of each security included in the unit. Thus, the holder of a unit will have the rights and obligations of a holder of each included security. These units may be issuable as, and for a specified period of time may be transferable as, a single security only, rather than as the separate constituent securities comprising such units.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some of the unit terms that could be described in a prospectus supplement:</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any series of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and the price at which we will issue, the units and any provisions for the issuance, payment, settlement, transfer or exchange of the units or of the securities comprising the units;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to be entered into between us and a bank or trust company, as unit agent, governing the units;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U.S. federal income tax considerations applicable to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listed on any securities exchange;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Provisions of Maryland Law and our Declaration of Trust and Bylaws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summary of certain provisions of the Maryland General Corporation Law and our declaration of trust and bylaws is not complete.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should read the Maryland General Corporation Law and our declaration of trust and bylaws for more complete information.</w:t>
      </w:r>
    </w:p>
    <w:p>
      <w:pPr>
        <w:spacing w:after="0" w:line="20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of Company Shares” and the supermajority voting rights described under “— Common Shares of the Company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Business Combinations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Maryland law, as set forth in the Maryland General Corporation Law, limits our ability to enter into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86" w:lineRule="exact"/>
        <w:rPr>
          <w:sz w:val="20"/>
          <w:szCs w:val="20"/>
          <w:color w:val="auto"/>
        </w:rPr>
      </w:pPr>
    </w:p>
    <w:p>
      <w:pPr>
        <w:ind w:left="5540" w:right="2500" w:hanging="4884"/>
        <w:spacing w:after="0" w:line="454" w:lineRule="auto"/>
        <w:tabs>
          <w:tab w:leader="none" w:pos="10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10% or more of the voting power of our outstanding voting shares; or 16</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6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may engage in business combinations with an interested shareholder if at least five years have passed since the person became an interested shareholder, but only if the transaction is:</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by our Board of Trustees;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at least,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our outstanding shares entitled to vote;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58"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Control Share Acquisitions. </w:t>
      </w:r>
      <w:r>
        <w:rPr>
          <w:rFonts w:ascii="Times New Roman" w:cs="Times New Roman" w:eastAsia="Times New Roman" w:hAnsi="Times New Roman"/>
          <w:sz w:val="18"/>
          <w:szCs w:val="18"/>
          <w:color w:val="auto"/>
        </w:rPr>
        <w:t>Our bylaws exempt acquisitions of our shares of beneficial interest by any person from “control share acquisition”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72" w:lineRule="exact"/>
        <w:rPr>
          <w:sz w:val="20"/>
          <w:szCs w:val="20"/>
          <w:color w:val="auto"/>
        </w:rPr>
      </w:pPr>
    </w:p>
    <w:p>
      <w:pPr>
        <w:jc w:val="both"/>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Duties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Maryland law, there is a presumption that the act of a trustee satisfies the required standard of care. An act of a trustee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Number of Trustees. </w:t>
      </w:r>
      <w:r>
        <w:rPr>
          <w:rFonts w:ascii="Times New Roman" w:cs="Times New Roman" w:eastAsia="Times New Roman" w:hAnsi="Times New Roman"/>
          <w:sz w:val="18"/>
          <w:szCs w:val="18"/>
          <w:color w:val="auto"/>
        </w:rPr>
        <w:t>The number of trustees may be increased or decreased pursuant to the bylaws, provided that the total number of trustees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less than five or more than 10. Under Maryland law and our declaration of trust, trustees are elected for one-year terms.</w:t>
      </w:r>
    </w:p>
    <w:p>
      <w:pPr>
        <w:spacing w:after="0" w:line="155"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Removal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declaration of trust, and subject to the rights of any holders of preferred shares, our trustees may remove a trustee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cause, as defined in our declaration of trust, by the vote of all the other trustees or the shareholders may remove a trustee, with or without cause, at any meeting of shareholders called for that purpose, either by:</w:t>
      </w:r>
    </w:p>
    <w:p>
      <w:pPr>
        <w:spacing w:after="0" w:line="80" w:lineRule="exact"/>
        <w:rPr>
          <w:sz w:val="20"/>
          <w:szCs w:val="20"/>
          <w:color w:val="auto"/>
        </w:rPr>
      </w:pPr>
    </w:p>
    <w:p>
      <w:pPr>
        <w:ind w:left="1080" w:right="2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58"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Vacancies on the Board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bylaws provide that, subject to the rights of any holders of preferred shares, any vacancy on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76" w:lineRule="exact"/>
        <w:rPr>
          <w:sz w:val="20"/>
          <w:szCs w:val="20"/>
          <w:color w:val="auto"/>
        </w:rPr>
      </w:pPr>
    </w:p>
    <w:p>
      <w:pPr>
        <w:ind w:left="120" w:right="2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Meetings of Shareholders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provide for an annual meeting of shareholders, to be held in May after delivery of the annual report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2" w:lineRule="exact"/>
        <w:rPr>
          <w:sz w:val="20"/>
          <w:szCs w:val="20"/>
          <w:color w:val="auto"/>
        </w:rPr>
      </w:pPr>
    </w:p>
    <w:p>
      <w:pPr>
        <w:ind w:left="120" w:firstLine="44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Advance Notice for Shareholder Nominations and Shareholder New Business Proposals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require advance written notice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and not earlier than the 150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203" w:lineRule="exact"/>
        <w:rPr>
          <w:sz w:val="20"/>
          <w:szCs w:val="20"/>
          <w:color w:val="auto"/>
        </w:rPr>
      </w:pPr>
    </w:p>
    <w:p>
      <w:pPr>
        <w:ind w:left="120" w:right="80" w:firstLine="440"/>
        <w:spacing w:after="0" w:line="232" w:lineRule="auto"/>
        <w:rPr>
          <w:sz w:val="20"/>
          <w:szCs w:val="20"/>
          <w:color w:val="auto"/>
        </w:rPr>
      </w:pPr>
      <w:r>
        <w:rPr>
          <w:rFonts w:ascii="Times New Roman" w:cs="Times New Roman" w:eastAsia="Times New Roman" w:hAnsi="Times New Roman"/>
          <w:sz w:val="17"/>
          <w:szCs w:val="17"/>
          <w:color w:val="auto"/>
        </w:rPr>
        <w:t>For a special meeting, to nominate a trustee, a shareholder must deliver notice to our Secretary not earlier that the close of business on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prior to the special meeting and not later than the close of business on the later of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prior to the special meeting or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20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bylaws provide that we will include in our proxy statement for any annual meeting individuals nominated to stand for election to our Board of Trustees by any shareholder or group of up to 20 shareholders who have owned at least three percent of our outstanding common shares of beneficial interest for at least three years. The number of potential nominees shareholders can submit for any annual meeting is limited to the greater of two nominees or 20% of the total number of trustees on the board. Proxy access is subject to procedural and other conditions and requirements as described more fully in our bylaws.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7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Liability and Indemnification. </w:t>
      </w:r>
      <w:r>
        <w:rPr>
          <w:rFonts w:ascii="Times New Roman" w:cs="Times New Roman" w:eastAsia="Times New Roman" w:hAnsi="Times New Roman"/>
          <w:sz w:val="18"/>
          <w:szCs w:val="18"/>
          <w:color w:val="auto"/>
        </w:rPr>
        <w:t>Under Maryland law, you will not be personally liable for any obligation of ours solely because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76"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Limitation of Liability of Trustees and Officers. Our declaration of trust, to the maximum extent permitted under Maryland law in effect from time to 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86"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proved that the trustee or officer actually received an improper benefit or profit in money, property or services; or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72" w:lineRule="exact"/>
        <w:rPr>
          <w:sz w:val="20"/>
          <w:szCs w:val="20"/>
          <w:color w:val="auto"/>
        </w:rPr>
      </w:pPr>
    </w:p>
    <w:p>
      <w:pPr>
        <w:jc w:val="both"/>
        <w:ind w:left="120" w:right="3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Officers. </w:t>
      </w:r>
      <w:r>
        <w:rPr>
          <w:rFonts w:ascii="Times New Roman" w:cs="Times New Roman" w:eastAsia="Times New Roman" w:hAnsi="Times New Roman"/>
          <w:sz w:val="18"/>
          <w:szCs w:val="18"/>
          <w:color w:val="auto"/>
        </w:rPr>
        <w:t>Our declaration of trust permits us to indemnify and advance expenses to, to the maximum extent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permitted 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 THAT MAY BE OFFERED BY FEDERAL REALTY OP LP</w:t>
      </w:r>
    </w:p>
    <w:p>
      <w:pPr>
        <w:spacing w:after="0" w:line="227" w:lineRule="exact"/>
        <w:rPr>
          <w:sz w:val="20"/>
          <w:szCs w:val="20"/>
          <w:color w:val="auto"/>
        </w:rPr>
      </w:pPr>
    </w:p>
    <w:p>
      <w:pPr>
        <w:ind w:left="120" w:right="5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section to “we,” “us,” “our” and “ours” refer only to Federal Realty OP LP and not to the Company unless the context requires otherwise.</w:t>
      </w:r>
    </w:p>
    <w:p>
      <w:pPr>
        <w:spacing w:after="0" w:line="16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Terms of Debt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general, direct and unsecured obligations;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either senior debt securities or subordinated debt securities.</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may incur additional debt, subject to limitations in the agreements governing our credit and other debt facilities and other notes we may have issued.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we say otherwise in a prospectus supplement:</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we offer through this prospectus will not limit the amount of other debt that we may incur;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list the debt securities on any securities exchange.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Indentures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Any debt securities we offer through this prospectus will be issued under one or more indentures, including the senior indenture between us and U.S. Bank Trust Company,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87"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Unless we say otherwise in a prospectus supplement, each indenture does not or will not include all the terms of debt securities we may issue through this prospectus. If we issue debt securities through this prospectus, the Board of Trustees of the Company, or any committee thereof, will establish the additional terms for each class or series of debt securities. The additional terms will be either established pursuant to, and set forth in, a supplemental indenture, or established pursuant to a resolution of the Board of Trustees of the Company,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Terms of Debt Securities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described above, the terms of a particular class or series of debt securities we offer through this prospectus will be established by the Board of Trustees of the Company, or any committee thereof, when we issue the class or series. We will describe the terms of the class or series in a prospectus supplement. Unless we say otherwise in a prospectus supplement, each indenture provides or will provide that the terms that may be established include the following:</w:t>
      </w:r>
    </w:p>
    <w:p>
      <w:pPr>
        <w:spacing w:after="0" w:line="8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Title. </w:t>
      </w:r>
      <w:r>
        <w:rPr>
          <w:rFonts w:ascii="Times New Roman" w:cs="Times New Roman" w:eastAsia="Times New Roman" w:hAnsi="Times New Roman"/>
          <w:sz w:val="18"/>
          <w:szCs w:val="18"/>
          <w:color w:val="auto"/>
        </w:rPr>
        <w:t>The title of the debt securities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Amount. </w:t>
      </w:r>
      <w:r>
        <w:rPr>
          <w:rFonts w:ascii="Times New Roman" w:cs="Times New Roman" w:eastAsia="Times New Roman" w:hAnsi="Times New Roman"/>
          <w:sz w:val="18"/>
          <w:szCs w:val="18"/>
          <w:color w:val="auto"/>
        </w:rPr>
        <w:t>Any limit upon the total principal amount of the class or series of debt securities offered.</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Maturity. </w:t>
      </w:r>
      <w:r>
        <w:rPr>
          <w:rFonts w:ascii="Times New Roman" w:cs="Times New Roman" w:eastAsia="Times New Roman" w:hAnsi="Times New Roman"/>
          <w:sz w:val="18"/>
          <w:szCs w:val="18"/>
          <w:color w:val="auto"/>
        </w:rPr>
        <w:t>The date or dates on which the principal of and premium, if any, on the offered debt securities will mature or the method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determining such date or dates.</w:t>
      </w:r>
    </w:p>
    <w:p>
      <w:pPr>
        <w:spacing w:after="0" w:line="60" w:lineRule="exact"/>
        <w:rPr>
          <w:rFonts w:ascii="Times New Roman" w:cs="Times New Roman" w:eastAsia="Times New Roman" w:hAnsi="Times New Roman"/>
          <w:sz w:val="18"/>
          <w:szCs w:val="18"/>
          <w:color w:val="auto"/>
        </w:rPr>
      </w:pPr>
    </w:p>
    <w:p>
      <w:pPr>
        <w:ind w:left="1080" w:hanging="424"/>
        <w:spacing w:after="0" w:line="28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Rate. </w:t>
      </w:r>
      <w:r>
        <w:rPr>
          <w:rFonts w:ascii="Times New Roman" w:cs="Times New Roman" w:eastAsia="Times New Roman" w:hAnsi="Times New Roman"/>
          <w:sz w:val="18"/>
          <w:szCs w:val="18"/>
          <w:color w:val="auto"/>
        </w:rPr>
        <w:t>The rate or rates (which may be fixed or variable) at which the offered debt securities will bear interest, if any, or the method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calculating such rate or rates.</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Accrual. </w:t>
      </w:r>
      <w:r>
        <w:rPr>
          <w:rFonts w:ascii="Times New Roman" w:cs="Times New Roman" w:eastAsia="Times New Roman" w:hAnsi="Times New Roman"/>
          <w:sz w:val="18"/>
          <w:szCs w:val="18"/>
          <w:color w:val="auto"/>
        </w:rPr>
        <w:t>The date or dates from which interest will accrue or the method by which such date or dates will be determined.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Payment Dates. </w:t>
      </w:r>
      <w:r>
        <w:rPr>
          <w:rFonts w:ascii="Times New Roman" w:cs="Times New Roman" w:eastAsia="Times New Roman" w:hAnsi="Times New Roman"/>
          <w:sz w:val="18"/>
          <w:szCs w:val="18"/>
          <w:color w:val="auto"/>
        </w:rPr>
        <w:t>The date or dates on which interest will be payable and the record date or dates to determine the persons who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payment, and the basis upon which interest shall be calculated if other than that of a 360-day year of twelve 30-day months.</w:t>
      </w:r>
    </w:p>
    <w:p>
      <w:pPr>
        <w:spacing w:after="0" w:line="60" w:lineRule="exact"/>
        <w:rPr>
          <w:rFonts w:ascii="Times New Roman" w:cs="Times New Roman" w:eastAsia="Times New Roman" w:hAnsi="Times New Roman"/>
          <w:sz w:val="18"/>
          <w:szCs w:val="18"/>
          <w:color w:val="auto"/>
        </w:rPr>
      </w:pPr>
    </w:p>
    <w:p>
      <w:pPr>
        <w:ind w:left="1080" w:right="40" w:hanging="424"/>
        <w:spacing w:after="0" w:line="28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Place of Payment. </w:t>
      </w:r>
      <w:r>
        <w:rPr>
          <w:rFonts w:ascii="Times New Roman" w:cs="Times New Roman" w:eastAsia="Times New Roman" w:hAnsi="Times New Roman"/>
          <w:sz w:val="18"/>
          <w:szCs w:val="18"/>
          <w:color w:val="auto"/>
        </w:rPr>
        <w:t>The place or places where principal of, premium, if any, and interest, on the offered debt securities will be payable or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the offered debt securities may be surrendered for registration of transfer or exchange.</w:t>
      </w:r>
    </w:p>
    <w:p>
      <w:pPr>
        <w:spacing w:after="0" w:line="60" w:lineRule="exact"/>
        <w:rPr>
          <w:rFonts w:ascii="Times New Roman" w:cs="Times New Roman" w:eastAsia="Times New Roman" w:hAnsi="Times New Roman"/>
          <w:sz w:val="18"/>
          <w:szCs w:val="18"/>
          <w:color w:val="auto"/>
        </w:rPr>
      </w:pPr>
    </w:p>
    <w:p>
      <w:pPr>
        <w:ind w:left="1080" w:right="280" w:hanging="424"/>
        <w:spacing w:after="0" w:line="268"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Optional Redemption. </w:t>
      </w:r>
      <w:r>
        <w:rPr>
          <w:rFonts w:ascii="Times New Roman" w:cs="Times New Roman" w:eastAsia="Times New Roman" w:hAnsi="Times New Roman"/>
          <w:sz w:val="18"/>
          <w:szCs w:val="18"/>
          <w:color w:val="auto"/>
        </w:rPr>
        <w:t>The period or periods within which, the price or prices at which, the currency or currencies (if other than in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dollars), including currency unit or units, in which, and the other terms and conditions upon which, the offered debt securities may be redeemed, in whole or in part, at our option, if we have that option.</w:t>
      </w:r>
    </w:p>
    <w:p>
      <w:pPr>
        <w:spacing w:after="0" w:line="76" w:lineRule="exact"/>
        <w:rPr>
          <w:rFonts w:ascii="Times New Roman" w:cs="Times New Roman" w:eastAsia="Times New Roman" w:hAnsi="Times New Roman"/>
          <w:sz w:val="18"/>
          <w:szCs w:val="18"/>
          <w:color w:val="auto"/>
        </w:rPr>
      </w:pPr>
    </w:p>
    <w:p>
      <w:pPr>
        <w:ind w:left="1080" w:right="140" w:hanging="424"/>
        <w:spacing w:after="0" w:line="26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Mandatory Redemption. </w:t>
      </w:r>
      <w:r>
        <w:rPr>
          <w:rFonts w:ascii="Times New Roman" w:cs="Times New Roman" w:eastAsia="Times New Roman" w:hAnsi="Times New Roman"/>
          <w:sz w:val="18"/>
          <w:szCs w:val="18"/>
          <w:color w:val="auto"/>
        </w:rPr>
        <w:t>The obligation, if any, we have to redeem or repurchase the offered debt securities pursuant to any sinking fund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The denominations in which the offered debt securities are authorized to be issued.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Currency. </w:t>
      </w:r>
      <w:r>
        <w:rPr>
          <w:rFonts w:ascii="Times New Roman" w:cs="Times New Roman" w:eastAsia="Times New Roman" w:hAnsi="Times New Roman"/>
          <w:sz w:val="18"/>
          <w:szCs w:val="18"/>
          <w:color w:val="auto"/>
        </w:rPr>
        <w:t>The currency or currency unit in which the offered debt securities may be denominated and/or the currency or currencies,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Indexed Principal. </w:t>
      </w:r>
      <w:r>
        <w:rPr>
          <w:rFonts w:ascii="Times New Roman" w:cs="Times New Roman" w:eastAsia="Times New Roman" w:hAnsi="Times New Roman"/>
          <w:sz w:val="18"/>
          <w:szCs w:val="18"/>
          <w:color w:val="auto"/>
        </w:rPr>
        <w:t>If the amount of principal of, or premium, if any, or interest on, the offered debt securities may be determined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reference to an index or pursuant to a formula or other method, the manner in which such amounts will be determined.</w:t>
      </w:r>
    </w:p>
    <w:p>
      <w:pPr>
        <w:spacing w:after="0" w:line="60" w:lineRule="exact"/>
        <w:rPr>
          <w:rFonts w:ascii="Times New Roman" w:cs="Times New Roman" w:eastAsia="Times New Roman" w:hAnsi="Times New Roman"/>
          <w:sz w:val="18"/>
          <w:szCs w:val="18"/>
          <w:color w:val="auto"/>
        </w:rPr>
      </w:pPr>
    </w:p>
    <w:p>
      <w:pPr>
        <w:ind w:left="1080" w:right="40" w:hanging="424"/>
        <w:spacing w:after="0" w:line="28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 on Acceleration. </w:t>
      </w:r>
      <w:r>
        <w:rPr>
          <w:rFonts w:ascii="Times New Roman" w:cs="Times New Roman" w:eastAsia="Times New Roman" w:hAnsi="Times New Roman"/>
          <w:sz w:val="18"/>
          <w:szCs w:val="18"/>
          <w:color w:val="auto"/>
        </w:rPr>
        <w:t>If other than the principal amount, the amount which will be payable upon declaration of the acceleration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maturity or the method by which such portion shall be determined.</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 Rights. </w:t>
      </w:r>
      <w:r>
        <w:rPr>
          <w:rFonts w:ascii="Times New Roman" w:cs="Times New Roman" w:eastAsia="Times New Roman" w:hAnsi="Times New Roman"/>
          <w:sz w:val="18"/>
          <w:szCs w:val="18"/>
          <w:color w:val="auto"/>
        </w:rPr>
        <w:t>Provisions, if any, granting special rights to the holders of the offered debt securities if certain specified events occur.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Modifications to Indentures. </w:t>
      </w:r>
      <w:r>
        <w:rPr>
          <w:rFonts w:ascii="Times New Roman" w:cs="Times New Roman" w:eastAsia="Times New Roman" w:hAnsi="Times New Roman"/>
          <w:sz w:val="18"/>
          <w:szCs w:val="18"/>
          <w:color w:val="auto"/>
        </w:rPr>
        <w:t>Any addition to, or modification or deletion of, any event of default or any of the covenants specified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indenture with respect to the offered debt securities.</w:t>
      </w:r>
    </w:p>
    <w:p>
      <w:pPr>
        <w:spacing w:after="0" w:line="60" w:lineRule="exact"/>
        <w:rPr>
          <w:rFonts w:ascii="Times New Roman" w:cs="Times New Roman" w:eastAsia="Times New Roman" w:hAnsi="Times New Roman"/>
          <w:sz w:val="18"/>
          <w:szCs w:val="18"/>
          <w:color w:val="auto"/>
        </w:rPr>
      </w:pPr>
    </w:p>
    <w:p>
      <w:pPr>
        <w:ind w:left="1080" w:right="1460" w:hanging="424"/>
        <w:spacing w:after="0" w:line="28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Tax “Gross-Up.” </w:t>
      </w:r>
      <w:r>
        <w:rPr>
          <w:rFonts w:ascii="Times New Roman" w:cs="Times New Roman" w:eastAsia="Times New Roman" w:hAnsi="Times New Roman"/>
          <w:sz w:val="18"/>
          <w:szCs w:val="18"/>
          <w:color w:val="auto"/>
        </w:rPr>
        <w:t>The circumstances, if any, under which we will pay additional amounts on the offered debt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held by non-U.S. persons for taxes, assessments or similar charges.</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Whether the offered debt securities will be issued in registered or bearer form or both.</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Dates of Certificates. </w:t>
      </w:r>
      <w:r>
        <w:rPr>
          <w:rFonts w:ascii="Times New Roman" w:cs="Times New Roman" w:eastAsia="Times New Roman" w:hAnsi="Times New Roman"/>
          <w:sz w:val="18"/>
          <w:szCs w:val="18"/>
          <w:color w:val="auto"/>
        </w:rPr>
        <w:t>The date as of which any offered debt securities in bearer form and any temporary global security representing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securities are dated, if other than the original issuance date of the offered debt securities.</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Forms. </w:t>
      </w:r>
      <w:r>
        <w:rPr>
          <w:rFonts w:ascii="Times New Roman" w:cs="Times New Roman" w:eastAsia="Times New Roman" w:hAnsi="Times New Roman"/>
          <w:sz w:val="18"/>
          <w:szCs w:val="18"/>
          <w:color w:val="auto"/>
        </w:rPr>
        <w:t>The forms of the securities and interest coupons, if any, of the class or series.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Registrar and Paying Agent. </w:t>
      </w:r>
      <w:r>
        <w:rPr>
          <w:rFonts w:ascii="Times New Roman" w:cs="Times New Roman" w:eastAsia="Times New Roman" w:hAnsi="Times New Roman"/>
          <w:sz w:val="18"/>
          <w:szCs w:val="18"/>
          <w:color w:val="auto"/>
        </w:rPr>
        <w:t>If other than the trustee under the applicable indenture, the identity of the registrar and any paying agent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offered debt securities.</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Defeasance. </w:t>
      </w:r>
      <w:r>
        <w:rPr>
          <w:rFonts w:ascii="Times New Roman" w:cs="Times New Roman" w:eastAsia="Times New Roman" w:hAnsi="Times New Roman"/>
          <w:sz w:val="18"/>
          <w:szCs w:val="18"/>
          <w:color w:val="auto"/>
        </w:rPr>
        <w:t>Any means of defeasance or covenant defeasance that may be specified for the offered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Global Securities. </w:t>
      </w:r>
      <w:r>
        <w:rPr>
          <w:rFonts w:ascii="Times New Roman" w:cs="Times New Roman" w:eastAsia="Times New Roman" w:hAnsi="Times New Roman"/>
          <w:sz w:val="18"/>
          <w:szCs w:val="18"/>
          <w:color w:val="auto"/>
        </w:rPr>
        <w:t>Whether the offered debt securities are to be issued in whole or in part in the form of one or more temporary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permanent 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81"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Documentation. </w:t>
      </w:r>
      <w:r>
        <w:rPr>
          <w:rFonts w:ascii="Times New Roman" w:cs="Times New Roman" w:eastAsia="Times New Roman" w:hAnsi="Times New Roman"/>
          <w:sz w:val="18"/>
          <w:szCs w:val="18"/>
          <w:color w:val="auto"/>
        </w:rPr>
        <w:t>If the offered debt securities may be issued or delivered, or any installment of principal or interest may be paid, only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76" w:lineRule="exact"/>
        <w:rPr>
          <w:rFonts w:ascii="Times New Roman" w:cs="Times New Roman" w:eastAsia="Times New Roman" w:hAnsi="Times New Roman"/>
          <w:sz w:val="18"/>
          <w:szCs w:val="18"/>
          <w:color w:val="auto"/>
        </w:rPr>
      </w:pPr>
    </w:p>
    <w:p>
      <w:pPr>
        <w:ind w:left="1080" w:right="200" w:hanging="424"/>
        <w:spacing w:after="0" w:line="268"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Payees. </w:t>
      </w:r>
      <w:r>
        <w:rPr>
          <w:rFonts w:ascii="Times New Roman" w:cs="Times New Roman" w:eastAsia="Times New Roman" w:hAnsi="Times New Roman"/>
          <w:sz w:val="18"/>
          <w:szCs w:val="18"/>
          <w:color w:val="auto"/>
        </w:rPr>
        <w:t>If other than as provided in the applicable indenture, the person to whom any interest on any registered security of the class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will be payable and the manner in which, or the person to whom, any interest on any bearer securities of the class or series will be payable.</w:t>
      </w:r>
    </w:p>
    <w:p>
      <w:pPr>
        <w:spacing w:after="0" w:line="76" w:lineRule="exact"/>
        <w:rPr>
          <w:rFonts w:ascii="Times New Roman" w:cs="Times New Roman" w:eastAsia="Times New Roman" w:hAnsi="Times New Roman"/>
          <w:sz w:val="18"/>
          <w:szCs w:val="18"/>
          <w:color w:val="auto"/>
        </w:rPr>
      </w:pPr>
    </w:p>
    <w:p>
      <w:pPr>
        <w:ind w:left="1080" w:right="200" w:hanging="424"/>
        <w:spacing w:after="0" w:line="268"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Definitions. </w:t>
      </w:r>
      <w:r>
        <w:rPr>
          <w:rFonts w:ascii="Times New Roman" w:cs="Times New Roman" w:eastAsia="Times New Roman" w:hAnsi="Times New Roman"/>
          <w:sz w:val="18"/>
          <w:szCs w:val="18"/>
          <w:color w:val="auto"/>
        </w:rPr>
        <w:t>Any definitions for the offered debt securities of that class or series that are different from or in addition to the definitions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included in the applicable indenture, including, without limitation, the definition of “unrestricted subsidiary” to be used for such class or series.</w:t>
      </w:r>
    </w:p>
    <w:p>
      <w:pPr>
        <w:spacing w:after="0" w:line="76"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Subordination. </w:t>
      </w:r>
      <w:r>
        <w:rPr>
          <w:rFonts w:ascii="Times New Roman" w:cs="Times New Roman" w:eastAsia="Times New Roman" w:hAnsi="Times New Roman"/>
          <w:sz w:val="18"/>
          <w:szCs w:val="18"/>
          <w:color w:val="auto"/>
        </w:rPr>
        <w:t>In the case of any subordinated indenture that we may enter into, the relative degree to which the offered debt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 senior to or junior to other debt securities, whether currently outstanding or to be offered in the future, and to other debt, in right of payment.</w:t>
      </w:r>
    </w:p>
    <w:p>
      <w:pPr>
        <w:spacing w:after="0" w:line="76" w:lineRule="exact"/>
        <w:rPr>
          <w:rFonts w:ascii="Times New Roman" w:cs="Times New Roman" w:eastAsia="Times New Roman" w:hAnsi="Times New Roman"/>
          <w:sz w:val="18"/>
          <w:szCs w:val="18"/>
          <w:color w:val="auto"/>
        </w:rPr>
      </w:pPr>
    </w:p>
    <w:p>
      <w:pPr>
        <w:ind w:left="1080" w:right="520" w:hanging="424"/>
        <w:spacing w:after="0" w:line="28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Guarantees. </w:t>
      </w:r>
      <w:r>
        <w:rPr>
          <w:rFonts w:ascii="Times New Roman" w:cs="Times New Roman" w:eastAsia="Times New Roman" w:hAnsi="Times New Roman"/>
          <w:sz w:val="18"/>
          <w:szCs w:val="18"/>
          <w:color w:val="auto"/>
        </w:rPr>
        <w:t>Whether the offered debt securities are guaranteed and, if so, the identity of the guarantors and the terms of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guarantees (including whether and the extent to which the guarantees are subordinated to other debt of the guarantors).</w:t>
      </w:r>
    </w:p>
    <w:p>
      <w:pPr>
        <w:spacing w:after="0" w:line="60" w:lineRule="exact"/>
        <w:rPr>
          <w:rFonts w:ascii="Times New Roman" w:cs="Times New Roman" w:eastAsia="Times New Roman" w:hAnsi="Times New Roman"/>
          <w:sz w:val="18"/>
          <w:szCs w:val="18"/>
          <w:color w:val="auto"/>
        </w:rPr>
      </w:pPr>
    </w:p>
    <w:p>
      <w:pPr>
        <w:ind w:left="1080" w:right="100" w:hanging="424"/>
        <w:spacing w:after="0" w:line="26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The terms, if any, upon which the offered debt securities may be converted or exchanged into or for the Company’s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preferred 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Restrictions. </w:t>
      </w:r>
      <w:r>
        <w:rPr>
          <w:rFonts w:ascii="Times New Roman" w:cs="Times New Roman" w:eastAsia="Times New Roman" w:hAnsi="Times New Roman"/>
          <w:sz w:val="18"/>
          <w:szCs w:val="18"/>
          <w:color w:val="auto"/>
        </w:rPr>
        <w:t>Any restrictions on the registration, transfer or exchange of the offered debt securities.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Terms. </w:t>
      </w:r>
      <w:r>
        <w:rPr>
          <w:rFonts w:ascii="Times New Roman" w:cs="Times New Roman" w:eastAsia="Times New Roman" w:hAnsi="Times New Roman"/>
          <w:sz w:val="18"/>
          <w:szCs w:val="18"/>
          <w:color w:val="auto"/>
        </w:rPr>
        <w:t>Any other terms not inconsistent with the terms of the applicable indenture pertaining to the offered debt securities or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required or advisable under U.S. laws or regulations or advisable, as we determine, in connection with marketing of securities of the class or series.</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of Securities and Related Matters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Debt securities may be offered in either registered or bearer form.</w:t>
      </w:r>
    </w:p>
    <w:p>
      <w:pPr>
        <w:spacing w:after="0" w:line="135" w:lineRule="exact"/>
        <w:rPr>
          <w:sz w:val="20"/>
          <w:szCs w:val="20"/>
          <w:color w:val="auto"/>
        </w:rPr>
      </w:pPr>
    </w:p>
    <w:p>
      <w:pPr>
        <w:ind w:left="1080" w:right="5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registered form, we may treat the person named in the register as the owner of the debt securities for all purposes, including payment, exchange and transfer.</w:t>
      </w:r>
    </w:p>
    <w:p>
      <w:pPr>
        <w:spacing w:after="0" w:line="67" w:lineRule="exact"/>
        <w:rPr>
          <w:rFonts w:ascii="Times New Roman" w:cs="Times New Roman" w:eastAsia="Times New Roman" w:hAnsi="Times New Roman"/>
          <w:sz w:val="18"/>
          <w:szCs w:val="18"/>
          <w:color w:val="auto"/>
        </w:rPr>
      </w:pPr>
    </w:p>
    <w:p>
      <w:pPr>
        <w:ind w:left="1080" w:right="42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Unless we say otherwise in a prospectus supplement, we will issue debt securities in denominations of:</w:t>
      </w:r>
    </w:p>
    <w:p>
      <w:pPr>
        <w:spacing w:after="0" w:line="135"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$1,000 (or multiples of $1,000) if we issue the debt securities in registered form;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$5,000 (or multiples of $5,000) if we issue debt securities in bearer form.</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Currencies and Indexed Securities. </w:t>
      </w:r>
      <w:r>
        <w:rPr>
          <w:rFonts w:ascii="Times New Roman" w:cs="Times New Roman" w:eastAsia="Times New Roman" w:hAnsi="Times New Roman"/>
          <w:sz w:val="18"/>
          <w:szCs w:val="18"/>
          <w:color w:val="auto"/>
        </w:rPr>
        <w:t>We may offer debt securities for which:</w:t>
      </w:r>
    </w:p>
    <w:p>
      <w:pPr>
        <w:spacing w:after="0" w:line="135"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is payable in a currency other than U.S. dollars;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denominated in a currency other than U.S. dollars;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other currency may be a currency unit composed of various currencies. Payments on debt securities may also be based on an index.</w:t>
      </w:r>
    </w:p>
    <w:p>
      <w:pPr>
        <w:spacing w:after="0" w:line="221" w:lineRule="exact"/>
        <w:rPr>
          <w:sz w:val="20"/>
          <w:szCs w:val="20"/>
          <w:color w:val="auto"/>
        </w:rPr>
      </w:pPr>
    </w:p>
    <w:p>
      <w:pPr>
        <w:ind w:left="120" w:right="20" w:firstLine="440"/>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Transfer and Exchange. </w:t>
      </w:r>
      <w:r>
        <w:rPr>
          <w:rFonts w:ascii="Times New Roman" w:cs="Times New Roman" w:eastAsia="Times New Roman" w:hAnsi="Times New Roman"/>
          <w:sz w:val="18"/>
          <w:szCs w:val="18"/>
          <w:color w:val="auto"/>
        </w:rPr>
        <w:t>Unless we say otherwise in a prospectus supplement, the office for paying principal, interest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on the debt securities is U.S. Bank Trust Company, National Association, 214 North Tryon Street, 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Charlotte, North Carolina 28202. We will notify you of any change in the office’s location. At our option, however, we may make any interest payments on debt securities issued in registered form by:</w:t>
      </w:r>
    </w:p>
    <w:p>
      <w:pPr>
        <w:spacing w:after="0" w:line="104"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mailing checks to you at the address as it appears in the applicable register for the class or series of debt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transfer of immediately available funds to an account you maintain located in the United States.</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pay interest to the person whose name is in the register at the close of business on the regular record date for such interest.</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payment of interest on bearer securities may be made by transfer to an account you maintain with a bank located outside the United States.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debt securities of a class or series in the form of one or more fully registered global securities. Each registered global security will:</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or a nominee for the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a custodian therefor; and</w:t>
      </w:r>
    </w:p>
    <w:p>
      <w:pPr>
        <w:spacing w:after="0" w:line="130" w:lineRule="exact"/>
        <w:rPr>
          <w:rFonts w:ascii="Times New Roman" w:cs="Times New Roman" w:eastAsia="Times New Roman" w:hAnsi="Times New Roman"/>
          <w:sz w:val="18"/>
          <w:szCs w:val="18"/>
          <w:color w:val="auto"/>
        </w:rPr>
      </w:pPr>
    </w:p>
    <w:p>
      <w:pPr>
        <w:jc w:val="center"/>
        <w:ind w:left="5540" w:right="1300" w:hanging="4884"/>
        <w:spacing w:after="0" w:line="454" w:lineRule="auto"/>
        <w:tabs>
          <w:tab w:leader="none" w:pos="10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 legend regarding the restrictions on exchanges and registration of transfer and any such other appropriate matters. 23</w:t>
      </w:r>
    </w:p>
    <w:p>
      <w:pPr>
        <w:sectPr>
          <w:pgSz w:w="11900" w:h="16838" w:orient="portrait"/>
          <w:cols w:equalWidth="0" w:num="1">
            <w:col w:w="11060"/>
          </w:cols>
          <w:pgMar w:left="320" w:top="455"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class or series of debt securities will be described in a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each indenture contains or will contain the following covenants. Any additional material covenants applicable to any class or series of debt securities will be set forth in a prospectus supplement.</w:t>
      </w:r>
    </w:p>
    <w:p>
      <w:pPr>
        <w:spacing w:after="0" w:line="15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Existence. </w:t>
      </w:r>
      <w:r>
        <w:rPr>
          <w:rFonts w:ascii="Times New Roman" w:cs="Times New Roman" w:eastAsia="Times New Roman" w:hAnsi="Times New Roman"/>
          <w:sz w:val="18"/>
          <w:szCs w:val="18"/>
          <w:color w:val="auto"/>
        </w:rPr>
        <w:t>Except as permitted under “Consolidation, Merger or Sale of Assets,” we will do or cause to be done all things necessary to preserve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71"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of Properties. </w:t>
      </w:r>
      <w:r>
        <w:rPr>
          <w:rFonts w:ascii="Times New Roman" w:cs="Times New Roman" w:eastAsia="Times New Roman" w:hAnsi="Times New Roman"/>
          <w:sz w:val="18"/>
          <w:szCs w:val="18"/>
          <w:color w:val="auto"/>
        </w:rPr>
        <w:t>We will cause all of our material properties used or useful in the conduct of our business to be maintained and kept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 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of Taxes and Other Claims. </w:t>
      </w:r>
      <w:r>
        <w:rPr>
          <w:rFonts w:ascii="Times New Roman" w:cs="Times New Roman" w:eastAsia="Times New Roman" w:hAnsi="Times New Roman"/>
          <w:sz w:val="18"/>
          <w:szCs w:val="18"/>
          <w:color w:val="auto"/>
        </w:rPr>
        <w:t>We will pay or discharge or cause to be paid or discharged, before they shall become delinquent:</w:t>
      </w:r>
    </w:p>
    <w:p>
      <w:pPr>
        <w:spacing w:after="0" w:line="135"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assessments and governmental charges levied or imposed upon us or upon our income, profits or property,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5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of Financial Information. </w:t>
      </w:r>
      <w:r>
        <w:rPr>
          <w:rFonts w:ascii="Times New Roman" w:cs="Times New Roman" w:eastAsia="Times New Roman" w:hAnsi="Times New Roman"/>
          <w:sz w:val="18"/>
          <w:szCs w:val="18"/>
          <w:color w:val="auto"/>
        </w:rPr>
        <w:t>Whether or not we are subject to Section 13 or 15(d) of the Exchange Act, we will, within 15 days of each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respective dates by which we would have been required to file annual reports, quarterly reports and other documents with the SEC if we were so subject:</w:t>
      </w:r>
    </w:p>
    <w:p>
      <w:pPr>
        <w:spacing w:after="0" w:line="80" w:lineRule="exact"/>
        <w:rPr>
          <w:sz w:val="20"/>
          <w:szCs w:val="20"/>
          <w:color w:val="auto"/>
        </w:rPr>
      </w:pPr>
    </w:p>
    <w:p>
      <w:pPr>
        <w:ind w:left="1080" w:right="4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written request and payment of the reasonable cost of duplication and delivery, supply copies of those documents to any prospective 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 of Assets</w:t>
      </w:r>
    </w:p>
    <w:p>
      <w:pPr>
        <w:spacing w:after="0" w:line="121" w:lineRule="exact"/>
        <w:rPr>
          <w:sz w:val="20"/>
          <w:szCs w:val="20"/>
          <w:color w:val="auto"/>
        </w:rPr>
      </w:pPr>
    </w:p>
    <w:p>
      <w:pPr>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5"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hanging="331"/>
        <w:spacing w:after="0"/>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be the continuing entity, or</w:t>
      </w:r>
    </w:p>
    <w:p>
      <w:pPr>
        <w:spacing w:after="0" w:line="130"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transactions, no default or event of default under the debt securities shall have occurred and be continuing; and</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17"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Generally. </w:t>
      </w:r>
      <w:r>
        <w:rPr>
          <w:rFonts w:ascii="Times New Roman" w:cs="Times New Roman" w:eastAsia="Times New Roman" w:hAnsi="Times New Roman"/>
          <w:sz w:val="18"/>
          <w:szCs w:val="18"/>
          <w:color w:val="auto"/>
        </w:rPr>
        <w:t>Unless we say otherwise in a prospectus supplement, the payment of principal, premium, if any, and interest on subordinated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3"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1"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for money borrowed or represented by purchase-money obligations;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evidenced by notes, debentures, or bonds, or other securities issued under the provisions of an indenture, fiscal agency agreement or other instrument;</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as lessee under leases of property whether made as part of any sale and leaseback transaction to which we are a party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partnerships and joint ventures which is included in our consolidated financial statements;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binding commitment to fund any real estate investment or to fund any investment in any entity making a real estate investment, in each case other than</w:t>
      </w:r>
    </w:p>
    <w:p>
      <w:pPr>
        <w:spacing w:after="0" w:line="67" w:lineRule="exact"/>
        <w:rPr>
          <w:rFonts w:ascii="Times New Roman" w:cs="Times New Roman" w:eastAsia="Times New Roman" w:hAnsi="Times New Roman"/>
          <w:sz w:val="18"/>
          <w:szCs w:val="18"/>
          <w:color w:val="auto"/>
        </w:rPr>
      </w:pPr>
    </w:p>
    <w:p>
      <w:pPr>
        <w:ind w:left="1540" w:right="320" w:hanging="331"/>
        <w:spacing w:after="0" w:line="261" w:lineRule="auto"/>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85"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debt securities.</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there will be no restrictions in any subordinated indenture upon the creation of additional senior debt.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Payment Defaults. </w:t>
      </w:r>
      <w:r>
        <w:rPr>
          <w:rFonts w:ascii="Times New Roman" w:cs="Times New Roman" w:eastAsia="Times New Roman" w:hAnsi="Times New Roman"/>
          <w:sz w:val="18"/>
          <w:szCs w:val="18"/>
          <w:color w:val="auto"/>
        </w:rPr>
        <w:t>Unless we say otherwise in a prospectus supplement, if we have defaulted in the payment of any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we may not:</w:t>
      </w:r>
    </w:p>
    <w:p>
      <w:pPr>
        <w:spacing w:after="0" w:line="64"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principal, premium, if any, or interest on subordinated debt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defease, or otherwise acquire any subordinated debt securities.</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This prohibition will not affect any payment we have already made to defease debt securities, as described under “— Defeasance or Covenant Defeasance of Indentures,” below.</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must resume payment on our subordinated debt securities, and make any payments we have missed, when one of the following has occurred:</w:t>
      </w:r>
    </w:p>
    <w:p>
      <w:pPr>
        <w:spacing w:after="0" w:line="13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debt has been discharged or paid in full;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senior debt have waived payment;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default has otherwise been cured or ceased to exist.</w:t>
      </w:r>
    </w:p>
    <w:p>
      <w:pPr>
        <w:spacing w:after="0" w:line="221"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Non-Payment Defaults. </w:t>
      </w:r>
      <w:r>
        <w:rPr>
          <w:rFonts w:ascii="Times New Roman" w:cs="Times New Roman" w:eastAsia="Times New Roman" w:hAnsi="Times New Roman"/>
          <w:sz w:val="18"/>
          <w:szCs w:val="18"/>
          <w:color w:val="auto"/>
        </w:rPr>
        <w:t>Unless we say otherwise in a prospectus supplement, we will also be prohibited from paying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or distributing any assets if:</w:t>
      </w:r>
    </w:p>
    <w:p>
      <w:pPr>
        <w:spacing w:after="0" w:line="64"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defaulted on senior debt in a way that does not involve a failure to pay amounts but accelerates payment;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1" w:lineRule="exact"/>
        <w:rPr>
          <w:sz w:val="20"/>
          <w:szCs w:val="20"/>
          <w:color w:val="auto"/>
        </w:rPr>
      </w:pPr>
    </w:p>
    <w:p>
      <w:pPr>
        <w:ind w:left="1080" w:right="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179 days after receipt of notice (unless we have previously been required to pay all amounts owing on the applicable senior debt);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default and all other similar defaults as to which notice has been given shall have been cured, waived or shall have ceased to exist;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applicable senior debt (and all other senior debt as to which notice has been given) shall have been discharged or paid in full; and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Default Provisions</w:t>
      </w:r>
    </w:p>
    <w:p>
      <w:pPr>
        <w:spacing w:after="0" w:line="117"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Events of Default. </w:t>
      </w:r>
      <w:r>
        <w:rPr>
          <w:rFonts w:ascii="Times New Roman" w:cs="Times New Roman" w:eastAsia="Times New Roman" w:hAnsi="Times New Roman"/>
          <w:sz w:val="18"/>
          <w:szCs w:val="18"/>
          <w:color w:val="auto"/>
        </w:rPr>
        <w:t>Unless we say otherwise in a prospectus supplement, each of the following is an event of default as to any of our senior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subordinated debt securities:</w:t>
      </w:r>
    </w:p>
    <w:p>
      <w:pPr>
        <w:spacing w:after="0" w:line="159" w:lineRule="exact"/>
        <w:rPr>
          <w:sz w:val="20"/>
          <w:szCs w:val="20"/>
          <w:color w:val="auto"/>
        </w:rPr>
      </w:pPr>
    </w:p>
    <w:p>
      <w:pPr>
        <w:ind w:left="120" w:right="300" w:firstLine="436"/>
        <w:spacing w:after="0" w:line="282" w:lineRule="auto"/>
        <w:tabs>
          <w:tab w:leader="none" w:pos="7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interest or any additional amounts on any debt security of that class or series or of any coupon appertaining thereto when it becomes due and payable, if the default continues for a period of 30 days.</w:t>
      </w:r>
    </w:p>
    <w:p>
      <w:pPr>
        <w:spacing w:after="0" w:line="161" w:lineRule="exact"/>
        <w:rPr>
          <w:rFonts w:ascii="Times New Roman" w:cs="Times New Roman" w:eastAsia="Times New Roman" w:hAnsi="Times New Roman"/>
          <w:sz w:val="18"/>
          <w:szCs w:val="18"/>
          <w:color w:val="auto"/>
        </w:rPr>
      </w:pPr>
    </w:p>
    <w:p>
      <w:pPr>
        <w:ind w:left="120" w:right="160" w:firstLine="436"/>
        <w:spacing w:after="0" w:line="282" w:lineRule="auto"/>
        <w:tabs>
          <w:tab w:leader="none" w:pos="7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of (or premium, if any, on) any debt security of that class or series at its maturity (upon acceleration, optional or mandatory redemption, required purchase or otherwise).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720" w:hanging="164"/>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deposit of any sinking fund payment as required by the terms of any debt security of that class or series.</w:t>
      </w:r>
    </w:p>
    <w:p>
      <w:pPr>
        <w:spacing w:after="0" w:line="225" w:lineRule="exact"/>
        <w:rPr>
          <w:rFonts w:ascii="Times New Roman" w:cs="Times New Roman" w:eastAsia="Times New Roman" w:hAnsi="Times New Roman"/>
          <w:sz w:val="18"/>
          <w:szCs w:val="18"/>
          <w:color w:val="auto"/>
        </w:rPr>
      </w:pPr>
    </w:p>
    <w:p>
      <w:pPr>
        <w:ind w:left="120" w:right="20" w:firstLine="436"/>
        <w:spacing w:after="0" w:line="266" w:lineRule="auto"/>
        <w:tabs>
          <w:tab w:leader="none" w:pos="7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76" w:lineRule="exact"/>
        <w:rPr>
          <w:sz w:val="20"/>
          <w:szCs w:val="20"/>
          <w:color w:val="auto"/>
        </w:rPr>
      </w:pPr>
    </w:p>
    <w:p>
      <w:pPr>
        <w:ind w:left="800" w:hanging="244"/>
        <w:spacing w:after="0"/>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by the trustee; or</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and the trustee by the holders of at least 25% in aggregate principal amount of the outstanding debt securities of the class or series.</w:t>
      </w:r>
    </w:p>
    <w:p>
      <w:pPr>
        <w:spacing w:after="0" w:line="225" w:lineRule="exact"/>
        <w:rPr>
          <w:sz w:val="20"/>
          <w:szCs w:val="20"/>
          <w:color w:val="auto"/>
        </w:rPr>
      </w:pPr>
    </w:p>
    <w:p>
      <w:pPr>
        <w:ind w:left="120" w:right="180" w:firstLine="436"/>
        <w:spacing w:after="0" w:line="254" w:lineRule="auto"/>
        <w:tabs>
          <w:tab w:leader="none" w:pos="73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91"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of competent jurisdiction under any applicable bankruptcy law that:</w:t>
      </w:r>
    </w:p>
    <w:p>
      <w:pPr>
        <w:spacing w:after="0" w:line="117" w:lineRule="exact"/>
        <w:rPr>
          <w:sz w:val="20"/>
          <w:szCs w:val="20"/>
          <w:color w:val="auto"/>
        </w:rPr>
      </w:pPr>
    </w:p>
    <w:p>
      <w:pPr>
        <w:ind w:left="800" w:hanging="244"/>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or any of our significant subsidiaries in an involuntary case,</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receiver in respect of us or any of our significant subsidiaries or for all or substantially all of the property of any of us; or</w:t>
      </w:r>
    </w:p>
    <w:p>
      <w:pPr>
        <w:spacing w:after="0" w:line="225"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our liquidation or the liquidation of any of our significant subsidiaries, and the order or decree remains unstayed and in effect for 90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days.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 We or any of our significant subsidiaries do any of the following:</w:t>
      </w:r>
    </w:p>
    <w:p>
      <w:pPr>
        <w:spacing w:after="0" w:line="117" w:lineRule="exact"/>
        <w:rPr>
          <w:sz w:val="20"/>
          <w:szCs w:val="20"/>
          <w:color w:val="auto"/>
        </w:rPr>
      </w:pPr>
    </w:p>
    <w:p>
      <w:pPr>
        <w:ind w:left="800" w:hanging="244"/>
        <w:spacing w:after="0"/>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or proceeding under any applicable bankruptcy law;</w:t>
      </w:r>
    </w:p>
    <w:p>
      <w:pPr>
        <w:spacing w:after="0" w:line="225"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8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 decree or order for relief in respect of us or any of our significant subsidiaries in an involuntary case or proceeding under any applicable bankruptcy law;</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receiver in respect of us or any of our significant subsidiaries for all or substantially all of our or its property;</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 Any other event of default provided with respect to the debt securities of that class or series.</w:t>
      </w:r>
    </w:p>
    <w:p>
      <w:pPr>
        <w:spacing w:after="0" w:line="221"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Default. </w:t>
      </w:r>
      <w:r>
        <w:rPr>
          <w:rFonts w:ascii="Times New Roman" w:cs="Times New Roman" w:eastAsia="Times New Roman" w:hAnsi="Times New Roman"/>
          <w:sz w:val="18"/>
          <w:szCs w:val="18"/>
          <w:color w:val="auto"/>
        </w:rPr>
        <w:t>Unless we say otherwise in a prospectus supplement, holders of not less than a majority of the debt securities of a class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may waive any past default except for:</w:t>
      </w:r>
    </w:p>
    <w:p>
      <w:pPr>
        <w:spacing w:after="0" w:line="64"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default;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on any provision that requires the consent of all holders to modify.</w:t>
      </w:r>
    </w:p>
    <w:p>
      <w:pPr>
        <w:spacing w:after="0" w:line="22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Acceleration of Payment. </w:t>
      </w:r>
      <w:r>
        <w:rPr>
          <w:rFonts w:ascii="Times New Roman" w:cs="Times New Roman" w:eastAsia="Times New Roman" w:hAnsi="Times New Roman"/>
          <w:sz w:val="18"/>
          <w:szCs w:val="18"/>
          <w:color w:val="auto"/>
        </w:rPr>
        <w:t>Unless we say otherwise in a prospectus supplement, each indenture provides or will provide that if an event of default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occurs and continues, the trustee or the holders of not less than 25% in aggregate principal amount of the debt securities of the applicable class or series outstanding may declare all unpaid principal of, premium, if any, and accrued interest on, all the debt securities of the applicable class or series to be due and payable immediately by a notice given in writing to us (and to the trustee if given by the holders of the debt securities of the applicable class or series). The trustee may, then, at its discretion, proceed to protect and enforce the rights of the holders of the applicable debt securities by appropriate judicial proceeding.</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Acceleration. </w:t>
      </w:r>
      <w:r>
        <w:rPr>
          <w:rFonts w:ascii="Times New Roman" w:cs="Times New Roman" w:eastAsia="Times New Roman" w:hAnsi="Times New Roman"/>
          <w:sz w:val="18"/>
          <w:szCs w:val="18"/>
          <w:color w:val="auto"/>
        </w:rPr>
        <w:t>Unless we say otherwise in a prospectus supplement, each indenture provides or will provide that, after a declaration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80"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deposited with the trustee a sum sufficient to pay:</w:t>
      </w:r>
    </w:p>
    <w:p>
      <w:pPr>
        <w:spacing w:after="0" w:line="130"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and any additional amounts payable on all outstanding debt securities of the applicable class or series and any related coupons,</w:t>
      </w:r>
    </w:p>
    <w:p>
      <w:pPr>
        <w:spacing w:after="0" w:line="67"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debt securities of the applicable class or series which have become due other than by such declaration of acceleration, plus interest thereon at the rate borne by the debt securities,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interest at the rate borne by the debt securities, and</w:t>
      </w:r>
    </w:p>
    <w:p>
      <w:pPr>
        <w:spacing w:after="0" w:line="130" w:lineRule="exact"/>
        <w:rPr>
          <w:rFonts w:ascii="Times New Roman" w:cs="Times New Roman" w:eastAsia="Times New Roman" w:hAnsi="Times New Roman"/>
          <w:sz w:val="18"/>
          <w:szCs w:val="18"/>
          <w:color w:val="auto"/>
        </w:rPr>
      </w:pPr>
    </w:p>
    <w:p>
      <w:pPr>
        <w:ind w:left="1540" w:right="660" w:hanging="331"/>
        <w:spacing w:after="0" w:line="282" w:lineRule="auto"/>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under the indenture and the reasonable compensation, expenses, disbursements and advances of the trustee, its agents and counsel;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principal of the debt securities which have become due solely by such declaration of acceleration, have been cured or waived.</w:t>
      </w:r>
    </w:p>
    <w:p>
      <w:pPr>
        <w:spacing w:after="0" w:line="15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Notices of Default. </w:t>
      </w:r>
      <w:r>
        <w:rPr>
          <w:rFonts w:ascii="Times New Roman" w:cs="Times New Roman" w:eastAsia="Times New Roman" w:hAnsi="Times New Roman"/>
          <w:sz w:val="18"/>
          <w:szCs w:val="18"/>
          <w:color w:val="auto"/>
        </w:rPr>
        <w:t>Unless we say otherwise in a prospectus supplement, we are required to deliver to the trustee, on or before a date not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120 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class or series of debt securities of any default with respect to such class or series (except a default in the payment of the principal of, and premium, if any, or interest on or any additional amounts with respect to any debt security of such class or series or in the payment of any sinking fund installment in respect of any debt security of such class or series) if the trustee considers such withholding to be in the interest of the holders.</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Suits. </w:t>
      </w:r>
      <w:r>
        <w:rPr>
          <w:rFonts w:ascii="Times New Roman" w:cs="Times New Roman" w:eastAsia="Times New Roman" w:hAnsi="Times New Roman"/>
          <w:sz w:val="18"/>
          <w:szCs w:val="18"/>
          <w:color w:val="auto"/>
        </w:rPr>
        <w:t>Unless we say otherwise in a prospectus supplement, each indenture provides or will provide that no holders of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of any class or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class or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class or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85" w:lineRule="exact"/>
        <w:rPr>
          <w:sz w:val="20"/>
          <w:szCs w:val="20"/>
          <w:color w:val="auto"/>
        </w:rPr>
      </w:pPr>
    </w:p>
    <w:p>
      <w:pPr>
        <w:jc w:val="both"/>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Obligations of Trustee. </w:t>
      </w:r>
      <w:r>
        <w:rPr>
          <w:rFonts w:ascii="Times New Roman" w:cs="Times New Roman" w:eastAsia="Times New Roman" w:hAnsi="Times New Roman"/>
          <w:sz w:val="18"/>
          <w:szCs w:val="18"/>
          <w:color w:val="auto"/>
        </w:rPr>
        <w:t>Unless we say otherwise in a prospectus supplement, the trustee is under no obligation to exercise any of the rights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powers 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7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or Covenant Defeasance of Indenture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class or series of debt securities that is defeased will be deemed to have been discharged, except for:</w:t>
      </w:r>
    </w:p>
    <w:p>
      <w:pPr>
        <w:spacing w:after="0" w:line="81" w:lineRule="exact"/>
        <w:rPr>
          <w:sz w:val="20"/>
          <w:szCs w:val="20"/>
          <w:color w:val="auto"/>
        </w:rPr>
      </w:pPr>
    </w:p>
    <w:p>
      <w:pPr>
        <w:ind w:left="1080" w:right="42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also be able to free ourselves from certain covenants that are described in an indenture by taking the actions described below.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discharge of obligations using this process is known as “covenant defeasance.” If we defease covenants under debt securities, then certain events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including non-payment, enforceability of any guarantee, bankruptcy and insolvency events) described under “— Events of Default” will no longer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constitute an event of default with respect to the debt securities.</w:t>
      </w:r>
    </w:p>
    <w:p>
      <w:pPr>
        <w:spacing w:after="0" w:line="20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in order to exercise either defeasance or covenant defeasance as to the outstanding debt securities of a class or series:</w:t>
      </w:r>
    </w:p>
    <w:p>
      <w:pPr>
        <w:spacing w:after="0" w:line="67" w:lineRule="exact"/>
        <w:rPr>
          <w:sz w:val="20"/>
          <w:szCs w:val="20"/>
          <w:color w:val="auto"/>
        </w:rPr>
      </w:pPr>
    </w:p>
    <w:p>
      <w:pPr>
        <w:ind w:left="1080" w:hanging="424"/>
        <w:spacing w:after="0" w:line="255"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with the trustee, in trust, for the benefit of the holders of the debt securities of the applicable class or series, an amount in (i)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class or series on the stated maturity of such principal or installment of principal or interest and any mandatory sinking fund payments;</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defeasance, we will deliver to the trustee an opinion of counsel confirming that either: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from, or there has been published by, the Internal Revenue Service a ruling, 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effect of either being that the holders of the outstanding debt securities of the applicable class or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1" w:lineRule="exact"/>
        <w:rPr>
          <w:sz w:val="20"/>
          <w:szCs w:val="20"/>
          <w:color w:val="auto"/>
        </w:rPr>
      </w:pPr>
    </w:p>
    <w:p>
      <w:pPr>
        <w:ind w:left="1080" w:hanging="424"/>
        <w:spacing w:after="0" w:line="261"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will deliver to the trustee an opinion of counsel to the effect that the holders of the debt securities of the applicable class or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85"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Modifications and Amendments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we say otherwise in a prospectus supplement, we and the trustee may modify and amend either indenture with the consent of the holders of a majority in aggregate principal amount of the outstanding debt securities of all classes or series affected by the modification or amendment; provided, however, that no modification or amendment may, without the consent of the holder of each outstanding debt security of all classes or series affected by the modification or amendment:</w:t>
      </w:r>
    </w:p>
    <w:p>
      <w:pPr>
        <w:spacing w:after="0" w:line="85"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interest on, any debt security;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option of the holder of any class or series of outstanding debt security;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repayment where, or the currency, currency unit or composite currency in which, the principal or premium, if any, of any debt security or the interest thereon is payable;</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such payment after the stated maturity of the debt security (or in the case of redemption, on or after the redemption date);</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class or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1" w:lineRule="exact"/>
        <w:rPr>
          <w:rFonts w:ascii="Times New Roman" w:cs="Times New Roman" w:eastAsia="Times New Roman" w:hAnsi="Times New Roman"/>
          <w:sz w:val="18"/>
          <w:szCs w:val="18"/>
          <w:color w:val="auto"/>
        </w:rPr>
      </w:pPr>
    </w:p>
    <w:p>
      <w:pPr>
        <w:jc w:val="both"/>
        <w:ind w:left="1080" w:right="60" w:hanging="424"/>
        <w:spacing w:after="0" w:line="261"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67" w:lineRule="exact"/>
        <w:rPr>
          <w:sz w:val="20"/>
          <w:szCs w:val="20"/>
          <w:color w:val="auto"/>
        </w:rPr>
      </w:pPr>
    </w:p>
    <w:p>
      <w:pPr>
        <w:ind w:left="108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the succession of another person to us and the assumption by any such successor of any covenants under the indenture and in the debt securities of any class or series;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to our covenants for the benefit of the holders of all or any class or series of debt securities or surrenders any of our rights or powers;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any additional event of default for the benefit of the holders of all or any class or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secures the debt securities of any class or series;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58"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class or series of outstanding debt securities in any material respect;</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eliminates any provision affecting only debt securities not yet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the form or terms of debt securities of any class or series not yet issued;</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and provides for successor trustees or adds or changes any provisions of the indenture to the extent necessary to permit or facilitate the appointment of a separate trustee or trustees for specific classes or series of debt securities;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class or series then outstanding in any material respect; or</w:t>
      </w:r>
    </w:p>
    <w:p>
      <w:pPr>
        <w:spacing w:after="0" w:line="85"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supplements any provision of the indenture to such extent as shall be necessary to permit the facilitation of defeasance and discharge of any class or series of debt securities; provided, however, that any such action may not adversely affect the interest of holders of debt securities of any class or series then outstanding in any material respect.</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debt securities of a class or series outstanding may waive compliance with certain restrictive covenants and provisions of either indenture with respect to that class or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Original Issue Discount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for U.S. federal income tax purposes, any debt security with a term of more than one year from the date of issuance that:</w:t>
      </w:r>
    </w:p>
    <w:p>
      <w:pPr>
        <w:spacing w:after="0" w:line="93" w:lineRule="exact"/>
        <w:rPr>
          <w:sz w:val="20"/>
          <w:szCs w:val="20"/>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provide for the payment of interest prior to maturity;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subject to a de minimis exception, issued at a price lower than its stated redemption price at maturity.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send notices to holders of debt securities by mail to the holder’s address as it appears in the register.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Unless we say otherwise in a prospectus supplement, each indenture and the debt securities will be governed by the laws of the State of New York.</w:t>
      </w:r>
    </w:p>
    <w:p>
      <w:pPr>
        <w:spacing w:after="0" w:line="1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FEDERAL INCOME TAX CONSIDERATIONS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section summarizes the material federal income tax issues that you may consider relevant relating to our taxation as a REIT under the Code, and the acquisition, ownership, and disposition of our common, preferred, and depositary shares. In this section, references to the “Company,” “we,” “us,” “our” and “ours” refer only to Federal Realty Investment Trust and not to the Partnership or its subsidiaries unless the context requires otherwise. If we offer one or more additional series of common shares or preferred shares, depositary shares, shares pursuant to share purchase contracts or warrants to purchase equity securities, or the Partnership offers debt securities, the applicable prospectus supplement would include information about additional material U.S. federal income tax considerations relevant to holders of any of the offered securities.</w:t>
      </w:r>
    </w:p>
    <w:p>
      <w:pPr>
        <w:spacing w:after="0" w:line="18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foreign (non-U.S.) governments, persons that acquire shares in connection with employment or other performance of personal services, persons subject to the alternative minimum tax, beneficial owners of shares subject to the special tax accounting rules under Section 451(b) of the Code, persons that are, or that hold their shares through, partnerships or other pass-through entities, United States persons within the meaning of Section 7701(a)(30) of the Code (“United States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9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SPECIFIC FEDERAL, STATE, LOCAL, FOREIGN AND OTHER TAX CONSEQUENCES TO THEM OF THE ACQUISITION, OWNERSHIP AND DISPOSITION OF OUR SECURITIES, OUR ELECTION TO BE TAXED AS A REIT AND THE EFFECT OF POTENTIAL CHANGES IN APPLICABLE TAX LAWS.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the Company</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76"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the opinion of our tax counsel, Pillsbury Winthrop Shaw Pittman LLP, (i) we qualified as a REIT under Sections 856 through 860 of the Code with respect to each of our taxable years ended through December 31, 2023;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having met and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current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9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5" w:lineRule="exact"/>
        <w:rPr>
          <w:sz w:val="20"/>
          <w:szCs w:val="20"/>
          <w:color w:val="auto"/>
        </w:rPr>
      </w:pPr>
    </w:p>
    <w:p>
      <w:pPr>
        <w:ind w:left="1080" w:right="4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income tax at the regular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that are C corporations, including our “taxable REIT subsidiaries,” generally will be required to pay federal corporate income tax on their earnings;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excise tax on transactions with a “taxable REIT subsidiary” that are not conducted on an arm’s-length basis;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the 75% gross income test or the 95% gross income test (as described below under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85" w:lineRule="exact"/>
        <w:rPr>
          <w:rFonts w:ascii="Times New Roman" w:cs="Times New Roman" w:eastAsia="Times New Roman" w:hAnsi="Times New Roman"/>
          <w:sz w:val="18"/>
          <w:szCs w:val="18"/>
          <w:color w:val="auto"/>
        </w:rPr>
      </w:pPr>
    </w:p>
    <w:p>
      <w:pPr>
        <w:ind w:left="1080" w:right="240" w:hanging="424"/>
        <w:spacing w:after="0" w:line="261"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equal to the greater of $50,000 or a tax computed at the regular corporate rate on the amount of net income generated by the assets causing the failure from the date of failure until the assets are disposed of or we otherwise return to compliance with the asset test;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6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81"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retain and pay income tax on our net long-term capital gain;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55"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regular corporate rate on the lesser of</w:t>
      </w:r>
    </w:p>
    <w:p>
      <w:pPr>
        <w:spacing w:after="0" w:line="2" w:lineRule="exact"/>
        <w:rPr>
          <w:rFonts w:ascii="Times New Roman" w:cs="Times New Roman" w:eastAsia="Times New Roman" w:hAnsi="Times New Roman"/>
          <w:sz w:val="18"/>
          <w:szCs w:val="18"/>
          <w:color w:val="auto"/>
        </w:rPr>
      </w:pPr>
    </w:p>
    <w:p>
      <w:pPr>
        <w:ind w:left="108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amount of gain that we recognize at the time of the sale or disposition and (ii) the amount of gain that we would have recognized if we had sold the asset at the time we acquired the asset.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REIT Qualification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qualify as a REIT, we must meet the following requirements:</w:t>
      </w:r>
    </w:p>
    <w:p>
      <w:pPr>
        <w:spacing w:after="0" w:line="131" w:lineRule="exact"/>
        <w:rPr>
          <w:sz w:val="20"/>
          <w:szCs w:val="20"/>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managed by one or more trustees or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beneficial ownership is evidenced by transferable shares, or by transferable certificates of beneficial interest;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taxable as a domestic corporation, but for Sections 856 through 860 of the Code;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neither a financial institution nor an insurance company subject to certain provisions of the Code;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100 persons are beneficial owners of our shares or ownership certificates;</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67"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67"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calendar year for federal income tax purposes and comply with the record keeping requirements of the Code and the related Treasury regulations; and</w:t>
      </w:r>
    </w:p>
    <w:p>
      <w:pPr>
        <w:spacing w:after="0" w:line="67" w:lineRule="exact"/>
        <w:rPr>
          <w:rFonts w:ascii="Times New Roman" w:cs="Times New Roman" w:eastAsia="Times New Roman" w:hAnsi="Times New Roman"/>
          <w:sz w:val="18"/>
          <w:szCs w:val="18"/>
          <w:color w:val="auto"/>
        </w:rPr>
      </w:pPr>
    </w:p>
    <w:p>
      <w:pPr>
        <w:ind w:left="1080" w:right="940" w:hanging="532"/>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meet certain other qualification tests, described below, regarding the nature of our income and assets and the amount of our distributions to shareholders.</w:t>
      </w:r>
    </w:p>
    <w:p>
      <w:pPr>
        <w:spacing w:after="0" w:line="16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profit-sharing trust under Code</w:t>
      </w:r>
    </w:p>
    <w:p>
      <w:pPr>
        <w:spacing w:after="0" w:line="5"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Section 401(a), and beneficiaries of such a trust will be treated as holding our shares in proportion to their actuarial interests in the trust for purposes of the 5/50 Rule.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“Shares of Beneficial Interest of Federal Realty Investment Trust–Restrictions on Ownership and Transfer of Company Shares.”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currently have no direct corporate subsidiaries but may have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the capital shares of which are owned by the parent REIT, unless we and the subsidiary have jointly elected to have it treated as a “taxable REIT subsidiary.” A REIT is not treated as directly holding the assets of a taxable REIT subsidiary or as directly receiving any income that the taxable REIT subsidiary earns. Rather, the stock issued by each of our taxable REIT subsidiaries is an asset in our hands, and we generally recognize as income the dividends, if any, that we receive from our taxable REIT subsidiaries. A taxable REIT subsidiary is treated separately from us and will be subject to federal corporate income taxation. In contrast, in applying the requirements described herein, any qualified REIT subsidiary of ours will be ignored, and all assets, liabilities, and items of income, deduction, and credit of such subsidiary will be treated as our assets, liabilities, and items of income, deduction, and credit. Accordingly, any qualified REIT subsidiaries we could have in the future would not be subject to federal corporate income taxation, though they might be subject to state and local taxation.</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The Partnership has been treated as a disregarded entity for federal income tax purposes (but not necessarily for other tax purposes such as employment and excise taxation) because we have owned 100% of the interests in the Partnership, either directly or through other disregarded entities. We may in the future admit other partners to the Partnership in property contribution transactions, at which time the Partnership will become a partnership for federal income tax purposes, with the consequences described below.</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 unincorporated domestic entity, such as a partnership or a limited liability company, with two or more beneficial owners is generally treated as a partnership for federal income tax purposes and the owners are treated as partners for such purposes. For purposes of this discussion as it relates to federal income tax status, references to “partnership” also include a limited liability company treated as a partnership for U.S. federal income tax purposes, and references to “partner” include a member in such a limited liability company. A REIT is treated as owning its proportionate share of the assets of any partnership in which it is a partner and as earning its allocable share of the gross income of the partnership for purposes of the applicable REIT qualification tests. Thus, once the Partnership becomes a regarded entity and a partnership for federal income tax purposes, our proportionate share of the assets and items of income of the Partnership and any other partnership in which we have acquired or will acquire an interest, directly or indirectly (a “Subsidiary Partnership”), are treated as our assets and gross income for purposes of applying the various REIT qualification requirements. Generally, except where the context indicates otherwise, references to the Partnership in this discussion will include Subsidiary Partnerships, although until the Partnership becomes regarded the Partnership will follow the disregarded entity rules described in the prior paragraph while the existing Subsidiary Partnerships that are currently regarded entities will be treated as partnerships. Our proportionate share of an entity treated as a partnership is generally determined, for REIT income and asset qualification test purposes, based on our percentage interest in partnership equity capital, subject to special rules relating to the 10% asset test described below.</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control of the Partnership and, through the Partnership, intend to control any Subsidiary Partnerships, and we intend to operate them in a manner consistent with the requirements for our qualification as a REIT. However, the Partnership may from time to time be a limited partner</w:t>
      </w:r>
    </w:p>
    <w:p>
      <w:pPr>
        <w:ind w:left="120" w:right="320"/>
        <w:spacing w:after="0" w:line="260" w:lineRule="auto"/>
        <w:rPr>
          <w:sz w:val="20"/>
          <w:szCs w:val="20"/>
          <w:color w:val="auto"/>
        </w:rPr>
      </w:pPr>
      <w:r>
        <w:rPr>
          <w:rFonts w:ascii="Times New Roman" w:cs="Times New Roman" w:eastAsia="Times New Roman" w:hAnsi="Times New Roman"/>
          <w:sz w:val="18"/>
          <w:szCs w:val="18"/>
          <w:color w:val="auto"/>
        </w:rPr>
        <w:t>or non-managing member in some of the Subsidiary Partnerships. If a Subsidiary Partnership in which the Partnership owns an interest but does not have</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55"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control takes or expects to take actions that could jeopardize our status as a REIT or require us to pay tax, we may be forced to have the Partnership dispose of its interest in such entity. In addition, it is possible that a Subsidiary Partnership could take an action which could cause us to fail a gross income or asset test and that we would not become aware of such action in time for the Partnership to dispose of its interest in the Subsidiary Partnership or take other corrective action on a timely basis. In that case, we could fail to qualify as a REIT unless we were able to qualify for a statutory REIT “savings” provision, which could require us to pay a significant penalty tax to maintain our REIT qualification.</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Tests. </w:t>
      </w:r>
      <w:r>
        <w:rPr>
          <w:rFonts w:ascii="Times New Roman" w:cs="Times New Roman" w:eastAsia="Times New Roman" w:hAnsi="Times New Roman"/>
          <w:sz w:val="18"/>
          <w:szCs w:val="18"/>
          <w:color w:val="auto"/>
        </w:rPr>
        <w:t>We must satisfy two gross income tests annually to maintain our qualification as a REIT:</w:t>
      </w:r>
    </w:p>
    <w:p>
      <w:pPr>
        <w:spacing w:after="0" w:line="135" w:lineRule="exact"/>
        <w:rPr>
          <w:sz w:val="20"/>
          <w:szCs w:val="20"/>
          <w:color w:val="auto"/>
        </w:rPr>
      </w:pPr>
    </w:p>
    <w:p>
      <w:pPr>
        <w:ind w:left="1080" w:right="20" w:hanging="424"/>
        <w:spacing w:after="0" w:line="254"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97"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 In general, interest from any of our taxable REIT subsidiaries is qualifying income for purposes of the 95% gross income test but is not qualifying income for purposes of the 75% gross income test unless such interest derives from debt secured by real property.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paragraphs discuss the specific application of these tests to us.</w:t>
      </w:r>
    </w:p>
    <w:p>
      <w:pPr>
        <w:spacing w:after="0" w:line="22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Rental Income</w:t>
      </w:r>
      <w:r>
        <w:rPr>
          <w:rFonts w:ascii="Times New Roman" w:cs="Times New Roman" w:eastAsia="Times New Roman" w:hAnsi="Times New Roman"/>
          <w:sz w:val="18"/>
          <w:szCs w:val="18"/>
          <w:color w:val="auto"/>
        </w:rPr>
        <w:t>. The Partnership’s primary source of income derives from leasing properties. There are various limitations on whether rent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receives from real property that it owns and leases to tenants will qualify as “rents from real property” (which is qualifying income for purposes of the 75% and 95% gross income tests) under the REIT tax rules:</w:t>
      </w:r>
    </w:p>
    <w:p>
      <w:pPr>
        <w:spacing w:after="0" w:line="80" w:lineRule="exact"/>
        <w:rPr>
          <w:sz w:val="20"/>
          <w:szCs w:val="20"/>
          <w:color w:val="auto"/>
        </w:rPr>
      </w:pPr>
    </w:p>
    <w:p>
      <w:pPr>
        <w:ind w:left="1080" w:right="40" w:hanging="424"/>
        <w:spacing w:after="0" w:line="25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rent is based, in whole or in part, on the income or profits of any person although, generally, rent may be based on a fixed percentage or percentages of gross receipts or sales, the rent will not qualify as “rents from real property.” Our leases provide for either fixed rent, sometimes with scheduled escalations, or a fixed minimum rent and a percentage of gross receipts in excess of some threshold. The Partnership has not entered into any lease based in whole or part on the net income of any person and on an ongoing basis will use its best efforts to avoid entering into such arrangements unless, in either instance, we have determined or we determine in our discretion that such arrangements will not jeopardize our status as a REIT;</w:t>
      </w:r>
    </w:p>
    <w:p>
      <w:pPr>
        <w:spacing w:after="0" w:line="92" w:lineRule="exact"/>
        <w:rPr>
          <w:rFonts w:ascii="Times New Roman" w:cs="Times New Roman" w:eastAsia="Times New Roman" w:hAnsi="Times New Roman"/>
          <w:sz w:val="18"/>
          <w:szCs w:val="18"/>
          <w:color w:val="auto"/>
        </w:rPr>
      </w:pPr>
    </w:p>
    <w:p>
      <w:pPr>
        <w:ind w:left="1080" w:right="60" w:hanging="424"/>
        <w:spacing w:after="0" w:line="254"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certain limited circumstances involving taxable REIT subsidiaries, if we or someone who owns 10% or more of our shares owns 10% or more of a tenant from whom the Partnership receives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the Partnership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the Partnership has not leased property to any related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58" w:lineRule="auto"/>
        <w:rPr>
          <w:sz w:val="20"/>
          <w:szCs w:val="20"/>
          <w:color w:val="auto"/>
        </w:rPr>
      </w:pPr>
      <w:r>
        <w:rPr>
          <w:rFonts w:ascii="Times New Roman" w:cs="Times New Roman" w:eastAsia="Times New Roman" w:hAnsi="Times New Roman"/>
          <w:sz w:val="18"/>
          <w:szCs w:val="18"/>
          <w:color w:val="auto"/>
        </w:rPr>
        <w:t>party tenant, except where it may rent to certain taxable REIT subsidiaries as described below, or where we have determined in our discretion that the rent received from such related party tenant is not material and will not jeopardize our status as a REIT. On an ongoing basis, we will use our best efforts to ensure that the Partnership does not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9" w:lineRule="exact"/>
        <w:rPr>
          <w:sz w:val="20"/>
          <w:szCs w:val="20"/>
          <w:color w:val="auto"/>
        </w:rPr>
      </w:pPr>
    </w:p>
    <w:p>
      <w:pPr>
        <w:ind w:left="1080" w:right="20" w:hanging="424"/>
        <w:spacing w:after="0" w:line="25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the Partnership by the taxable REIT subsidiary must be substantially comparable to the rents paid by such other persons for comparable space. On an ongoing basis we use and will use our best efforts to ensure that all space leased to our taxable REIT subsidiaries by the Partnership meets these conditions, unless we determine in our discretion that the related party rent received from a taxable REIT subsidiary will not jeopardize our status as a REIT;</w:t>
      </w:r>
    </w:p>
    <w:p>
      <w:pPr>
        <w:spacing w:after="0" w:line="92"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the Partnership has not leased a significant amount of personal property under its current leases. If any incidental personal property has been leased, we believe that rent under each lease from the personal property has been no more than 15% of total rent from that lease, and on an ongoing basis we will use our best efforts to avoid having the Partnership lease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 and</w:t>
      </w:r>
    </w:p>
    <w:p>
      <w:pPr>
        <w:spacing w:after="0" w:line="93"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if the Partnership furnishes or renders services to its tenants, other than through a taxable REIT subsidiary or an “independent contractor” who is adequately compensated and from whom the Partnership does not derive revenue, the income received from the tenants may not be deemed “rents from real property.” In general, the Partnership may provide services directly, if the services are “usually or customarily rendered” in connection with the rental of space for occupancy only and are not otherwise considered to be provided for the tenant’s convenience. In addition, the Partnership may render directly a de minimis amount of “non-customary” services to the tenants of a property without disqualifying the income as “rents from real property,” as long as its income from the services does not exceed 1% of the income from the related property. We believe that the Partnership has not provided services to leased properties that have caused rents to be disqualified as rents from real property, and on an ongoing basis in the future, we will use our best efforts to determine in our discretion that any services provided by the Partnership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9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Based on, and subject to, the foregoing, we believe that rent from the Partnership’s leases should generally qualify as “rents from real property” for purposes of the 75% and 95% gross income tests, except in amounts that should not jeopardize our status as a REIT. As described above, however, the IRS may successfully assert a contrary position and, therefore, prevent us from qualifying as a REIT.</w:t>
      </w:r>
    </w:p>
    <w:p>
      <w:pPr>
        <w:spacing w:after="0" w:line="172"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w:t>
      </w:r>
      <w:r>
        <w:rPr>
          <w:rFonts w:ascii="Times New Roman" w:cs="Times New Roman" w:eastAsia="Times New Roman" w:hAnsi="Times New Roman"/>
          <w:sz w:val="18"/>
          <w:szCs w:val="18"/>
          <w:color w:val="auto"/>
        </w:rPr>
        <w:t>For purposes of the gross income tests, the term “interest” generally does not include any amount received or accrued, directly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gross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Partnership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the Partnership agreed to acquire the loan.</w:t>
      </w:r>
    </w:p>
    <w:p>
      <w:pPr>
        <w:spacing w:after="0" w:line="186" w:lineRule="exact"/>
        <w:rPr>
          <w:sz w:val="20"/>
          <w:szCs w:val="20"/>
          <w:color w:val="auto"/>
        </w:rPr>
      </w:pPr>
    </w:p>
    <w:p>
      <w:pPr>
        <w:ind w:left="120" w:right="18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Dividends. </w:t>
      </w:r>
      <w:r>
        <w:rPr>
          <w:rFonts w:ascii="Times New Roman" w:cs="Times New Roman" w:eastAsia="Times New Roman" w:hAnsi="Times New Roman"/>
          <w:sz w:val="17"/>
          <w:szCs w:val="17"/>
          <w:color w:val="auto"/>
        </w:rPr>
        <w:t>Our share of any dividends received from any corporation (including any taxable REIT subsidiary but excluding any REIT) in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53"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Income from Property Acquired in Foreclosure. </w:t>
      </w:r>
      <w:r>
        <w:rPr>
          <w:rFonts w:ascii="Times New Roman" w:cs="Times New Roman" w:eastAsia="Times New Roman" w:hAnsi="Times New Roman"/>
          <w:sz w:val="18"/>
          <w:szCs w:val="18"/>
          <w:color w:val="auto"/>
        </w:rPr>
        <w:t>We will be subject to tax at the maximum corporate rate on any income from foreclosure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1080" w:right="280" w:hanging="424"/>
        <w:spacing w:after="0" w:line="312" w:lineRule="auto"/>
        <w:tabs>
          <w:tab w:leader="none" w:pos="10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related loan was acquired by the REIT at a time when default was not imminent or anticipated;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REIT makes a proper election to treat the property as foreclosure property.</w:t>
      </w:r>
    </w:p>
    <w:p>
      <w:pPr>
        <w:spacing w:after="0" w:line="225"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1" w:lineRule="exact"/>
        <w:rPr>
          <w:sz w:val="20"/>
          <w:szCs w:val="20"/>
          <w:color w:val="auto"/>
        </w:rPr>
      </w:pPr>
    </w:p>
    <w:p>
      <w:pPr>
        <w:ind w:left="1080" w:right="54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third taxable year following the taxable year in which the REIT acquired the property (or longer if an extension is granted by the Secretary of the Treasury);</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Prohibited Transactions. </w:t>
      </w:r>
      <w:r>
        <w:rPr>
          <w:rFonts w:ascii="Times New Roman" w:cs="Times New Roman" w:eastAsia="Times New Roman" w:hAnsi="Times New Roman"/>
          <w:sz w:val="18"/>
          <w:szCs w:val="18"/>
          <w:color w:val="auto"/>
        </w:rPr>
        <w:t>A REIT will incur a 100% tax on net income (taking into account foreign currency gains and losses) derived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any “prohibited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the Partnership’s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Code provides a safe harbor that, if met by us (including with respect to properties held by the Partnership),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 harbor provision and may sell or dispose of property that could be characterized as property held “primarily for sale to customers in the ordinary course of a trade or business.”</w:t>
      </w:r>
    </w:p>
    <w:p>
      <w:pPr>
        <w:spacing w:after="0" w:line="191" w:lineRule="exact"/>
        <w:rPr>
          <w:sz w:val="20"/>
          <w:szCs w:val="20"/>
          <w:color w:val="auto"/>
        </w:rPr>
      </w:pPr>
    </w:p>
    <w:p>
      <w:pPr>
        <w:ind w:left="120" w:right="2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and Deduction Limits on Certain Transactions with Taxable REIT Subsidiaries. </w:t>
      </w:r>
      <w:r>
        <w:rPr>
          <w:rFonts w:ascii="Times New Roman" w:cs="Times New Roman" w:eastAsia="Times New Roman" w:hAnsi="Times New Roman"/>
          <w:sz w:val="18"/>
          <w:szCs w:val="18"/>
          <w:color w:val="auto"/>
        </w:rPr>
        <w:t>A REIT will incur a 100% tax on certain transactions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a 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the Partnership has had with our taxable REIT subsidiaries will give rise to the 100% tax, but changes to the interest deduction rules may affect interest deductions of our taxable REIT subsidiaries under some circumstances.</w:t>
      </w:r>
    </w:p>
    <w:p>
      <w:pPr>
        <w:spacing w:after="0" w:line="17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Hedging Transactions. </w:t>
      </w:r>
      <w:r>
        <w:rPr>
          <w:rFonts w:ascii="Times New Roman" w:cs="Times New Roman" w:eastAsia="Times New Roman" w:hAnsi="Times New Roman"/>
          <w:sz w:val="18"/>
          <w:szCs w:val="18"/>
          <w:color w:val="auto"/>
        </w:rPr>
        <w:t>Except to the extent provided by Treasury regulations, any income we derive from a hedging transaction (which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8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Like-Kind Exchanges. </w:t>
      </w:r>
      <w:r>
        <w:rPr>
          <w:rFonts w:ascii="Times New Roman" w:cs="Times New Roman" w:eastAsia="Times New Roman" w:hAnsi="Times New Roman"/>
          <w:sz w:val="18"/>
          <w:szCs w:val="18"/>
          <w:color w:val="auto"/>
        </w:rPr>
        <w:t>The Partnership may dispose of properties in transactions intended to qualify as like-kind exchanges under the Code.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like-kind 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Legislative changes have eliminated like-kind exchanges for most personal property.</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Income Tests. </w:t>
      </w:r>
      <w:r>
        <w:rPr>
          <w:rFonts w:ascii="Times New Roman" w:cs="Times New Roman" w:eastAsia="Times New Roman" w:hAnsi="Times New Roman"/>
          <w:sz w:val="18"/>
          <w:szCs w:val="18"/>
          <w:color w:val="auto"/>
        </w:rPr>
        <w:t>If we fail to satisfy one or both of the 75% and 95% gross income tests for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taxable 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Asset Tests. </w:t>
      </w:r>
      <w:r>
        <w:rPr>
          <w:rFonts w:ascii="Times New Roman" w:cs="Times New Roman" w:eastAsia="Times New Roman" w:hAnsi="Times New Roman"/>
          <w:sz w:val="17"/>
          <w:szCs w:val="17"/>
          <w:color w:val="auto"/>
        </w:rPr>
        <w:t>To maintain our qualification as a REIT, we also must satisfy the following asset tests at the close of each quarter of each taxable year:</w:t>
      </w:r>
    </w:p>
    <w:p>
      <w:pPr>
        <w:spacing w:after="0" w:line="146" w:lineRule="exact"/>
        <w:rPr>
          <w:sz w:val="20"/>
          <w:szCs w:val="20"/>
          <w:color w:val="auto"/>
        </w:rPr>
      </w:pPr>
    </w:p>
    <w:p>
      <w:pPr>
        <w:ind w:left="1080" w:right="30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67" w:lineRule="exact"/>
        <w:rPr>
          <w:rFonts w:ascii="Times New Roman" w:cs="Times New Roman" w:eastAsia="Times New Roman" w:hAnsi="Times New Roman"/>
          <w:sz w:val="18"/>
          <w:szCs w:val="18"/>
          <w:color w:val="auto"/>
        </w:rPr>
      </w:pPr>
    </w:p>
    <w:p>
      <w:pPr>
        <w:ind w:left="1540" w:right="160" w:hanging="331"/>
        <w:spacing w:after="0" w:line="261" w:lineRule="auto"/>
        <w:tabs>
          <w:tab w:leader="none" w:pos="15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the Partnership’s properties qualify as real estate assets.</w:t>
      </w:r>
    </w:p>
    <w:p>
      <w:pPr>
        <w:spacing w:after="0" w:line="85" w:lineRule="exact"/>
        <w:rPr>
          <w:rFonts w:ascii="Times New Roman" w:cs="Times New Roman" w:eastAsia="Times New Roman" w:hAnsi="Times New Roman"/>
          <w:sz w:val="18"/>
          <w:szCs w:val="18"/>
          <w:color w:val="auto"/>
        </w:rPr>
      </w:pPr>
    </w:p>
    <w:p>
      <w:pPr>
        <w:ind w:left="1540" w:right="180" w:hanging="331"/>
        <w:spacing w:after="0" w:line="266" w:lineRule="auto"/>
        <w:tabs>
          <w:tab w:leader="none" w:pos="15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1"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53"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not included in the 75% asset test, (A) the value of our interest in any one issuer’s securities (which does not include our equity ownership in other REITs, the Partnership,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the Partnership, any taxable REIT subsidiary or any qualified REIT subsidiary) (the “10% asset test”), and (C) no more than 25% of the value of our total assets may consist of securities that are not qualifying assets for purposes of the 75% asset test (including securities of any taxable REIT subsidiary that would not otherwise be treated as real estate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92"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securities in one or more taxable REIT subsidiaries (unless they would otherwise be treated as real estate assets) may not exceed 20% of the value of our total assets.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holdings in debt instruments of publicly offered REITs (unless they would otherwise be treated as real estate assets) may not exceed 25% of the value of our total assets.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select future investments so as to comply with the asset tests.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described above, the Partnership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9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Asset Tests. </w:t>
      </w:r>
      <w:r>
        <w:rPr>
          <w:rFonts w:ascii="Times New Roman" w:cs="Times New Roman" w:eastAsia="Times New Roman" w:hAnsi="Times New Roman"/>
          <w:sz w:val="18"/>
          <w:szCs w:val="18"/>
          <w:color w:val="auto"/>
        </w:rPr>
        <w:t>If we fail to satisfy one or more of the asset tests for any quarter of a taxable year,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equal to the greater of $50,000 or a tax computed at the regular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82" w:lineRule="exact"/>
        <w:rPr>
          <w:sz w:val="20"/>
          <w:szCs w:val="20"/>
          <w:color w:val="auto"/>
        </w:rPr>
      </w:pPr>
    </w:p>
    <w:p>
      <w:pPr>
        <w:ind w:left="120" w:right="400" w:firstLine="4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Distribution Requirements. </w:t>
      </w:r>
      <w:r>
        <w:rPr>
          <w:rFonts w:ascii="Times New Roman" w:cs="Times New Roman" w:eastAsia="Times New Roman" w:hAnsi="Times New Roman"/>
          <w:sz w:val="17"/>
          <w:szCs w:val="17"/>
          <w:color w:val="auto"/>
        </w:rPr>
        <w:t>Each taxable year, we must distribute dividends (other than capital gain dividends and deemed distributions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retained capital gain) to our shareholders in an aggregate amount at least equal to (1) the sum of 90% of (A) our “REIT taxable income” (computed without regard to the dividends paid deduction and our net capital gain) and (B) our net income (after tax), if any, from foreclosure property, minus</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 certain items of non-cash income.</w:t>
      </w:r>
    </w:p>
    <w:p>
      <w:pPr>
        <w:spacing w:after="0" w:line="20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order to be taken into account for purposes of our distribution requirement, except as provided below, the amount distributed must not be preferential — i.e., every stockholder of the class of stock to which a distribution is made must be treated the same as every other stockholder of that class, and no class of stock may be treated other than according to its dividend rights as a class. This preferential dividend limitation will not apply to distributions made by us, provided we qualify as a “publicly offered REIT.” We believe that we have been and are currently, and expect we will continue to be, a “publicly offered REIT.” However, the preferential dividend rules would apply to subsidiary REITs we may own from time to time, although the IRS has issued multiple private letter rulings, which may not be relied upon as precedent, that a subsidiary REIT that meets certain conditions may be treated as a publicly offered REIT for these purposes.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9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provides that the IRS will treat distributions that, at the election of each shareholder, are paid partly in cash and partly in shares as dividends that satisfy the REIT annual distribution requirement and as distributions that qualify for the dividends paid deduction for federal income tax purposes, provided certain conditions are satisfied, including a requirement that at least 20% of the total dividend is available in cash. We have no current intention to make such an elective cash/shares distribution or a distribution of debt securities, but in the event of an elective cash/shares distribution we expect to structure it so as to comply with the applicable revenue procedure. If we were to choose to make a cash/shares distribution, shareholders may be required to pay tax in excess of the cash that they receive or may be subject to withholding taxes, including with respect to all or a portion of such dividend that is payable in shares.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7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Record Keeping Requirements. </w:t>
      </w:r>
      <w:r>
        <w:rPr>
          <w:rFonts w:ascii="Times New Roman" w:cs="Times New Roman" w:eastAsia="Times New Roman" w:hAnsi="Times New Roman"/>
          <w:sz w:val="18"/>
          <w:szCs w:val="18"/>
          <w:color w:val="auto"/>
        </w:rPr>
        <w:t>We must maintain certain records in order to qualify as a REIT. In addition, to avoid a monetary penalty, we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71"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Other Failures of the REIT Qualification Provisions. </w:t>
      </w:r>
      <w:r>
        <w:rPr>
          <w:rFonts w:ascii="Times New Roman" w:cs="Times New Roman" w:eastAsia="Times New Roman" w:hAnsi="Times New Roman"/>
          <w:sz w:val="18"/>
          <w:szCs w:val="18"/>
          <w:color w:val="auto"/>
        </w:rPr>
        <w:t>If we fail to satisfy one or more of the requirements for REIT qualification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Qualify. </w:t>
      </w:r>
      <w:r>
        <w:rPr>
          <w:rFonts w:ascii="Times New Roman" w:cs="Times New Roman" w:eastAsia="Times New Roman" w:hAnsi="Times New Roman"/>
          <w:sz w:val="18"/>
          <w:szCs w:val="18"/>
          <w:color w:val="auto"/>
        </w:rPr>
        <w:t>If we fail to qualify as a REIT in any taxable year, and no relief provision applied, we would be subject to federal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Taxable U.S. Shareholders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As used herein, the term “taxable U.S. shareholder” means a taxable beneficial owner of our common or preferred shares that for U.S. federal income tax purposes is:</w:t>
      </w:r>
    </w:p>
    <w:p>
      <w:pPr>
        <w:spacing w:after="0" w:line="67"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Taxable U.S. Shareholder Distributions. </w:t>
      </w:r>
      <w:r>
        <w:rPr>
          <w:rFonts w:ascii="Times New Roman" w:cs="Times New Roman" w:eastAsia="Times New Roman" w:hAnsi="Times New Roman"/>
          <w:sz w:val="18"/>
          <w:szCs w:val="18"/>
          <w:color w:val="auto"/>
        </w:rPr>
        <w:t>As long as we qualify as a REIT, a taxable U.S. shareholder must take into account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prior to 2026, generally non-corporate shareholders are allowed to deduct 20% of the aggregate amount of ordinary dividends distributed by us,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w:t>
      </w:r>
    </w:p>
    <w:p>
      <w:pPr>
        <w:spacing w:after="0" w:line="192"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to the extent of our earnings and profits,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90"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Taxation of Taxable U.S. Shareholders on the Disposition of Our Shares. </w:t>
      </w:r>
      <w:r>
        <w:rPr>
          <w:rFonts w:ascii="Times New Roman" w:cs="Times New Roman" w:eastAsia="Times New Roman" w:hAnsi="Times New Roman"/>
          <w:sz w:val="18"/>
          <w:szCs w:val="18"/>
          <w:color w:val="auto"/>
        </w:rPr>
        <w:t>In general, a taxable U.S. shareholder must treat any gain or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realized 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Gains and Losses. </w:t>
      </w:r>
      <w:r>
        <w:rPr>
          <w:rFonts w:ascii="Times New Roman" w:cs="Times New Roman" w:eastAsia="Times New Roman" w:hAnsi="Times New Roman"/>
          <w:sz w:val="18"/>
          <w:szCs w:val="18"/>
          <w:color w:val="auto"/>
        </w:rPr>
        <w:t>A taxpayer generally must hold a capital asset for more than one year for gain or loss derived from its sale or exchange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be 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Preferred Shares for Cash. </w:t>
      </w:r>
      <w:r>
        <w:rPr>
          <w:rFonts w:ascii="Times New Roman" w:cs="Times New Roman" w:eastAsia="Times New Roman" w:hAnsi="Times New Roman"/>
          <w:sz w:val="18"/>
          <w:szCs w:val="18"/>
          <w:color w:val="auto"/>
        </w:rPr>
        <w:t>The treatment accorded to any redemption by us for cash (as distinguished from a sale, exchange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Under previously proposed Treasury regulations, if any portion of the amount received by a taxable U.S. shareholder on a redemption of our preferred shares is treated as a distribution with respect to our shares but not as a taxable dividend, then such portion would be allocated to all shares held by the taxable U.S. shareholder just before the redemption on a pro rata, share-by-share, basis. The amount applied to each share would first reduce the taxable U.S. shareholder’s basis in that share and any excess after the basis is reduced to zero would result in taxable gain. If the holder had a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permitted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As of March 28, 2019, these proposed Treasury regulations have been withdrawn. As a result, the treatment of adjustments to basis of a taxable U.S. shareholder’s preferred shares with respect to amounts treated as a distribution with respect to preferred shares, but not a dividend, as well as the treatment of the basis of any unredeemed shares, may be less certain. We urge you to consult your tax advisor concerning the treatment of a cash redemption of our preferred shares.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or Conversion of Preferred Shares to Common Shares. </w:t>
      </w:r>
      <w:r>
        <w:rPr>
          <w:rFonts w:ascii="Times New Roman" w:cs="Times New Roman" w:eastAsia="Times New Roman" w:hAnsi="Times New Roman"/>
          <w:sz w:val="18"/>
          <w:szCs w:val="18"/>
          <w:color w:val="auto"/>
        </w:rPr>
        <w:t>Assuming that preferred shares will not be redeemed or converted at a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76" w:lineRule="exact"/>
        <w:rPr>
          <w:sz w:val="20"/>
          <w:szCs w:val="20"/>
          <w:color w:val="auto"/>
        </w:rPr>
      </w:pPr>
    </w:p>
    <w:p>
      <w:pPr>
        <w:ind w:left="120" w:right="320" w:firstLine="440"/>
        <w:spacing w:after="0" w:line="256" w:lineRule="auto"/>
        <w:rPr>
          <w:sz w:val="20"/>
          <w:szCs w:val="20"/>
          <w:color w:val="auto"/>
        </w:rPr>
      </w:pPr>
      <w:r>
        <w:rPr>
          <w:rFonts w:ascii="Times New Roman" w:cs="Times New Roman" w:eastAsia="Times New Roman" w:hAnsi="Times New Roman"/>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Adjustments to Conversion Price. </w:t>
      </w:r>
      <w:r>
        <w:rPr>
          <w:rFonts w:ascii="Times New Roman" w:cs="Times New Roman" w:eastAsia="Times New Roman" w:hAnsi="Times New Roman"/>
          <w:sz w:val="18"/>
          <w:szCs w:val="18"/>
          <w:color w:val="auto"/>
        </w:rPr>
        <w:t>Under Section 305 of the Code, holders of preferred shares may be deemed to have received a constructive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reasonable adjustment formula. In such a case, if a nonqualifying adjustment were made, the holders of preferred shares might be deemed to have received a taxable share dividend.</w:t>
      </w:r>
    </w:p>
    <w:p>
      <w:pPr>
        <w:spacing w:after="0" w:line="183"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Passive Activity and Investment Income Limitations. </w:t>
      </w:r>
      <w:r>
        <w:rPr>
          <w:rFonts w:ascii="Times New Roman" w:cs="Times New Roman" w:eastAsia="Times New Roman" w:hAnsi="Times New Roman"/>
          <w:sz w:val="18"/>
          <w:szCs w:val="18"/>
          <w:color w:val="auto"/>
        </w:rPr>
        <w:t>Distributions from us and gain from the disposition of our common or preferred shares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79"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Medicare Tax on Unearned Income. </w:t>
      </w:r>
      <w:r>
        <w:rPr>
          <w:rFonts w:ascii="Times New Roman" w:cs="Times New Roman" w:eastAsia="Times New Roman" w:hAnsi="Times New Roman"/>
          <w:sz w:val="18"/>
          <w:szCs w:val="18"/>
          <w:color w:val="auto"/>
        </w:rPr>
        <w:t>Certain taxable U.S. shareholders who are individuals, estates or trusts are subject to a 3.8% Medicare tax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Tax Rates. </w:t>
      </w:r>
      <w:r>
        <w:rPr>
          <w:rFonts w:ascii="Times New Roman" w:cs="Times New Roman" w:eastAsia="Times New Roman" w:hAnsi="Times New Roman"/>
          <w:sz w:val="18"/>
          <w:szCs w:val="18"/>
          <w:color w:val="auto"/>
        </w:rPr>
        <w:t>The maximum tax rate on the long-term capital gains of domestic non-corporate taxpayers is 20%. The maximum tax rate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prior to 2026, generally non-corporate shareholders are allowed to deduct 20% of the aggregate amount of ordinary dividends distributed by us for purposes of determining their U.S. federal income tax (but not for purposes of the 3.8% Medicare tax),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 Further, with respect to non-corporate taxpayers, the lower qualified dividend income/capital gains tax rate (at a maximum of 20%) does generally apply to:</w:t>
      </w:r>
    </w:p>
    <w:p>
      <w:pPr>
        <w:spacing w:after="0" w:line="92"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long-term capital gain, if any, recognized on the disposition of our shares;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we designate as long-term capital gain dividends (except to the extent attributable to real estate depreciation, in which case the 25% tax rate applies);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attributable to dividends we receive from non-REIT corporations (including our taxable REIT subsidiaries);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70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 extent attributable to income upon which we have paid corporate tax (for example, the tax we would pay if we distributed less than all of our taxable REIT income).</w:t>
      </w:r>
    </w:p>
    <w:p>
      <w:pPr>
        <w:spacing w:after="0" w:line="162"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Taxable U.S. shareholders that are “exempt recipients” (such as corporations) generally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Tax-Exempt U.S. Shareholders</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Tax-exempt entities, including qualified employee pension and profit-sharing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and supplemental unemployment benefit trusts that are exempt from taxation under paragraphs (7), (9), and (17),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103" w:lineRule="exact"/>
        <w:rPr>
          <w:sz w:val="20"/>
          <w:szCs w:val="20"/>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UBTI Percentage is at least 5%;</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This discussion also does not address the tax treatment of any conversion or exchange of notes into our shares for persons who would become non-U.S. shareholders upon such conversion or exchange. Such persons are urged to consult their tax advisors regarding the U.S. income tax treatment of such a conversion or exchange. As used herein,</w:t>
      </w:r>
    </w:p>
    <w:p>
      <w:pPr>
        <w:spacing w:after="0" w:line="3"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the term “non-U.S. shareholder” means any taxable beneficial owner of our shares (other than a partnership or entity that is treated as a partnership for U.S. federal income tax purposes) that is not a taxable U.S. shareholder or exempt organization.</w:t>
      </w:r>
    </w:p>
    <w:p>
      <w:pPr>
        <w:spacing w:after="0" w:line="17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Ordinary Dividends. </w:t>
      </w:r>
      <w:r>
        <w:rPr>
          <w:rFonts w:ascii="Times New Roman" w:cs="Times New Roman" w:eastAsia="Times New Roman" w:hAnsi="Times New Roman"/>
          <w:sz w:val="18"/>
          <w:szCs w:val="18"/>
          <w:color w:val="auto"/>
        </w:rPr>
        <w:t>A non-U.S. shareholder that receives a distribution that is not attributable to gain from our sale or exchange of “U.S. real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Return of Capital</w:t>
      </w:r>
      <w:r>
        <w:rPr>
          <w:rFonts w:ascii="Times New Roman" w:cs="Times New Roman" w:eastAsia="Times New Roman" w:hAnsi="Times New Roman"/>
          <w:sz w:val="18"/>
          <w:szCs w:val="18"/>
          <w:color w:val="auto"/>
        </w:rPr>
        <w:t>. A non-U.S. shareholder will not incur tax on a distribution to the extent it exceeds our current and accumulated earnings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profits 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firstLine="440"/>
        <w:spacing w:after="0" w:line="256" w:lineRule="auto"/>
        <w:rPr>
          <w:sz w:val="20"/>
          <w:szCs w:val="20"/>
          <w:color w:val="auto"/>
        </w:rPr>
      </w:pPr>
      <w:r>
        <w:rPr>
          <w:rFonts w:ascii="Times New Roman" w:cs="Times New Roman" w:eastAsia="Times New Roman" w:hAnsi="Times New Roman"/>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83" w:lineRule="exact"/>
        <w:rPr>
          <w:sz w:val="20"/>
          <w:szCs w:val="20"/>
          <w:color w:val="auto"/>
        </w:rPr>
      </w:pPr>
    </w:p>
    <w:p>
      <w:pPr>
        <w:ind w:left="120" w:right="3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 Dividends. </w:t>
      </w:r>
      <w:r>
        <w:rPr>
          <w:rFonts w:ascii="Times New Roman" w:cs="Times New Roman" w:eastAsia="Times New Roman" w:hAnsi="Times New Roman"/>
          <w:sz w:val="18"/>
          <w:szCs w:val="18"/>
          <w:color w:val="auto"/>
        </w:rPr>
        <w:t>Provided that a particular class of our shares is “regularly traded” on an established securities market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and 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on or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9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72"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Retention of Net Capital Gains. </w:t>
      </w:r>
      <w:r>
        <w:rPr>
          <w:rFonts w:ascii="Times New Roman" w:cs="Times New Roman" w:eastAsia="Times New Roman" w:hAnsi="Times New Roman"/>
          <w:sz w:val="18"/>
          <w:szCs w:val="18"/>
          <w:color w:val="auto"/>
        </w:rPr>
        <w:t>Although the law is not clear on the matter, it appears that amounts we designate as retained capital gains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of 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the non-U.S. shareholder’s proportionate share of such tax paid by us exceeds its actual U.S. federal income tax liability, provided</w:t>
      </w:r>
    </w:p>
    <w:p>
      <w:pPr>
        <w:spacing w:after="0" w:line="3"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7" w:lineRule="exact"/>
        <w:rPr>
          <w:sz w:val="20"/>
          <w:szCs w:val="20"/>
          <w:color w:val="auto"/>
        </w:rPr>
      </w:pPr>
    </w:p>
    <w:p>
      <w:pPr>
        <w:ind w:left="120" w:right="20" w:firstLine="4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Sale of Shares</w:t>
      </w:r>
      <w:r>
        <w:rPr>
          <w:rFonts w:ascii="Times New Roman" w:cs="Times New Roman" w:eastAsia="Times New Roman" w:hAnsi="Times New Roman"/>
          <w:sz w:val="18"/>
          <w:szCs w:val="18"/>
          <w:color w:val="auto"/>
        </w:rPr>
        <w:t>. A non-U.S. shareholder generally will not incur tax under FIRPTA on gain from the sale of its common or preferred shares as long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 are a “domestically controlled REIT.” A “domestically controlled REIT” is a REIT in which at all times during a specified testing</w:t>
      </w:r>
    </w:p>
    <w:p>
      <w:pPr>
        <w:spacing w:after="0" w:line="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period non-U.S.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w:t>
      </w: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84"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Wash Sales. </w:t>
      </w:r>
      <w:r>
        <w:rPr>
          <w:rFonts w:ascii="Times New Roman" w:cs="Times New Roman" w:eastAsia="Times New Roman" w:hAnsi="Times New Roman"/>
          <w:sz w:val="18"/>
          <w:szCs w:val="18"/>
          <w:color w:val="auto"/>
        </w:rPr>
        <w:t>In general, special wash sale rules apply if a shareholder owning more than 5% of our common or preferred shares avoids a taxable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8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of Preferred Shares to Common Shares. </w:t>
      </w:r>
      <w:r>
        <w:rPr>
          <w:rFonts w:ascii="Times New Roman" w:cs="Times New Roman" w:eastAsia="Times New Roman" w:hAnsi="Times New Roman"/>
          <w:sz w:val="18"/>
          <w:szCs w:val="18"/>
          <w:color w:val="auto"/>
        </w:rPr>
        <w:t>The conversion of preferred shares into our common shares may be a taxable exchange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 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 capital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w:t>
      </w:r>
    </w:p>
    <w:p>
      <w:pPr>
        <w:spacing w:after="0" w:line="192" w:lineRule="exact"/>
        <w:rPr>
          <w:sz w:val="20"/>
          <w:szCs w:val="20"/>
          <w:color w:val="auto"/>
        </w:rPr>
      </w:pPr>
    </w:p>
    <w:p>
      <w:pPr>
        <w:jc w:val="both"/>
        <w:ind w:left="120" w:right="1200" w:firstLine="440"/>
        <w:spacing w:after="0" w:line="312" w:lineRule="auto"/>
        <w:rPr>
          <w:sz w:val="20"/>
          <w:szCs w:val="20"/>
          <w:color w:val="auto"/>
        </w:rPr>
      </w:pPr>
      <w:r>
        <w:rPr>
          <w:rFonts w:ascii="Times New Roman" w:cs="Times New Roman" w:eastAsia="Times New Roman" w:hAnsi="Times New Roman"/>
          <w:sz w:val="17"/>
          <w:szCs w:val="17"/>
          <w:color w:val="auto"/>
        </w:rPr>
        <w:t>Non-U.S. shareholders should consult with their tax advisors regarding the federal income tax consequences of any transaction by which such non-U.S. shareholder exchanges our common shares received on a conversion of preferred shares for cash or other property.</w:t>
      </w:r>
    </w:p>
    <w:p>
      <w:pPr>
        <w:spacing w:after="0" w:line="136"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We must report annually to the IRS and to each non-U.S. shareholder the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Backup withholding (currently at the rate of 24%) and additional information reporting will generally not apply to distributions</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United States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95" w:lineRule="exact"/>
        <w:rPr>
          <w:sz w:val="20"/>
          <w:szCs w:val="20"/>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United States person;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50% or more of its gross income for a specified three-year period from the conduct of a trade or business in the United States;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(generally, a foreign corporation controlled by stockholders that are United States persons) for U.S. tax purposes; or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foreign partnership, if at any time during its tax year more than 50% of its income or capital interests are held by United States persons or if it is engaged in the conduct of a trade or business in the United States,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Reporting and Withholding on Foreign Financial Accounts. </w:t>
      </w:r>
      <w:r>
        <w:rPr>
          <w:rFonts w:ascii="Times New Roman" w:cs="Times New Roman" w:eastAsia="Times New Roman" w:hAnsi="Times New Roman"/>
          <w:sz w:val="18"/>
          <w:szCs w:val="18"/>
          <w:color w:val="auto"/>
        </w:rPr>
        <w:t>Under sections 1471 through 1474 of the Code, Treasury regulations and 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guidance (commonly referred to as “FATCA”), a 30% U.S. withholding tax will be imposed in certain circumstances on payments of (i) dividends on the shares and (ii) subject to the proposed Treasury regulations discussed below, gross proceeds from the sale or other disposition of the shares. Proposed Treasury regulations would, when finalized, eliminate FATCA withholding on the gross proceeds from a sale or other disposition of instruments, such as the shares, that produce withholdable payments. In the preamble to such proposed Treasury regulations, the IRS stated that taxpayers and withholding agents may generally rely on the proposed Treasury regulations until final Treasury regulations are issued.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shares are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dividends on the shares or other payments in respect of the shares,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shares.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Aspects of Our Investments in the Partnership and Subsidiary Partnerships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discussion summarizes certain federal income tax considerations applicable to our direct or indirect investments in the Partnership and the Subsidiary Partnerships. As described above under “Taxation of the Company — Requirements for REIT Qualification,” the Partnership (but not the Subsidiary Partnerships) currently is a disregarded entity for federal income tax purposes. Accordingly, the discussion below initially only applies to the Subsidiary Partnerships and references to the Partnership should not be taken into account. Once the Partnership admits one or more partners that are not disregarded entities of ours, the discussion below will also apply to the Partnership. Also, the discussion below does not cover state or local tax laws or any federal tax laws other than income tax laws.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Classification as Partnerships. </w:t>
      </w:r>
      <w:r>
        <w:rPr>
          <w:rFonts w:ascii="Times New Roman" w:cs="Times New Roman" w:eastAsia="Times New Roman" w:hAnsi="Times New Roman"/>
          <w:sz w:val="18"/>
          <w:szCs w:val="18"/>
          <w:color w:val="auto"/>
        </w:rPr>
        <w:t>We are entitled to include in our income our distributive share of the Partnership’s and Subsidiary Partnerships’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and to deduct our distributive share of the Partnership’s and Subsidiary Partnerships’ losses only if the applicable partnership is classified for federal income tax purposes as a partnership rather than as a corporation or association taxable as a corporation. An organization will be classified as a partnership, rather than as a corporation, for federal income tax purposes if it (1) is treated as a partnership under Treasury regulations, effective January 1, 1997, relating to entity classification (the “check-the-box regulations”) and (2) is not a “publicly traded” partnership.</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check-the-box regulations, an unincorporated entity with at least two members may elect to be classified either as an association taxable as a corporation or as a partnership. If such an entity fails to make an election, it generally will be treated as a partnership for federal income tax purposes. We believe that the Partnership (once it admits one or more partners that are not disregarded entities of ours) and its Subsidiary Partnerships will be classified as partnerships for federal income tax purposes.</w:t>
      </w:r>
    </w:p>
    <w:p>
      <w:pPr>
        <w:spacing w:after="0" w:line="18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 publicly traded partnership is a partnership whose interests are traded on an established securities market or are readily tradable on a secondary market (or the substantial equivalent thereof). While the Partnership units will not be traded on an established securities market, they could possibly be deemed to be traded on a secondary market or its equivalent due to the redemption rights enabling the limited partners to dispose of their units. A publicly traded partnership will not, however, be treated as a corporation for any taxable year if 90% or more of the partnership’s gross income for such year consists of certain passive-type income, including (as may be relevant here) real property rents, gains from the sale or other disposition of real property, interest, and dividends (the “90% Passive Income Exception”). The income requirements applicable to us in order for us to qualify as a REIT under the Code and the definition of qualifying income under the Passive Income Exception are very similar. Although differences exist between these two income tests, we do not believe that these differences would cause the Partnership not to satisfy the 90% Passive Income Exception applicable to publicly traded partnerships.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Treasury has issued regulations (the “PTP Regulations”) that provide limited safe harbors from the definition of a publicly traded partnership. Pursuant to one of those safe harbors (the “Private Placement Exclusion”), interests in a partnership will not be treated as readily tradable on a secondary market or the substantial equivalent thereof if (i) all interests in the partnership were issued in a transaction (or transactions) that was not required to be registered under the Securities Act, and (ii) the partnership does not have more than 100 partners at any time during the partnership’s taxable year. In determining the number of partners in a partnership, a person owning an interest in a flow-through entity (i.e., a partnership, grantor trust, or S corporation) that owns an interest in the partnership is treated as a partner in such partnership only if (i) substantially all of the value of the owner’s interest in the flow-through entity is attributable to the flow-through entity’s interest (direct or indirect) in the partnership and (ii) a principal purpose of the use of the flow-through entity is to permit the partnership to satisfy the 100-partner limitation.</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Partnership agreement has provisions intended to facilitate and permit us to take actions to avoid loss of the Private Placement Exclusion. We believe that the Partnership, from the point it is treated as a regarded entity, will qualify for the Private Placement Exclusion and thereafter intends to qualify for the Private Placement Exclusion unless it qualifies for another safe harbor or the 90% Passive Income Exception as described below. It is possible, however, that in the future the Partnership might not qualify for the Private Placement Exclusion.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the Partnership is considered a publicly traded partnership under the PTP Regulations because it is deemed to have more than 100 partners, the Partnership would need to qualify under another safe harbor in the PTP Regulations or for the 90% Passive Income Exception. We believe that the Partnership will qualify for another safe harbor in the PTP Regulations or for the 90% Passive Income Exception. It is possible, however, that in the future the Partnership might not qualify for one of these exceptions.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however, for any reason the Partnership were taxable as a corporation, rather than as a partnership, for federal income tax purposes, we would not be able to qualify as a REIT. See “—Requirements for REIT Qualification—Income Tests” and “—Requirements for REIT Qualification—Asset Tests.” In addition, any change in the Partnership’s status for tax purposes might be treated as a taxable event, in which case we might incur tax liability without any related cash distribution. See “—Requirements for REIT Qualification—Distribution Requirements.” Further, items of income and deduction of the Partnership would not pass through to its partners, and its partners would be treated as shareholders for tax purposes. Consequently, the Partnership would be required to pay income tax at corporate tax rates on its net income, and distributions to its partners would constitute dividends that would not be deductible in computing such Partnership’s taxable income.</w:t>
      </w:r>
    </w:p>
    <w:p>
      <w:pPr>
        <w:spacing w:after="0" w:line="185" w:lineRule="exact"/>
        <w:rPr>
          <w:sz w:val="20"/>
          <w:szCs w:val="20"/>
          <w:color w:val="auto"/>
        </w:rPr>
      </w:pPr>
    </w:p>
    <w:p>
      <w:pPr>
        <w:jc w:val="both"/>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Partners, Not the Partnership, Subject to Tax. </w:t>
      </w:r>
      <w:r>
        <w:rPr>
          <w:rFonts w:ascii="Times New Roman" w:cs="Times New Roman" w:eastAsia="Times New Roman" w:hAnsi="Times New Roman"/>
          <w:sz w:val="18"/>
          <w:szCs w:val="18"/>
          <w:color w:val="auto"/>
        </w:rPr>
        <w:t>The partners of the Partnership are subject to taxation. Except as discussed below in “—Revised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Audit Rules,” the Partnership itself is not a taxable entity for federal income tax purposes. Rather, we are required to take into account our allocable share of the Partnership’s income, gains, losses, deductions and credits for any taxable year of the Partnership ending during our taxable year, without regard to whether we have received or will receive any distribution from the Partnership.</w:t>
      </w:r>
    </w:p>
    <w:p>
      <w:pPr>
        <w:spacing w:after="0" w:line="176"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Partnership Allocations</w:t>
      </w:r>
      <w:r>
        <w:rPr>
          <w:rFonts w:ascii="Times New Roman" w:cs="Times New Roman" w:eastAsia="Times New Roman" w:hAnsi="Times New Roman"/>
          <w:sz w:val="18"/>
          <w:szCs w:val="18"/>
          <w:color w:val="auto"/>
        </w:rPr>
        <w:t>. Although a partnership agreement generally will determine the allocation of income and losses among partners,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allocations will be disregarded for tax purposes if they do not comply with the provisions of Section 704(b) of the Code and the Treasury regulations promulgated thereunder. If an allocation is not recognized for federal income tax purposes, the item subject to the allocation will be reallocated in accordance with the partners’ interests in the partnership, which will be determined by taking into account all of the facts and circumstances relating to the economic arrangement of the partners with respect to such item. The Partnership’s allocations of taxable income, gain and loss are intended to comply with the requirements of Section 704(b) of the Code and the Treasury regulations promulgated thereunder.</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Tax Allocations with Respect to Contributed Properties</w:t>
      </w:r>
      <w:r>
        <w:rPr>
          <w:rFonts w:ascii="Times New Roman" w:cs="Times New Roman" w:eastAsia="Times New Roman" w:hAnsi="Times New Roman"/>
          <w:sz w:val="18"/>
          <w:szCs w:val="18"/>
          <w:color w:val="auto"/>
        </w:rPr>
        <w:t>. Pursuant to Section 704(c) of the Code, income, gain, loss and deduction attributable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is generally equal to the difference between the fair market value of contributed property at the time of contribution and the adjusted tax basis of such property at the time of contribution (a “Book-Tax Difference”). Such allocations are solely for federal income tax purposes and do not affect the book capital accounts or other economic or legal arrangements among the partners. The Partnership, once regarded, will be deemed to be formed by way of contributions of appreciated property. Consequently, the Partnership’s partnership agreement requires such allocations to be made in a manner permitted under Section 704(c) of the Code.</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general, the partners who contribute property to the Partnership will be allocated depreciation deductions for tax purposes which are lower than such deductions would be if determined on a pro rata basis. In addition, in the event of the disposition of any of the contributed assets (including our properties) which have a Book-Tax Difference, all gain attributable to such Book-Tax Difference (to the extent not previously taken into account) will generally be allocated to the contributing partners, including us, and other partners will generally be allocated only their share of gain attributable to appreciation, if any, occurring after such contribution. This will tend to eliminate the Book-Tax Difference over the life of the Partnership. However, the special allocation rules of Section 704(c) do not always entirely eliminate the Book-Tax Difference on an annual basis or with respect to a specific taxable transaction such as a sale. Thus, the carryover basis of the contributed assets in the hands of the Partnership may cause us to be allocated lower depreciation and other deductions, and possibly an amount of taxable income in the event of a sale of such contributed assets in excess of the economic or book income allocated to us as a result of such sale.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Book-Tax Difference may also arise as a result of the revaluation of property owned by the Partnership in connection with certain types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transactions, including in connection with certain non-pro rata contributions or distributions of assets by the Partnership in exchange for interests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Partnership. In the event of such a revaluation, the partners (including us) who were partners in the Partnership immediately prior to the revaluation will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 required to take any Book-Tax Difference created as a result of such revaluation into account in substantially the same manner as under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Section 704(c) rules discussed above. This would result in us being allocated income, gain, loss and deduction for tax purposes in amounts different than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economic or book income allocated to us by the Partnership.</w:t>
      </w:r>
    </w:p>
    <w:p>
      <w:pPr>
        <w:spacing w:after="0" w:line="3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application of Section 704(c) to the Partnership may cause us to recognize taxable income in excess of cash proceeds, which might adversely affect our ability to comply with the REIT distribution requirements. See “—Requirements for REIT Qualification—Distribution Requirements.” The foregoing principles also apply in determining our earnings and profits for purposes of determining the portion of distributions taxable as dividend income. The application of these rules over time may result in a higher portion of distributions being taxed as dividends than would have occurred had we purchased the contributed or revalued assets at their agreed values.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Treasury has issued regulations requiring partnerships to use a “reasonable method” for allocating items affected by Section 704(c) of the Code and outlining several reasonable allocation methods. The general partner of the Partnership has the discretion to determine which of the methods of accounting for Book-Tax Differences (specifically approved in the Treasury regulations) will be elected with respect to any properties contributed to or revalued by the Partnership. We have not determined which method of accounting for Book-Tax Differences will be elected for properties contributed to or revalued by the Partnership in the future.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in Partnership Interest</w:t>
      </w:r>
      <w:r>
        <w:rPr>
          <w:rFonts w:ascii="Times New Roman" w:cs="Times New Roman" w:eastAsia="Times New Roman" w:hAnsi="Times New Roman"/>
          <w:sz w:val="18"/>
          <w:szCs w:val="18"/>
          <w:color w:val="auto"/>
        </w:rPr>
        <w:t>. Our adjusted tax basis in our partnership interest in the Partnership generally is equal to:</w:t>
      </w:r>
    </w:p>
    <w:p>
      <w:pPr>
        <w:spacing w:after="0" w:line="135"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and the adjusted tax basis of any other property contributed by us to the Partnership;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share of the Partnership’s income,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share of debt of the Partnership;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but not below zero, by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share of the Partnership’s loss,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and the basis of any property distributed to us,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constructive distributions resulting from a reduction in our share of debt of the Partnership.</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 allocation of our distributive share of the Partnership’s loss would reduce the adjusted tax basis of our partnership interest in the Partnership below zero, the recognition of such loss will be deferred until such time as the recognition of such loss would not reduce our adjusted tax basis below zero. To the extent that the Partnership’s distributions, or any decrease in our share of the debt of the Partnership (such decrease being considered a constructive cash distribution to the partners), would reduce our adjusted tax basis below zero, such distributions (including such constructive distributions) would constitute taxable income to us. Such distributions and constructive distributions normally will be characterized as capital gain (including Section 1250 “depreciation recapture”), and, if our interest in the Partnership has been held for longer than the long-term capital gain holding period (currently one year), the distributions and constructive distributions will constitute long-term capital gain.</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of the Partnership’s Property. </w:t>
      </w:r>
      <w:r>
        <w:rPr>
          <w:rFonts w:ascii="Times New Roman" w:cs="Times New Roman" w:eastAsia="Times New Roman" w:hAnsi="Times New Roman"/>
          <w:sz w:val="18"/>
          <w:szCs w:val="18"/>
          <w:color w:val="auto"/>
        </w:rPr>
        <w:t>Generally, any gain realized by the Partnership on the sale of property held by the Partnership for more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 year will be long-term capital gain, except for any portion of such gain that is treated as depreciation or cost recovery recapture. Any gain recognized by the Partnership on the disposition of contributed properties will be allocated first to the partners of the Partnership under Section 704(c) of the Code to the extent of their “built-in gain” on those properties for federal income tax purposes. The partners’ “built-in gain” on the contributed properties sold will equal the excess of the partners’ proportionate share of the book value of those properties over the partners’ tax basis allocable to those properties at the time of the contribution. Any remaining gain recognized by the Partnership on the disposition of the contributed properties, and any gain recognized by the Partnership on the disposition of the other properties, will be allocated among the partners in accordance with their respective percentage interests in the Partnership.</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share of any gain realized by the Partnership on the sale of any property held by the Partnership (other than property held indirectly through a taxable REIT subsidiary) as inventory or other property held primarily for sale to customers in the ordinary course of the Partnership’s trade or business will be treated as income from a prohibited transaction that is subject to a 100% penalty tax. Such prohibited transaction income also may have an adverse effect upon our ability to satisfy the income tests for REIT status. See “—Requirements for REIT Qualification—Income Tests.” We, however, do not presently intend to allow the Partnership to acquire or hold any property (other than through a taxable REIT subsidiary) that represents inventory or other property held primarily for sale to customers in the ordinary course of our or the Partnership’s trade or business.</w:t>
      </w: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Revised Partnership Audit Rules</w:t>
      </w:r>
      <w:r>
        <w:rPr>
          <w:rFonts w:ascii="Times New Roman" w:cs="Times New Roman" w:eastAsia="Times New Roman" w:hAnsi="Times New Roman"/>
          <w:sz w:val="18"/>
          <w:szCs w:val="18"/>
          <w:color w:val="auto"/>
        </w:rPr>
        <w:t>. Under partnership audit changes generally effective for audits in 2018 and later, a partnership (and not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must pay any “imputed underpayments,” consisting of delinquent taxes, interest, and penalties deemed to arise out of an audit of the partnership, unless certain alternative methods are available and the partnership elects to utilize them. The IRS has issued regulations providing details on some of these provisions, but it is still not entirely clear how all of these new rules will be implemented. Accordingly, it is possible that in the future, we and/or any partnership in which we are a partner could be subject to, or otherwise bear the economic burden of, federal income tax, interest, and penalties resulting from a federal income tax audit even though we, as a REIT, may not otherwise have been required to pay additional corporate-level taxes as a result of an audit adjustment.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Tax Considerations</w:t>
      </w:r>
    </w:p>
    <w:p>
      <w:pPr>
        <w:spacing w:after="0" w:line="117" w:lineRule="exact"/>
        <w:rPr>
          <w:sz w:val="20"/>
          <w:szCs w:val="20"/>
          <w:color w:val="auto"/>
        </w:rPr>
      </w:pPr>
    </w:p>
    <w:p>
      <w:pPr>
        <w:jc w:val="both"/>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State and Local Taxes. </w:t>
      </w:r>
      <w:r>
        <w:rPr>
          <w:rFonts w:ascii="Times New Roman" w:cs="Times New Roman" w:eastAsia="Times New Roman" w:hAnsi="Times New Roman"/>
          <w:sz w:val="18"/>
          <w:szCs w:val="18"/>
          <w:color w:val="auto"/>
        </w:rPr>
        <w:t>We and/or you may be subject to state and local tax in various states and localities, including those states and localities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76"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to Tax Laws and Regulations. </w:t>
      </w:r>
      <w:r>
        <w:rPr>
          <w:rFonts w:ascii="Times New Roman" w:cs="Times New Roman" w:eastAsia="Times New Roman" w:hAnsi="Times New Roman"/>
          <w:sz w:val="18"/>
          <w:szCs w:val="18"/>
          <w:color w:val="auto"/>
        </w:rPr>
        <w:t>The rules dealing with federal income taxation are subject to revision by the U.S. Congress, the IRS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Treasury, and statutory changes, new regulations, revisions to existing regulations and revised interpretations of established concepts are issued frequently. In particular, additional legislation, implementing regulations, and other guidance may be enacted or promulgated with respect to the Tax Cuts and Jobs Act of 2017, the 2020 CARES Act, and other recent legislation. We cannot assure you that a change in law, including the possibility of major tax legislation in 2024 or later, possibly with retroactive application, will not alter significantly the tax considerations (including applicable tax rates) that we describe herein.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SECURITY HOLDERS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Information about selling security holders and the terms of the securities offered for resale, where applicable, will be set forth in a prospectus supplement, in a post-effective amendment or in filings we make with the SEC under the Exchange Act that are incorporated into this prospectus by reference. Selling security holders may be deemed to be underwriters in connection with the securities they resell and any profits on the resale may be deemed to be underwriting discounts and commissions under the Securities Act. The selling security holders will receive all the proceeds from the resale of our securities. We will not receive any proceeds from resales by selling security holders.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by Us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sell the securities being offered by this prospectus in one or more of the following ways from time to time: (1) through underwriters or dealers; (2) through agents; (3) in “at the market offerings” to or through a market maker or into an existing trading market or securities exchange or otherwise; (4) 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methods by which we may distribute securities include:</w:t>
      </w:r>
    </w:p>
    <w:p>
      <w:pPr>
        <w:spacing w:after="0" w:line="131" w:lineRule="exact"/>
        <w:rPr>
          <w:sz w:val="20"/>
          <w:szCs w:val="20"/>
          <w:color w:val="auto"/>
        </w:rPr>
      </w:pPr>
    </w:p>
    <w:p>
      <w:pPr>
        <w:ind w:left="1080" w:right="14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dealer as principal and resale by such dealer for its account pursuant to this prospectus or any prospectus supplement;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 transactions and transactions in which the broker solicits purchasers;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legally available means.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9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9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or may not be listed on a national securities exchange or traded in the over-the-counter market (other than the common shares and Series C depositary shares, which are quoted on the New York Stock Exchange). No assurance can be given as to the liquidity of the trading market for any such securities.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8"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Certain of the underwriters or agents and their affiliates may engage in transactions with and perform services for us or our affiliates in the ordinary course of their respective businesses.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by Selling Security Holders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selling security holders may resell or redistribute the securities from time to time on any stock exchange or automated interdealer quotation system on which the securities are listed, in the over-the-counter market, in privately negotiated transactions, or in any other legal manner, at fixed prices that may be changed, at market prices prevailing at the time of sale, at prices related to prevailing market prices or at negotiated prices. Persons who are pledgees, donees, transferees, or other successors in interest of any of the named selling security holders (including, but not limited to, persons who receive securities from a named selling security holder as a gift, partnership distribution or other non-sale-related transfer after the date of this prospectus) may also use this prospectus and are included when we refer to “selling security holders” in this prospectus. The selling security holders may sell the securities by one or more of the following methods, without limitation:</w:t>
      </w:r>
    </w:p>
    <w:p>
      <w:pPr>
        <w:spacing w:after="0" w:line="94" w:lineRule="exact"/>
        <w:rPr>
          <w:sz w:val="20"/>
          <w:szCs w:val="20"/>
          <w:color w:val="auto"/>
        </w:rPr>
      </w:pPr>
    </w:p>
    <w:p>
      <w:pPr>
        <w:ind w:left="1080" w:right="14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(which may include cross trades) in which the broker or 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or dealer as principal and resales by the broker or dealer for its own account;</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or secondary distribution in accordance with the rules of any stock exchange on which the securities may be listed;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offering at other than a fixed price on or through the facilities of any stock exchange on which the securities are listed or to or through a market-maker other than on that stock exchange;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 directly or 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on the securities, whether or the options are listed on an options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securities by any security holder to its partners, members or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between a broker or dealer and any security holder to sell a specified number of the securities at a stipulated price per share;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any of these methods of sale or distribution, or any other method permitted by applicable law.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security holders may also transfer the securities by gift.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selling security holders may engage brokers and dealers, and any brokers or dealers may arrange for other brokers or dealers to participate in effecting sales of the securities. These brokers, dealers or underwriters may act as principals, or as an agent of a selling security holder. Broker-dealers may agree with a selling security holder to sell a specified number of the securities at a stipulated price per share. If the broker-dealer is unable to sell securities acting as agent for a selling security holder, it may purchase as principal any unsold securities at the stipulated price. Broker-dealers who acquire securities as principals may thereafter resell the securities from time to time in transactions on any stock exchange or automated interdealer quotation system on which the securities are then listed, at prices and on terms then prevailing at the time of sale, at prices related to the then-current market price or in negotiated transactions. Broker-dealers may use block transactions and sales to and through broker-dealers, including transactions of the nature described above.</w:t>
      </w:r>
    </w:p>
    <w:p>
      <w:pPr>
        <w:spacing w:after="0" w:line="192" w:lineRule="exact"/>
        <w:rPr>
          <w:sz w:val="20"/>
          <w:szCs w:val="20"/>
          <w:color w:val="auto"/>
        </w:rPr>
      </w:pPr>
    </w:p>
    <w:p>
      <w:pPr>
        <w:jc w:val="both"/>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one or more of the selling security holders may pledge, hypothecate or grant a security interest in some or all of the securities owned by them. The pledgees, secured parties or persons to whom the securities have been hypothecated will, upon foreclosure in the event of default, be deemed to be selling security holders. The number of a selling security holder’s securities offered under this prospectus will decrease as and when it takes such actions. The plan of distribution for that selling security holder’s securities will otherwise remain unchanged. In addition, a selling security holder may, from time to time, sell the securities short, and, in those instances, this prospectus may be delivered in connection with the short sales and the securities offered under this prospectus may be used to cover short sales.</w:t>
      </w:r>
    </w:p>
    <w:p>
      <w:pPr>
        <w:spacing w:after="0" w:line="187"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selling security holders and any underwriters, brokers, dealers or agents that participate in the distribution of the securities may be deemed to be “underwriters” within the meaning of the Securities Act, and any discounts, concessions, commissions or fees received by them and any profit on the resale of the securities sold by them may be deemed to be underwriting discounts and commissions.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selling security holder may enter into hedging transactions with broker-dealers and the broker-dealers may engage in short sales of the securities in the course of hedging the positions they assume with that selling security holder, including, without limitation, in connection with distributions of the securities by those broker-dealers. A selling security holder may enter into option or other transactions with broker-dealers that involve the delivery of the securities offered hereby to the broker-dealers, who may then resell or otherwise transfer those securities. A selling security holder may also loan or pledge the securities offered hereby to a broker-dealer and the broker-dealer may sell the securities offered hereby so loaned or upon a default may sell or otherwise transfer the pledged securities offered hereby.</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selling security holders and other persons participating in the sale or distribution of the securities will be subject to applicable provisions of the Exchange Act and the related rules and regulations adopted by the SEC, including Regulation M. This regulation may limit the timing of purchases and sales of any of the securities by the selling security holders and any other person. The anti-manipulation rules under the Exchange Act may apply to sales of securities in the market and to the activities of the selling security holders and their affiliates. Furthermore, Regulation M may restrict the ability of any person engaged in the distribution of the securities to engage in market-making activities with respect to the particular securities being distributed for a period of up to five business days before the distribution. These restrictions may affect the marketability of the securities and the ability of any person or entity to engage in market-making activities with respect to the securities.</w:t>
      </w:r>
    </w:p>
    <w:p>
      <w:pPr>
        <w:spacing w:after="0" w:line="18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We may agree to indemnify the selling security holders and their respective officers, directors, employees and agents, and any underwriter or other person who participates in the offering of the securities, against specified liabilities, including liabilities under the federal securities laws or to contribute to payments the underwriters may be required to make in respect of those liabilities. The selling security holders may agree to indemnify us, the other selling security holders and any underwriter or other person who participates in the offering of the securities, against specified liabilities arising from information provided by the selling security holders for use in this prospectus or any accompanying prospectus supplement, including liabilities under the federal securities laws. In each case, indemnification may include each person who is an affiliate of or controls one of these specified indemnified persons within the meaning of the federal securities laws or is required to contribute to payments the underwriters may be required to make in respect of those liabilities. The selling security holders may agree to indemnify any brokers, dealers or agents who participate in transactions involving sales of the securities against specified liabilities arising under the federal securities laws in connection with the offering and sale of the securities.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proceeds from sales of any securities by the selling security 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cannot assure you that the selling security holders will sell all or any portion of the securities offered hereby.</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will supply the selling security holders and any stock exchange upon which the securities are listed with reasonable quantities of copies of this prospectus. To the extent required by Rule 424 under the Securities Act in connection with any resale or redistribution by a selling security holder, we will file a prospectus supplement setting forth:</w:t>
      </w:r>
    </w:p>
    <w:p>
      <w:pPr>
        <w:spacing w:after="0" w:line="81"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securities to be sold;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names of any underwriter, dealer or agent;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commissions, discounts, concessions, fees or other items constituting compensation to underwriters, dealers or agents with respect to the particular transaction (which may exceed customary commissions or compensation).</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a selling security holder notifies us that a material arrangement has been entered into with a broker-dealer for the sale of securities through a block trade, special offering, exchange, distribution or secondary distribution or a purchase by a broker or dealer, the prospectus supplement will include any other facts that are material to the transaction. If applicable, this may include a statement to the effect that the participating broker-dealers did not conduct any investigation to verify the information set out or incorporated by reference in this prospectus.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schedules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by us with the SEC under Sections 13(a), 13(c), 14, or 15(d) of the Exchange Act from the date of this prospectus until the termination of the offering of the securities described in this prospectus or the expiration of the registration statement.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8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12,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87">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January 11, 2024;</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responsive to part III of our Annual Report on Form 10-K for the year ended December 31, 2022 provided in our definitive proxy statement on </w:t>
      </w:r>
      <w:hyperlink r:id="rId88">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on March 24, 2023;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the Company’s common shares and Series C depositary shares contained in </w:t>
      </w:r>
      <w:hyperlink r:id="rId89">
        <w:r>
          <w:rPr>
            <w:rFonts w:ascii="Times New Roman" w:cs="Times New Roman" w:eastAsia="Times New Roman" w:hAnsi="Times New Roman"/>
            <w:sz w:val="18"/>
            <w:szCs w:val="18"/>
            <w:u w:val="single" w:color="auto"/>
            <w:color w:val="0000EE"/>
          </w:rPr>
          <w:t>Exhibit 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filed with the SEC on February 12, 2024.</w:t>
      </w:r>
    </w:p>
    <w:p>
      <w:pPr>
        <w:spacing w:after="0" w:line="162" w:lineRule="exact"/>
        <w:rPr>
          <w:rFonts w:ascii="Times New Roman" w:cs="Times New Roman" w:eastAsia="Times New Roman" w:hAnsi="Times New Roman"/>
          <w:sz w:val="18"/>
          <w:szCs w:val="18"/>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87" w:lineRule="exact"/>
        <w:rPr>
          <w:rFonts w:ascii="Times New Roman" w:cs="Times New Roman" w:eastAsia="Times New Roman" w:hAnsi="Times New Roman"/>
          <w:sz w:val="18"/>
          <w:szCs w:val="18"/>
          <w:color w:val="auto"/>
        </w:rPr>
      </w:pPr>
    </w:p>
    <w:p>
      <w:pPr>
        <w:ind w:left="120" w:right="180" w:firstLine="440"/>
        <w:spacing w:after="0" w:line="290" w:lineRule="auto"/>
        <w:rPr>
          <w:sz w:val="20"/>
          <w:szCs w:val="20"/>
          <w:color w:val="auto"/>
        </w:rPr>
      </w:pPr>
      <w:r>
        <w:rPr>
          <w:rFonts w:ascii="Times New Roman" w:cs="Times New Roman" w:eastAsia="Times New Roman" w:hAnsi="Times New Roman"/>
          <w:sz w:val="17"/>
          <w:szCs w:val="17"/>
          <w:color w:val="auto"/>
        </w:rPr>
        <w:t xml:space="preserve">Copies of our SEC filings are available at no cost at our website, </w:t>
      </w:r>
      <w:r>
        <w:rPr>
          <w:rFonts w:ascii="Times New Roman" w:cs="Times New Roman" w:eastAsia="Times New Roman" w:hAnsi="Times New Roman"/>
          <w:sz w:val="17"/>
          <w:szCs w:val="17"/>
          <w:i w:val="1"/>
          <w:iCs w:val="1"/>
          <w:color w:val="auto"/>
        </w:rPr>
        <w:t>www.federalrealty.com</w:t>
      </w:r>
      <w:r>
        <w:rPr>
          <w:rFonts w:ascii="Times New Roman" w:cs="Times New Roman" w:eastAsia="Times New Roman" w:hAnsi="Times New Roman"/>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4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909 Rose Avenue</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North Bethesda, MD 20852</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(301) 998-8100</w:t>
      </w:r>
    </w:p>
    <w:p>
      <w:pPr>
        <w:spacing w:after="0" w:line="207" w:lineRule="exact"/>
        <w:rPr>
          <w:rFonts w:ascii="Times New Roman" w:cs="Times New Roman" w:eastAsia="Times New Roman" w:hAnsi="Times New Roman"/>
          <w:sz w:val="18"/>
          <w:szCs w:val="18"/>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Set forth below are the amounts of fees and expenses (other than underwriting discounts and commissions) we will pay in connection with the offering of our securities.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Mailing Costs</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Trustee fees and expenses</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w:t>
            </w:r>
          </w:p>
        </w:tc>
      </w:tr>
      <w:tr>
        <w:trPr>
          <w:trHeight w:val="20"/>
        </w:trPr>
        <w:tc>
          <w:tcPr>
            <w:tcW w:w="7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we are deferring payment of the registration fee for the securities offered by this prospectus.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such fees and expenses are based on the securities offered and the number of issuances and accordingly are presently unknown.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Company’s declaration of trust authorizes the Company, to the maximum extent permitted by Maryland law, to obligate itself to indemnify and to pay or reimburse reasonable expenses in advance of final disposition of a proceeding to (i) any individual who is a present or former shareholder, trustee or officer of the Company or (ii) any individual who, while a trustee of the Company and at the request of the Company,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Company’s declaration of trust also permits the Company, with approval of the Company’s Board of Trustees, to indemnify and advance expenses to any person who served a predecessor of the Company in any of the capacities described above and to any employee or agent of the Company or a predecessor of the Company.</w:t>
      </w:r>
    </w:p>
    <w:p>
      <w:pPr>
        <w:spacing w:after="0" w:line="19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Company’s bylaws obligate it, to the maximum extent permitted by Maryland law, to indemnify (a) any trustee, officer or shareholder or any former trustee, officer or shareholder, including any individual who, while a trustee, officer or shareholder and at the express request of the Company,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Company’s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Company must have received from such trustee or officer (i) a written affirmation by the trustee or officer of his good faith belief that he has met the applicable standard of conduct necessary for indemnification by the Company and (ii) a written undertaking by or on his behalf to repay the amount paid or reimbursed by the Company if it shall ultimately be</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determined that the applicable standard of conduct was not met. The Company may, with the approval of its trustees, provide such indemnification or payment or reimbursement of expenses to any trustee, officer or shareholder or any former trustee, officer or shareholder who served a predecessor of the Company and to any employee or agent of the Company or a predecessor of the Company. Any indemnification or payment or reimbursement of the expenses permitted by the Company’s bylaws will be furnished in accordance with the procedures provided for indemnification or payment or reimbursement of expenses, as the case may be, under Section 2-418 of the Maryland General Corporation Law (the “MGCL”) for directors of Maryland corporations. The Company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87"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The partnership agreement of the Partnership provides that the Partnership is required to indemnify to the fullest extent permitted by law, subject to certain limitations set forth in such partnership agreement, (a) any person made, or threatened to be made, a party to any proceeding by reason of its status as (i) a general partner of the Partnership, (ii) the Company or an affiliate of the Company, (iii) an officer, employee or agent of the Partnership, or</w:t>
      </w:r>
    </w:p>
    <w:p>
      <w:pPr>
        <w:spacing w:after="0" w:line="2" w:lineRule="exact"/>
        <w:rPr>
          <w:sz w:val="20"/>
          <w:szCs w:val="20"/>
          <w:color w:val="auto"/>
        </w:rPr>
      </w:pPr>
    </w:p>
    <w:p>
      <w:pPr>
        <w:jc w:val="center"/>
        <w:ind w:left="120" w:right="160" w:hanging="4"/>
        <w:spacing w:after="0" w:line="277" w:lineRule="auto"/>
        <w:tabs>
          <w:tab w:leader="none" w:pos="42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director, trustee, officer, employee, member, manager, managing member or agent of a general partner of the Partnership, the Company or an affiliate of the Company, and (b) such other persons (including affiliates of the Company, a general partner of the Partnership or the Partnership) as the General Partner may designate from time to time (whether before or after the event giving rise to potential liability), in its sole and absolute discretion.</w:t>
      </w:r>
    </w:p>
    <w:p>
      <w:pPr>
        <w:spacing w:after="0" w:line="16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may be permitted to trustees, officers or persons controlling the Company or the Partnership pursuant to the foregoing provisions, the Company and the Partnership have been informed that in the opinion of the Securities and Exchange Commission such indemnification is against public policy as expressed in the Securities Act and is therefore unenforceable.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2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8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302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No.</w:t>
            </w:r>
          </w:p>
        </w:tc>
        <w:tc>
          <w:tcPr>
            <w:tcW w:w="3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3" w:lineRule="exact"/>
        <w:rPr>
          <w:sz w:val="20"/>
          <w:szCs w:val="20"/>
          <w:color w:val="auto"/>
        </w:rPr>
      </w:pPr>
    </w:p>
    <w:p>
      <w:pPr>
        <w:ind w:left="200" w:hanging="84"/>
        <w:spacing w:after="0"/>
        <w:tabs>
          <w:tab w:leader="none" w:pos="20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18"/>
          <w:szCs w:val="18"/>
          <w:color w:val="auto"/>
        </w:rPr>
        <w:t>Form of Underwriting Agreement for Debt Securities*</w:t>
      </w:r>
    </w:p>
    <w:p>
      <w:pPr>
        <w:spacing w:after="0" w:line="117"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w:t>
      </w:r>
      <w:r>
        <w:rPr>
          <w:rFonts w:ascii="Times New Roman" w:cs="Times New Roman" w:eastAsia="Times New Roman" w:hAnsi="Times New Roman"/>
          <w:sz w:val="17"/>
          <w:szCs w:val="17"/>
          <w:color w:val="auto"/>
        </w:rPr>
        <w:t>Form of Underwriting Agreement for Equity Securities*</w:t>
      </w:r>
    </w:p>
    <w:p>
      <w:pPr>
        <w:spacing w:after="0" w:line="128" w:lineRule="exact"/>
        <w:rPr>
          <w:rFonts w:ascii="Times New Roman" w:cs="Times New Roman" w:eastAsia="Times New Roman" w:hAnsi="Times New Roman"/>
          <w:sz w:val="16"/>
          <w:szCs w:val="16"/>
          <w:color w:val="auto"/>
        </w:rPr>
      </w:pPr>
    </w:p>
    <w:p>
      <w:pPr>
        <w:ind w:left="1000" w:right="120" w:hanging="884"/>
        <w:spacing w:after="0" w:line="266" w:lineRule="auto"/>
        <w:tabs>
          <w:tab w:leader="none" w:pos="21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4.1Amended and Restated Declaration of Trust of Federal Realty Investment Trust effective as of January 1, 2022, as amended by the Articles of Amendment effective as of January 1, 2022 and Articles of Amendment effective as of May 4, 2023 (previously filed as </w:t>
      </w:r>
      <w:hyperlink r:id="rId93">
        <w:r>
          <w:rPr>
            <w:rFonts w:ascii="Times New Roman" w:cs="Times New Roman" w:eastAsia="Times New Roman" w:hAnsi="Times New Roman"/>
            <w:sz w:val="18"/>
            <w:szCs w:val="18"/>
            <w:u w:val="single" w:color="auto"/>
            <w:color w:val="0000EE"/>
          </w:rPr>
          <w:t>Exhibit 3.1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Quarterly Report on Form 10-Q filed on August 2, 2023 and incorporated herein by reference)</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900" w:right="40" w:hanging="784"/>
        <w:spacing w:after="0" w:line="282" w:lineRule="auto"/>
        <w:tabs>
          <w:tab w:leader="none" w:pos="20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4.2Amended and Restated Bylaws of Federal Realty Investment Trust effective as of January 1, 2022, as amended February 7, 2023 (previously filed as </w:t>
      </w:r>
      <w:hyperlink r:id="rId95">
        <w:r>
          <w:rPr>
            <w:rFonts w:ascii="Times New Roman" w:cs="Times New Roman" w:eastAsia="Times New Roman" w:hAnsi="Times New Roman"/>
            <w:sz w:val="18"/>
            <w:szCs w:val="18"/>
            <w:u w:val="single" w:color="auto"/>
            <w:color w:val="0000EE"/>
          </w:rPr>
          <w:t>Exhibit 3.1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Quarterly Report on Form 10-Q filed on May 4, 2023 and incorporated herein by reference)</w:t>
      </w:r>
    </w:p>
    <w:p>
      <w:pPr>
        <w:spacing w:after="0" w:line="53" w:lineRule="exact"/>
        <w:rPr>
          <w:rFonts w:ascii="Times New Roman" w:cs="Times New Roman" w:eastAsia="Times New Roman" w:hAnsi="Times New Roman"/>
          <w:sz w:val="18"/>
          <w:szCs w:val="18"/>
          <w:color w:val="auto"/>
        </w:rPr>
      </w:pPr>
    </w:p>
    <w:p>
      <w:pPr>
        <w:ind w:left="900" w:right="500" w:hanging="784"/>
        <w:spacing w:after="0" w:line="282" w:lineRule="auto"/>
        <w:tabs>
          <w:tab w:leader="none" w:pos="207" w:val="left"/>
        </w:tabs>
        <w:numPr>
          <w:ilvl w:val="0"/>
          <w:numId w:val="8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hyperlink r:id="rId96">
        <w:r>
          <w:rPr>
            <w:rFonts w:ascii="Times New Roman" w:cs="Times New Roman" w:eastAsia="Times New Roman" w:hAnsi="Times New Roman"/>
            <w:sz w:val="18"/>
            <w:szCs w:val="18"/>
            <w:u w:val="single" w:color="auto"/>
            <w:color w:val="0000EE"/>
          </w:rPr>
          <w:t>Certificate of Limited Partnership of Federal Realty OP LP (previously filed as Exhibit 3.1 to our Current Report on Form 8-K filed on</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January 5, 2022 and incorporated herein by reference)</w:t>
        </w:r>
      </w:hyperlink>
    </w:p>
    <w:p>
      <w:pPr>
        <w:spacing w:after="0" w:line="53" w:lineRule="exact"/>
        <w:rPr>
          <w:rFonts w:ascii="Times New Roman" w:cs="Times New Roman" w:eastAsia="Times New Roman" w:hAnsi="Times New Roman"/>
          <w:sz w:val="18"/>
          <w:szCs w:val="18"/>
          <w:u w:val="single" w:color="auto"/>
          <w:color w:val="0000EE"/>
        </w:rPr>
      </w:pPr>
    </w:p>
    <w:p>
      <w:pPr>
        <w:ind w:left="900" w:right="560" w:hanging="784"/>
        <w:spacing w:after="0" w:line="266" w:lineRule="auto"/>
        <w:tabs>
          <w:tab w:leader="none" w:pos="207" w:val="left"/>
        </w:tabs>
        <w:numPr>
          <w:ilvl w:val="0"/>
          <w:numId w:val="8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hyperlink r:id="rId97">
        <w:r>
          <w:rPr>
            <w:rFonts w:ascii="Times New Roman" w:cs="Times New Roman" w:eastAsia="Times New Roman" w:hAnsi="Times New Roman"/>
            <w:sz w:val="18"/>
            <w:szCs w:val="18"/>
            <w:u w:val="single" w:color="auto"/>
            <w:color w:val="0000EE"/>
          </w:rPr>
          <w:t>Agreement of Limited Partnership of Federal Realty OP LP, dated as of January 5, 2022, by and between Federal Realty GP LLC and</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Federal Realty Investment Trust (previously filed as Exhibit 3.2 to our Current Report on Form 8-K filed on January 5, 2022 and</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incorporated herein by reference)</w:t>
        </w:r>
      </w:hyperlink>
    </w:p>
    <w:p>
      <w:pPr>
        <w:spacing w:after="0" w:line="67" w:lineRule="exact"/>
        <w:rPr>
          <w:rFonts w:ascii="Times New Roman" w:cs="Times New Roman" w:eastAsia="Times New Roman" w:hAnsi="Times New Roman"/>
          <w:sz w:val="18"/>
          <w:szCs w:val="18"/>
          <w:u w:val="single" w:color="auto"/>
          <w:color w:val="0000EE"/>
        </w:rPr>
      </w:pPr>
    </w:p>
    <w:p>
      <w:pPr>
        <w:ind w:left="900" w:right="160" w:hanging="784"/>
        <w:spacing w:after="0" w:line="261" w:lineRule="auto"/>
        <w:tabs>
          <w:tab w:leader="none" w:pos="207" w:val="left"/>
        </w:tabs>
        <w:numPr>
          <w:ilvl w:val="0"/>
          <w:numId w:val="8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hyperlink r:id="rId98">
        <w:r>
          <w:rPr>
            <w:rFonts w:ascii="Times New Roman" w:cs="Times New Roman" w:eastAsia="Times New Roman" w:hAnsi="Times New Roman"/>
            <w:sz w:val="18"/>
            <w:szCs w:val="18"/>
            <w:u w:val="single" w:color="auto"/>
            <w:color w:val="0000EE"/>
          </w:rPr>
          <w:t>Deposit Agreement, dated as of September 29, 2017, by and among Federal Realty Investment Trust, Equiniti Trust Company, LLC</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(successor to American Stock Transfer and Trust Company, LLC), as Depository, and all holders from time to time of Receipt (previously</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filed as Exhibit 4.1 to our Registration Statement on Form 8-A (File No. 1-07533), filed on September 29, 2017 and incorporated herein by</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reference)</w:t>
        </w:r>
      </w:hyperlink>
    </w:p>
    <w:p>
      <w:pPr>
        <w:spacing w:after="0" w:line="71" w:lineRule="exact"/>
        <w:rPr>
          <w:rFonts w:ascii="Times New Roman" w:cs="Times New Roman" w:eastAsia="Times New Roman" w:hAnsi="Times New Roman"/>
          <w:sz w:val="18"/>
          <w:szCs w:val="18"/>
          <w:u w:val="single" w:color="auto"/>
          <w:color w:val="0000EE"/>
        </w:rPr>
      </w:pPr>
    </w:p>
    <w:p>
      <w:pPr>
        <w:ind w:left="900" w:right="200" w:hanging="784"/>
        <w:spacing w:after="0" w:line="282" w:lineRule="auto"/>
        <w:tabs>
          <w:tab w:leader="none" w:pos="207" w:val="left"/>
        </w:tabs>
        <w:numPr>
          <w:ilvl w:val="0"/>
          <w:numId w:val="8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hyperlink r:id="rId99">
        <w:r>
          <w:rPr>
            <w:rFonts w:ascii="Times New Roman" w:cs="Times New Roman" w:eastAsia="Times New Roman" w:hAnsi="Times New Roman"/>
            <w:sz w:val="18"/>
            <w:szCs w:val="18"/>
            <w:u w:val="single" w:color="auto"/>
            <w:color w:val="0000EE"/>
          </w:rPr>
          <w:t>Specimen Common Share certificate (previously filed as Exhibit 4(i) to our Annual Report on Form 10-K for the year ended December 31,</w:t>
        </w:r>
      </w:hyperlink>
      <w:r>
        <w:rPr>
          <w:rFonts w:ascii="Times New Roman" w:cs="Times New Roman" w:eastAsia="Times New Roman" w:hAnsi="Times New Roman"/>
          <w:sz w:val="18"/>
          <w:szCs w:val="18"/>
          <w:u w:val="single" w:color="auto"/>
          <w:color w:val="0000EE"/>
        </w:rPr>
        <w:t xml:space="preserve"> </w:t>
      </w:r>
      <w:hyperlink r:id="rId99">
        <w:r>
          <w:rPr>
            <w:rFonts w:ascii="Times New Roman" w:cs="Times New Roman" w:eastAsia="Times New Roman" w:hAnsi="Times New Roman"/>
            <w:sz w:val="18"/>
            <w:szCs w:val="18"/>
            <w:u w:val="single" w:color="auto"/>
            <w:color w:val="0000EE"/>
          </w:rPr>
          <w:t>1999 and incorporated herein by reference)</w:t>
        </w:r>
      </w:hyperlink>
    </w:p>
    <w:p>
      <w:pPr>
        <w:spacing w:after="0" w:line="53" w:lineRule="exact"/>
        <w:rPr>
          <w:rFonts w:ascii="Times New Roman" w:cs="Times New Roman" w:eastAsia="Times New Roman" w:hAnsi="Times New Roman"/>
          <w:sz w:val="18"/>
          <w:szCs w:val="18"/>
          <w:u w:val="single" w:color="auto"/>
          <w:color w:val="0000EE"/>
        </w:rPr>
      </w:pPr>
    </w:p>
    <w:p>
      <w:pPr>
        <w:ind w:left="900" w:hanging="784"/>
        <w:spacing w:after="0" w:line="312" w:lineRule="auto"/>
        <w:tabs>
          <w:tab w:leader="none" w:pos="207" w:val="left"/>
        </w:tabs>
        <w:numPr>
          <w:ilvl w:val="0"/>
          <w:numId w:val="87"/>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4.7</w:t>
      </w:r>
      <w:hyperlink r:id="rId100">
        <w:r>
          <w:rPr>
            <w:rFonts w:ascii="Times New Roman" w:cs="Times New Roman" w:eastAsia="Times New Roman" w:hAnsi="Times New Roman"/>
            <w:sz w:val="17"/>
            <w:szCs w:val="17"/>
            <w:u w:val="single" w:color="auto"/>
            <w:color w:val="0000EE"/>
          </w:rPr>
          <w:t>Specimen certificate relating to the 5.000% Series C Cumulative Redeemable Preferred Shares of Beneficial Interest (previously filed as</w:t>
        </w:r>
      </w:hyperlink>
      <w:r>
        <w:rPr>
          <w:rFonts w:ascii="Times New Roman" w:cs="Times New Roman" w:eastAsia="Times New Roman" w:hAnsi="Times New Roman"/>
          <w:sz w:val="17"/>
          <w:szCs w:val="17"/>
          <w:u w:val="single" w:color="auto"/>
          <w:color w:val="0000EE"/>
        </w:rPr>
        <w:t xml:space="preserve"> </w:t>
      </w:r>
      <w:hyperlink r:id="rId100">
        <w:r>
          <w:rPr>
            <w:rFonts w:ascii="Times New Roman" w:cs="Times New Roman" w:eastAsia="Times New Roman" w:hAnsi="Times New Roman"/>
            <w:sz w:val="17"/>
            <w:szCs w:val="17"/>
            <w:u w:val="single" w:color="auto"/>
            <w:color w:val="0000EE"/>
          </w:rPr>
          <w:t>Exhibit 4.3 to our Registration Statement on Form 8-A (File No. 1-07533), filed on September 29, 2017 and incorporated herein by reference)</w:t>
        </w:r>
      </w:hyperlink>
    </w:p>
    <w:p>
      <w:pPr>
        <w:spacing w:after="0" w:line="31" w:lineRule="exact"/>
        <w:rPr>
          <w:rFonts w:ascii="Times New Roman" w:cs="Times New Roman" w:eastAsia="Times New Roman" w:hAnsi="Times New Roman"/>
          <w:sz w:val="17"/>
          <w:szCs w:val="17"/>
          <w:u w:val="single" w:color="auto"/>
          <w:color w:val="0000EE"/>
        </w:rPr>
      </w:pPr>
    </w:p>
    <w:p>
      <w:pPr>
        <w:ind w:left="900" w:right="220" w:hanging="784"/>
        <w:spacing w:after="0" w:line="266" w:lineRule="auto"/>
        <w:tabs>
          <w:tab w:leader="none" w:pos="20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4.8**Indenture dated December 1, 1993 related to Federal Realty OP LP’s 7.48% Debentures due August 15, 2026; and 6.82% Medium Term Notes due August 1, 2027; (previously filed as Exhibit 4(a) to our Registration Statement on Form S-3 (File No. 33-51029), and amended on Form S-3 (File No. 33-63687), filed on December 13, 1993 and incorporated herein by reference)</w:t>
      </w:r>
    </w:p>
    <w:p>
      <w:pPr>
        <w:spacing w:after="0" w:line="67" w:lineRule="exact"/>
        <w:rPr>
          <w:rFonts w:ascii="Times New Roman" w:cs="Times New Roman" w:eastAsia="Times New Roman" w:hAnsi="Times New Roman"/>
          <w:sz w:val="18"/>
          <w:szCs w:val="18"/>
          <w:color w:val="auto"/>
        </w:rPr>
      </w:pPr>
    </w:p>
    <w:p>
      <w:pPr>
        <w:ind w:left="900" w:right="100" w:hanging="784"/>
        <w:spacing w:after="0" w:line="266" w:lineRule="auto"/>
        <w:tabs>
          <w:tab w:leader="none" w:pos="207" w:val="left"/>
        </w:tabs>
        <w:numPr>
          <w:ilvl w:val="0"/>
          <w:numId w:val="8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4.9</w:t>
      </w:r>
      <w:hyperlink r:id="rId101">
        <w:r>
          <w:rPr>
            <w:rFonts w:ascii="Times New Roman" w:cs="Times New Roman" w:eastAsia="Times New Roman" w:hAnsi="Times New Roman"/>
            <w:sz w:val="18"/>
            <w:szCs w:val="18"/>
            <w:u w:val="single" w:color="auto"/>
            <w:color w:val="0000EE"/>
          </w:rPr>
          <w:t>**Indenture dated as of September 1, 1998 related to Federal Realty OP LP’s 4.50% Notes due 2044, 3.625% Notes due 2046, 3.25% Notes</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due 2027, 3.20% Notes due 2029, 3.50% Notes due 2030 and 1.25% Notes due 2026 (previously filed as Exhibit 4(a) to our Registration</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Statement on Form S-3 (File No. 333-63619), filed on September 17, 1998 and incorporated herein by reference)</w:t>
        </w:r>
      </w:hyperlink>
    </w:p>
    <w:p>
      <w:pPr>
        <w:spacing w:after="0" w:line="67" w:lineRule="exact"/>
        <w:rPr>
          <w:rFonts w:ascii="Times New Roman" w:cs="Times New Roman" w:eastAsia="Times New Roman" w:hAnsi="Times New Roman"/>
          <w:sz w:val="18"/>
          <w:szCs w:val="18"/>
          <w:u w:val="single" w:color="auto"/>
          <w:color w:val="0000EE"/>
        </w:rPr>
      </w:pPr>
    </w:p>
    <w:p>
      <w:pPr>
        <w:ind w:left="900" w:hanging="784"/>
        <w:spacing w:after="0" w:line="266" w:lineRule="auto"/>
        <w:tabs>
          <w:tab w:leader="none" w:pos="207" w:val="left"/>
        </w:tabs>
        <w:numPr>
          <w:ilvl w:val="0"/>
          <w:numId w:val="8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4.10</w:t>
      </w:r>
      <w:hyperlink r:id="rId102">
        <w:r>
          <w:rPr>
            <w:rFonts w:ascii="Times New Roman" w:cs="Times New Roman" w:eastAsia="Times New Roman" w:hAnsi="Times New Roman"/>
            <w:sz w:val="18"/>
            <w:szCs w:val="18"/>
            <w:u w:val="single" w:color="auto"/>
            <w:color w:val="0000EE"/>
          </w:rPr>
          <w:t>First Supplemental Indenture, dated as of January 5, 2022, by and between Federal Realty OP LP and U.S. Bank National Association, with</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respect to Federal Realty OP LP’s Indenture dated December 1, 1993 (previously filed as Exhibit 4.1 to our Current Report on Form 8-K filed</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on January 5, 2022 and incorporated herein by reference)</w:t>
        </w:r>
      </w:hyperlink>
    </w:p>
    <w:p>
      <w:pPr>
        <w:spacing w:after="0" w:line="67" w:lineRule="exact"/>
        <w:rPr>
          <w:rFonts w:ascii="Times New Roman" w:cs="Times New Roman" w:eastAsia="Times New Roman" w:hAnsi="Times New Roman"/>
          <w:sz w:val="18"/>
          <w:szCs w:val="18"/>
          <w:u w:val="single" w:color="auto"/>
          <w:color w:val="0000EE"/>
        </w:rPr>
      </w:pPr>
    </w:p>
    <w:p>
      <w:pPr>
        <w:ind w:left="900" w:right="100" w:hanging="784"/>
        <w:spacing w:after="0" w:line="266" w:lineRule="auto"/>
        <w:tabs>
          <w:tab w:leader="none" w:pos="207" w:val="left"/>
        </w:tabs>
        <w:numPr>
          <w:ilvl w:val="0"/>
          <w:numId w:val="8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4.11</w:t>
      </w:r>
      <w:hyperlink r:id="rId103">
        <w:r>
          <w:rPr>
            <w:rFonts w:ascii="Times New Roman" w:cs="Times New Roman" w:eastAsia="Times New Roman" w:hAnsi="Times New Roman"/>
            <w:sz w:val="18"/>
            <w:szCs w:val="18"/>
            <w:u w:val="single" w:color="auto"/>
            <w:color w:val="0000EE"/>
          </w:rPr>
          <w:t>First Supplemental Indenture, dated as of January 5, 2022, by and between Federal Realty OP LP and U.S. Bank National Association, with</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respect to Federal Realty OP LP’s Indenture dated September 1, 1998 (previously filed as Exhibit 4.2 to our Current Report on Form 8-K</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filed on January 5, 2022 and incorporated herein by reference)</w:t>
        </w:r>
      </w:hyperlink>
    </w:p>
    <w:p>
      <w:pPr>
        <w:spacing w:after="0" w:line="67"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4.12</w:t>
      </w:r>
      <w:r>
        <w:rPr>
          <w:rFonts w:ascii="Times New Roman" w:cs="Times New Roman" w:eastAsia="Times New Roman" w:hAnsi="Times New Roman"/>
          <w:sz w:val="18"/>
          <w:szCs w:val="18"/>
          <w:color w:val="auto"/>
        </w:rPr>
        <w:t>Form of Subordinated Indenture*</w:t>
      </w:r>
    </w:p>
    <w:p>
      <w:pPr>
        <w:spacing w:after="0" w:line="117"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4.13</w:t>
      </w:r>
      <w:r>
        <w:rPr>
          <w:rFonts w:ascii="Times New Roman" w:cs="Times New Roman" w:eastAsia="Times New Roman" w:hAnsi="Times New Roman"/>
          <w:sz w:val="17"/>
          <w:szCs w:val="17"/>
          <w:color w:val="auto"/>
        </w:rPr>
        <w:t>Form of Warrant Agreement*</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4.14</w:t>
      </w:r>
      <w:r>
        <w:rPr>
          <w:rFonts w:ascii="Times New Roman" w:cs="Times New Roman" w:eastAsia="Times New Roman" w:hAnsi="Times New Roman"/>
          <w:sz w:val="18"/>
          <w:szCs w:val="18"/>
          <w:color w:val="auto"/>
        </w:rPr>
        <w:t>Form of Certificate for Preferred Shares*</w:t>
      </w:r>
    </w:p>
    <w:p>
      <w:pPr>
        <w:spacing w:after="0" w:line="117"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4.15</w:t>
      </w:r>
      <w:r>
        <w:rPr>
          <w:rFonts w:ascii="Times New Roman" w:cs="Times New Roman" w:eastAsia="Times New Roman" w:hAnsi="Times New Roman"/>
          <w:sz w:val="18"/>
          <w:szCs w:val="18"/>
          <w:color w:val="auto"/>
        </w:rPr>
        <w:t>Form of Deposit Agreement and Depositary Receipt*</w:t>
      </w:r>
    </w:p>
    <w:p>
      <w:pPr>
        <w:spacing w:after="0" w:line="117"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4.16</w:t>
      </w:r>
      <w:r>
        <w:rPr>
          <w:rFonts w:ascii="Times New Roman" w:cs="Times New Roman" w:eastAsia="Times New Roman" w:hAnsi="Times New Roman"/>
          <w:sz w:val="17"/>
          <w:szCs w:val="17"/>
          <w:color w:val="auto"/>
        </w:rPr>
        <w:t>Form of Share Purchase Contract*</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4.17</w:t>
      </w:r>
      <w:r>
        <w:rPr>
          <w:rFonts w:ascii="Times New Roman" w:cs="Times New Roman" w:eastAsia="Times New Roman" w:hAnsi="Times New Roman"/>
          <w:sz w:val="17"/>
          <w:szCs w:val="17"/>
          <w:color w:val="auto"/>
        </w:rPr>
        <w:t>Form of Unit Agreement (including form of Unit Certificate)*</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Pillsbury Winthrop Shaw Pittman LLP regarding the legality of the securities being registered (filed herewith)</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8.1</w:t>
      </w:r>
      <w:r>
        <w:rPr>
          <w:rFonts w:ascii="Times New Roman" w:cs="Times New Roman" w:eastAsia="Times New Roman" w:hAnsi="Times New Roman"/>
          <w:sz w:val="17"/>
          <w:szCs w:val="17"/>
          <w:u w:val="single" w:color="auto"/>
          <w:color w:val="0000EE"/>
        </w:rPr>
        <w:t>Opinion of Pillsbury Winthrop Shaw Pittman LLP regarding certain federal income tax matters (filed herewith)</w:t>
      </w:r>
    </w:p>
    <w:p>
      <w:pPr>
        <w:spacing w:after="0" w:line="129" w:lineRule="exact"/>
        <w:rPr>
          <w:rFonts w:ascii="Times New Roman" w:cs="Times New Roman" w:eastAsia="Times New Roman" w:hAnsi="Times New Roman"/>
          <w:sz w:val="18"/>
          <w:szCs w:val="18"/>
          <w:u w:val="single" w:color="auto"/>
          <w:color w:val="0000EE"/>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Grant Thornton LLP (filed herewith)</w:t>
      </w:r>
    </w:p>
    <w:p>
      <w:pPr>
        <w:spacing w:after="0" w:line="117" w:lineRule="exact"/>
        <w:rPr>
          <w:rFonts w:ascii="Times New Roman" w:cs="Times New Roman" w:eastAsia="Times New Roman" w:hAnsi="Times New Roman"/>
          <w:sz w:val="18"/>
          <w:szCs w:val="18"/>
          <w:u w:val="single" w:color="auto"/>
          <w:color w:val="0000EE"/>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color w:val="auto"/>
        </w:rPr>
        <w:t xml:space="preserve">Consent of Pillsbury Winthrop Shaw Pittman LLP (included in </w:t>
      </w:r>
      <w:r>
        <w:rPr>
          <w:rFonts w:ascii="Times New Roman" w:cs="Times New Roman" w:eastAsia="Times New Roman" w:hAnsi="Times New Roman"/>
          <w:sz w:val="17"/>
          <w:szCs w:val="17"/>
          <w:u w:val="single" w:color="auto"/>
          <w:color w:val="0000EE"/>
        </w:rPr>
        <w:t>Exhibits 5.1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0000EE"/>
        </w:rPr>
        <w:t>8.1</w:t>
      </w:r>
      <w:r>
        <w:rPr>
          <w:rFonts w:ascii="Times New Roman" w:cs="Times New Roman" w:eastAsia="Times New Roman" w:hAnsi="Times New Roman"/>
          <w:sz w:val="17"/>
          <w:szCs w:val="17"/>
          <w:color w:val="auto"/>
        </w:rPr>
        <w:t>).</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tabs>
          <w:tab w:leader="none" w:pos="76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(filed herewith)</w:t>
      </w:r>
    </w:p>
    <w:p>
      <w:pPr>
        <w:spacing w:after="0" w:line="117" w:lineRule="exact"/>
        <w:rPr>
          <w:sz w:val="20"/>
          <w:szCs w:val="20"/>
          <w:color w:val="auto"/>
        </w:rPr>
      </w:pPr>
    </w:p>
    <w:p>
      <w:pPr>
        <w:ind w:left="120"/>
        <w:spacing w:after="0"/>
        <w:tabs>
          <w:tab w:leader="none" w:pos="76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7"/>
          <w:szCs w:val="17"/>
          <w:u w:val="single" w:color="auto"/>
          <w:color w:val="0000EE"/>
        </w:rPr>
        <w:t>Statement of Eligibility of Trustee on Form T-1 (filed herewith)</w:t>
      </w:r>
    </w:p>
    <w:p>
      <w:pPr>
        <w:spacing w:after="0" w:line="117" w:lineRule="exact"/>
        <w:rPr>
          <w:sz w:val="20"/>
          <w:szCs w:val="20"/>
          <w:color w:val="auto"/>
        </w:rPr>
      </w:pPr>
    </w:p>
    <w:p>
      <w:pPr>
        <w:ind w:left="780" w:hanging="664"/>
        <w:spacing w:after="0"/>
        <w:tabs>
          <w:tab w:leader="none" w:pos="7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52" w:lineRule="exact"/>
        <w:rPr>
          <w:sz w:val="20"/>
          <w:szCs w:val="20"/>
          <w:color w:val="auto"/>
        </w:rPr>
      </w:pPr>
    </w:p>
    <w:p>
      <w:pPr>
        <w:ind w:left="540" w:hanging="424"/>
        <w:spacing w:after="0"/>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incorporated by reference in connection with the offering of the offered securities.</w:t>
      </w:r>
    </w:p>
    <w:p>
      <w:pPr>
        <w:spacing w:after="0" w:line="27" w:lineRule="exact"/>
        <w:rPr>
          <w:sz w:val="20"/>
          <w:szCs w:val="20"/>
          <w:color w:val="auto"/>
        </w:rPr>
      </w:pPr>
    </w:p>
    <w:p>
      <w:pPr>
        <w:ind w:left="540" w:right="20" w:hanging="424"/>
        <w:spacing w:after="0" w:line="260"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Regulation S-K Item 601(b)(4)(iii), the Company and the Partnership by this filing agree, upon request, to furnish to the Securities and Exchange Commission a copy of other instruments defining the rights of holders of long-term debt of the Company and the Partnership.</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800" w:hanging="244"/>
        <w:spacing w:after="0"/>
        <w:tabs>
          <w:tab w:leader="none" w:pos="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registrants hereby undertake:</w:t>
      </w:r>
    </w:p>
    <w:p>
      <w:pPr>
        <w:spacing w:after="0" w:line="117"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w:t>
      </w:r>
    </w:p>
    <w:p>
      <w:pPr>
        <w:spacing w:after="0" w:line="117" w:lineRule="exact"/>
        <w:rPr>
          <w:rFonts w:ascii="Times New Roman" w:cs="Times New Roman" w:eastAsia="Times New Roman" w:hAnsi="Times New Roman"/>
          <w:sz w:val="18"/>
          <w:szCs w:val="18"/>
          <w:color w:val="auto"/>
        </w:rPr>
      </w:pPr>
    </w:p>
    <w:p>
      <w:pPr>
        <w:ind w:left="1100" w:firstLine="408"/>
        <w:spacing w:after="0" w:line="254" w:lineRule="auto"/>
        <w:tabs>
          <w:tab w:leader="none" w:pos="1766"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Filing Fee Tables” or “Calculation of Registration Fee” table, as applicable, in the effective registration statement; and</w:t>
      </w:r>
    </w:p>
    <w:p>
      <w:pPr>
        <w:spacing w:after="0" w:line="83" w:lineRule="exact"/>
        <w:rPr>
          <w:rFonts w:ascii="Times New Roman" w:cs="Times New Roman" w:eastAsia="Times New Roman" w:hAnsi="Times New Roman"/>
          <w:sz w:val="18"/>
          <w:szCs w:val="18"/>
          <w:color w:val="auto"/>
        </w:rPr>
      </w:pPr>
    </w:p>
    <w:p>
      <w:pPr>
        <w:ind w:left="1100" w:right="120" w:firstLine="408"/>
        <w:spacing w:after="0" w:line="282" w:lineRule="auto"/>
        <w:tabs>
          <w:tab w:leader="none" w:pos="1816"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undersigned registrants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2" w:lineRule="exact"/>
        <w:rPr>
          <w:sz w:val="20"/>
          <w:szCs w:val="20"/>
          <w:color w:val="auto"/>
        </w:rPr>
      </w:pPr>
    </w:p>
    <w:p>
      <w:pPr>
        <w:ind w:left="560" w:right="80" w:firstLine="419"/>
        <w:spacing w:after="0" w:line="266" w:lineRule="auto"/>
        <w:tabs>
          <w:tab w:leader="none" w:pos="123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67" w:lineRule="exact"/>
        <w:rPr>
          <w:rFonts w:ascii="Times New Roman" w:cs="Times New Roman" w:eastAsia="Times New Roman" w:hAnsi="Times New Roman"/>
          <w:sz w:val="18"/>
          <w:szCs w:val="18"/>
          <w:color w:val="auto"/>
        </w:rPr>
      </w:pPr>
    </w:p>
    <w:p>
      <w:pPr>
        <w:ind w:left="560" w:right="200" w:firstLine="419"/>
        <w:spacing w:after="0" w:line="282" w:lineRule="auto"/>
        <w:tabs>
          <w:tab w:leader="none" w:pos="123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as amended, to any purchaser:</w:t>
      </w:r>
    </w:p>
    <w:p>
      <w:pPr>
        <w:spacing w:after="0" w:line="117" w:lineRule="exact"/>
        <w:rPr>
          <w:rFonts w:ascii="Times New Roman" w:cs="Times New Roman" w:eastAsia="Times New Roman" w:hAnsi="Times New Roman"/>
          <w:sz w:val="18"/>
          <w:szCs w:val="18"/>
          <w:color w:val="auto"/>
        </w:rPr>
      </w:pPr>
    </w:p>
    <w:p>
      <w:pPr>
        <w:ind w:left="1100" w:right="60" w:firstLine="408"/>
        <w:spacing w:after="0" w:line="282" w:lineRule="auto"/>
        <w:tabs>
          <w:tab w:leader="none" w:pos="171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firstLine="408"/>
        <w:spacing w:after="0" w:line="253" w:lineRule="auto"/>
        <w:tabs>
          <w:tab w:leader="none" w:pos="176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1" w:lineRule="exact"/>
        <w:rPr>
          <w:rFonts w:ascii="Times New Roman" w:cs="Times New Roman" w:eastAsia="Times New Roman" w:hAnsi="Times New Roman"/>
          <w:sz w:val="18"/>
          <w:szCs w:val="18"/>
          <w:color w:val="auto"/>
        </w:rPr>
      </w:pPr>
    </w:p>
    <w:p>
      <w:pPr>
        <w:ind w:left="560" w:right="440" w:firstLine="419"/>
        <w:spacing w:after="0" w:line="282" w:lineRule="auto"/>
        <w:tabs>
          <w:tab w:leader="none" w:pos="123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as amended, to any purchaser in the initial distribution of the securities: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a seller to the purchaser and will be considered to offer or sell such securities to such purchaser:</w:t>
      </w:r>
    </w:p>
    <w:p>
      <w:pPr>
        <w:spacing w:after="0" w:line="72" w:lineRule="exact"/>
        <w:rPr>
          <w:sz w:val="20"/>
          <w:szCs w:val="20"/>
          <w:color w:val="auto"/>
        </w:rPr>
      </w:pPr>
    </w:p>
    <w:p>
      <w:pPr>
        <w:ind w:left="1100" w:right="320" w:firstLine="408"/>
        <w:spacing w:after="0" w:line="282" w:lineRule="auto"/>
        <w:tabs>
          <w:tab w:leader="none" w:pos="171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registrants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100" w:right="160" w:firstLine="408"/>
        <w:spacing w:after="0" w:line="282" w:lineRule="auto"/>
        <w:tabs>
          <w:tab w:leader="none" w:pos="176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registrants or used or referred to by the undersigned registrants;</w:t>
      </w:r>
    </w:p>
    <w:p>
      <w:pPr>
        <w:spacing w:after="0" w:line="53" w:lineRule="exact"/>
        <w:rPr>
          <w:rFonts w:ascii="Times New Roman" w:cs="Times New Roman" w:eastAsia="Times New Roman" w:hAnsi="Times New Roman"/>
          <w:sz w:val="18"/>
          <w:szCs w:val="18"/>
          <w:color w:val="auto"/>
        </w:rPr>
      </w:pPr>
    </w:p>
    <w:p>
      <w:pPr>
        <w:ind w:left="1100" w:right="260" w:firstLine="408"/>
        <w:spacing w:after="0" w:line="282" w:lineRule="auto"/>
        <w:tabs>
          <w:tab w:leader="none" w:pos="181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registrants or their securities provided by or on behalf of the undersigned registrants; and</w:t>
      </w:r>
    </w:p>
    <w:p>
      <w:pPr>
        <w:spacing w:after="0" w:line="53"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registrants to the purchaser.</w:t>
      </w:r>
    </w:p>
    <w:p>
      <w:pPr>
        <w:spacing w:after="0" w:line="225" w:lineRule="exact"/>
        <w:rPr>
          <w:rFonts w:ascii="Times New Roman" w:cs="Times New Roman" w:eastAsia="Times New Roman" w:hAnsi="Times New Roman"/>
          <w:sz w:val="18"/>
          <w:szCs w:val="18"/>
          <w:color w:val="auto"/>
        </w:rPr>
      </w:pPr>
    </w:p>
    <w:p>
      <w:pPr>
        <w:ind w:left="120" w:right="260" w:firstLine="436"/>
        <w:spacing w:after="0" w:line="258" w:lineRule="auto"/>
        <w:tabs>
          <w:tab w:leader="none" w:pos="8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registrants hereby undertake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left="120" w:right="100" w:firstLine="436"/>
        <w:spacing w:after="0" w:line="254" w:lineRule="auto"/>
        <w:tabs>
          <w:tab w:leader="none" w:pos="80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as amended,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registrants certify that they have reasonable grounds to believe that they meets all of the requirements for filing on Form S-3 and have duly caused this registration statement to be signed on their behalf by the undersigned, thereunto duly authorized, in the city of North Bethesda, State of Maryland, on March 8, 2024.</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Dawn M. Becker</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Executive Vice President-General Counsel and</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Secretary</w:t>
      </w:r>
    </w:p>
    <w:p>
      <w:pPr>
        <w:spacing w:after="0" w:line="2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Dawn M. Becker</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Executive Vice President-General Counsel and</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Secretary</w:t>
      </w:r>
    </w:p>
    <w:p>
      <w:pPr>
        <w:spacing w:after="0" w:line="22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registration statement has been signed by the following persons in the capacities and on the dates indicated.</w:t>
      </w:r>
    </w:p>
    <w:p>
      <w:pPr>
        <w:sectPr>
          <w:pgSz w:w="11900" w:h="16838" w:orient="portrait"/>
          <w:cols w:equalWidth="0" w:num="1">
            <w:col w:w="11140"/>
          </w:cols>
          <w:pgMar w:left="320" w:top="455" w:right="439" w:bottom="1440" w:gutter="0" w:footer="0" w:header="0"/>
        </w:sectPr>
      </w:pP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26574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6574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Donald C. Wood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6574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Daniel Guglielmone</w:t>
      </w:r>
    </w:p>
    <w:p>
      <w:pPr>
        <w:spacing w:after="0" w:line="200" w:lineRule="exact"/>
        <w:rPr>
          <w:sz w:val="20"/>
          <w:szCs w:val="20"/>
          <w:color w:val="auto"/>
        </w:rPr>
      </w:pPr>
    </w:p>
    <w:p>
      <w:pPr>
        <w:spacing w:after="0" w:line="223"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6574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David W. Faeder</w:t>
      </w:r>
    </w:p>
    <w:p>
      <w:pPr>
        <w:spacing w:after="0" w:line="234"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6574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Elizabeth I. Holland</w:t>
      </w:r>
    </w:p>
    <w:p>
      <w:pPr>
        <w:spacing w:after="0" w:line="234"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6574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Nicole Y. Lamb-Hale</w:t>
      </w:r>
    </w:p>
    <w:p>
      <w:pPr>
        <w:spacing w:after="0" w:line="234"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6574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Thomas A. McEachin</w:t>
      </w:r>
    </w:p>
    <w:p>
      <w:pPr>
        <w:spacing w:after="0" w:line="234"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6574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Anthony P. Nader III</w:t>
      </w:r>
    </w:p>
    <w:p>
      <w:pPr>
        <w:spacing w:after="0" w:line="234"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6574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Gail P. Steinel</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25203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Dawn M. Becker</w:t>
      </w:r>
    </w:p>
    <w:p>
      <w:pPr>
        <w:spacing w:after="0" w:line="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484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39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of the Company and the Partnership</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2024</w:t>
            </w: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 and Trustee of the Company</w:t>
            </w:r>
          </w:p>
        </w:tc>
        <w:tc>
          <w:tcPr>
            <w:tcW w:w="1760" w:type="dxa"/>
            <w:vAlign w:val="bottom"/>
          </w:tcPr>
          <w:p>
            <w:pPr>
              <w:spacing w:after="0"/>
              <w:rPr>
                <w:sz w:val="20"/>
                <w:szCs w:val="20"/>
                <w:color w:val="auto"/>
              </w:rPr>
            </w:pPr>
          </w:p>
        </w:tc>
      </w:tr>
      <w:tr>
        <w:trPr>
          <w:trHeight w:val="441"/>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President-Chief Financial Officer and Treasurer of</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2024</w:t>
            </w: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and the Partnership (principal financial and</w:t>
            </w:r>
          </w:p>
        </w:tc>
        <w:tc>
          <w:tcPr>
            <w:tcW w:w="1760" w:type="dxa"/>
            <w:vAlign w:val="bottom"/>
          </w:tcPr>
          <w:p>
            <w:pPr>
              <w:spacing w:after="0"/>
              <w:rPr>
                <w:sz w:val="18"/>
                <w:szCs w:val="18"/>
                <w:color w:val="auto"/>
              </w:rPr>
            </w:pP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1760" w:type="dxa"/>
            <w:vAlign w:val="bottom"/>
          </w:tcPr>
          <w:p>
            <w:pPr>
              <w:spacing w:after="0"/>
              <w:rPr>
                <w:sz w:val="20"/>
                <w:szCs w:val="20"/>
                <w:color w:val="auto"/>
              </w:rPr>
            </w:pPr>
          </w:p>
        </w:tc>
      </w:tr>
      <w:tr>
        <w:trPr>
          <w:trHeight w:val="432"/>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 and Non-Executive Chairman of the Company</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2024</w:t>
            </w:r>
          </w:p>
        </w:tc>
      </w:tr>
      <w:tr>
        <w:trPr>
          <w:trHeight w:val="675"/>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 of the Company</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2024</w:t>
            </w:r>
          </w:p>
        </w:tc>
      </w:tr>
      <w:tr>
        <w:trPr>
          <w:trHeight w:val="675"/>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 of the Company</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2024</w:t>
            </w:r>
          </w:p>
        </w:tc>
      </w:tr>
      <w:tr>
        <w:trPr>
          <w:trHeight w:val="675"/>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 of the Company</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2024</w:t>
            </w:r>
          </w:p>
        </w:tc>
      </w:tr>
      <w:tr>
        <w:trPr>
          <w:trHeight w:val="675"/>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 of the Company</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2024</w:t>
            </w:r>
          </w:p>
        </w:tc>
      </w:tr>
      <w:tr>
        <w:trPr>
          <w:trHeight w:val="675"/>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 of the Company</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8, 2024</w:t>
            </w:r>
          </w:p>
        </w:tc>
      </w:tr>
    </w:tbl>
    <w:p>
      <w:pPr>
        <w:sectPr>
          <w:pgSz w:w="11900" w:h="16838" w:orient="portrait"/>
          <w:cols w:equalWidth="0" w:num="2">
            <w:col w:w="3700" w:space="720"/>
            <w:col w:w="6720"/>
          </w:cols>
          <w:pgMar w:left="320" w:top="455" w:right="439" w:bottom="1440" w:gutter="0" w:footer="0" w:header="0"/>
          <w:type w:val="continuous"/>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PILLSBURY WINTHROP SHAW PITTMAN LLP</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1200 Seventeenth Street NW</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Washington, DC 20036</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8,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909 Rose Avenue, Suite 200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23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color w:val="auto"/>
        </w:rPr>
        <w:t>Registration Statement on Form S-3</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160"/>
        <w:spacing w:after="0" w:line="272" w:lineRule="auto"/>
        <w:rPr>
          <w:sz w:val="20"/>
          <w:szCs w:val="20"/>
          <w:color w:val="auto"/>
        </w:rPr>
      </w:pPr>
      <w:r>
        <w:rPr>
          <w:rFonts w:ascii="Times New Roman" w:cs="Times New Roman" w:eastAsia="Times New Roman" w:hAnsi="Times New Roman"/>
          <w:sz w:val="17"/>
          <w:szCs w:val="17"/>
          <w:color w:val="auto"/>
        </w:rPr>
        <w:t>We are acting as counsel for Federal Realty Investment Trust, a Maryland real estate investment trust (the “Company”), and Federal Realty OP LP, a Delaware limited partnership (the “Partnership”), in connection with the Registration Statement on Form S-3 (the “Registration Statement”) relating to the registration under the Securities Act of 1933 (the “Act”) of an indeterminate initial offering amount of (i) the following securities of the Company:</w:t>
      </w:r>
    </w:p>
    <w:p>
      <w:pPr>
        <w:spacing w:after="0" w:line="2" w:lineRule="exact"/>
        <w:rPr>
          <w:sz w:val="20"/>
          <w:szCs w:val="20"/>
          <w:color w:val="auto"/>
        </w:rPr>
      </w:pPr>
    </w:p>
    <w:p>
      <w:pPr>
        <w:ind w:left="4" w:right="200" w:hanging="4"/>
        <w:spacing w:after="0" w:line="252" w:lineRule="auto"/>
        <w:tabs>
          <w:tab w:leader="none" w:pos="24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of beneficial interest, par value $0.01 per share (“Common Shares”), (b) preferred shares of beneficial interest, par value $0.01 per share (“Preferred Shares”), in one or more series, (c) depositary shares evidenced by depositary receipts (“Depositary Receipts”), each representing fractional interests in Preferred Shares (“Depositary Shares”), (d) warrants to purchase Common Shares or Preferred Shares (“Warrants”), (e) share purchase contracts to purchase Common Shares or Preferred Shares (“Share Purchase Contracts”), (f) guarantees of Debt Securities issued by the Partnership (“Guarantees”), and (g) units consisting of two or more of the securities described above (“Units”); and (ii) senior or subordinated debt securities of the Partnership (“Debt Securities”). The Common Shares, Preferred Shares, Depositary Shares, Warrants, Share Purchase Contracts, Guarantees, Units and Debt Securities are collectively referred to herein as the “Securities.”</w:t>
      </w:r>
    </w:p>
    <w:p>
      <w:pPr>
        <w:spacing w:after="0" w:line="188"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The Debt Securities will be issued pursuant to one or more indentures, including the Senior Indenture dated as of September 1, 1998 between the Partnership and U.S. Bank Trust Company, National Association (successor to U.S. Bank National Association (successor to Wachovia Bank National Association (formerly First Union National Bank))), as Trustee (the “Senior Debt Indenture”), filed as Exhibit 4.9 to the Registration Statement, and any additional indentures entered into from time to time (the “Indentures”). The Preferred Shares may be offered in any class or series and to the extent required will be offered and sold pursuant to articles supplementary and/or amendments to the Declaration of Trust of the Company as in effect from time to time (the “Declaration of Trust”), which are to be filed with the Maryland State Department of Assessments and Taxation (“SDAT”). Any Depositary Shares will be issued under one or more deposit agreements (each, a “Deposit Agreement”), each between the Company and a financial institution identified therein as the depositary (each, a “Depositary”). Any Warrants will be issued under one or more warrant agreements (each, a “Warrant Agreement”), each between the Company and a financial institution identified therein as a warrant agent (each, a “Warrant Agent”). Any Share Purchase Contracts will be issued under one or more share purchase contract agreements (each, a “Share Purchase Contract Agreement”), each between the Company and a financial institution identified therein as a share purchase contract agent (each, a “Share Purchase Contract Agent”). Any Units will be issued under one or more unit agreements (each, a “Unit Agreement”), each between the Company and a financial institution identified therein as a unit agent (each, a “Unit Agent”).</w:t>
      </w:r>
    </w:p>
    <w:p>
      <w:pPr>
        <w:spacing w:after="0" w:line="187" w:lineRule="exact"/>
        <w:rPr>
          <w:sz w:val="20"/>
          <w:szCs w:val="20"/>
          <w:color w:val="auto"/>
        </w:rPr>
      </w:pPr>
    </w:p>
    <w:p>
      <w:pPr>
        <w:ind w:left="4" w:right="220"/>
        <w:spacing w:after="0" w:line="258" w:lineRule="auto"/>
        <w:rPr>
          <w:sz w:val="20"/>
          <w:szCs w:val="20"/>
          <w:color w:val="auto"/>
        </w:rPr>
      </w:pPr>
      <w:r>
        <w:rPr>
          <w:rFonts w:ascii="Times New Roman" w:cs="Times New Roman" w:eastAsia="Times New Roman" w:hAnsi="Times New Roman"/>
          <w:sz w:val="18"/>
          <w:szCs w:val="18"/>
          <w:color w:val="auto"/>
        </w:rPr>
        <w:t>We have reviewed and are familiar with such corporate proceedings and other matters as we have deemed necessary for this opinion. In rendering this opinion, we have assumed that the Senior Debt Indenture has been and the Indentures, other than the Senior Debt Indenture, will be duly authorized, executed and delivered by the respective Trustee, where applicable, the Securities will be properly authenticated by the manual signature of an authorized representative of the applicable Trustee, Warrant Agent, Depositary, Share Purchase Contract Agent, Unit Agent or transfer agent, and the signatures on all documents examined by us are genuine, which assumptions we have not independently verified.</w:t>
      </w:r>
    </w:p>
    <w:p>
      <w:pPr>
        <w:sectPr>
          <w:pgSz w:w="11900" w:h="16838" w:orient="portrait"/>
          <w:cols w:equalWidth="0" w:num="1">
            <w:col w:w="11024"/>
          </w:cols>
          <w:pgMar w:left="436" w:top="117" w:right="439" w:bottom="1440" w:gutter="0" w:footer="0" w:header="0"/>
        </w:sectPr>
      </w:pPr>
    </w:p>
    <w:bookmarkStart w:id="71" w:name="page72"/>
    <w:bookmarkEnd w:id="7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basis of the assumptions and subject to the qualifications and limitations set forth herein, we are of the opinion that:</w:t>
      </w:r>
    </w:p>
    <w:p>
      <w:pPr>
        <w:spacing w:after="0" w:line="117" w:lineRule="exact"/>
        <w:rPr>
          <w:sz w:val="20"/>
          <w:szCs w:val="20"/>
          <w:color w:val="auto"/>
        </w:rPr>
      </w:pPr>
    </w:p>
    <w:p>
      <w:pPr>
        <w:ind w:left="4" w:right="40" w:hanging="4"/>
        <w:spacing w:after="0" w:line="255" w:lineRule="auto"/>
        <w:tabs>
          <w:tab w:leader="none" w:pos="18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Common Shares, when the Board of Trustees of the Company or a duly authorized committee of such Board of Trustees (such Board of Trustees or committee being referred to herein as the “Board”) has taken all necessary corporate action to approve the issuance and establish the terms of the offering of Common Shares and related matters and when such Common Shares have been issued and sold by the Company in the manner contemplated by the Registration Statement and in accordance with such Board action, such Common Shares (including any Common Shares duly issued upon conversion, exchange or exercise of any other Security in accordance with the terms of such Security or the instrument governing such Security providing for such conversion, exchange or exercise as approved by the Board) will be duly authorized, validly issued, fully paid and nonassessable.</w:t>
      </w:r>
    </w:p>
    <w:p>
      <w:pPr>
        <w:spacing w:after="0" w:line="188" w:lineRule="exact"/>
        <w:rPr>
          <w:rFonts w:ascii="Times New Roman" w:cs="Times New Roman" w:eastAsia="Times New Roman" w:hAnsi="Times New Roman"/>
          <w:sz w:val="18"/>
          <w:szCs w:val="18"/>
          <w:color w:val="auto"/>
        </w:rPr>
      </w:pPr>
    </w:p>
    <w:p>
      <w:pPr>
        <w:ind w:left="4" w:hanging="4"/>
        <w:spacing w:after="0" w:line="255" w:lineRule="auto"/>
        <w:tabs>
          <w:tab w:leader="none" w:pos="18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Preferred Shares, when the Board has taken all necessary corporate action to approve the issuance and establish the terms of any particular series of Preferred Shares, the offering thereof and related matters, including the filing of articles supplementary with the SDAT conforming to the law of the State of Maryland regarding the Preferred Shares, and when such series of Preferred Shares have been issued and sold by the Company in the manner contemplated by the Registration Statement and in accordance with such Board action, such series of Preferred Shares (including any Preferred Shares duly issued upon conversion, exchange or exercise of any other Security in accordance with the terms of such Security or the instrument governing such Security providing for such conversion, exchange or exercise as approved by the Board) will be duly authorized, legally issued, fully paid and nonassessable.</w:t>
      </w:r>
    </w:p>
    <w:p>
      <w:pPr>
        <w:spacing w:after="0" w:line="188" w:lineRule="exact"/>
        <w:rPr>
          <w:rFonts w:ascii="Times New Roman" w:cs="Times New Roman" w:eastAsia="Times New Roman" w:hAnsi="Times New Roman"/>
          <w:sz w:val="18"/>
          <w:szCs w:val="18"/>
          <w:color w:val="auto"/>
        </w:rPr>
      </w:pPr>
    </w:p>
    <w:p>
      <w:pPr>
        <w:ind w:left="4" w:hanging="4"/>
        <w:spacing w:after="0" w:line="253" w:lineRule="auto"/>
        <w:tabs>
          <w:tab w:leader="none" w:pos="18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Depositary Shares, when (a) the Board has taken all necessary corporate action to approve the issuance and establish the terms of the series of Preferred Shares to be issued in connection therewith, the offering of such Depositary Shares in such series of Preferred Shares, and related matters, including the filing of articles supplementary with SDAT conforming to the law of the State of Maryland regarding the Preferred Shares, (b) a Deposit Agreement has been duly authorized, executed and delivered by the Company and a Depositary, which Deposit Agreement establishes the terms of the Depositary Shares and their issuance and sale, (c) such series of Preferred Shares have been deposited with such Depositary in accordance with the applicable Deposit Agreement, (d) such series of Preferred Shares have been issued and sold in the manner contemplated by the Registration Statement and in accordance with such Board action, and (e) Depositary Receipts evidencing Depositary Shares are duly issued against the deposit of such series of Preferred Shares in accordance with the Deposit Agreement, such Depositary Shares will be duly authorized, validly issued, fully paid and nonassessable and such Depositary Receipts will be duly authorized and validly issued and entitle the holders thereof to the rights specified in the Deposit Agreement.</w:t>
      </w:r>
    </w:p>
    <w:p>
      <w:pPr>
        <w:spacing w:after="0" w:line="194" w:lineRule="exact"/>
        <w:rPr>
          <w:rFonts w:ascii="Times New Roman" w:cs="Times New Roman" w:eastAsia="Times New Roman" w:hAnsi="Times New Roman"/>
          <w:sz w:val="18"/>
          <w:szCs w:val="18"/>
          <w:color w:val="auto"/>
        </w:rPr>
      </w:pPr>
    </w:p>
    <w:p>
      <w:pPr>
        <w:ind w:left="4" w:right="20" w:hanging="4"/>
        <w:spacing w:after="0" w:line="272" w:lineRule="auto"/>
        <w:tabs>
          <w:tab w:leader="none" w:pos="184"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Debt Securities to be issued under the Indentures, other than the Senior Debt Indenture, when (a) any such Indenture has been duly qualified under the Trust Indenture Act of 1939, (b) the Board and the general partner of the Partnership have taken all necessary corporate or other action to approve the issuance and establish the terms of such Debt Securities, the terms of the offering and related matters, (c) such Debt Securities have been duly executed and authenticated in accordance with the terms of the applicable Indenture, and (d) such Debt Securities have been issued and sold in the manner contemplated by the Registration Statement and in accordance with the applicable Indenture, such Debt Securities (including any Debt Securities duly issued upon conversion, exchange or exercise of any other Security in accordance with the terms of such Security or the instrument governing such Security providing for such conversion, exchange or exercise as approved by the Board and the general partner of the Partnership) will constitute the valid and legally binding obligations of the Partnership, enforceable against the Partnership in accordance with their terms.</w:t>
      </w:r>
    </w:p>
    <w:p>
      <w:pPr>
        <w:spacing w:after="0" w:line="171" w:lineRule="exact"/>
        <w:rPr>
          <w:rFonts w:ascii="Times New Roman" w:cs="Times New Roman" w:eastAsia="Times New Roman" w:hAnsi="Times New Roman"/>
          <w:sz w:val="17"/>
          <w:szCs w:val="17"/>
          <w:color w:val="auto"/>
        </w:rPr>
      </w:pPr>
    </w:p>
    <w:p>
      <w:pPr>
        <w:ind w:left="4" w:right="40" w:hanging="4"/>
        <w:spacing w:after="0" w:line="256" w:lineRule="auto"/>
        <w:tabs>
          <w:tab w:leader="none" w:pos="18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Warrants, when (a) one or more Warrant Agreements incorporating the terms and other provisions thereof has been duly executed and delivered by the Company and a Warrant Agent, (b) the Board has taken all necessary corporate action to approve the issuance and establish the terms of the Warrants, the terms of the offering of such Warrants, and related matters, (c) the Warrant certificates have been duly executed and authenticated or countersigned in accordance with the terms of the appropriate Warrant Agreement, and (d) the Warrants have been issued and sold in the manner contemplated by the Registration Statement and in accordance with the applicable Warrant Agreement, the Warrants will constitute the valid and legally binding obligations of the</w:t>
      </w:r>
    </w:p>
    <w:p>
      <w:pPr>
        <w:sectPr>
          <w:pgSz w:w="11900" w:h="16838" w:orient="portrait"/>
          <w:cols w:equalWidth="0" w:num="1">
            <w:col w:w="11004"/>
          </w:cols>
          <w:pgMar w:left="436" w:top="270" w:right="459" w:bottom="1440" w:gutter="0" w:footer="0" w:header="0"/>
        </w:sectPr>
      </w:pPr>
    </w:p>
    <w:bookmarkStart w:id="72" w:name="page73"/>
    <w:bookmarkEnd w:id="72"/>
    <w:p>
      <w:pPr>
        <w:ind w:left="4"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enforceable against the Company in accordance with their terms, except as may be limited by applicable bankruptcy, insolvency, reorganization, moratorium, fraudulent transfer and similar laws affecting or relating to the rights of creditors generally, by general principles of equity (regardless of whether considered in a proceeding in equity or at law), and by requirements of reasonableness, good faith and fair dealing.</w:t>
      </w:r>
    </w:p>
    <w:p>
      <w:pPr>
        <w:spacing w:after="0" w:line="176" w:lineRule="exact"/>
        <w:rPr>
          <w:sz w:val="20"/>
          <w:szCs w:val="20"/>
          <w:color w:val="auto"/>
        </w:rPr>
      </w:pPr>
    </w:p>
    <w:p>
      <w:pPr>
        <w:ind w:left="4" w:right="200" w:hanging="4"/>
        <w:spacing w:after="0" w:line="255" w:lineRule="auto"/>
        <w:tabs>
          <w:tab w:leader="none" w:pos="18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of the Share Purchase Contracts, when (a) one or more Share Purchase Contract Agreements have been duly executed and delivered by the Company and a Share Purchase Contract Agent, (b) the Board has taken all necessary corporate action to approve the issuance and establish the terms of such Share Purchase Contracts, the terms of the offering of such Share Purchase Contracts, and related matters, (c) such Share Purchase Contracts have been duly executed and authenticated in accordance with the terms of such Share Purchase Contract Agreement, and (d) such Share Purchase Contracts have been issued and sold in the manner contemplated by the Registration Statement and in accordance with such Share Purchase Contract Agreement, such Share Purchase Contracts will constitute the valid and legally binding obligations of the Company, enforceable against the Company in accordance with their terms.</w:t>
      </w:r>
    </w:p>
    <w:p>
      <w:pPr>
        <w:spacing w:after="0" w:line="188" w:lineRule="exact"/>
        <w:rPr>
          <w:rFonts w:ascii="Times New Roman" w:cs="Times New Roman" w:eastAsia="Times New Roman" w:hAnsi="Times New Roman"/>
          <w:sz w:val="18"/>
          <w:szCs w:val="18"/>
          <w:color w:val="auto"/>
        </w:rPr>
      </w:pPr>
    </w:p>
    <w:p>
      <w:pPr>
        <w:ind w:left="4" w:right="20" w:hanging="4"/>
        <w:spacing w:after="0" w:line="256" w:lineRule="auto"/>
        <w:tabs>
          <w:tab w:leader="none" w:pos="18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of the Guarantees, when (a) one or more agreements incorporating the terms and other provisions thereof has been duly executed and delivered by the Company and a Guarantee trustee (a “Guarantee Agreement”), (b) the Board has taken all necessary corporate action to approve the issuance and establish the terms of such Guarantees, the terms of the offering of such Guarantees, and related matters, (c) such Guarantees have been duly executed and authenticated in accordance with the terms of such Guarantee Agreement, and (d) such Guarantees have been issued and sold in the manner contemplated by the Registration Statement and in accordance with such Guarantee Agreement, such Guarantees will constitute the valid and legally binding obligations of the Company, enforceable against the Company in accordance with their terms.</w:t>
      </w:r>
    </w:p>
    <w:p>
      <w:pPr>
        <w:spacing w:after="0" w:line="18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of the Units, when (a) one or more Unit Agreements has been duly executed and delivered by the Company and a Unit Agent,</w:t>
      </w:r>
    </w:p>
    <w:p>
      <w:pPr>
        <w:spacing w:after="0" w:line="27" w:lineRule="exact"/>
        <w:rPr>
          <w:sz w:val="20"/>
          <w:szCs w:val="20"/>
          <w:color w:val="auto"/>
        </w:rPr>
      </w:pPr>
    </w:p>
    <w:p>
      <w:pPr>
        <w:ind w:left="4" w:right="220" w:hanging="4"/>
        <w:spacing w:after="0" w:line="273" w:lineRule="auto"/>
        <w:tabs>
          <w:tab w:leader="none" w:pos="259"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has taken all necessary corporate action to approve the issuance and establish the terms of such Units, the terms of the offering of such Units, and related matters, (c) such Units have been duly executed and authenticated in accordance with the terms of the appropriate Unit Agreement, and (d) such Units have been issued and sold in the manner contemplated by the Registration Statement and in accordance with such Unit Agreement, such Units will constitute the valid and legally binding obligations of the Company, enforceable against the Company in accordance with their terms.</w:t>
      </w:r>
    </w:p>
    <w:p>
      <w:pPr>
        <w:spacing w:after="0" w:line="172" w:lineRule="exact"/>
        <w:rPr>
          <w:sz w:val="20"/>
          <w:szCs w:val="20"/>
          <w:color w:val="auto"/>
        </w:rPr>
      </w:pPr>
    </w:p>
    <w:p>
      <w:pPr>
        <w:ind w:left="4" w:hanging="4"/>
        <w:spacing w:after="0" w:line="254" w:lineRule="auto"/>
        <w:tabs>
          <w:tab w:leader="none" w:pos="18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Debt Securities to be issued under the Senior Debt Indenture, when (a) the Senior Debt Indenture has been duly qualified under the Trust Indenture Act of 1939, (b) the Board and the general partner of the Partnership have taken all necessary corporate or other action to approve the issuance and establish the terms of such Debt Securities, the terms of the offering and related matters, (c) such Debt Securities have been duly executed and authenticated in accordance with the terms of the Senior Debt Indenture, and (d) such Debt Securities have been issued and sold in the manner contemplated by the Registration Statement and in accordance with the Senior Debt Indenture, such Debt Securities (including any Debt Securities duly issued upon conversion, exchange or exercise of any other Security in accordance with the terms of such Security or the instrument governing such Security providing for such conversion, exchange or exercise as approved by the Board and the general partner of the Partnership) will constitute the valid and legally binding obligations of the Partnership, enforceable against the Partnership in accordance with their terms.</w:t>
      </w:r>
    </w:p>
    <w:p>
      <w:pPr>
        <w:spacing w:after="0" w:line="192"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Our opinions set forth above are subject to and limited by the effect of (a) applicable bankruptcy, insolvency, fraudulent conveyance, fraudulent transfer, receivership, conservatorship, arrangement, moratorium and other laws affecting or relating to the rights of creditors generally, (b) general equitable principles (whether considered in a proceeding in equity or at law) and (c) requirements of reasonableness, good faith, fair dealing and materiality and the discretion o the court before which any matter may be brought.</w:t>
      </w:r>
    </w:p>
    <w:p>
      <w:pPr>
        <w:spacing w:after="0" w:line="180"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In connection with the opinions expressed above, we have assumed that, (a) at or prior to the time of the delivery of any of the Securities, the Registration Statement, and any amendments thereto (including post-effective amendments) will be effective under the Act, a Prospectus Supplement to the Prospectus forming a part of the Registration Statement applicable to the offer and sale of such Securities will have been prepared and filed with the Securities and Exchange Commission (the “Commission”) describing the Securities offered thereby, (b) at or prior to the time of the issuance of any of the Securities, the Board and/or general partner of the Partnership, as applicable,</w:t>
      </w:r>
    </w:p>
    <w:p>
      <w:pPr>
        <w:sectPr>
          <w:pgSz w:w="11900" w:h="16838" w:orient="portrait"/>
          <w:cols w:equalWidth="0" w:num="1">
            <w:col w:w="11024"/>
          </w:cols>
          <w:pgMar w:left="436" w:top="270" w:right="439" w:bottom="1440" w:gutter="0" w:footer="0" w:header="0"/>
        </w:sectPr>
      </w:pPr>
    </w:p>
    <w:bookmarkStart w:id="73" w:name="page74"/>
    <w:bookmarkEnd w:id="7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not have rescinded or otherwise modified the authorization of such Securities, (c) in the case of the issuance of Common Shares or Preferred Shares, the Company will have a sufficient number of authorized but unissued shares thereof under the Declaration of Trust at the time of such issuance, and (d) neither the establishment of any terms of any of the Securities after the date hereof nor the issuance and delivery of, or the performance of the Company’s or the Partnership’s obligations under, such Securities will (i) require any authorization, consent, approval or license of or exemption from, or registration or filing with, or report or notice to, any governmental unit, agency, commission, department or other authority (a “Governmental Approval”) or (ii) violate or conflict with, result in a breach of, or constitute a default under, (A) any agreement or instrument to which the Company, the Partnership or any of their respective affiliates is a party or by which the Company, the Partnership or any of their respective affiliates or any of their respective properties may be bound, (B) any Governmental Approval that may be applicable to the Company, the Partnership or any of their respective affiliates or any of their respective properties, (C) any order, decision, judgment or decree that may be applicable to the Company, the Partnership or any of their respective affiliates or any of their respective properties or (D) any applicable law (other than the Maryland General Corporation Law, the Maryland REIT Law, the Delaware Revised Uniform Limited Partnership Act and the law of the State of New York, in each case as in effect on the date hereof).</w:t>
      </w:r>
    </w:p>
    <w:p>
      <w:pPr>
        <w:spacing w:after="0" w:line="19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opinions set forth in this letter are limited to matters governed by the Maryland General Corporation Law, the Maryland REIT Law, the Delaware Revised Uniform Limited Partnership Act and the law of the State of New York, in each case as in effect on the date hereof.</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and to the use of our name under the caption “Legal Matters” in the Registration Statement and in the Prospectus forming a part thereof and any supplement thereto. In giving this consent, we do not thereby admit that we are within the category of persons whose consent is required under Section 7 of the Act or the rules and regulations of the Commission promulgated thereunder.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PILLSBURY WINTHROP SHAW PITTMAN LLP</w:t>
      </w:r>
    </w:p>
    <w:p>
      <w:pPr>
        <w:sectPr>
          <w:pgSz w:w="11900" w:h="16838" w:orient="portrait"/>
          <w:cols w:equalWidth="0" w:num="1">
            <w:col w:w="11000"/>
          </w:cols>
          <w:pgMar w:left="440" w:top="270" w:right="459" w:bottom="1440" w:gutter="0" w:footer="0" w:header="0"/>
        </w:sectPr>
      </w:pPr>
    </w:p>
    <w:bookmarkStart w:id="74" w:name="page75"/>
    <w:bookmarkEnd w:id="74"/>
    <w:p>
      <w:pPr>
        <w:ind w:left="10184"/>
        <w:spacing w:after="0"/>
        <w:rPr>
          <w:sz w:val="20"/>
          <w:szCs w:val="20"/>
          <w:color w:val="auto"/>
        </w:rPr>
      </w:pPr>
      <w:r>
        <w:rPr>
          <w:rFonts w:ascii="Times New Roman" w:cs="Times New Roman" w:eastAsia="Times New Roman" w:hAnsi="Times New Roman"/>
          <w:sz w:val="17"/>
          <w:szCs w:val="17"/>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960120" cy="6261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960120" cy="626110"/>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284"/>
        <w:spacing w:after="0"/>
        <w:rPr>
          <w:sz w:val="20"/>
          <w:szCs w:val="20"/>
          <w:color w:val="auto"/>
        </w:rPr>
      </w:pPr>
      <w:r>
        <w:rPr>
          <w:rFonts w:ascii="Times New Roman" w:cs="Times New Roman" w:eastAsia="Times New Roman" w:hAnsi="Times New Roman"/>
          <w:sz w:val="18"/>
          <w:szCs w:val="18"/>
          <w:color w:val="auto"/>
        </w:rPr>
        <w:t>1200 Seventeenth Street NW</w:t>
      </w:r>
    </w:p>
    <w:p>
      <w:pPr>
        <w:spacing w:after="0" w:line="27" w:lineRule="exact"/>
        <w:rPr>
          <w:sz w:val="20"/>
          <w:szCs w:val="20"/>
          <w:color w:val="auto"/>
        </w:rPr>
      </w:pPr>
    </w:p>
    <w:p>
      <w:pPr>
        <w:ind w:left="6284"/>
        <w:spacing w:after="0"/>
        <w:rPr>
          <w:sz w:val="20"/>
          <w:szCs w:val="20"/>
          <w:color w:val="auto"/>
        </w:rPr>
      </w:pPr>
      <w:r>
        <w:rPr>
          <w:rFonts w:ascii="Times New Roman" w:cs="Times New Roman" w:eastAsia="Times New Roman" w:hAnsi="Times New Roman"/>
          <w:sz w:val="17"/>
          <w:szCs w:val="17"/>
          <w:color w:val="auto"/>
        </w:rPr>
        <w:t>Washington, DC 20036-3006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202.663.8000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202.663.8007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www.pillsburylaw.com</w:t>
      </w:r>
    </w:p>
    <w:p>
      <w:pPr>
        <w:spacing w:after="0" w:line="200" w:lineRule="exact"/>
        <w:rPr>
          <w:sz w:val="20"/>
          <w:szCs w:val="20"/>
          <w:color w:val="auto"/>
        </w:rPr>
      </w:pPr>
    </w:p>
    <w:p>
      <w:pPr>
        <w:sectPr>
          <w:pgSz w:w="11900" w:h="16838" w:orient="portrait"/>
          <w:cols w:equalWidth="0" w:num="2">
            <w:col w:w="8544" w:space="720"/>
            <w:col w:w="1760"/>
          </w:cols>
          <w:pgMar w:left="436" w:top="117" w:right="439" w:bottom="1440" w:gutter="0" w:footer="0" w:header="0"/>
          <w:type w:val="continuous"/>
        </w:sectPr>
      </w:pPr>
    </w:p>
    <w:p>
      <w:pPr>
        <w:spacing w:after="0" w:line="32"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March 8,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909 Rose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North Bethesda, MD 20852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 have acted as federal income tax counsel to (i) Federal Realty Investment Trust, a Maryland real estate investment trust (the “Company”), and</w:t>
      </w:r>
    </w:p>
    <w:p>
      <w:pPr>
        <w:spacing w:after="0" w:line="27" w:lineRule="exact"/>
        <w:rPr>
          <w:sz w:val="20"/>
          <w:szCs w:val="20"/>
          <w:color w:val="auto"/>
        </w:rPr>
      </w:pPr>
    </w:p>
    <w:p>
      <w:pPr>
        <w:ind w:left="4" w:right="180" w:hanging="4"/>
        <w:spacing w:after="0" w:line="253" w:lineRule="auto"/>
        <w:tabs>
          <w:tab w:leader="none" w:pos="26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Realty OP LP, a Delaware limited partnership (the “Partnership”). You have requested certain opinions regarding the application of U.S. federal income tax laws to the Company and the Partnership in connection with the filing of a registration statement on Form S-3 with respect to common shares (including common shares that may be issued to holders of certain preferred shares and downREIT unitholders) and other securities of the Company and the Partnership (the “Registration Statement”), which term includes a prospectus (the “Base Prospectus”) and all documents incorporated and deemed to be incorporated by reference therein) on March 8, 2024 with the Securities and Exchange Commission.</w:t>
      </w:r>
    </w:p>
    <w:p>
      <w:pPr>
        <w:spacing w:after="0" w:line="187"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In rendering the following opinions, we have examined such statutes, regulations, records, certificates and other documents as we have considered necessary or appropriate as a basis for such opinions, including the following: (1) the Registration Statement, (2) the Declaration of Trust of the Company (the “Declaration of Trust”), the Amended and Restated Bylaws of the Company, the Certificate of Limited Partnership of the Partnership, and the Agreement of Limited Partnership of the Partnership (the “Partnership Agreement”), each as amended, restated or supplemented, if applicable,</w:t>
      </w:r>
    </w:p>
    <w:p>
      <w:pPr>
        <w:spacing w:after="0" w:line="3" w:lineRule="exact"/>
        <w:rPr>
          <w:sz w:val="20"/>
          <w:szCs w:val="20"/>
          <w:color w:val="auto"/>
        </w:rPr>
      </w:pPr>
    </w:p>
    <w:p>
      <w:pPr>
        <w:ind w:left="264" w:hanging="264"/>
        <w:spacing w:after="0"/>
        <w:tabs>
          <w:tab w:leader="none" w:pos="26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written representations of the Company contained in a letter to us dated the date hereof, a copy of which is attached as Schedule 1 hereto,</w:t>
      </w:r>
    </w:p>
    <w:p>
      <w:pPr>
        <w:spacing w:after="0" w:line="9" w:lineRule="exact"/>
        <w:rPr>
          <w:rFonts w:ascii="Times New Roman" w:cs="Times New Roman" w:eastAsia="Times New Roman" w:hAnsi="Times New Roman"/>
          <w:sz w:val="18"/>
          <w:szCs w:val="18"/>
          <w:color w:val="auto"/>
        </w:rPr>
      </w:pPr>
    </w:p>
    <w:p>
      <w:pPr>
        <w:ind w:left="4" w:right="40" w:hanging="4"/>
        <w:spacing w:after="0" w:line="252" w:lineRule="auto"/>
        <w:tabs>
          <w:tab w:leader="none" w:pos="25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and the Partnership Agreement,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ectPr>
          <w:pgSz w:w="11900" w:h="16838" w:orient="portrait"/>
          <w:cols w:equalWidth="0" w:num="1">
            <w:col w:w="11024"/>
          </w:cols>
          <w:pgMar w:left="436" w:top="117" w:right="4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9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2024;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(2024) taxable year and for future taxable years, and (iii) the discussions in (x) the Base Prospectus under the caption “Material Federal Income Tax Considerations,” and (y) the Company’s Annual Report on Form 10-K for the year ended December 31, 2023 under the captions “Risk Factors–Failure to qualify as a REIT for federal income tax purposes would cause the Parent Company to be taxed as a corporation, which would substantially reduce funds available for payment of distributions,” “Risk Factors–We may be required to incur additional debt to qualify as a REIT,” “Risk Factors–To maintain our status as a REIT, we limit the amount of shares any one shareholder of the Parent Company can own,” and “Risk Factors–Legislative, administrative, regulatory or other actions affecting REITs, including positions taken by the IRS, could have a material adverse effect on us and our investors,” which are incorporated by reference into the Registration Statement, to the extent that they discuss matters of law or legal conclusions or purport to describe certain provisions of the federal tax laws, are correct summaries of the matters discussed therein.</w:t>
      </w:r>
    </w:p>
    <w:p>
      <w:pPr>
        <w:spacing w:after="0" w:line="187"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Pillsbury Winthrop Shaw Pittman LLP</w:t>
      </w:r>
    </w:p>
    <w:p>
      <w:pPr>
        <w:sectPr>
          <w:pgSz w:w="11900" w:h="16838" w:orient="portrait"/>
          <w:cols w:equalWidth="0" w:num="1">
            <w:col w:w="11020"/>
          </w:cols>
          <w:pgMar w:left="440" w:top="270"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7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Pillsbury Winthrop Shaw Pittman LLP</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Pillsbury Winthrop Shaw Pittman LLP</w:t>
      </w:r>
    </w:p>
    <w:p>
      <w:pPr>
        <w:sectPr>
          <w:pgSz w:w="11900" w:h="16838" w:orient="portrait"/>
          <w:cols w:equalWidth="0" w:num="1">
            <w:col w:w="11020"/>
          </w:cols>
          <w:pgMar w:left="440" w:top="270" w:right="439" w:bottom="1440" w:gutter="0" w:footer="0" w:header="0"/>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380365</wp:posOffset>
            </wp:positionV>
            <wp:extent cx="1680210" cy="3683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68021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168021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168021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GRANT THORNTON LLP</w:t>
      </w:r>
    </w:p>
    <w:p>
      <w:pPr>
        <w:spacing w:after="0" w:line="7" w:lineRule="exact"/>
        <w:rPr>
          <w:sz w:val="20"/>
          <w:szCs w:val="20"/>
          <w:color w:val="auto"/>
        </w:rPr>
      </w:pPr>
    </w:p>
    <w:p>
      <w:pPr>
        <w:ind w:right="820"/>
        <w:spacing w:after="0" w:line="276" w:lineRule="auto"/>
        <w:rPr>
          <w:sz w:val="20"/>
          <w:szCs w:val="20"/>
          <w:color w:val="auto"/>
        </w:rPr>
      </w:pPr>
      <w:r>
        <w:rPr>
          <w:rFonts w:ascii="Times New Roman" w:cs="Times New Roman" w:eastAsia="Times New Roman" w:hAnsi="Times New Roman"/>
          <w:sz w:val="18"/>
          <w:szCs w:val="18"/>
          <w:color w:val="auto"/>
        </w:rPr>
        <w:t>50 N. Laura Street, Suite 1000 Jacksonville, FL 32202</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+1 904 446 4550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xml:space="preserve">   +1 904 446 4505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168021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168021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GT.COM</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issued our reports dated February 12, 2024, with respect to the consolidated financial statements, schedules, and internal control over financial reporting of Federal Realty Investment Trust and Federal Realty OP LP included in the Annual Report on Form 10-K for the year ended December 31, 2023, which are incorporated by reference in this Registration Statement. We consent to the incorporation by reference of the aforementioned reports in this Registration Statement and to the use of our name as it appears under the caption “Experts.”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489458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489458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Grant Thornton LLP is the U.S. member firm of Grant Thornton International Ltd (GTIL). GTIL and each of its member firms are separate legal entities and are not a worldwide partnership.</w:t>
      </w:r>
    </w:p>
    <w:p>
      <w:pPr>
        <w:sectPr>
          <w:pgSz w:w="11900" w:h="16838" w:orient="portrait"/>
          <w:cols w:equalWidth="0" w:num="2">
            <w:col w:w="3000" w:space="300"/>
            <w:col w:w="7720"/>
          </w:cols>
          <w:pgMar w:left="440" w:top="117" w:right="4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We, the undersigned (i) trustees of Federal Realty Investment Trust, a Maryland real estate investment trust (the “Trust”), and (ii) officers of the Trust and Federal Realty OP LP, a Delaware limited partnership, do hereby constitute and appoint Donald C. Wood, Daniel Guglielmone and Dawn M. Becker, and each and any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and partnership to comply with the Securities Act of 1933 and any rules, regulations and requirements of the Securities and Exchange Commission, in connection with this registration statement, or any registration statement for this offering that is to be effective upon filing pursuant to Rule 462 under the Securities Act of 1933, including specifically, but without limitation, any and all amendments (including post-effective amendments) hereto and thereto; and we hereby ratify and confirm all that said attorneys and agents, or any of them, shall do or cause to be done by virtue thereof.</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320" w:type="dxa"/>
            <w:vAlign w:val="bottom"/>
          </w:tcPr>
          <w:p>
            <w:pPr>
              <w:ind w:left="23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40" w:type="dxa"/>
            <w:vAlign w:val="bottom"/>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Donald C. Wood</w:t>
            </w:r>
          </w:p>
        </w:tc>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Trustee (principal executive officer)</w:t>
            </w:r>
          </w:p>
        </w:tc>
        <w:tc>
          <w:tcPr>
            <w:tcW w:w="184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Donald C. Wood</w:t>
            </w:r>
          </w:p>
        </w:tc>
        <w:tc>
          <w:tcPr>
            <w:tcW w:w="53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Guglielmone</w:t>
            </w:r>
          </w:p>
        </w:tc>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 Chief Financial Officer and Treasurer</w:t>
            </w:r>
          </w:p>
        </w:tc>
        <w:tc>
          <w:tcPr>
            <w:tcW w:w="184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Daniel Guglielmone</w:t>
            </w:r>
          </w:p>
        </w:tc>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4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W. Faeder</w:t>
            </w:r>
          </w:p>
        </w:tc>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Non-Executive Chairman</w:t>
            </w:r>
          </w:p>
        </w:tc>
        <w:tc>
          <w:tcPr>
            <w:tcW w:w="184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David W. Faeder</w:t>
            </w:r>
          </w:p>
        </w:tc>
        <w:tc>
          <w:tcPr>
            <w:tcW w:w="53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Elizabeth I. Holland</w:t>
            </w:r>
          </w:p>
        </w:tc>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w:t>
            </w:r>
          </w:p>
        </w:tc>
        <w:tc>
          <w:tcPr>
            <w:tcW w:w="184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Elizabeth I. Holland</w:t>
            </w:r>
          </w:p>
        </w:tc>
        <w:tc>
          <w:tcPr>
            <w:tcW w:w="53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Nicole Y. Lamb-Hale</w:t>
            </w:r>
          </w:p>
        </w:tc>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w:t>
            </w:r>
          </w:p>
        </w:tc>
        <w:tc>
          <w:tcPr>
            <w:tcW w:w="184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Nicole Y. Lamb-Hale</w:t>
            </w:r>
          </w:p>
        </w:tc>
        <w:tc>
          <w:tcPr>
            <w:tcW w:w="53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A. McEachin</w:t>
            </w:r>
          </w:p>
        </w:tc>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w:t>
            </w:r>
          </w:p>
        </w:tc>
        <w:tc>
          <w:tcPr>
            <w:tcW w:w="184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Thomas A. McEachin</w:t>
            </w:r>
          </w:p>
        </w:tc>
        <w:tc>
          <w:tcPr>
            <w:tcW w:w="53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P. Nader, III</w:t>
            </w:r>
          </w:p>
        </w:tc>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w:t>
            </w:r>
          </w:p>
        </w:tc>
        <w:tc>
          <w:tcPr>
            <w:tcW w:w="184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Anthony P. Nader, III</w:t>
            </w:r>
          </w:p>
        </w:tc>
        <w:tc>
          <w:tcPr>
            <w:tcW w:w="53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Gail P. Steinel</w:t>
            </w:r>
          </w:p>
        </w:tc>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w:t>
            </w:r>
          </w:p>
        </w:tc>
        <w:tc>
          <w:tcPr>
            <w:tcW w:w="184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Gail P. Steinel</w:t>
            </w:r>
          </w:p>
        </w:tc>
        <w:tc>
          <w:tcPr>
            <w:tcW w:w="5320" w:type="dxa"/>
            <w:vAlign w:val="bottom"/>
          </w:tcPr>
          <w:p>
            <w:pPr>
              <w:spacing w:after="0"/>
              <w:rPr>
                <w:sz w:val="19"/>
                <w:szCs w:val="19"/>
                <w:color w:val="auto"/>
              </w:rPr>
            </w:pPr>
          </w:p>
        </w:tc>
        <w:tc>
          <w:tcPr>
            <w:tcW w:w="1840" w:type="dxa"/>
            <w:vAlign w:val="bottom"/>
          </w:tcPr>
          <w:p>
            <w:pPr>
              <w:spacing w:after="0"/>
              <w:rPr>
                <w:sz w:val="19"/>
                <w:szCs w:val="19"/>
                <w:color w:val="auto"/>
              </w:rPr>
            </w:pPr>
          </w:p>
        </w:tc>
      </w:tr>
    </w:tbl>
    <w:p>
      <w:pPr>
        <w:sectPr>
          <w:pgSz w:w="11900" w:h="16838" w:orient="portrait"/>
          <w:cols w:equalWidth="0" w:num="1">
            <w:col w:w="11020"/>
          </w:cols>
          <w:pgMar w:left="440" w:top="117" w:right="4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225425</wp:posOffset>
            </wp:positionV>
            <wp:extent cx="6995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16"/>
        <w:spacing w:after="0" w:line="246" w:lineRule="auto"/>
        <w:rPr>
          <w:sz w:val="20"/>
          <w:szCs w:val="20"/>
          <w:color w:val="auto"/>
        </w:rPr>
      </w:pPr>
      <w:r>
        <w:rPr>
          <w:rFonts w:ascii="Times New Roman" w:cs="Times New Roman" w:eastAsia="Times New Roman" w:hAnsi="Times New Roman"/>
          <w:sz w:val="22"/>
          <w:szCs w:val="22"/>
          <w:b w:val="1"/>
          <w:bCs w:val="1"/>
          <w:color w:val="auto"/>
        </w:rPr>
        <w:t>STATEMENT OF ELIGIBILITY UNDER THE TRUST INDENTURE ACT OF 1939 OF A CORPORATION DESIGNATED TO ACT AS TRUSTEE</w:t>
      </w:r>
    </w:p>
    <w:p>
      <w:pPr>
        <w:spacing w:after="0" w:line="194" w:lineRule="exact"/>
        <w:rPr>
          <w:sz w:val="20"/>
          <w:szCs w:val="20"/>
          <w:color w:val="auto"/>
        </w:rPr>
      </w:pPr>
    </w:p>
    <w:p>
      <w:pPr>
        <w:ind w:left="424" w:hanging="424"/>
        <w:spacing w:after="0"/>
        <w:tabs>
          <w:tab w:leader="none" w:pos="424" w:val="left"/>
        </w:tabs>
        <w:numPr>
          <w:ilvl w:val="0"/>
          <w:numId w:val="104"/>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253365</wp:posOffset>
            </wp:positionV>
            <wp:extent cx="1474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U.S. BANK TRUST COMPANY, NATIONAL ASSOCIATION</w:t>
      </w:r>
    </w:p>
    <w:p>
      <w:pPr>
        <w:spacing w:after="0" w:line="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6660" w:type="dxa"/>
            <w:vAlign w:val="bottom"/>
            <w:gridSpan w:val="2"/>
          </w:tcPr>
          <w:p>
            <w:pPr>
              <w:jc w:val="right"/>
              <w:ind w:right="638"/>
              <w:spacing w:after="0"/>
              <w:rPr>
                <w:sz w:val="20"/>
                <w:szCs w:val="20"/>
                <w:color w:val="auto"/>
              </w:rPr>
            </w:pPr>
            <w:r>
              <w:rPr>
                <w:rFonts w:ascii="Times New Roman" w:cs="Times New Roman" w:eastAsia="Times New Roman" w:hAnsi="Times New Roman"/>
                <w:sz w:val="18"/>
                <w:szCs w:val="18"/>
                <w:b w:val="1"/>
                <w:bCs w:val="1"/>
                <w:color w:val="auto"/>
              </w:rPr>
              <w:t>91-1821036</w:t>
            </w:r>
          </w:p>
        </w:tc>
        <w:tc>
          <w:tcPr>
            <w:tcW w:w="90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190"/>
        </w:trPr>
        <w:tc>
          <w:tcPr>
            <w:tcW w:w="4340" w:type="dxa"/>
            <w:vAlign w:val="bottom"/>
          </w:tcPr>
          <w:p>
            <w:pPr>
              <w:spacing w:after="0"/>
              <w:rPr>
                <w:sz w:val="16"/>
                <w:szCs w:val="16"/>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3460" w:type="dxa"/>
            <w:vAlign w:val="bottom"/>
          </w:tcPr>
          <w:p>
            <w:pPr>
              <w:spacing w:after="0"/>
              <w:rPr>
                <w:sz w:val="16"/>
                <w:szCs w:val="16"/>
                <w:color w:val="auto"/>
              </w:rPr>
            </w:pPr>
          </w:p>
        </w:tc>
      </w:tr>
      <w:tr>
        <w:trPr>
          <w:trHeight w:val="420"/>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800 Nicollet Mall</w:t>
            </w:r>
          </w:p>
        </w:tc>
        <w:tc>
          <w:tcPr>
            <w:tcW w:w="3460" w:type="dxa"/>
            <w:vAlign w:val="bottom"/>
          </w:tcPr>
          <w:p>
            <w:pPr>
              <w:spacing w:after="0"/>
              <w:rPr>
                <w:sz w:val="24"/>
                <w:szCs w:val="24"/>
                <w:color w:val="auto"/>
              </w:rPr>
            </w:pPr>
          </w:p>
        </w:tc>
      </w:tr>
      <w:tr>
        <w:trPr>
          <w:trHeight w:val="227"/>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Minneapolis, Minnesota</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7"/>
              </w:rPr>
              <w:t>55402</w:t>
            </w:r>
          </w:p>
        </w:tc>
      </w:tr>
      <w:tr>
        <w:trPr>
          <w:trHeight w:val="190"/>
        </w:trPr>
        <w:tc>
          <w:tcPr>
            <w:tcW w:w="756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4340" w:type="dxa"/>
            <w:vAlign w:val="bottom"/>
          </w:tcPr>
          <w:p>
            <w:pPr>
              <w:spacing w:after="0"/>
              <w:rPr>
                <w:sz w:val="24"/>
                <w:szCs w:val="24"/>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Allison Lancaster-Poole</w:t>
            </w:r>
          </w:p>
        </w:tc>
        <w:tc>
          <w:tcPr>
            <w:tcW w:w="3460" w:type="dxa"/>
            <w:vAlign w:val="bottom"/>
          </w:tcPr>
          <w:p>
            <w:pPr>
              <w:spacing w:after="0"/>
              <w:rPr>
                <w:sz w:val="24"/>
                <w:szCs w:val="24"/>
                <w:color w:val="auto"/>
              </w:rPr>
            </w:pPr>
          </w:p>
        </w:tc>
      </w:tr>
      <w:tr>
        <w:trPr>
          <w:trHeight w:val="216"/>
        </w:trPr>
        <w:tc>
          <w:tcPr>
            <w:tcW w:w="7560" w:type="dxa"/>
            <w:vAlign w:val="bottom"/>
            <w:gridSpan w:val="3"/>
          </w:tcPr>
          <w:p>
            <w:pPr>
              <w:jc w:val="center"/>
              <w:ind w:left="3377"/>
              <w:spacing w:after="0"/>
              <w:rPr>
                <w:sz w:val="20"/>
                <w:szCs w:val="20"/>
                <w:color w:val="auto"/>
              </w:rPr>
            </w:pPr>
            <w:r>
              <w:rPr>
                <w:rFonts w:ascii="Times New Roman" w:cs="Times New Roman" w:eastAsia="Times New Roman" w:hAnsi="Times New Roman"/>
                <w:sz w:val="18"/>
                <w:szCs w:val="18"/>
                <w:b w:val="1"/>
                <w:bCs w:val="1"/>
                <w:color w:val="auto"/>
                <w:w w:val="99"/>
              </w:rPr>
              <w:t>U.S. Bank Trust Company, National Association</w:t>
            </w:r>
          </w:p>
        </w:tc>
        <w:tc>
          <w:tcPr>
            <w:tcW w:w="3460" w:type="dxa"/>
            <w:vAlign w:val="bottom"/>
          </w:tcPr>
          <w:p>
            <w:pPr>
              <w:spacing w:after="0"/>
              <w:rPr>
                <w:sz w:val="18"/>
                <w:szCs w:val="18"/>
                <w:color w:val="auto"/>
              </w:rPr>
            </w:pPr>
          </w:p>
        </w:tc>
      </w:tr>
      <w:tr>
        <w:trPr>
          <w:trHeight w:val="216"/>
        </w:trPr>
        <w:tc>
          <w:tcPr>
            <w:tcW w:w="7560" w:type="dxa"/>
            <w:vAlign w:val="bottom"/>
            <w:gridSpan w:val="3"/>
          </w:tcPr>
          <w:p>
            <w:pPr>
              <w:jc w:val="center"/>
              <w:ind w:left="3357"/>
              <w:spacing w:after="0" w:line="216" w:lineRule="exact"/>
              <w:rPr>
                <w:sz w:val="20"/>
                <w:szCs w:val="20"/>
                <w:color w:val="auto"/>
              </w:rPr>
            </w:pPr>
            <w:r>
              <w:rPr>
                <w:rFonts w:ascii="Times New Roman" w:cs="Times New Roman" w:eastAsia="Times New Roman" w:hAnsi="Times New Roman"/>
                <w:sz w:val="17"/>
                <w:szCs w:val="17"/>
                <w:b w:val="1"/>
                <w:bCs w:val="1"/>
                <w:color w:val="auto"/>
              </w:rPr>
              <w:t>214 N. Tryon Street, 27</w:t>
            </w:r>
            <w:r>
              <w:rPr>
                <w:rFonts w:ascii="Times New Roman" w:cs="Times New Roman" w:eastAsia="Times New Roman" w:hAnsi="Times New Roman"/>
                <w:sz w:val="25"/>
                <w:szCs w:val="25"/>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tc>
        <w:tc>
          <w:tcPr>
            <w:tcW w:w="346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Charlotte, NC 28202</w:t>
            </w:r>
          </w:p>
        </w:tc>
        <w:tc>
          <w:tcPr>
            <w:tcW w:w="3460" w:type="dxa"/>
            <w:vAlign w:val="bottom"/>
          </w:tcPr>
          <w:p>
            <w:pPr>
              <w:spacing w:after="0"/>
              <w:rPr>
                <w:sz w:val="18"/>
                <w:szCs w:val="18"/>
                <w:color w:val="auto"/>
              </w:rPr>
            </w:pPr>
          </w:p>
        </w:tc>
      </w:tr>
      <w:tr>
        <w:trPr>
          <w:trHeight w:val="214"/>
        </w:trPr>
        <w:tc>
          <w:tcPr>
            <w:tcW w:w="6660" w:type="dxa"/>
            <w:vAlign w:val="bottom"/>
            <w:gridSpan w:val="2"/>
          </w:tcPr>
          <w:p>
            <w:pPr>
              <w:jc w:val="right"/>
              <w:ind w:right="518"/>
              <w:spacing w:after="0"/>
              <w:rPr>
                <w:sz w:val="20"/>
                <w:szCs w:val="20"/>
                <w:color w:val="auto"/>
              </w:rPr>
            </w:pPr>
            <w:r>
              <w:rPr>
                <w:rFonts w:ascii="Times New Roman" w:cs="Times New Roman" w:eastAsia="Times New Roman" w:hAnsi="Times New Roman"/>
                <w:sz w:val="18"/>
                <w:szCs w:val="18"/>
                <w:b w:val="1"/>
                <w:bCs w:val="1"/>
                <w:color w:val="auto"/>
              </w:rPr>
              <w:t>(704) 335-4558</w:t>
            </w:r>
          </w:p>
        </w:tc>
        <w:tc>
          <w:tcPr>
            <w:tcW w:w="90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190"/>
        </w:trPr>
        <w:tc>
          <w:tcPr>
            <w:tcW w:w="7560" w:type="dxa"/>
            <w:vAlign w:val="bottom"/>
            <w:gridSpan w:val="3"/>
          </w:tcPr>
          <w:p>
            <w:pPr>
              <w:jc w:val="center"/>
              <w:ind w:left="3377"/>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tc>
        <w:tc>
          <w:tcPr>
            <w:tcW w:w="3460" w:type="dxa"/>
            <w:vAlign w:val="bottom"/>
          </w:tcPr>
          <w:p>
            <w:pPr>
              <w:spacing w:after="0"/>
              <w:rPr>
                <w:sz w:val="16"/>
                <w:szCs w:val="16"/>
                <w:color w:val="auto"/>
              </w:rPr>
            </w:pPr>
          </w:p>
        </w:tc>
      </w:tr>
      <w:tr>
        <w:trPr>
          <w:trHeight w:val="334"/>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01"/>
        </w:trPr>
        <w:tc>
          <w:tcPr>
            <w:tcW w:w="4340" w:type="dxa"/>
            <w:vAlign w:val="bottom"/>
          </w:tcPr>
          <w:p>
            <w:pPr>
              <w:spacing w:after="0"/>
              <w:rPr>
                <w:sz w:val="24"/>
                <w:szCs w:val="24"/>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Federal Realty OP LP</w:t>
            </w:r>
          </w:p>
        </w:tc>
        <w:tc>
          <w:tcPr>
            <w:tcW w:w="3460" w:type="dxa"/>
            <w:vAlign w:val="bottom"/>
          </w:tcPr>
          <w:p>
            <w:pPr>
              <w:spacing w:after="0"/>
              <w:rPr>
                <w:sz w:val="24"/>
                <w:szCs w:val="24"/>
                <w:color w:val="auto"/>
              </w:rPr>
            </w:pPr>
          </w:p>
        </w:tc>
      </w:tr>
      <w:tr>
        <w:trPr>
          <w:trHeight w:val="190"/>
        </w:trPr>
        <w:tc>
          <w:tcPr>
            <w:tcW w:w="4340" w:type="dxa"/>
            <w:vAlign w:val="bottom"/>
          </w:tcPr>
          <w:p>
            <w:pPr>
              <w:spacing w:after="0"/>
              <w:rPr>
                <w:sz w:val="16"/>
                <w:szCs w:val="16"/>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(Issuer with respect to the Securities)</w:t>
            </w:r>
          </w:p>
        </w:tc>
        <w:tc>
          <w:tcPr>
            <w:tcW w:w="3460" w:type="dxa"/>
            <w:vAlign w:val="bottom"/>
          </w:tcPr>
          <w:p>
            <w:pPr>
              <w:spacing w:after="0"/>
              <w:rPr>
                <w:sz w:val="16"/>
                <w:szCs w:val="16"/>
                <w:color w:val="auto"/>
              </w:rPr>
            </w:pPr>
          </w:p>
        </w:tc>
      </w:tr>
      <w:tr>
        <w:trPr>
          <w:trHeight w:val="417"/>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52-0782497</w:t>
            </w:r>
          </w:p>
        </w:tc>
      </w:tr>
      <w:tr>
        <w:trPr>
          <w:trHeight w:val="149"/>
        </w:trPr>
        <w:tc>
          <w:tcPr>
            <w:tcW w:w="7560" w:type="dxa"/>
            <w:vAlign w:val="bottom"/>
            <w:gridSpan w:val="3"/>
          </w:tcPr>
          <w:p>
            <w:pPr>
              <w:jc w:val="center"/>
              <w:ind w:right="200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60" w:type="dxa"/>
            <w:vAlign w:val="bottom"/>
          </w:tcPr>
          <w:p>
            <w:pPr>
              <w:jc w:val="center"/>
              <w:ind w:right="182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756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909 Ross Avenue, Suite 200</w:t>
            </w:r>
          </w:p>
        </w:tc>
        <w:tc>
          <w:tcPr>
            <w:tcW w:w="3460" w:type="dxa"/>
            <w:vAlign w:val="bottom"/>
          </w:tcPr>
          <w:p>
            <w:pPr>
              <w:spacing w:after="0"/>
              <w:rPr>
                <w:sz w:val="24"/>
                <w:szCs w:val="24"/>
                <w:color w:val="auto"/>
              </w:rPr>
            </w:pPr>
          </w:p>
        </w:tc>
      </w:tr>
      <w:tr>
        <w:trPr>
          <w:trHeight w:val="227"/>
        </w:trPr>
        <w:tc>
          <w:tcPr>
            <w:tcW w:w="7560" w:type="dxa"/>
            <w:vAlign w:val="bottom"/>
            <w:gridSpan w:val="3"/>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9"/>
              </w:rPr>
              <w:t>North Bethesda, Maryland</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7"/>
              </w:rPr>
              <w:t>20852</w:t>
            </w:r>
          </w:p>
        </w:tc>
      </w:tr>
      <w:tr>
        <w:trPr>
          <w:trHeight w:val="190"/>
        </w:trPr>
        <w:tc>
          <w:tcPr>
            <w:tcW w:w="756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60" w:type="dxa"/>
            <w:vAlign w:val="bottom"/>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47"/>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01"/>
        </w:trPr>
        <w:tc>
          <w:tcPr>
            <w:tcW w:w="4340" w:type="dxa"/>
            <w:vAlign w:val="bottom"/>
          </w:tcPr>
          <w:p>
            <w:pPr>
              <w:spacing w:after="0"/>
              <w:rPr>
                <w:sz w:val="24"/>
                <w:szCs w:val="24"/>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Debt Securities</w:t>
            </w:r>
          </w:p>
        </w:tc>
        <w:tc>
          <w:tcPr>
            <w:tcW w:w="3460" w:type="dxa"/>
            <w:vAlign w:val="bottom"/>
          </w:tcPr>
          <w:p>
            <w:pPr>
              <w:spacing w:after="0"/>
              <w:rPr>
                <w:sz w:val="24"/>
                <w:szCs w:val="24"/>
                <w:color w:val="auto"/>
              </w:rPr>
            </w:pPr>
          </w:p>
        </w:tc>
      </w:tr>
      <w:tr>
        <w:trPr>
          <w:trHeight w:val="190"/>
        </w:trPr>
        <w:tc>
          <w:tcPr>
            <w:tcW w:w="4340" w:type="dxa"/>
            <w:vAlign w:val="bottom"/>
          </w:tcPr>
          <w:p>
            <w:pPr>
              <w:spacing w:after="0"/>
              <w:rPr>
                <w:sz w:val="16"/>
                <w:szCs w:val="16"/>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tc>
        <w:tc>
          <w:tcPr>
            <w:tcW w:w="3460" w:type="dxa"/>
            <w:vAlign w:val="bottom"/>
          </w:tcPr>
          <w:p>
            <w:pPr>
              <w:spacing w:after="0"/>
              <w:rPr>
                <w:sz w:val="16"/>
                <w:szCs w:val="16"/>
                <w:color w:val="auto"/>
              </w:rPr>
            </w:pPr>
          </w:p>
        </w:tc>
      </w:tr>
      <w:tr>
        <w:trPr>
          <w:trHeight w:val="213"/>
        </w:trPr>
        <w:tc>
          <w:tcPr>
            <w:tcW w:w="43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117" w:right="439" w:bottom="1440" w:gutter="0" w:footer="0" w:header="0"/>
        </w:sectPr>
      </w:pPr>
    </w:p>
    <w:bookmarkStart w:id="80" w:name="page81"/>
    <w:bookmarkEnd w:id="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 T-1</w:t>
            </w:r>
          </w:p>
        </w:tc>
      </w:tr>
      <w:tr>
        <w:trPr>
          <w:trHeight w:val="20"/>
        </w:trPr>
        <w:tc>
          <w:tcPr>
            <w:tcW w:w="8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480"/>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78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GENERAL INFORMATION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 the following information as to the Trustee.</w:t>
            </w:r>
          </w:p>
        </w:tc>
      </w:tr>
      <w:tr>
        <w:trPr>
          <w:trHeight w:val="338"/>
        </w:trPr>
        <w:tc>
          <w:tcPr>
            <w:tcW w:w="800" w:type="dxa"/>
            <w:vAlign w:val="bottom"/>
          </w:tcPr>
          <w:p>
            <w:pPr>
              <w:spacing w:after="0"/>
              <w:rPr>
                <w:sz w:val="24"/>
                <w:szCs w:val="24"/>
                <w:color w:val="auto"/>
              </w:rPr>
            </w:pPr>
          </w:p>
        </w:tc>
        <w:tc>
          <w:tcPr>
            <w:tcW w:w="8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Name and address of each examining or supervising authority to which it is subject.</w:t>
            </w:r>
          </w:p>
        </w:tc>
      </w:tr>
      <w:tr>
        <w:trPr>
          <w:trHeight w:val="306"/>
        </w:trPr>
        <w:tc>
          <w:tcPr>
            <w:tcW w:w="800" w:type="dxa"/>
            <w:vAlign w:val="bottom"/>
          </w:tcPr>
          <w:p>
            <w:pPr>
              <w:spacing w:after="0"/>
              <w:rPr>
                <w:sz w:val="24"/>
                <w:szCs w:val="24"/>
                <w:color w:val="auto"/>
              </w:rPr>
            </w:pPr>
          </w:p>
        </w:tc>
        <w:tc>
          <w:tcPr>
            <w:tcW w:w="878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Comptroller of the Currency</w:t>
            </w:r>
          </w:p>
        </w:tc>
      </w:tr>
      <w:tr>
        <w:trPr>
          <w:trHeight w:val="234"/>
        </w:trPr>
        <w:tc>
          <w:tcPr>
            <w:tcW w:w="800" w:type="dxa"/>
            <w:vAlign w:val="bottom"/>
          </w:tcPr>
          <w:p>
            <w:pPr>
              <w:spacing w:after="0"/>
              <w:rPr>
                <w:sz w:val="20"/>
                <w:szCs w:val="20"/>
                <w:color w:val="auto"/>
              </w:rPr>
            </w:pPr>
          </w:p>
        </w:tc>
        <w:tc>
          <w:tcPr>
            <w:tcW w:w="878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Washington, D.C.</w:t>
            </w:r>
          </w:p>
        </w:tc>
      </w:tr>
      <w:tr>
        <w:trPr>
          <w:trHeight w:val="338"/>
        </w:trPr>
        <w:tc>
          <w:tcPr>
            <w:tcW w:w="800" w:type="dxa"/>
            <w:vAlign w:val="bottom"/>
          </w:tcPr>
          <w:p>
            <w:pPr>
              <w:spacing w:after="0"/>
              <w:rPr>
                <w:sz w:val="24"/>
                <w:szCs w:val="24"/>
                <w:color w:val="auto"/>
              </w:rPr>
            </w:pPr>
          </w:p>
        </w:tc>
        <w:tc>
          <w:tcPr>
            <w:tcW w:w="8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Whether it is authorized to exercise corporate trust powers.</w:t>
            </w:r>
          </w:p>
        </w:tc>
      </w:tr>
      <w:tr>
        <w:trPr>
          <w:trHeight w:val="324"/>
        </w:trPr>
        <w:tc>
          <w:tcPr>
            <w:tcW w:w="800" w:type="dxa"/>
            <w:vAlign w:val="bottom"/>
          </w:tcPr>
          <w:p>
            <w:pPr>
              <w:spacing w:after="0"/>
              <w:rPr>
                <w:sz w:val="24"/>
                <w:szCs w:val="24"/>
                <w:color w:val="auto"/>
              </w:rPr>
            </w:pPr>
          </w:p>
        </w:tc>
        <w:tc>
          <w:tcPr>
            <w:tcW w:w="878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Yes</w:t>
            </w:r>
          </w:p>
        </w:tc>
      </w:tr>
      <w:tr>
        <w:trPr>
          <w:trHeight w:val="580"/>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78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w w:val="99"/>
              </w:rPr>
              <w:t xml:space="preserve">AFFILIATIONS WITH THE OBLIGOR. </w:t>
            </w:r>
            <w:r>
              <w:rPr>
                <w:rFonts w:ascii="Times New Roman" w:cs="Times New Roman" w:eastAsia="Times New Roman" w:hAnsi="Times New Roman"/>
                <w:sz w:val="18"/>
                <w:szCs w:val="18"/>
                <w:i w:val="1"/>
                <w:iCs w:val="1"/>
                <w:color w:val="auto"/>
                <w:w w:val="99"/>
              </w:rPr>
              <w:t>If the obligor is an affiliate of the Trustee, describe each such affiliation.</w:t>
            </w:r>
          </w:p>
        </w:tc>
      </w:tr>
      <w:tr>
        <w:trPr>
          <w:trHeight w:val="324"/>
        </w:trPr>
        <w:tc>
          <w:tcPr>
            <w:tcW w:w="800" w:type="dxa"/>
            <w:vAlign w:val="bottom"/>
          </w:tcPr>
          <w:p>
            <w:pPr>
              <w:spacing w:after="0"/>
              <w:rPr>
                <w:sz w:val="24"/>
                <w:szCs w:val="24"/>
                <w:color w:val="auto"/>
              </w:rPr>
            </w:pPr>
          </w:p>
        </w:tc>
        <w:tc>
          <w:tcPr>
            <w:tcW w:w="8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342" w:lineRule="exact"/>
        <w:rPr>
          <w:sz w:val="20"/>
          <w:szCs w:val="20"/>
          <w:color w:val="auto"/>
        </w:rPr>
      </w:pPr>
    </w:p>
    <w:p>
      <w:pPr>
        <w:ind w:left="1080" w:hanging="1092"/>
        <w:spacing w:after="0" w:line="284"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Items 3-15</w:t>
      </w:r>
      <w:r>
        <w:rPr>
          <w:sz w:val="20"/>
          <w:szCs w:val="20"/>
          <w:color w:val="auto"/>
        </w:rPr>
        <w:tab/>
      </w:r>
      <w:r>
        <w:rPr>
          <w:rFonts w:ascii="Times New Roman" w:cs="Times New Roman" w:eastAsia="Times New Roman" w:hAnsi="Times New Roman"/>
          <w:sz w:val="18"/>
          <w:szCs w:val="18"/>
          <w:i w:val="1"/>
          <w:iCs w:val="1"/>
          <w:color w:val="auto"/>
        </w:rPr>
        <w:t> Items 3-15 are not applicable because to the best of the Trustee’s knowledge, the obligor is not in default under any Indenture for which the Trustee acts as Trustee.</w:t>
      </w:r>
    </w:p>
    <w:p>
      <w:pPr>
        <w:spacing w:after="0" w:line="30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 xml:space="preserve">LIST OF EXHIBITS: </w:t>
      </w:r>
      <w:r>
        <w:rPr>
          <w:rFonts w:ascii="Times New Roman" w:cs="Times New Roman" w:eastAsia="Times New Roman" w:hAnsi="Times New Roman"/>
          <w:sz w:val="18"/>
          <w:szCs w:val="18"/>
          <w:i w:val="1"/>
          <w:iCs w:val="1"/>
          <w:color w:val="auto"/>
        </w:rPr>
        <w:t>List below all exhibits filed as a part of this statement of eligibility and qualification.</w:t>
      </w:r>
    </w:p>
    <w:p>
      <w:pPr>
        <w:spacing w:after="0" w:line="135" w:lineRule="exact"/>
        <w:rPr>
          <w:sz w:val="20"/>
          <w:szCs w:val="20"/>
          <w:color w:val="auto"/>
        </w:rPr>
      </w:pPr>
    </w:p>
    <w:p>
      <w:pPr>
        <w:ind w:left="1520" w:hanging="431"/>
        <w:spacing w:after="0"/>
        <w:tabs>
          <w:tab w:leader="none" w:pos="1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Articles of Association of the Trustee, attached as Exhibit 1.</w:t>
      </w:r>
    </w:p>
    <w:p>
      <w:pPr>
        <w:spacing w:after="0" w:line="130" w:lineRule="exact"/>
        <w:rPr>
          <w:rFonts w:ascii="Times New Roman" w:cs="Times New Roman" w:eastAsia="Times New Roman" w:hAnsi="Times New Roman"/>
          <w:sz w:val="18"/>
          <w:szCs w:val="18"/>
          <w:color w:val="auto"/>
        </w:rPr>
      </w:pPr>
    </w:p>
    <w:p>
      <w:pPr>
        <w:ind w:left="1520" w:hanging="431"/>
        <w:spacing w:after="0"/>
        <w:tabs>
          <w:tab w:leader="none" w:pos="1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authority of the Trustee to commence business, attached as Exhibit 2.</w:t>
      </w:r>
    </w:p>
    <w:p>
      <w:pPr>
        <w:spacing w:after="0" w:line="130" w:lineRule="exact"/>
        <w:rPr>
          <w:rFonts w:ascii="Times New Roman" w:cs="Times New Roman" w:eastAsia="Times New Roman" w:hAnsi="Times New Roman"/>
          <w:sz w:val="18"/>
          <w:szCs w:val="18"/>
          <w:color w:val="auto"/>
        </w:rPr>
      </w:pPr>
    </w:p>
    <w:p>
      <w:pPr>
        <w:ind w:left="1520" w:hanging="431"/>
        <w:spacing w:after="0"/>
        <w:tabs>
          <w:tab w:leader="none" w:pos="1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authorization of the Trustee to exercise corporate trust powers, included as Exhibit 2.</w:t>
      </w:r>
    </w:p>
    <w:p>
      <w:pPr>
        <w:spacing w:after="0" w:line="130" w:lineRule="exact"/>
        <w:rPr>
          <w:rFonts w:ascii="Times New Roman" w:cs="Times New Roman" w:eastAsia="Times New Roman" w:hAnsi="Times New Roman"/>
          <w:sz w:val="18"/>
          <w:szCs w:val="18"/>
          <w:color w:val="auto"/>
        </w:rPr>
      </w:pPr>
    </w:p>
    <w:p>
      <w:pPr>
        <w:ind w:left="1520" w:hanging="431"/>
        <w:spacing w:after="0"/>
        <w:tabs>
          <w:tab w:leader="none" w:pos="1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existing bylaws of the Trustee, attached as Exhibit 4.</w:t>
      </w:r>
    </w:p>
    <w:p>
      <w:pPr>
        <w:spacing w:after="0" w:line="130" w:lineRule="exact"/>
        <w:rPr>
          <w:rFonts w:ascii="Times New Roman" w:cs="Times New Roman" w:eastAsia="Times New Roman" w:hAnsi="Times New Roman"/>
          <w:sz w:val="18"/>
          <w:szCs w:val="18"/>
          <w:color w:val="auto"/>
        </w:rPr>
      </w:pPr>
    </w:p>
    <w:p>
      <w:pPr>
        <w:ind w:left="1520" w:hanging="431"/>
        <w:spacing w:after="0"/>
        <w:tabs>
          <w:tab w:leader="none" w:pos="1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Indenture referred to in Item 4. Not applicable.</w:t>
      </w:r>
    </w:p>
    <w:p>
      <w:pPr>
        <w:spacing w:after="0" w:line="130" w:lineRule="exact"/>
        <w:rPr>
          <w:rFonts w:ascii="Times New Roman" w:cs="Times New Roman" w:eastAsia="Times New Roman" w:hAnsi="Times New Roman"/>
          <w:sz w:val="18"/>
          <w:szCs w:val="18"/>
          <w:color w:val="auto"/>
        </w:rPr>
      </w:pPr>
    </w:p>
    <w:p>
      <w:pPr>
        <w:ind w:left="1520" w:hanging="431"/>
        <w:spacing w:after="0"/>
        <w:tabs>
          <w:tab w:leader="none" w:pos="1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Trustee required by Section 321(b) of the Trust Indenture Act of 1939, attached as Exhibit 6.</w:t>
      </w:r>
    </w:p>
    <w:p>
      <w:pPr>
        <w:spacing w:after="0" w:line="130" w:lineRule="exact"/>
        <w:rPr>
          <w:rFonts w:ascii="Times New Roman" w:cs="Times New Roman" w:eastAsia="Times New Roman" w:hAnsi="Times New Roman"/>
          <w:sz w:val="18"/>
          <w:szCs w:val="18"/>
          <w:color w:val="auto"/>
        </w:rPr>
      </w:pPr>
    </w:p>
    <w:p>
      <w:pPr>
        <w:ind w:left="1520" w:right="180" w:hanging="431"/>
        <w:spacing w:after="0" w:line="282" w:lineRule="auto"/>
        <w:tabs>
          <w:tab w:leader="none" w:pos="1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Condition of the Trustee as of December 31, 2023, published pursuant to law or the requirements of its supervising or examining authority, attached as Exhibit 7.</w:t>
      </w:r>
    </w:p>
    <w:p>
      <w:pPr>
        <w:sectPr>
          <w:pgSz w:w="11900" w:h="16838" w:orient="portrait"/>
          <w:cols w:equalWidth="0" w:num="1">
            <w:col w:w="10900"/>
          </w:cols>
          <w:pgMar w:left="440" w:top="257" w:right="55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Charlotte, North Carolina on the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March, 2024.</w:t>
      </w:r>
    </w:p>
    <w:p>
      <w:pPr>
        <w:spacing w:after="0" w:line="7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Allison Lancaster-Poole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Allison Lancaster-Poole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Vice President</w:t>
      </w:r>
    </w:p>
    <w:p>
      <w:pPr>
        <w:sectPr>
          <w:pgSz w:w="11900" w:h="16838" w:orient="portrait"/>
          <w:cols w:equalWidth="0" w:num="1">
            <w:col w:w="11000"/>
          </w:cols>
          <w:pgMar w:left="440" w:top="266" w:right="459" w:bottom="1440" w:gutter="0" w:footer="0" w:header="0"/>
        </w:sectPr>
      </w:pPr>
    </w:p>
    <w:bookmarkStart w:id="82" w:name="page83"/>
    <w:bookmarkEnd w:id="82"/>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 S. BANK TRUST COMPANY, NATIONAL ASSOCIATION</w:t>
      </w:r>
    </w:p>
    <w:p>
      <w:pPr>
        <w:spacing w:after="0" w:line="207" w:lineRule="exact"/>
        <w:rPr>
          <w:sz w:val="20"/>
          <w:szCs w:val="20"/>
          <w:color w:val="auto"/>
        </w:r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For the purpose of organizing an association (the “Association”) to perform any lawful activities of national banks, the undersigned enter into the following Articles of Association:</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title of this Association shall be U. S. Bank Trust Company, National Association.</w:t>
      </w:r>
    </w:p>
    <w:p>
      <w:pPr>
        <w:spacing w:after="0" w:line="225" w:lineRule="exact"/>
        <w:rPr>
          <w:sz w:val="20"/>
          <w:szCs w:val="20"/>
          <w:color w:val="auto"/>
        </w:rPr>
      </w:pPr>
    </w:p>
    <w:p>
      <w:pPr>
        <w:jc w:val="both"/>
        <w:ind w:left="4"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main office of the Association shall be in the city of Portland, county of Multnomah, state of Oregon. The business of the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limited to fiduciary powers and the support of activities incidental to the exercise of those powers. The Association may not expand or alter its business beyond that stated in this article without the prior approval of the Comptroller of the Currency.</w:t>
      </w:r>
    </w:p>
    <w:p>
      <w:pPr>
        <w:spacing w:after="0" w:line="171" w:lineRule="exact"/>
        <w:rPr>
          <w:sz w:val="20"/>
          <w:szCs w:val="20"/>
          <w:color w:val="auto"/>
        </w:rPr>
      </w:pPr>
    </w:p>
    <w:p>
      <w:pPr>
        <w:jc w:val="both"/>
        <w:ind w:left="4"/>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THIRD. </w:t>
      </w:r>
      <w:r>
        <w:rPr>
          <w:rFonts w:ascii="Times New Roman" w:cs="Times New Roman" w:eastAsia="Times New Roman" w:hAnsi="Times New Roman"/>
          <w:sz w:val="17"/>
          <w:szCs w:val="17"/>
          <w:color w:val="auto"/>
        </w:rPr>
        <w:t>The board of directors of the Association shall consist of not less than five nor more than twenty-five persons, the exact number to be fixed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w:t>
      </w:r>
    </w:p>
    <w:p>
      <w:pPr>
        <w:ind w:left="4" w:right="60" w:hanging="4"/>
        <w:spacing w:after="0" w:line="260" w:lineRule="auto"/>
        <w:tabs>
          <w:tab w:leader="none" w:pos="31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that person’s most recent election to the board of directors, whichever is more recent. Any combination of common or preferred stock of the Association or holding company may be used.</w:t>
      </w:r>
    </w:p>
    <w:p>
      <w:pPr>
        <w:spacing w:after="0" w:line="181"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83"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76" w:lineRule="exact"/>
        <w:rPr>
          <w:sz w:val="20"/>
          <w:szCs w:val="20"/>
          <w:color w:val="auto"/>
        </w:rPr>
      </w:pPr>
    </w:p>
    <w:p>
      <w:pPr>
        <w:ind w:left="4"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There shall be an annual meeting of the shareholders to elect directors and transact whatever other business may be brought before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It shall be held at the main office or any other convenient place the board of directors may designate, on the day of each year specified therefor in the Bylaws, or if that day falls on a legal holiday in the state in which the</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004"/>
          </w:cols>
          <w:pgMar w:left="436" w:top="266" w:right="459" w:bottom="1440" w:gutter="0" w:footer="0" w:header="0"/>
        </w:sectPr>
      </w:pPr>
    </w:p>
    <w:bookmarkStart w:id="83" w:name="page84"/>
    <w:bookmarkEnd w:id="83"/>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The authorized amount of capital stock of the Association shall be 1,000,000 shares of common stock of the par value of ten dollars ($10)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said capital stock may be increased or decreased from time to time, according to the provisions of the laws of the United States. The Association shall have only one class of capital stock.</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84" w:name="page85"/>
    <w:bookmarkEnd w:id="84"/>
    <w:p>
      <w:pPr>
        <w:ind w:left="4"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specified in the Articles of Association or required by law, all shares of voting stock shall be voted together as a class, on any matters requiring shareholder approval.</w:t>
      </w:r>
    </w:p>
    <w:p>
      <w:pPr>
        <w:spacing w:after="0" w:line="162"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7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76" w:lineRule="exact"/>
        <w:rPr>
          <w:sz w:val="20"/>
          <w:szCs w:val="20"/>
          <w:color w:val="auto"/>
        </w:rPr>
      </w:pPr>
    </w:p>
    <w:p>
      <w:pPr>
        <w:ind w:left="4"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color w:val="auto"/>
        </w:rPr>
        <w:t>The board of directors shall appoint one of its members president of this Association and one of its members chairperson of the board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board of directors shall have the power to:</w:t>
      </w:r>
    </w:p>
    <w:p>
      <w:pPr>
        <w:spacing w:after="0" w:line="131" w:lineRule="exact"/>
        <w:rPr>
          <w:sz w:val="20"/>
          <w:szCs w:val="20"/>
          <w:color w:val="auto"/>
        </w:rPr>
      </w:pPr>
    </w:p>
    <w:p>
      <w:pPr>
        <w:ind w:left="424" w:hanging="424"/>
        <w:spacing w:after="0"/>
        <w:tabs>
          <w:tab w:leader="none" w:pos="4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the duties of the officers, employees, and agents of the Association.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performance of its duties, but not the responsibility for its duties, to the officers, employees, and agents of the Association.</w:t>
      </w:r>
    </w:p>
    <w:p>
      <w:pPr>
        <w:spacing w:after="0" w:line="130" w:lineRule="exact"/>
        <w:rPr>
          <w:rFonts w:ascii="Times New Roman" w:cs="Times New Roman" w:eastAsia="Times New Roman" w:hAnsi="Times New Roman"/>
          <w:sz w:val="18"/>
          <w:szCs w:val="18"/>
          <w:color w:val="auto"/>
        </w:rPr>
      </w:pPr>
    </w:p>
    <w:p>
      <w:pPr>
        <w:ind w:left="424" w:right="460" w:hanging="424"/>
        <w:spacing w:after="0" w:line="282" w:lineRule="auto"/>
        <w:tabs>
          <w:tab w:leader="none" w:pos="4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 the compensation and enter employment contracts with its officers and employees upon reasonable terms and conditions consistent with applicable law.</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 officers and employees.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bonds from officers and employees and to fix the penalty thereof.</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written policies authorized by the Association’s management or committees of the board.</w:t>
      </w:r>
    </w:p>
    <w:p>
      <w:pPr>
        <w:spacing w:after="0" w:line="130" w:lineRule="exact"/>
        <w:rPr>
          <w:rFonts w:ascii="Times New Roman" w:cs="Times New Roman" w:eastAsia="Times New Roman" w:hAnsi="Times New Roman"/>
          <w:sz w:val="18"/>
          <w:szCs w:val="18"/>
          <w:color w:val="auto"/>
        </w:rPr>
      </w:pPr>
    </w:p>
    <w:p>
      <w:pPr>
        <w:jc w:val="both"/>
        <w:ind w:left="424" w:right="40" w:hanging="424"/>
        <w:spacing w:after="0" w:line="266" w:lineRule="auto"/>
        <w:tabs>
          <w:tab w:leader="none" w:pos="4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70" w:right="499" w:bottom="1440" w:gutter="0" w:footer="0" w:header="0"/>
        </w:sectPr>
      </w:pPr>
    </w:p>
    <w:bookmarkStart w:id="85" w:name="page86"/>
    <w:bookmarkEnd w:id="85"/>
    <w:p>
      <w:pPr>
        <w:ind w:left="424" w:hanging="424"/>
        <w:spacing w:after="0"/>
        <w:tabs>
          <w:tab w:leader="none" w:pos="42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 and administer the business and affairs of the Association.</w:t>
      </w:r>
    </w:p>
    <w:p>
      <w:pPr>
        <w:spacing w:after="0" w:line="130" w:lineRule="exact"/>
        <w:rPr>
          <w:rFonts w:ascii="Times New Roman" w:cs="Times New Roman" w:eastAsia="Times New Roman" w:hAnsi="Times New Roman"/>
          <w:sz w:val="18"/>
          <w:szCs w:val="18"/>
          <w:color w:val="auto"/>
        </w:rPr>
      </w:pPr>
    </w:p>
    <w:p>
      <w:pPr>
        <w:ind w:left="424" w:right="700" w:hanging="424"/>
        <w:spacing w:after="0" w:line="282" w:lineRule="auto"/>
        <w:tabs>
          <w:tab w:leader="none" w:pos="42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initial Bylaws, not inconsistent with law or the Articles of Association, for managing the business and regulating the affairs of the Association.</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repeal Bylaws, except to the extent that the Articles of Association reserve this power in whole or in part to the shareholders.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contracts.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perform all acts that are legal for a board of directors to perform.</w:t>
      </w:r>
    </w:p>
    <w:p>
      <w:pPr>
        <w:spacing w:after="0" w:line="221" w:lineRule="exact"/>
        <w:rPr>
          <w:sz w:val="20"/>
          <w:szCs w:val="20"/>
          <w:color w:val="auto"/>
        </w:rPr>
      </w:pPr>
    </w:p>
    <w:p>
      <w:pPr>
        <w:ind w:left="4"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The board of directors shall have the power to change the location of the main office to any authorized branch within the limits of the 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EIGHTH. </w:t>
      </w:r>
      <w:r>
        <w:rPr>
          <w:rFonts w:ascii="Times New Roman" w:cs="Times New Roman" w:eastAsia="Times New Roman" w:hAnsi="Times New Roman"/>
          <w:sz w:val="18"/>
          <w:szCs w:val="18"/>
          <w:color w:val="auto"/>
        </w:rPr>
        <w:t>The corporate existence of this Association shall continue until termination according to the laws of the United States.</w:t>
      </w:r>
    </w:p>
    <w:p>
      <w:pPr>
        <w:spacing w:after="0" w:line="225" w:lineRule="exact"/>
        <w:rPr>
          <w:sz w:val="20"/>
          <w:szCs w:val="20"/>
          <w:color w:val="auto"/>
        </w:rPr>
      </w:pPr>
    </w:p>
    <w:p>
      <w:pPr>
        <w:ind w:left="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NINTH. </w:t>
      </w:r>
      <w:r>
        <w:rPr>
          <w:rFonts w:ascii="Times New Roman" w:cs="Times New Roman" w:eastAsia="Times New Roman" w:hAnsi="Times New Roman"/>
          <w:sz w:val="18"/>
          <w:szCs w:val="18"/>
          <w:color w:val="auto"/>
        </w:rPr>
        <w:t>The board of directors of the Association, or any shareholder owning, in the aggregate, not less than 25 percent of the stock of the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82"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TENTH. </w:t>
      </w:r>
      <w:r>
        <w:rPr>
          <w:rFonts w:ascii="Times New Roman" w:cs="Times New Roman" w:eastAsia="Times New Roman" w:hAnsi="Times New Roman"/>
          <w:sz w:val="18"/>
          <w:szCs w:val="18"/>
          <w:color w:val="auto"/>
        </w:rPr>
        <w:t>These Articles of Association may be amended at any regular or special meeting of the shareholders by the affirmative vote of the holders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964"/>
          </w:cols>
          <w:pgMar w:left="436" w:top="270" w:right="499" w:bottom="1440" w:gutter="0" w:footer="0" w:header="0"/>
        </w:sectPr>
      </w:pPr>
    </w:p>
    <w:bookmarkStart w:id="86" w:name="page87"/>
    <w:bookmarkEnd w:id="86"/>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we have hereunto set our hands this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of June, 1997.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T.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T. Grubb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D. Sznewajs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D. Sznewajs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Dwight V.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Dwight V.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 K.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K. Chatterjee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Lane</w:t>
      </w:r>
    </w:p>
    <w:p>
      <w:pPr>
        <w:sectPr>
          <w:pgSz w:w="11900" w:h="16838" w:orient="portrait"/>
          <w:cols w:equalWidth="0" w:num="1">
            <w:col w:w="10019"/>
          </w:cols>
          <w:pgMar w:left="440" w:top="270" w:right="1440" w:bottom="1440" w:gutter="0" w:footer="0" w:header="0"/>
        </w:sectPr>
      </w:pPr>
    </w:p>
    <w:bookmarkStart w:id="87" w:name="page88"/>
    <w:bookmarkEnd w:id="87"/>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368300" cy="394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368300" cy="3943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84"/>
        <w:spacing w:after="0"/>
        <w:rPr>
          <w:sz w:val="20"/>
          <w:szCs w:val="20"/>
          <w:color w:val="auto"/>
        </w:rPr>
      </w:pPr>
      <w:r>
        <w:rPr>
          <w:rFonts w:ascii="Times New Roman" w:cs="Times New Roman" w:eastAsia="Times New Roman" w:hAnsi="Times New Roman"/>
          <w:sz w:val="18"/>
          <w:szCs w:val="18"/>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17145</wp:posOffset>
            </wp:positionV>
            <wp:extent cx="64979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Washington, DC 20219</w:t>
      </w:r>
    </w:p>
    <w:p>
      <w:pPr>
        <w:spacing w:after="0" w:line="221" w:lineRule="exact"/>
        <w:rPr>
          <w:sz w:val="20"/>
          <w:szCs w:val="20"/>
          <w:color w:val="auto"/>
        </w:rPr>
      </w:pPr>
    </w:p>
    <w:p>
      <w:pPr>
        <w:ind w:left="2444"/>
        <w:spacing w:after="0"/>
        <w:rPr>
          <w:sz w:val="20"/>
          <w:szCs w:val="20"/>
          <w:color w:val="auto"/>
        </w:rPr>
      </w:pPr>
      <w:r>
        <w:rPr>
          <w:rFonts w:ascii="Times New Roman" w:cs="Times New Roman" w:eastAsia="Times New Roman" w:hAnsi="Times New Roman"/>
          <w:sz w:val="18"/>
          <w:szCs w:val="18"/>
          <w:b w:val="1"/>
          <w:bCs w:val="1"/>
          <w:color w:val="auto"/>
        </w:rPr>
        <w:t>CERTIFICATE OF CORPORATE EXISTENCE AND FIDUCIARY POWERS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Michael J. Hsu, Acting Comptroller of the Currency, do hereby certify that:</w:t>
      </w:r>
    </w:p>
    <w:p>
      <w:pPr>
        <w:spacing w:after="0" w:line="117" w:lineRule="exact"/>
        <w:rPr>
          <w:sz w:val="20"/>
          <w:szCs w:val="20"/>
          <w:color w:val="auto"/>
        </w:rPr>
      </w:pPr>
    </w:p>
    <w:p>
      <w:pPr>
        <w:ind w:left="4" w:right="220" w:hanging="4"/>
        <w:spacing w:after="0" w:line="282" w:lineRule="auto"/>
        <w:tabs>
          <w:tab w:leader="none" w:pos="18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53" w:lineRule="exact"/>
        <w:rPr>
          <w:rFonts w:ascii="Times New Roman" w:cs="Times New Roman" w:eastAsia="Times New Roman" w:hAnsi="Times New Roman"/>
          <w:sz w:val="18"/>
          <w:szCs w:val="18"/>
          <w:color w:val="auto"/>
        </w:rPr>
      </w:pPr>
    </w:p>
    <w:p>
      <w:pPr>
        <w:ind w:left="4" w:right="60" w:hanging="4"/>
        <w:spacing w:after="0" w:line="282" w:lineRule="auto"/>
        <w:tabs>
          <w:tab w:leader="none" w:pos="18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Bank Trust Company, National Association,” Portland, Oregon (Charter No. 23412), is a national banking association formed under the laws of the United States and is authorized thereunder to transact the business of banking and exercise fiduciary powers on the date of this certificate.</w:t>
      </w:r>
    </w:p>
    <w:p>
      <w:pPr>
        <w:spacing w:after="0" w:line="162"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IN TESTIMONY WHEREOF, today, December 13, 2023,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2339975</wp:posOffset>
            </wp:positionH>
            <wp:positionV relativeFrom="paragraph">
              <wp:posOffset>131445</wp:posOffset>
            </wp:positionV>
            <wp:extent cx="2314575" cy="25717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23145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2024-00286-C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66" w:right="439" w:bottom="1440" w:gutter="0" w:footer="0" w:header="0"/>
        </w:sectPr>
      </w:pPr>
    </w:p>
    <w:bookmarkStart w:id="88" w:name="page89"/>
    <w:bookmarkEnd w:id="88"/>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4</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BYLAWS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Meetings of Shareholders</w:t>
      </w:r>
    </w:p>
    <w:p>
      <w:pPr>
        <w:spacing w:after="0" w:line="20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 Every such special meeting, unless otherwise provided by law, shall be called upon not less than ten (10) days nor more than sixty (60) days prior notice stating the purpose of the meeting.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Nominations for Directors</w:t>
      </w:r>
      <w:r>
        <w:rPr>
          <w:rFonts w:ascii="Times New Roman" w:cs="Times New Roman" w:eastAsia="Times New Roman" w:hAnsi="Times New Roman"/>
          <w:sz w:val="18"/>
          <w:szCs w:val="18"/>
          <w:color w:val="auto"/>
        </w:rPr>
        <w:t>. Nominations for election to the Board may be made by the Board or by any shareholder.</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 record date for determining shareholders entitled to notice and to vote at any meeting will be thirty days before the date of such meeting, unless otherwise determined by the Board.</w:t>
      </w:r>
    </w:p>
    <w:p>
      <w:pPr>
        <w:sectPr>
          <w:pgSz w:w="11900" w:h="16838" w:orient="portrait"/>
          <w:cols w:equalWidth="0" w:num="1">
            <w:col w:w="10960"/>
          </w:cols>
          <w:pgMar w:left="440" w:top="266" w:right="499" w:bottom="1440" w:gutter="0" w:footer="0" w:header="0"/>
        </w:sectPr>
      </w:pPr>
    </w:p>
    <w:bookmarkStart w:id="89" w:name="page90"/>
    <w:bookmarkEnd w:id="89"/>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Quorum and Voting</w:t>
      </w:r>
      <w:r>
        <w:rPr>
          <w:rFonts w:ascii="Times New Roman" w:cs="Times New Roman" w:eastAsia="Times New Roman" w:hAnsi="Times New Roman"/>
          <w:sz w:val="18"/>
          <w:szCs w:val="18"/>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Waiver and Consent</w:t>
      </w:r>
      <w:r>
        <w:rPr>
          <w:rFonts w:ascii="Times New Roman" w:cs="Times New Roman" w:eastAsia="Times New Roman" w:hAnsi="Times New Roman"/>
          <w:sz w:val="18"/>
          <w:szCs w:val="18"/>
          <w:color w:val="auto"/>
        </w:rPr>
        <w:t>. The shareholders may act without notice or a meeting by a unanimous written consent by all shareholders.</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Remote Meetings</w:t>
      </w:r>
      <w:r>
        <w:rPr>
          <w:rFonts w:ascii="Times New Roman" w:cs="Times New Roman" w:eastAsia="Times New Roman" w:hAnsi="Times New Roman"/>
          <w:sz w:val="18"/>
          <w:szCs w:val="18"/>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62"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The directors of this Association shall hold office for one year and until their successors are duly elected and qualified, or until their earlier resignation or removal.</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In addition to the foregoing, the Board shall have and may exercise all of the powers granted to or conferred upon it by the Articles of Association, the Bylaws and by law.</w:t>
      </w:r>
    </w:p>
    <w:p>
      <w:pPr>
        <w:spacing w:after="0" w:line="162"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w:t>
      </w:r>
    </w:p>
    <w:p>
      <w:pPr>
        <w:sectPr>
          <w:pgSz w:w="11900" w:h="16838" w:orient="portrait"/>
          <w:cols w:equalWidth="0" w:num="1">
            <w:col w:w="10980"/>
          </w:cols>
          <w:pgMar w:left="440" w:top="270" w:right="479" w:bottom="1440" w:gutter="0" w:footer="0" w:header="0"/>
        </w:sectPr>
      </w:pPr>
    </w:p>
    <w:bookmarkStart w:id="90" w:name="page91"/>
    <w:bookmarkEnd w:id="9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187"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Organization Meeting</w:t>
      </w:r>
      <w:r>
        <w:rPr>
          <w:rFonts w:ascii="Times New Roman" w:cs="Times New Roman" w:eastAsia="Times New Roman" w:hAnsi="Times New Roman"/>
          <w:sz w:val="18"/>
          <w:szCs w:val="18"/>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The regular meetings of the Board shall be held, without notice, as the Chairman or President may designate and deem suitable.</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87"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Quorum and Necessary Vote</w:t>
      </w:r>
      <w:r>
        <w:rPr>
          <w:rFonts w:ascii="Times New Roman" w:cs="Times New Roman" w:eastAsia="Times New Roman" w:hAnsi="Times New Roman"/>
          <w:sz w:val="18"/>
          <w:szCs w:val="18"/>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ectPr>
          <w:pgSz w:w="11900" w:h="16838" w:orient="portrait"/>
          <w:cols w:equalWidth="0" w:num="1">
            <w:col w:w="10940"/>
          </w:cols>
          <w:pgMar w:left="440" w:top="270" w:right="519" w:bottom="1440" w:gutter="0" w:footer="0" w:header="0"/>
        </w:sectPr>
      </w:pPr>
    </w:p>
    <w:bookmarkStart w:id="91" w:name="page92"/>
    <w:bookmarkEnd w:id="91"/>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2.9. </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Remote Meetings</w:t>
      </w:r>
      <w:r>
        <w:rPr>
          <w:rFonts w:ascii="Times New Roman" w:cs="Times New Roman" w:eastAsia="Times New Roman" w:hAnsi="Times New Roman"/>
          <w:sz w:val="18"/>
          <w:szCs w:val="18"/>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When any vacancy occurs among the directors, the remaining members of the Board may appoint a director to fill such vacancy at any regular meeting of the Board, or at a special meeting called for that purpose.</w:t>
      </w:r>
    </w:p>
    <w:p>
      <w:pPr>
        <w:spacing w:after="0" w:line="37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u w:val="single" w:color="auto"/>
          <w:color w:val="auto"/>
        </w:rPr>
        <w:t>Committees</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Advisory Board of Directors</w:t>
      </w:r>
      <w:r>
        <w:rPr>
          <w:rFonts w:ascii="Times New Roman" w:cs="Times New Roman" w:eastAsia="Times New Roman" w:hAnsi="Times New Roman"/>
          <w:sz w:val="18"/>
          <w:szCs w:val="18"/>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Trust Audit Committee</w:t>
      </w:r>
      <w:r>
        <w:rPr>
          <w:rFonts w:ascii="Times New Roman" w:cs="Times New Roman" w:eastAsia="Times New Roman" w:hAnsi="Times New Roman"/>
          <w:sz w:val="18"/>
          <w:szCs w:val="18"/>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ectPr>
          <w:pgSz w:w="11900" w:h="16838" w:orient="portrait"/>
          <w:cols w:equalWidth="0" w:num="1">
            <w:col w:w="10920"/>
          </w:cols>
          <w:pgMar w:left="440" w:top="270" w:right="5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Audit Committee of the financial holding company that is the ultimate parent of this Association, fulfilling the function of the trust audit committee:</w:t>
      </w:r>
    </w:p>
    <w:p>
      <w:pPr>
        <w:spacing w:after="0" w:line="129" w:lineRule="exact"/>
        <w:rPr>
          <w:sz w:val="20"/>
          <w:szCs w:val="20"/>
          <w:color w:val="auto"/>
        </w:rPr>
      </w:pPr>
    </w:p>
    <w:p>
      <w:pPr>
        <w:ind w:left="440" w:right="20" w:hanging="4"/>
        <w:spacing w:after="0" w:line="282" w:lineRule="auto"/>
        <w:tabs>
          <w:tab w:leader="none" w:pos="69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not include any officers of the Association or an affiliate who participate significantly in the administration of the Association’s fiduciary activities; and</w:t>
      </w:r>
    </w:p>
    <w:p>
      <w:pPr>
        <w:spacing w:after="0" w:line="53" w:lineRule="exact"/>
        <w:rPr>
          <w:rFonts w:ascii="Times New Roman" w:cs="Times New Roman" w:eastAsia="Times New Roman" w:hAnsi="Times New Roman"/>
          <w:sz w:val="18"/>
          <w:szCs w:val="18"/>
          <w:color w:val="auto"/>
        </w:rPr>
      </w:pPr>
    </w:p>
    <w:p>
      <w:pPr>
        <w:ind w:left="440" w:right="260" w:hanging="4"/>
        <w:spacing w:after="0" w:line="282" w:lineRule="auto"/>
        <w:tabs>
          <w:tab w:leader="none" w:pos="69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consist of a majority of members who are not also members of any committee to which the Board has delegated power to manage and control the fiduciary activities of the Association.</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Executive Committee</w:t>
      </w:r>
      <w:r>
        <w:rPr>
          <w:rFonts w:ascii="Times New Roman" w:cs="Times New Roman" w:eastAsia="Times New Roman" w:hAnsi="Times New Roman"/>
          <w:sz w:val="18"/>
          <w:szCs w:val="18"/>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Trust Management Committee</w:t>
      </w:r>
      <w:r>
        <w:rPr>
          <w:rFonts w:ascii="Times New Roman" w:cs="Times New Roman" w:eastAsia="Times New Roman" w:hAnsi="Times New Roman"/>
          <w:sz w:val="18"/>
          <w:szCs w:val="18"/>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Other Committees</w:t>
      </w:r>
      <w:r>
        <w:rPr>
          <w:rFonts w:ascii="Times New Roman" w:cs="Times New Roman" w:eastAsia="Times New Roman" w:hAnsi="Times New Roman"/>
          <w:sz w:val="18"/>
          <w:szCs w:val="18"/>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8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Meetings, Minutes and Rules</w:t>
      </w:r>
      <w:r>
        <w:rPr>
          <w:rFonts w:ascii="Times New Roman" w:cs="Times New Roman" w:eastAsia="Times New Roman" w:hAnsi="Times New Roman"/>
          <w:sz w:val="18"/>
          <w:szCs w:val="18"/>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ectPr>
          <w:pgSz w:w="11900" w:h="16838" w:orient="portrait"/>
          <w:cols w:equalWidth="0" w:num="1">
            <w:col w:w="11000"/>
          </w:cols>
          <w:pgMar w:left="440" w:top="270" w:right="45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0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80"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ectPr>
          <w:pgSz w:w="11900" w:h="16838" w:orient="portrait"/>
          <w:cols w:equalWidth="0" w:num="1">
            <w:col w:w="11000"/>
          </w:cols>
          <w:pgMar w:left="440" w:top="270" w:right="459" w:bottom="1440" w:gutter="0" w:footer="0" w:header="0"/>
        </w:sectPr>
      </w:pPr>
    </w:p>
    <w:bookmarkStart w:id="94" w:name="page95"/>
    <w:bookmarkEnd w:id="94"/>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4.5. </w:t>
      </w:r>
      <w:r>
        <w:rPr>
          <w:rFonts w:ascii="Times New Roman" w:cs="Times New Roman" w:eastAsia="Times New Roman" w:hAnsi="Times New Roman"/>
          <w:sz w:val="18"/>
          <w:szCs w:val="18"/>
          <w:u w:val="single" w:color="auto"/>
          <w:color w:val="auto"/>
        </w:rPr>
        <w:t>Other Officers</w:t>
      </w:r>
      <w:r>
        <w:rPr>
          <w:rFonts w:ascii="Times New Roman" w:cs="Times New Roman" w:eastAsia="Times New Roman" w:hAnsi="Times New Roman"/>
          <w:sz w:val="18"/>
          <w:szCs w:val="18"/>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180"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Tenure of Office</w:t>
      </w:r>
      <w:r>
        <w:rPr>
          <w:rFonts w:ascii="Times New Roman" w:cs="Times New Roman" w:eastAsia="Times New Roman" w:hAnsi="Times New Roman"/>
          <w:sz w:val="18"/>
          <w:szCs w:val="18"/>
          <w:color w:val="auto"/>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w:t>
      </w:r>
    </w:p>
    <w:p>
      <w:pPr>
        <w:spacing w:after="0" w:line="20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200" w:lineRule="exact"/>
        <w:rPr>
          <w:sz w:val="20"/>
          <w:szCs w:val="20"/>
          <w:color w:val="auto"/>
        </w:rPr>
      </w:pPr>
    </w:p>
    <w:p>
      <w:pPr>
        <w:spacing w:after="0" w:line="20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u w:val="single" w:color="auto"/>
          <w:color w:val="auto"/>
        </w:rPr>
        <w:t>Corporate Seal</w:t>
      </w:r>
    </w:p>
    <w:p>
      <w:pPr>
        <w:spacing w:after="0" w:line="207"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ectPr>
          <w:pgSz w:w="11900" w:h="16838" w:orient="portrait"/>
          <w:cols w:equalWidth="0" w:num="1">
            <w:col w:w="11020"/>
          </w:cols>
          <w:pgMar w:left="440" w:top="270" w:right="4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0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89"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76" w:lineRule="exact"/>
        <w:rPr>
          <w:sz w:val="20"/>
          <w:szCs w:val="20"/>
          <w:color w:val="auto"/>
        </w:rPr>
      </w:pPr>
    </w:p>
    <w:p>
      <w:pPr>
        <w:ind w:right="1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Trust Files</w:t>
      </w:r>
      <w:r>
        <w:rPr>
          <w:rFonts w:ascii="Times New Roman" w:cs="Times New Roman" w:eastAsia="Times New Roman" w:hAnsi="Times New Roman"/>
          <w:sz w:val="18"/>
          <w:szCs w:val="18"/>
          <w:color w:val="auto"/>
        </w:rPr>
        <w:t>. There shall be maintained in the Association files all fiduciary records necessary to assure that its fiduciary responsibilities have been properly undertaken and discharged.</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Trust Investments</w:t>
      </w:r>
      <w:r>
        <w:rPr>
          <w:rFonts w:ascii="Times New Roman" w:cs="Times New Roman" w:eastAsia="Times New Roman" w:hAnsi="Times New Roman"/>
          <w:sz w:val="18"/>
          <w:szCs w:val="18"/>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 Except where specified otherwise in these Bylaws, prior notice shall be proper if given not more than 30 days nor less than 10 days prior to the event for which notice is given.</w:t>
      </w:r>
    </w:p>
    <w:p>
      <w:pPr>
        <w:sectPr>
          <w:pgSz w:w="11900" w:h="16838" w:orient="portrait"/>
          <w:cols w:equalWidth="0" w:num="1">
            <w:col w:w="11000"/>
          </w:cols>
          <w:pgMar w:left="440" w:top="270" w:right="459" w:bottom="1440" w:gutter="0" w:footer="0" w:header="0"/>
        </w:sectPr>
      </w:pPr>
    </w:p>
    <w:bookmarkStart w:id="96" w:name="page97"/>
    <w:bookmarkEnd w:id="96"/>
    <w:p>
      <w:pPr>
        <w:ind w:left="496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0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ARTICLE IX</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Bylaws: Interpretation and Amendment</w:t>
      </w:r>
    </w:p>
    <w:p>
      <w:pPr>
        <w:spacing w:after="0" w:line="207"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Section 9.1. These Bylaws shall be interpreted in accordance with and subject to appropriate provisions of law, and may be added to, altered, amended, or repealed, at any regular or special meeting of the Board.</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Section 9.2. A copy of the Bylaws and all amendments shall at all times be kept in a convenient place at the principal office of the Association, and shall be open for inspection to all shareholders during Association hours.</w:t>
      </w:r>
    </w:p>
    <w:p>
      <w:pPr>
        <w:sectPr>
          <w:pgSz w:w="11900" w:h="16838" w:orient="portrait"/>
          <w:cols w:equalWidth="0" w:num="1">
            <w:col w:w="10920"/>
          </w:cols>
          <w:pgMar w:left="440" w:top="270" w:right="5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0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Association shall begin on the first day of January in each year and shall end on the thirty-first day of December following.</w:t>
      </w:r>
    </w:p>
    <w:p>
      <w:pPr>
        <w:spacing w:after="0" w:line="16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8, 2021)</w:t>
      </w:r>
    </w:p>
    <w:p>
      <w:pPr>
        <w:sectPr>
          <w:pgSz w:w="11900" w:h="16838" w:orient="portrait"/>
          <w:cols w:equalWidth="0" w:num="1">
            <w:col w:w="11020"/>
          </w:cols>
          <w:pgMar w:left="440" w:top="270" w:right="439" w:bottom="1440" w:gutter="0" w:footer="0" w:header="0"/>
        </w:sectPr>
      </w:pPr>
    </w:p>
    <w:bookmarkStart w:id="98" w:name="page99"/>
    <w:bookmarkEnd w:id="98"/>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6</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CONSENT</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8,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Allison Lancaster-Poole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Allison Lancaster-Poole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Vice President</w:t>
      </w:r>
    </w:p>
    <w:p>
      <w:pPr>
        <w:sectPr>
          <w:pgSz w:w="11900" w:h="16838" w:orient="portrait"/>
          <w:cols w:equalWidth="0" w:num="1">
            <w:col w:w="10920"/>
          </w:cols>
          <w:pgMar w:left="440" w:top="266" w:right="539" w:bottom="1440" w:gutter="0" w:footer="0" w:header="0"/>
        </w:sectPr>
      </w:pPr>
    </w:p>
    <w:bookmarkStart w:id="99" w:name="page100"/>
    <w:bookmarkEnd w:id="99"/>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7</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Statement of Financial Condition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12/31/2023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5540" w:type="dxa"/>
            <w:vAlign w:val="bottom"/>
            <w:gridSpan w:val="2"/>
          </w:tcPr>
          <w:p>
            <w:pPr>
              <w:jc w:val="right"/>
              <w:ind w:right="4440"/>
              <w:spacing w:after="0"/>
              <w:rPr>
                <w:sz w:val="20"/>
                <w:szCs w:val="20"/>
                <w:color w:val="auto"/>
              </w:rPr>
            </w:pPr>
            <w:r>
              <w:rPr>
                <w:rFonts w:ascii="Times New Roman" w:cs="Times New Roman" w:eastAsia="Times New Roman" w:hAnsi="Times New Roman"/>
                <w:sz w:val="18"/>
                <w:szCs w:val="18"/>
                <w:b w:val="1"/>
                <w:bCs w:val="1"/>
                <w:color w:val="auto"/>
              </w:rPr>
              <w:t>($000’s)</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1"/>
        </w:trPr>
        <w:tc>
          <w:tcPr>
            <w:tcW w:w="4700" w:type="dxa"/>
            <w:vAlign w:val="bottom"/>
          </w:tcPr>
          <w:p>
            <w:pPr>
              <w:spacing w:after="0"/>
              <w:rPr>
                <w:sz w:val="24"/>
                <w:szCs w:val="24"/>
                <w:color w:val="auto"/>
              </w:rPr>
            </w:pP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60" w:type="dxa"/>
            <w:vAlign w:val="bottom"/>
          </w:tcPr>
          <w:p>
            <w:pPr>
              <w:spacing w:after="0"/>
              <w:rPr>
                <w:sz w:val="24"/>
                <w:szCs w:val="24"/>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5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Balances Due From Depository Institutions</w:t>
            </w:r>
          </w:p>
        </w:tc>
        <w:tc>
          <w:tcPr>
            <w:tcW w:w="5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1,171,838</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4,441</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Funds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&amp; Lease Financing Receivables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1,409</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578,492</w:t>
            </w: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5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218,268</w:t>
            </w: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1,974,448</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Deposits</w:t>
            </w:r>
          </w:p>
        </w:tc>
        <w:tc>
          <w:tcPr>
            <w:tcW w:w="5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 Funds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Demand Notes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Trading Liabilities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Borrowed Money</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Acceptances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5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255,900</w:t>
            </w: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255,900</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Surplus</w:t>
            </w: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1,171,635</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Undivided Profits</w:t>
            </w: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546,713</w:t>
            </w: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Minority Interest in Subsidiaries</w:t>
            </w:r>
          </w:p>
        </w:tc>
        <w:tc>
          <w:tcPr>
            <w:tcW w:w="5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Equity Capital</w:t>
            </w:r>
          </w:p>
        </w:tc>
        <w:tc>
          <w:tcPr>
            <w:tcW w:w="5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1,718,548</w:t>
            </w:r>
          </w:p>
        </w:tc>
      </w:t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 Capital</w:t>
            </w:r>
          </w:p>
        </w:tc>
        <w:tc>
          <w:tcPr>
            <w:tcW w:w="5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1,974,448</w:t>
            </w:r>
          </w:p>
        </w:tc>
      </w:tr>
    </w:tbl>
    <w:p>
      <w:pPr>
        <w:sectPr>
          <w:pgSz w:w="11900" w:h="16838" w:orient="portrait"/>
          <w:cols w:equalWidth="0" w:num="1">
            <w:col w:w="11020"/>
          </w:cols>
          <w:pgMar w:left="440" w:top="266" w:right="4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42"/>
        </w:trPr>
        <w:tc>
          <w:tcPr>
            <w:tcW w:w="1780" w:type="dxa"/>
            <w:vAlign w:val="bottom"/>
            <w:tcBorders>
              <w:top w:val="single" w:sz="8" w:color="auto"/>
              <w:left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42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Filing Fee</w:t>
            </w:r>
          </w:p>
        </w:tc>
        <w:tc>
          <w:tcPr>
            <w:tcW w:w="0" w:type="dxa"/>
            <w:vAlign w:val="bottom"/>
          </w:tcPr>
          <w:p>
            <w:pPr>
              <w:spacing w:after="0"/>
              <w:rPr>
                <w:sz w:val="1"/>
                <w:szCs w:val="1"/>
                <w:color w:val="auto"/>
              </w:rPr>
            </w:pPr>
          </w:p>
        </w:tc>
      </w:tr>
      <w:tr>
        <w:trPr>
          <w:trHeight w:val="135"/>
        </w:trPr>
        <w:tc>
          <w:tcPr>
            <w:tcW w:w="178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Previously</w:t>
            </w:r>
          </w:p>
        </w:tc>
        <w:tc>
          <w:tcPr>
            <w:tcW w:w="0" w:type="dxa"/>
            <w:vAlign w:val="bottom"/>
          </w:tcPr>
          <w:p>
            <w:pPr>
              <w:spacing w:after="0"/>
              <w:rPr>
                <w:sz w:val="1"/>
                <w:szCs w:val="1"/>
                <w:color w:val="auto"/>
              </w:rPr>
            </w:pPr>
          </w:p>
        </w:tc>
      </w:tr>
      <w:tr>
        <w:trPr>
          <w:trHeight w:val="135"/>
        </w:trPr>
        <w:tc>
          <w:tcPr>
            <w:tcW w:w="178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Paid In</w:t>
            </w:r>
          </w:p>
        </w:tc>
        <w:tc>
          <w:tcPr>
            <w:tcW w:w="0" w:type="dxa"/>
            <w:vAlign w:val="bottom"/>
          </w:tcPr>
          <w:p>
            <w:pPr>
              <w:spacing w:after="0"/>
              <w:rPr>
                <w:sz w:val="1"/>
                <w:szCs w:val="1"/>
                <w:color w:val="auto"/>
              </w:rPr>
            </w:pPr>
          </w:p>
        </w:tc>
      </w:tr>
      <w:tr>
        <w:trPr>
          <w:trHeight w:val="135"/>
        </w:trPr>
        <w:tc>
          <w:tcPr>
            <w:tcW w:w="178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Pr>
          <w:p>
            <w:pPr>
              <w:jc w:val="center"/>
              <w:ind w:left="18"/>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76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Connection</w:t>
            </w:r>
          </w:p>
        </w:tc>
        <w:tc>
          <w:tcPr>
            <w:tcW w:w="0" w:type="dxa"/>
            <w:vAlign w:val="bottom"/>
          </w:tcPr>
          <w:p>
            <w:pPr>
              <w:spacing w:after="0"/>
              <w:rPr>
                <w:sz w:val="1"/>
                <w:szCs w:val="1"/>
                <w:color w:val="auto"/>
              </w:rPr>
            </w:pPr>
          </w:p>
        </w:tc>
      </w:tr>
      <w:tr>
        <w:trPr>
          <w:trHeight w:val="135"/>
        </w:trPr>
        <w:tc>
          <w:tcPr>
            <w:tcW w:w="178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20" w:type="dxa"/>
            <w:vAlign w:val="bottom"/>
          </w:tcPr>
          <w:p>
            <w:pPr>
              <w:jc w:val="center"/>
              <w:ind w:left="18"/>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4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Carry</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with Unsold</w:t>
            </w:r>
          </w:p>
        </w:tc>
        <w:tc>
          <w:tcPr>
            <w:tcW w:w="0" w:type="dxa"/>
            <w:vAlign w:val="bottom"/>
          </w:tcPr>
          <w:p>
            <w:pPr>
              <w:spacing w:after="0"/>
              <w:rPr>
                <w:sz w:val="1"/>
                <w:szCs w:val="1"/>
                <w:color w:val="auto"/>
              </w:rPr>
            </w:pPr>
          </w:p>
        </w:tc>
      </w:tr>
      <w:tr>
        <w:trPr>
          <w:trHeight w:val="135"/>
        </w:trPr>
        <w:tc>
          <w:tcPr>
            <w:tcW w:w="178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720" w:type="dxa"/>
            <w:vAlign w:val="bottom"/>
          </w:tcPr>
          <w:p>
            <w:pPr>
              <w:jc w:val="center"/>
              <w:ind w:left="38"/>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Carry</w:t>
            </w:r>
          </w:p>
        </w:tc>
        <w:tc>
          <w:tcPr>
            <w:tcW w:w="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4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Forward</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Initial</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 to</w:t>
            </w:r>
          </w:p>
        </w:tc>
        <w:tc>
          <w:tcPr>
            <w:tcW w:w="0" w:type="dxa"/>
            <w:vAlign w:val="bottom"/>
          </w:tcPr>
          <w:p>
            <w:pPr>
              <w:spacing w:after="0"/>
              <w:rPr>
                <w:sz w:val="1"/>
                <w:szCs w:val="1"/>
                <w:color w:val="auto"/>
              </w:rPr>
            </w:pPr>
          </w:p>
        </w:tc>
      </w:tr>
      <w:tr>
        <w:trPr>
          <w:trHeight w:val="135"/>
        </w:trPr>
        <w:tc>
          <w:tcPr>
            <w:tcW w:w="178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Class</w:t>
            </w:r>
          </w:p>
        </w:tc>
        <w:tc>
          <w:tcPr>
            <w:tcW w:w="720" w:type="dxa"/>
            <w:vAlign w:val="bottom"/>
          </w:tcPr>
          <w:p>
            <w:pPr>
              <w:jc w:val="center"/>
              <w:ind w:left="38"/>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660" w:type="dxa"/>
            <w:vAlign w:val="bottom"/>
            <w:tcBorders>
              <w:right w:val="single" w:sz="8" w:color="auto"/>
            </w:tcBorders>
          </w:tcPr>
          <w:p>
            <w:pPr>
              <w:jc w:val="center"/>
              <w:ind w:left="12"/>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Form</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File</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effective</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 Carried</w:t>
            </w:r>
          </w:p>
        </w:tc>
        <w:tc>
          <w:tcPr>
            <w:tcW w:w="0" w:type="dxa"/>
            <w:vAlign w:val="bottom"/>
          </w:tcPr>
          <w:p>
            <w:pPr>
              <w:spacing w:after="0"/>
              <w:rPr>
                <w:sz w:val="1"/>
                <w:szCs w:val="1"/>
                <w:color w:val="auto"/>
              </w:rPr>
            </w:pPr>
          </w:p>
        </w:tc>
      </w:tr>
      <w:tr>
        <w:trPr>
          <w:trHeight w:val="167"/>
        </w:trPr>
        <w:tc>
          <w:tcPr>
            <w:tcW w:w="178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720" w:type="dxa"/>
            <w:vAlign w:val="bottom"/>
            <w:tcBorders>
              <w:bottom w:val="single" w:sz="8" w:color="auto"/>
            </w:tcBorders>
          </w:tcPr>
          <w:p>
            <w:pPr>
              <w:jc w:val="center"/>
              <w:ind w:left="18"/>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Registered</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Type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Forward</w:t>
            </w:r>
          </w:p>
        </w:tc>
        <w:tc>
          <w:tcPr>
            <w:tcW w:w="0" w:type="dxa"/>
            <w:vAlign w:val="bottom"/>
          </w:tcPr>
          <w:p>
            <w:pPr>
              <w:spacing w:after="0"/>
              <w:rPr>
                <w:sz w:val="1"/>
                <w:szCs w:val="1"/>
                <w:color w:val="auto"/>
              </w:rPr>
            </w:pPr>
          </w:p>
        </w:tc>
      </w:tr>
      <w:tr>
        <w:trPr>
          <w:trHeight w:val="235"/>
        </w:trPr>
        <w:tc>
          <w:tcPr>
            <w:tcW w:w="1780" w:type="dxa"/>
            <w:vAlign w:val="bottom"/>
            <w:tcBorders>
              <w:left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jc w:val="center"/>
              <w:ind w:left="338"/>
              <w:spacing w:after="0"/>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780" w:type="dxa"/>
            <w:vAlign w:val="bottom"/>
            <w:tcBorders>
              <w:left w:val="single" w:sz="8" w:color="auto"/>
              <w:right w:val="single" w:sz="8" w:color="auto"/>
            </w:tcBorders>
          </w:tcPr>
          <w:p>
            <w:pPr>
              <w:spacing w:after="0"/>
              <w:rPr>
                <w:sz w:val="20"/>
                <w:szCs w:val="20"/>
                <w:color w:val="auto"/>
              </w:rPr>
            </w:pPr>
          </w:p>
        </w:tc>
        <w:tc>
          <w:tcPr>
            <w:tcW w:w="27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tc>
        <w:tc>
          <w:tcPr>
            <w:tcW w:w="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780" w:type="dxa"/>
            <w:vAlign w:val="bottom"/>
            <w:tcBorders>
              <w:left w:val="single" w:sz="8" w:color="auto"/>
              <w:right w:val="single" w:sz="8" w:color="auto"/>
            </w:tcBorders>
          </w:tcPr>
          <w:p>
            <w:pPr>
              <w:spacing w:after="0"/>
              <w:rPr>
                <w:sz w:val="16"/>
                <w:szCs w:val="16"/>
                <w:color w:val="auto"/>
              </w:rPr>
            </w:pPr>
          </w:p>
        </w:tc>
        <w:tc>
          <w:tcPr>
            <w:tcW w:w="68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Equity</w:t>
            </w:r>
          </w:p>
        </w:tc>
        <w:tc>
          <w:tcPr>
            <w:tcW w:w="13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Common shares</w:t>
            </w:r>
          </w:p>
        </w:tc>
        <w:tc>
          <w:tcPr>
            <w:tcW w:w="720" w:type="dxa"/>
            <w:vAlign w:val="bottom"/>
          </w:tcPr>
          <w:p>
            <w:pPr>
              <w:jc w:val="center"/>
              <w:ind w:left="38"/>
              <w:spacing w:after="0" w:line="194" w:lineRule="exact"/>
              <w:rPr>
                <w:sz w:val="20"/>
                <w:szCs w:val="20"/>
                <w:color w:val="auto"/>
              </w:rPr>
            </w:pPr>
            <w:r>
              <w:rPr>
                <w:rFonts w:ascii="Times New Roman" w:cs="Times New Roman" w:eastAsia="Times New Roman" w:hAnsi="Times New Roman"/>
                <w:sz w:val="18"/>
                <w:szCs w:val="18"/>
                <w:color w:val="auto"/>
                <w:w w:val="97"/>
              </w:rPr>
              <w:t>457(r)</w:t>
            </w:r>
          </w:p>
        </w:tc>
        <w:tc>
          <w:tcPr>
            <w:tcW w:w="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5"/>
              </w:rPr>
              <w:t>(1)</w:t>
            </w:r>
          </w:p>
        </w:tc>
        <w:tc>
          <w:tcPr>
            <w:tcW w:w="4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5"/>
              </w:rPr>
              <w:t>(1)</w:t>
            </w:r>
          </w:p>
        </w:tc>
        <w:tc>
          <w:tcPr>
            <w:tcW w:w="86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beneficial</w:t>
            </w:r>
          </w:p>
        </w:tc>
        <w:tc>
          <w:tcPr>
            <w:tcW w:w="7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interest, par</w:t>
            </w:r>
          </w:p>
        </w:tc>
        <w:tc>
          <w:tcPr>
            <w:tcW w:w="7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$.01 per</w:t>
            </w:r>
          </w:p>
        </w:tc>
        <w:tc>
          <w:tcPr>
            <w:tcW w:w="7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80" w:type="dxa"/>
            <w:vAlign w:val="bottom"/>
            <w:tcBorders>
              <w:left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8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13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Preferred shares</w:t>
            </w:r>
          </w:p>
        </w:tc>
        <w:tc>
          <w:tcPr>
            <w:tcW w:w="720" w:type="dxa"/>
            <w:vAlign w:val="bottom"/>
          </w:tcPr>
          <w:p>
            <w:pPr>
              <w:jc w:val="center"/>
              <w:ind w:left="38"/>
              <w:spacing w:after="0" w:line="198" w:lineRule="exact"/>
              <w:rPr>
                <w:sz w:val="20"/>
                <w:szCs w:val="20"/>
                <w:color w:val="auto"/>
              </w:rPr>
            </w:pPr>
            <w:r>
              <w:rPr>
                <w:rFonts w:ascii="Times New Roman" w:cs="Times New Roman" w:eastAsia="Times New Roman" w:hAnsi="Times New Roman"/>
                <w:sz w:val="18"/>
                <w:szCs w:val="18"/>
                <w:color w:val="auto"/>
                <w:w w:val="97"/>
              </w:rPr>
              <w:t>457(r)</w:t>
            </w:r>
          </w:p>
        </w:tc>
        <w:tc>
          <w:tcPr>
            <w:tcW w:w="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5"/>
              </w:rPr>
              <w:t>(1)</w:t>
            </w:r>
          </w:p>
        </w:tc>
        <w:tc>
          <w:tcPr>
            <w:tcW w:w="4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5"/>
              </w:rPr>
              <w:t>(1)</w:t>
            </w:r>
          </w:p>
        </w:tc>
        <w:tc>
          <w:tcPr>
            <w:tcW w:w="8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beneficial</w:t>
            </w:r>
          </w:p>
        </w:tc>
        <w:tc>
          <w:tcPr>
            <w:tcW w:w="7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interest, par</w:t>
            </w:r>
          </w:p>
        </w:tc>
        <w:tc>
          <w:tcPr>
            <w:tcW w:w="7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Fees to be</w:t>
            </w: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$.01 per</w:t>
            </w:r>
          </w:p>
        </w:tc>
        <w:tc>
          <w:tcPr>
            <w:tcW w:w="7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780" w:type="dxa"/>
            <w:vAlign w:val="bottom"/>
            <w:tcBorders>
              <w:left w:val="single" w:sz="8" w:color="auto"/>
              <w:right w:val="single" w:sz="8" w:color="auto"/>
            </w:tcBorders>
            <w:vMerge w:val="continue"/>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share</w:t>
            </w:r>
          </w:p>
        </w:tc>
        <w:tc>
          <w:tcPr>
            <w:tcW w:w="7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780" w:type="dxa"/>
            <w:vAlign w:val="bottom"/>
            <w:tcBorders>
              <w:left w:val="single" w:sz="8" w:color="auto"/>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6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780" w:type="dxa"/>
            <w:vAlign w:val="bottom"/>
            <w:tcBorders>
              <w:left w:val="single" w:sz="8" w:color="auto"/>
              <w:right w:val="single" w:sz="8" w:color="auto"/>
            </w:tcBorders>
            <w:vMerge w:val="continue"/>
          </w:tcPr>
          <w:p>
            <w:pPr>
              <w:spacing w:after="0"/>
              <w:rPr>
                <w:sz w:val="12"/>
                <w:szCs w:val="12"/>
                <w:color w:val="auto"/>
              </w:rPr>
            </w:pPr>
          </w:p>
        </w:tc>
        <w:tc>
          <w:tcPr>
            <w:tcW w:w="680" w:type="dxa"/>
            <w:vAlign w:val="bottom"/>
            <w:tcBorders>
              <w:right w:val="single" w:sz="8" w:color="auto"/>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1320" w:type="dxa"/>
            <w:vAlign w:val="bottom"/>
            <w:tcBorders>
              <w:right w:val="single" w:sz="8" w:color="auto"/>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Depositary</w:t>
            </w:r>
          </w:p>
        </w:tc>
        <w:tc>
          <w:tcPr>
            <w:tcW w:w="720" w:type="dxa"/>
            <w:vAlign w:val="bottom"/>
            <w:vMerge w:val="restart"/>
          </w:tcPr>
          <w:p>
            <w:pPr>
              <w:jc w:val="center"/>
              <w:ind w:left="38"/>
              <w:spacing w:after="0" w:line="191" w:lineRule="exact"/>
              <w:rPr>
                <w:sz w:val="20"/>
                <w:szCs w:val="20"/>
                <w:color w:val="auto"/>
              </w:rPr>
            </w:pPr>
            <w:r>
              <w:rPr>
                <w:rFonts w:ascii="Times New Roman" w:cs="Times New Roman" w:eastAsia="Times New Roman" w:hAnsi="Times New Roman"/>
                <w:sz w:val="18"/>
                <w:szCs w:val="18"/>
                <w:color w:val="auto"/>
                <w:w w:val="97"/>
              </w:rPr>
              <w:t>457(r)</w:t>
            </w:r>
          </w:p>
        </w:tc>
        <w:tc>
          <w:tcPr>
            <w:tcW w:w="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right w:val="single" w:sz="8" w:color="auto"/>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right w:val="single" w:sz="8" w:color="auto"/>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(1)</w:t>
            </w:r>
          </w:p>
        </w:tc>
        <w:tc>
          <w:tcPr>
            <w:tcW w:w="420" w:type="dxa"/>
            <w:vAlign w:val="bottom"/>
            <w:tcBorders>
              <w:right w:val="single" w:sz="8" w:color="auto"/>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(1)</w:t>
            </w:r>
          </w:p>
        </w:tc>
        <w:tc>
          <w:tcPr>
            <w:tcW w:w="860" w:type="dxa"/>
            <w:vAlign w:val="bottom"/>
            <w:tcBorders>
              <w:right w:val="single" w:sz="8" w:color="auto"/>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780" w:type="dxa"/>
            <w:vAlign w:val="bottom"/>
            <w:tcBorders>
              <w:left w:val="single" w:sz="8" w:color="auto"/>
              <w:right w:val="single" w:sz="8" w:color="auto"/>
            </w:tcBorders>
          </w:tcPr>
          <w:p>
            <w:pPr>
              <w:spacing w:after="0"/>
              <w:rPr>
                <w:sz w:val="3"/>
                <w:szCs w:val="3"/>
                <w:color w:val="auto"/>
              </w:rPr>
            </w:pPr>
          </w:p>
        </w:tc>
        <w:tc>
          <w:tcPr>
            <w:tcW w:w="680" w:type="dxa"/>
            <w:vAlign w:val="bottom"/>
            <w:tcBorders>
              <w:right w:val="single" w:sz="8" w:color="auto"/>
            </w:tcBorders>
            <w:vMerge w:val="continue"/>
          </w:tcPr>
          <w:p>
            <w:pPr>
              <w:spacing w:after="0"/>
              <w:rPr>
                <w:sz w:val="3"/>
                <w:szCs w:val="3"/>
                <w:color w:val="auto"/>
              </w:rPr>
            </w:pPr>
          </w:p>
        </w:tc>
        <w:tc>
          <w:tcPr>
            <w:tcW w:w="1320" w:type="dxa"/>
            <w:vAlign w:val="bottom"/>
            <w:tcBorders>
              <w:right w:val="single" w:sz="8" w:color="auto"/>
            </w:tcBorders>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420" w:type="dxa"/>
            <w:vAlign w:val="bottom"/>
            <w:tcBorders>
              <w:right w:val="single" w:sz="8" w:color="auto"/>
            </w:tcBorders>
            <w:vMerge w:val="continue"/>
          </w:tcPr>
          <w:p>
            <w:pPr>
              <w:spacing w:after="0"/>
              <w:rPr>
                <w:sz w:val="3"/>
                <w:szCs w:val="3"/>
                <w:color w:val="auto"/>
              </w:rPr>
            </w:pPr>
          </w:p>
        </w:tc>
        <w:tc>
          <w:tcPr>
            <w:tcW w:w="860" w:type="dxa"/>
            <w:vAlign w:val="bottom"/>
            <w:tcBorders>
              <w:right w:val="single" w:sz="8" w:color="auto"/>
            </w:tcBorders>
            <w:vMerge w:val="continue"/>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1780" w:type="dxa"/>
            <w:vAlign w:val="bottom"/>
            <w:tcBorders>
              <w:left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shares(2)</w:t>
            </w: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8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Share purchase</w:t>
            </w:r>
          </w:p>
        </w:tc>
        <w:tc>
          <w:tcPr>
            <w:tcW w:w="720" w:type="dxa"/>
            <w:vAlign w:val="bottom"/>
          </w:tcPr>
          <w:p>
            <w:pPr>
              <w:jc w:val="center"/>
              <w:ind w:left="38"/>
              <w:spacing w:after="0" w:line="198" w:lineRule="exact"/>
              <w:rPr>
                <w:sz w:val="20"/>
                <w:szCs w:val="20"/>
                <w:color w:val="auto"/>
              </w:rPr>
            </w:pPr>
            <w:r>
              <w:rPr>
                <w:rFonts w:ascii="Times New Roman" w:cs="Times New Roman" w:eastAsia="Times New Roman" w:hAnsi="Times New Roman"/>
                <w:sz w:val="18"/>
                <w:szCs w:val="18"/>
                <w:color w:val="auto"/>
                <w:w w:val="97"/>
              </w:rPr>
              <w:t>457(r)</w:t>
            </w:r>
          </w:p>
        </w:tc>
        <w:tc>
          <w:tcPr>
            <w:tcW w:w="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5"/>
              </w:rPr>
              <w:t>(1)</w:t>
            </w:r>
          </w:p>
        </w:tc>
        <w:tc>
          <w:tcPr>
            <w:tcW w:w="4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5"/>
              </w:rPr>
              <w:t>(1)</w:t>
            </w:r>
          </w:p>
        </w:tc>
        <w:tc>
          <w:tcPr>
            <w:tcW w:w="8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780" w:type="dxa"/>
            <w:vAlign w:val="bottom"/>
            <w:tcBorders>
              <w:left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contracts</w:t>
            </w: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80" w:type="dxa"/>
            <w:vAlign w:val="bottom"/>
            <w:tcBorders>
              <w:left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Warrants(3)</w:t>
            </w:r>
          </w:p>
        </w:tc>
        <w:tc>
          <w:tcPr>
            <w:tcW w:w="72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8"/>
                <w:szCs w:val="18"/>
                <w:color w:val="auto"/>
                <w:w w:val="97"/>
              </w:rPr>
              <w:t>457(r)</w:t>
            </w:r>
          </w:p>
        </w:tc>
        <w:tc>
          <w:tcPr>
            <w:tcW w:w="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80" w:type="dxa"/>
            <w:vAlign w:val="bottom"/>
            <w:tcBorders>
              <w:left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Guarantees(4)</w:t>
            </w:r>
          </w:p>
        </w:tc>
        <w:tc>
          <w:tcPr>
            <w:tcW w:w="72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8"/>
                <w:szCs w:val="18"/>
                <w:color w:val="auto"/>
                <w:w w:val="97"/>
              </w:rPr>
              <w:t>457(r)</w:t>
            </w:r>
          </w:p>
        </w:tc>
        <w:tc>
          <w:tcPr>
            <w:tcW w:w="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80" w:type="dxa"/>
            <w:vAlign w:val="bottom"/>
            <w:tcBorders>
              <w:left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Units(5)</w:t>
            </w:r>
          </w:p>
        </w:tc>
        <w:tc>
          <w:tcPr>
            <w:tcW w:w="72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8"/>
                <w:szCs w:val="18"/>
                <w:color w:val="auto"/>
                <w:w w:val="97"/>
              </w:rPr>
              <w:t>457(r)</w:t>
            </w:r>
          </w:p>
        </w:tc>
        <w:tc>
          <w:tcPr>
            <w:tcW w:w="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80" w:type="dxa"/>
            <w:vAlign w:val="bottom"/>
            <w:tcBorders>
              <w:left w:val="single" w:sz="8" w:color="auto"/>
              <w:right w:val="single" w:sz="8" w:color="auto"/>
            </w:tcBorders>
          </w:tcPr>
          <w:p>
            <w:pPr>
              <w:spacing w:after="0"/>
              <w:rPr>
                <w:sz w:val="19"/>
                <w:szCs w:val="19"/>
                <w:color w:val="auto"/>
              </w:rPr>
            </w:pPr>
          </w:p>
        </w:tc>
        <w:tc>
          <w:tcPr>
            <w:tcW w:w="20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Federal Realty OP LP</w:t>
            </w:r>
          </w:p>
        </w:tc>
        <w:tc>
          <w:tcPr>
            <w:tcW w:w="7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80" w:type="dxa"/>
            <w:vAlign w:val="bottom"/>
            <w:tcBorders>
              <w:left w:val="single" w:sz="8" w:color="auto"/>
              <w:right w:val="single" w:sz="8" w:color="auto"/>
            </w:tcBorders>
          </w:tcPr>
          <w:p>
            <w:pPr>
              <w:spacing w:after="0"/>
              <w:rPr>
                <w:sz w:val="16"/>
                <w:szCs w:val="16"/>
                <w:color w:val="auto"/>
              </w:rPr>
            </w:pPr>
          </w:p>
        </w:tc>
        <w:tc>
          <w:tcPr>
            <w:tcW w:w="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Debt</w:t>
            </w:r>
          </w:p>
        </w:tc>
        <w:tc>
          <w:tcPr>
            <w:tcW w:w="13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Debt</w:t>
            </w:r>
          </w:p>
        </w:tc>
        <w:tc>
          <w:tcPr>
            <w:tcW w:w="720" w:type="dxa"/>
            <w:vAlign w:val="bottom"/>
          </w:tcPr>
          <w:p>
            <w:pPr>
              <w:jc w:val="center"/>
              <w:ind w:left="38"/>
              <w:spacing w:after="0" w:line="191" w:lineRule="exact"/>
              <w:rPr>
                <w:sz w:val="20"/>
                <w:szCs w:val="20"/>
                <w:color w:val="auto"/>
              </w:rPr>
            </w:pPr>
            <w:r>
              <w:rPr>
                <w:rFonts w:ascii="Times New Roman" w:cs="Times New Roman" w:eastAsia="Times New Roman" w:hAnsi="Times New Roman"/>
                <w:sz w:val="18"/>
                <w:szCs w:val="18"/>
                <w:color w:val="auto"/>
                <w:w w:val="97"/>
              </w:rPr>
              <w:t>457(r)</w:t>
            </w:r>
          </w:p>
        </w:tc>
        <w:tc>
          <w:tcPr>
            <w:tcW w:w="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(1)</w:t>
            </w:r>
          </w:p>
        </w:tc>
        <w:tc>
          <w:tcPr>
            <w:tcW w:w="4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(1)</w:t>
            </w:r>
          </w:p>
        </w:tc>
        <w:tc>
          <w:tcPr>
            <w:tcW w:w="8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78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securities(6)</w:t>
            </w: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Fees</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Previously</w:t>
            </w: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68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80" w:type="dxa"/>
            <w:vAlign w:val="bottom"/>
            <w:tcBorders>
              <w:left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center"/>
              <w:ind w:right="217"/>
              <w:spacing w:after="0"/>
              <w:rPr>
                <w:sz w:val="20"/>
                <w:szCs w:val="20"/>
                <w:color w:val="auto"/>
              </w:rPr>
            </w:pPr>
            <w:r>
              <w:rPr>
                <w:rFonts w:ascii="Times New Roman" w:cs="Times New Roman" w:eastAsia="Times New Roman" w:hAnsi="Times New Roman"/>
                <w:sz w:val="18"/>
                <w:szCs w:val="18"/>
                <w:b w:val="1"/>
                <w:bCs w:val="1"/>
                <w:color w:val="auto"/>
                <w:w w:val="99"/>
              </w:rPr>
              <w:t>Carry Forward Securities</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7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Carry</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Forward</w:t>
            </w: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Securities</w:t>
            </w:r>
          </w:p>
        </w:tc>
        <w:tc>
          <w:tcPr>
            <w:tcW w:w="68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8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center"/>
              <w:ind w:left="113"/>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78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gridSpan w:val="4"/>
          </w:tcPr>
          <w:p>
            <w:pPr>
              <w:jc w:val="center"/>
              <w:ind w:right="535"/>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8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78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00" w:hanging="424"/>
        <w:spacing w:after="0" w:line="255" w:lineRule="auto"/>
        <w:tabs>
          <w:tab w:leader="none" w:pos="42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reliance on and in accordance with Rules 456(b) and 457(r) under the Securities Act of 1933, as amended, the Registrants are deferring payment of all of the registration fee. This registration statement registers an indeterminate aggregate initial offering price or number of securities of each identified class as may from time to time be offered at indeterminate prices. Separate consideration may or may not be received for securities that are issuable on exercise, conversion or exchange of other securities or represented by depositary shares.</w:t>
      </w:r>
    </w:p>
    <w:p>
      <w:pPr>
        <w:spacing w:after="0" w:line="2" w:lineRule="exact"/>
        <w:rPr>
          <w:rFonts w:ascii="Times New Roman" w:cs="Times New Roman" w:eastAsia="Times New Roman" w:hAnsi="Times New Roman"/>
          <w:sz w:val="18"/>
          <w:szCs w:val="18"/>
          <w:color w:val="auto"/>
        </w:rPr>
      </w:pPr>
    </w:p>
    <w:p>
      <w:pPr>
        <w:ind w:left="424" w:right="660" w:hanging="424"/>
        <w:spacing w:after="0" w:line="250" w:lineRule="auto"/>
        <w:tabs>
          <w:tab w:leader="none" w:pos="42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depositary share will represent an interest in preferred shares of beneficial interest, and will be issued under a deposit agreement and evidenced by a depositary receipt.</w:t>
      </w:r>
    </w:p>
    <w:p>
      <w:pPr>
        <w:ind w:left="424" w:right="520" w:hanging="424"/>
        <w:spacing w:after="0" w:line="250" w:lineRule="auto"/>
        <w:tabs>
          <w:tab w:leader="none" w:pos="42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covered by this registration statement may be warrants for common shares of beneficial interest, preferred shares of beneficial interest or depositary shares representing interests in preferred shares of beneficial interest.</w:t>
      </w:r>
    </w:p>
    <w:p>
      <w:pPr>
        <w:ind w:left="424" w:right="300" w:hanging="424"/>
        <w:spacing w:after="0" w:line="250" w:lineRule="auto"/>
        <w:tabs>
          <w:tab w:leader="none" w:pos="42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separate consideration will be received for the guarantees. Pursuant to Rule 457(n) under the Securities Act, no separate fee is payable with respect to the guarantees being registered hereby.</w:t>
      </w:r>
    </w:p>
    <w:p>
      <w:pPr>
        <w:ind w:left="424" w:right="160" w:hanging="424"/>
        <w:spacing w:after="0" w:line="250" w:lineRule="auto"/>
        <w:tabs>
          <w:tab w:leader="none" w:pos="42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unit will be issued under a unit agreement and will represent an interest in two or more other securities, which may or may not be separable from each other.</w:t>
      </w:r>
    </w:p>
    <w:p>
      <w:pPr>
        <w:ind w:left="424" w:hanging="424"/>
        <w:spacing w:after="0"/>
        <w:tabs>
          <w:tab w:leader="none" w:pos="42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offered by Federal Realty OP LP may be accompanied by guarantees issued by Federal Realty Investment Trust.</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1)"/>
      <w:numFmt w:val="decimal"/>
      <w:start w:val="30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1)"/>
      <w:numFmt w:val="upperLetter"/>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lvl w:ilvl="1">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lvl w:ilvl="1">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lvl w:ilvl="1">
      <w:lvlJc w:val="left"/>
      <w:lvlText w:val="•"/>
      <w:numFmt w:val="bullet"/>
      <w:start w:val="1"/>
    </w:lvl>
  </w:abstractNum>
  <w:abstractNum w:abstractNumId="42">
    <w:nsid w:val="11447B73"/>
    <w:multiLevelType w:val="hybridMultilevel"/>
    <w:lvl w:ilvl="0">
      <w:lvlJc w:val="left"/>
      <w:lvlText w:val="•"/>
      <w:numFmt w:val="bullet"/>
      <w:start w:val="1"/>
    </w:lvl>
    <w:lvl w:ilvl="1">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1."/>
      <w:numFmt w:val="decimal"/>
      <w:start w:val="1"/>
    </w:lvl>
  </w:abstractNum>
  <w:abstractNum w:abstractNumId="48">
    <w:nsid w:val="68EB2F63"/>
    <w:multiLevelType w:val="hybridMultilevel"/>
    <w:lvl w:ilvl="0">
      <w:lvlJc w:val="left"/>
      <w:lvlText w:val="%1."/>
      <w:numFmt w:val="decimal"/>
      <w:start w:val="3"/>
    </w:lvl>
  </w:abstractNum>
  <w:abstractNum w:abstractNumId="49">
    <w:nsid w:val="4962813B"/>
    <w:multiLevelType w:val="hybridMultilevel"/>
    <w:lvl w:ilvl="0">
      <w:lvlJc w:val="left"/>
      <w:lvlText w:val="(%1)"/>
      <w:numFmt w:val="lowerLetter"/>
      <w:start w:val="1"/>
    </w:lvl>
  </w:abstractNum>
  <w:abstractNum w:abstractNumId="50">
    <w:nsid w:val="60B6DF70"/>
    <w:multiLevelType w:val="hybridMultilevel"/>
    <w:lvl w:ilvl="0">
      <w:lvlJc w:val="left"/>
      <w:lvlText w:val="%1."/>
      <w:numFmt w:val="decimal"/>
      <w:start w:val="5"/>
    </w:lvl>
  </w:abstractNum>
  <w:abstractNum w:abstractNumId="51">
    <w:nsid w:val="6A5EE64"/>
    <w:multiLevelType w:val="hybridMultilevel"/>
    <w:lvl w:ilvl="0">
      <w:lvlJc w:val="left"/>
      <w:lvlText w:val="(%1)"/>
      <w:numFmt w:val="lowerLetter"/>
      <w:start w:val="1"/>
    </w:lvl>
  </w:abstractNum>
  <w:abstractNum w:abstractNumId="52">
    <w:nsid w:val="14330624"/>
    <w:multiLevelType w:val="hybridMultilevel"/>
    <w:lvl w:ilvl="0">
      <w:lvlJc w:val="left"/>
      <w:lvlText w:val="(%1)"/>
      <w:numFmt w:val="lowerLetter"/>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lvl w:ilvl="1">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lvl w:ilvl="1">
      <w:lvlJc w:val="left"/>
      <w:lvlText w:val="•"/>
      <w:numFmt w:val="bullet"/>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
      <w:numFmt w:val="bullet"/>
      <w:start w:val="1"/>
    </w:lvl>
  </w:abstractNum>
  <w:abstractNum w:abstractNumId="61">
    <w:nsid w:val="885E1B"/>
    <w:multiLevelType w:val="hybridMultilevel"/>
    <w:lvl w:ilvl="0">
      <w:lvlJc w:val="left"/>
      <w:lvlText w:val="•"/>
      <w:numFmt w:val="bullet"/>
      <w:start w:val="1"/>
    </w:lvl>
  </w:abstractNum>
  <w:abstractNum w:abstractNumId="62">
    <w:nsid w:val="76272110"/>
    <w:multiLevelType w:val="hybridMultilevel"/>
    <w:lvl w:ilvl="0">
      <w:lvlJc w:val="left"/>
      <w:lvlText w:val="•"/>
      <w:numFmt w:val="bullet"/>
      <w:start w:val="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1."/>
      <w:numFmt w:val="decimal"/>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
      <w:numFmt w:val="bullet"/>
      <w:start w:val="1"/>
    </w:lvl>
  </w:abstractNum>
  <w:abstractNum w:abstractNumId="68">
    <w:nsid w:val="68EBC550"/>
    <w:multiLevelType w:val="hybridMultilevel"/>
    <w:lvl w:ilvl="0">
      <w:lvlJc w:val="left"/>
      <w:lvlText w:val="•"/>
      <w:numFmt w:val="bullet"/>
      <w:start w:val="1"/>
    </w:lvl>
  </w:abstractNum>
  <w:abstractNum w:abstractNumId="69">
    <w:nsid w:val="2DF6D648"/>
    <w:multiLevelType w:val="hybridMultilevel"/>
    <w:lvl w:ilvl="0">
      <w:lvlJc w:val="left"/>
      <w:lvlText w:val="•"/>
      <w:numFmt w:val="bullet"/>
      <w:start w:val="1"/>
    </w:lvl>
  </w:abstractNum>
  <w:abstractNum w:abstractNumId="70">
    <w:nsid w:val="46B7D447"/>
    <w:multiLevelType w:val="hybridMultilevel"/>
    <w:lvl w:ilvl="0">
      <w:lvlJc w:val="left"/>
      <w:lvlText w:val="•"/>
      <w:numFmt w:val="bullet"/>
      <w:start w:val="1"/>
    </w:lvl>
  </w:abstractNum>
  <w:abstractNum w:abstractNumId="71">
    <w:nsid w:val="4A2AC315"/>
    <w:multiLevelType w:val="hybridMultilevel"/>
    <w:lvl w:ilvl="0">
      <w:lvlJc w:val="left"/>
      <w:lvlText w:val="•"/>
      <w:numFmt w:val="bullet"/>
      <w:start w:val="1"/>
    </w:lvl>
    <w:lvl w:ilvl="1">
      <w:lvlJc w:val="left"/>
      <w:lvlText w:val="•"/>
      <w:numFmt w:val="bullet"/>
      <w:start w:val="1"/>
    </w:lvl>
  </w:abstractNum>
  <w:abstractNum w:abstractNumId="72">
    <w:nsid w:val="39EE015C"/>
    <w:multiLevelType w:val="hybridMultilevel"/>
    <w:lvl w:ilvl="0">
      <w:lvlJc w:val="left"/>
      <w:lvlText w:val="•"/>
      <w:numFmt w:val="bullet"/>
      <w:start w:val="1"/>
    </w:lvl>
  </w:abstractNum>
  <w:abstractNum w:abstractNumId="73">
    <w:nsid w:val="57FC4FBB"/>
    <w:multiLevelType w:val="hybridMultilevel"/>
    <w:lvl w:ilvl="0">
      <w:lvlJc w:val="left"/>
      <w:lvlText w:val="•"/>
      <w:numFmt w:val="bullet"/>
      <w:start w:val="1"/>
    </w:lvl>
  </w:abstractNum>
  <w:abstractNum w:abstractNumId="74">
    <w:nsid w:val="CC1016F"/>
    <w:multiLevelType w:val="hybridMultilevel"/>
    <w:lvl w:ilvl="0">
      <w:lvlJc w:val="left"/>
      <w:lvlText w:val="•"/>
      <w:numFmt w:val="bullet"/>
      <w:start w:val="1"/>
    </w:lvl>
  </w:abstractNum>
  <w:abstractNum w:abstractNumId="75">
    <w:nsid w:val="43F18422"/>
    <w:multiLevelType w:val="hybridMultilevel"/>
    <w:lvl w:ilvl="0">
      <w:lvlJc w:val="left"/>
      <w:lvlText w:val="•"/>
      <w:numFmt w:val="bullet"/>
      <w:start w:val="1"/>
    </w:lvl>
  </w:abstractNum>
  <w:abstractNum w:abstractNumId="76">
    <w:nsid w:val="60EF0119"/>
    <w:multiLevelType w:val="hybridMultilevel"/>
    <w:lvl w:ilvl="0">
      <w:lvlJc w:val="left"/>
      <w:lvlText w:val="•"/>
      <w:numFmt w:val="bullet"/>
      <w:start w:val="1"/>
    </w:lvl>
  </w:abstractNum>
  <w:abstractNum w:abstractNumId="77">
    <w:nsid w:val="26F324BA"/>
    <w:multiLevelType w:val="hybridMultilevel"/>
    <w:lvl w:ilvl="0">
      <w:lvlJc w:val="left"/>
      <w:lvlText w:val="•"/>
      <w:numFmt w:val="bullet"/>
      <w:start w:val="1"/>
    </w:lvl>
  </w:abstractNum>
  <w:abstractNum w:abstractNumId="78">
    <w:nsid w:val="7F01579B"/>
    <w:multiLevelType w:val="hybridMultilevel"/>
    <w:lvl w:ilvl="0">
      <w:lvlJc w:val="left"/>
      <w:lvlText w:val="•"/>
      <w:numFmt w:val="bullet"/>
      <w:start w:val="1"/>
    </w:lvl>
    <w:lvl w:ilvl="1">
      <w:lvlJc w:val="left"/>
      <w:lvlText w:val="•"/>
      <w:numFmt w:val="bullet"/>
      <w:start w:val="1"/>
    </w:lvl>
  </w:abstractNum>
  <w:abstractNum w:abstractNumId="79">
    <w:nsid w:val="49DA307D"/>
    <w:multiLevelType w:val="hybridMultilevel"/>
    <w:lvl w:ilvl="0">
      <w:lvlJc w:val="left"/>
      <w:lvlText w:val="•"/>
      <w:numFmt w:val="bullet"/>
      <w:start w:val="1"/>
    </w:lvl>
  </w:abstractNum>
  <w:abstractNum w:abstractNumId="80">
    <w:nsid w:val="7055A5F5"/>
    <w:multiLevelType w:val="hybridMultilevel"/>
    <w:lvl w:ilvl="0">
      <w:lvlJc w:val="left"/>
      <w:lvlText w:val="•"/>
      <w:numFmt w:val="bullet"/>
      <w:start w:val="1"/>
    </w:lvl>
  </w:abstractNum>
  <w:abstractNum w:abstractNumId="81">
    <w:nsid w:val="5FB8370B"/>
    <w:multiLevelType w:val="hybridMultilevel"/>
    <w:lvl w:ilvl="0">
      <w:lvlJc w:val="left"/>
      <w:lvlText w:val="•"/>
      <w:numFmt w:val="bullet"/>
      <w:start w:val="1"/>
    </w:lvl>
  </w:abstractNum>
  <w:abstractNum w:abstractNumId="82">
    <w:nsid w:val="50801EE1"/>
    <w:multiLevelType w:val="hybridMultilevel"/>
    <w:lvl w:ilvl="0">
      <w:lvlJc w:val="left"/>
      <w:lvlText w:val="•"/>
      <w:numFmt w:val="bullet"/>
      <w:start w:val="1"/>
    </w:lvl>
  </w:abstractNum>
  <w:abstractNum w:abstractNumId="83">
    <w:nsid w:val="488AC1A"/>
    <w:multiLevelType w:val="hybridMultilevel"/>
    <w:lvl w:ilvl="0">
      <w:lvlJc w:val="left"/>
      <w:lvlText w:val="(%1)"/>
      <w:numFmt w:val="decimal"/>
      <w:start w:val="1"/>
    </w:lvl>
  </w:abstractNum>
  <w:abstractNum w:abstractNumId="84">
    <w:nsid w:val="5FB8011C"/>
    <w:multiLevelType w:val="hybridMultilevel"/>
    <w:lvl w:ilvl="0">
      <w:lvlJc w:val="left"/>
      <w:lvlText w:val="(%1)"/>
      <w:numFmt w:val="lowerRoman"/>
      <w:start w:val="4"/>
    </w:lvl>
  </w:abstractNum>
  <w:abstractNum w:abstractNumId="85">
    <w:nsid w:val="6AA78F7F"/>
    <w:multiLevelType w:val="hybridMultilevel"/>
    <w:lvl w:ilvl="0">
      <w:lvlJc w:val="left"/>
      <w:lvlText w:val=" "/>
      <w:numFmt w:val="bullet"/>
      <w:start w:val="1"/>
    </w:lvl>
  </w:abstractNum>
  <w:abstractNum w:abstractNumId="86">
    <w:nsid w:val="7672BD23"/>
    <w:multiLevelType w:val="hybridMultilevel"/>
    <w:lvl w:ilvl="0">
      <w:lvlJc w:val="left"/>
      <w:lvlText w:val=" "/>
      <w:numFmt w:val="bullet"/>
      <w:start w:val="1"/>
    </w:lvl>
  </w:abstractNum>
  <w:abstractNum w:abstractNumId="87">
    <w:nsid w:val="6FC75AF8"/>
    <w:multiLevelType w:val="hybridMultilevel"/>
    <w:lvl w:ilvl="0">
      <w:lvlJc w:val="left"/>
      <w:lvlText w:val="%1"/>
      <w:numFmt w:val="decimal"/>
      <w:start w:val="107"/>
    </w:lvl>
  </w:abstractNum>
  <w:abstractNum w:abstractNumId="88">
    <w:nsid w:val="6A5F7029"/>
    <w:multiLevelType w:val="hybridMultilevel"/>
    <w:lvl w:ilvl="0">
      <w:lvlJc w:val="left"/>
      <w:lvlText w:val="*"/>
      <w:numFmt w:val="bullet"/>
      <w:start w:val="1"/>
    </w:lvl>
  </w:abstractNum>
  <w:abstractNum w:abstractNumId="89">
    <w:nsid w:val="7D5E18F8"/>
    <w:multiLevelType w:val="hybridMultilevel"/>
    <w:lvl w:ilvl="0">
      <w:lvlJc w:val="left"/>
      <w:lvlText w:val="**"/>
      <w:numFmt w:val="bullet"/>
      <w:start w:val="1"/>
    </w:lvl>
  </w:abstractNum>
  <w:abstractNum w:abstractNumId="90">
    <w:nsid w:val="5F3534A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1">
    <w:nsid w:val="73A1821B"/>
    <w:multiLevelType w:val="hybridMultilevel"/>
    <w:lvl w:ilvl="0">
      <w:lvlJc w:val="left"/>
      <w:lvlText w:val="(%1)"/>
      <w:numFmt w:val="decimal"/>
      <w:start w:val="2"/>
    </w:lvl>
    <w:lvl w:ilvl="1">
      <w:lvlJc w:val="left"/>
      <w:lvlText w:val="(%2)"/>
      <w:numFmt w:val="lowerRoman"/>
      <w:start w:val="1"/>
    </w:lvl>
  </w:abstractNum>
  <w:abstractNum w:abstractNumId="92">
    <w:nsid w:val="7DE67713"/>
    <w:multiLevelType w:val="hybridMultilevel"/>
    <w:lvl w:ilvl="0">
      <w:lvlJc w:val="left"/>
      <w:lvlText w:val="%1"/>
      <w:numFmt w:val="decimal"/>
      <w:start w:val="1"/>
    </w:lvl>
    <w:lvl w:ilvl="1">
      <w:lvlJc w:val="left"/>
      <w:lvlText w:val="(%2)"/>
      <w:numFmt w:val="lowerRoman"/>
      <w:start w:val="2"/>
    </w:lvl>
  </w:abstractNum>
  <w:abstractNum w:abstractNumId="93">
    <w:nsid w:val="555C55B5"/>
    <w:multiLevelType w:val="hybridMultilevel"/>
    <w:lvl w:ilvl="0">
      <w:lvlJc w:val="left"/>
      <w:lvlText w:val="(%1)"/>
      <w:numFmt w:val="decimal"/>
      <w:start w:val="5"/>
    </w:lvl>
    <w:lvl w:ilvl="1">
      <w:lvlJc w:val="left"/>
      <w:lvlText w:val="%2"/>
      <w:numFmt w:val="lowerRoman"/>
      <w:start w:val="1"/>
    </w:lvl>
  </w:abstractNum>
  <w:abstractNum w:abstractNumId="94">
    <w:nsid w:val="3FA62ACA"/>
    <w:multiLevelType w:val="hybridMultilevel"/>
    <w:lvl w:ilvl="0">
      <w:lvlJc w:val="left"/>
      <w:lvlText w:val="%1"/>
      <w:numFmt w:val="lowerLetter"/>
      <w:start w:val="1"/>
    </w:lvl>
    <w:lvl w:ilvl="1">
      <w:lvlJc w:val="left"/>
      <w:lvlText w:val="(%2)"/>
      <w:numFmt w:val="lowerRoman"/>
      <w:start w:val="1"/>
    </w:lvl>
  </w:abstractNum>
  <w:abstractNum w:abstractNumId="95">
    <w:nsid w:val="14FCE74E"/>
    <w:multiLevelType w:val="hybridMultilevel"/>
    <w:lvl w:ilvl="0">
      <w:lvlJc w:val="left"/>
      <w:lvlText w:val="(%1)"/>
      <w:numFmt w:val="lowerLetter"/>
      <w:start w:val="2"/>
    </w:lvl>
    <w:lvl w:ilvl="1">
      <w:lvlJc w:val="left"/>
      <w:lvlText w:val="%2"/>
      <w:numFmt w:val="lowerRoman"/>
      <w:start w:val="1"/>
    </w:lvl>
  </w:abstractNum>
  <w:abstractNum w:abstractNumId="96">
    <w:nsid w:val="6A3DD3E8"/>
    <w:multiLevelType w:val="hybridMultilevel"/>
    <w:lvl w:ilvl="0">
      <w:lvlJc w:val="left"/>
      <w:lvlText w:val="(%1)"/>
      <w:numFmt w:val="lowerLetter"/>
      <w:start w:val="1"/>
    </w:lvl>
  </w:abstractNum>
  <w:abstractNum w:abstractNumId="97">
    <w:nsid w:val="71C91298"/>
    <w:multiLevelType w:val="hybridMultilevel"/>
    <w:lvl w:ilvl="0">
      <w:lvlJc w:val="left"/>
      <w:lvlText w:val="%1."/>
      <w:numFmt w:val="decimal"/>
      <w:start w:val="1"/>
    </w:lvl>
  </w:abstractNum>
  <w:abstractNum w:abstractNumId="98">
    <w:nsid w:val="9DAF632"/>
    <w:multiLevelType w:val="hybridMultilevel"/>
    <w:lvl w:ilvl="0">
      <w:lvlJc w:val="left"/>
      <w:lvlText w:val="%1."/>
      <w:numFmt w:val="decimal"/>
      <w:start w:val="6"/>
    </w:lvl>
  </w:abstractNum>
  <w:abstractNum w:abstractNumId="99">
    <w:nsid w:val="53299938"/>
    <w:multiLevelType w:val="hybridMultilevel"/>
    <w:lvl w:ilvl="0">
      <w:lvlJc w:val="left"/>
      <w:lvlText w:val="(%1)"/>
      <w:numFmt w:val="lowerLetter"/>
      <w:start w:val="2"/>
    </w:lvl>
  </w:abstractNum>
  <w:abstractNum w:abstractNumId="100">
    <w:nsid w:val="1FBFE8E0"/>
    <w:multiLevelType w:val="hybridMultilevel"/>
    <w:lvl w:ilvl="0">
      <w:lvlJc w:val="left"/>
      <w:lvlText w:val="%1."/>
      <w:numFmt w:val="decimal"/>
      <w:start w:val="9"/>
    </w:lvl>
  </w:abstractNum>
  <w:abstractNum w:abstractNumId="101">
    <w:nsid w:val="5092CA79"/>
    <w:multiLevelType w:val="hybridMultilevel"/>
    <w:lvl w:ilvl="0">
      <w:lvlJc w:val="left"/>
      <w:lvlText w:val="(%1)"/>
      <w:numFmt w:val="lowerRoman"/>
      <w:start w:val="2"/>
    </w:lvl>
  </w:abstractNum>
  <w:abstractNum w:abstractNumId="102">
    <w:nsid w:val="1D545C4D"/>
    <w:multiLevelType w:val="hybridMultilevel"/>
    <w:lvl w:ilvl="0">
      <w:lvlJc w:val="left"/>
      <w:lvlText w:val="(%1)"/>
      <w:numFmt w:val="decimal"/>
      <w:start w:val="3"/>
    </w:lvl>
  </w:abstractNum>
  <w:abstractNum w:abstractNumId="103">
    <w:nsid w:val="59ADEA3D"/>
    <w:multiLevelType w:val="hybridMultilevel"/>
    <w:lvl w:ilvl="0">
      <w:lvlJc w:val="left"/>
      <w:lvlText w:val="☐"/>
      <w:numFmt w:val="bullet"/>
      <w:start w:val="1"/>
    </w:lvl>
  </w:abstractNum>
  <w:abstractNum w:abstractNumId="104">
    <w:nsid w:val="288F1A34"/>
    <w:multiLevelType w:val="hybridMultilevel"/>
    <w:lvl w:ilvl="0">
      <w:lvlJc w:val="left"/>
      <w:lvlText w:val="%1."/>
      <w:numFmt w:val="decimal"/>
      <w:start w:val="1"/>
    </w:lvl>
  </w:abstractNum>
  <w:abstractNum w:abstractNumId="105">
    <w:nsid w:val="2A155DBC"/>
    <w:multiLevelType w:val="hybridMultilevel"/>
    <w:lvl w:ilvl="0">
      <w:lvlJc w:val="left"/>
      <w:lvlText w:val="(%1)"/>
      <w:numFmt w:val="lowerRoman"/>
      <w:start w:val="3"/>
    </w:lvl>
  </w:abstractNum>
  <w:abstractNum w:abstractNumId="106">
    <w:nsid w:val="1D9F6E5F"/>
    <w:multiLevelType w:val="hybridMultilevel"/>
    <w:lvl w:ilvl="0">
      <w:lvlJc w:val="left"/>
      <w:lvlText w:val="(%1)"/>
      <w:numFmt w:val="decimal"/>
      <w:start w:val="1"/>
    </w:lvl>
  </w:abstractNum>
  <w:abstractNum w:abstractNumId="107">
    <w:nsid w:val="97E1B4E"/>
    <w:multiLevelType w:val="hybridMultilevel"/>
    <w:lvl w:ilvl="0">
      <w:lvlJc w:val="left"/>
      <w:lvlText w:val="(%1)"/>
      <w:numFmt w:val="decimal"/>
      <w:start w:val="8"/>
    </w:lvl>
  </w:abstractNum>
  <w:abstractNum w:abstractNumId="108">
    <w:nsid w:val="51088277"/>
    <w:multiLevelType w:val="hybridMultilevel"/>
    <w:lvl w:ilvl="0">
      <w:lvlJc w:val="left"/>
      <w:lvlText w:val="%1."/>
      <w:numFmt w:val="decimal"/>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4"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jpe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jpe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jpeg"/><Relationship Id="rId150" Type="http://schemas.openxmlformats.org/officeDocument/2006/relationships/image" Target="media/image129.png"/><Relationship Id="rId151" Type="http://schemas.openxmlformats.org/officeDocument/2006/relationships/image" Target="media/image130.jpe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86" Type="http://schemas.openxmlformats.org/officeDocument/2006/relationships/hyperlink" Target="http://www.sec.gov/ix?doc=/Archives/edgar/data/34903/000003490324000032/frt-20231231.htm" TargetMode="External"/><Relationship Id="rId87" Type="http://schemas.openxmlformats.org/officeDocument/2006/relationships/hyperlink" Target="http://www.sec.gov/ix?doc=/Archives/edgar/data/34903/000119312524006607/d712379d8k.htm" TargetMode="External"/><Relationship Id="rId88" Type="http://schemas.openxmlformats.org/officeDocument/2006/relationships/hyperlink" Target="http://www.sec.gov/ix?doc=/Archives/edgar/data/34903/000119312523078574/d396603ddef14a.htm" TargetMode="External"/><Relationship Id="rId89" Type="http://schemas.openxmlformats.org/officeDocument/2006/relationships/hyperlink" Target="http://www.sec.gov/Archives/edgar/data/34903/000003490324000032/frt-12312023xex49.htm" TargetMode="External"/><Relationship Id="rId93" Type="http://schemas.openxmlformats.org/officeDocument/2006/relationships/hyperlink" Target="http://www.sec.gov/Archives/edgar/data/34903/000003490323000054/frt-06302023xex31.htm" TargetMode="External"/><Relationship Id="rId95" Type="http://schemas.openxmlformats.org/officeDocument/2006/relationships/hyperlink" Target="http://www.sec.gov/Archives/edgar/data/34903/000003490323000044/frt-3312023ex31.htm" TargetMode="External"/><Relationship Id="rId96" Type="http://schemas.openxmlformats.org/officeDocument/2006/relationships/hyperlink" Target="http://www.sec.gov/Archives/edgar/data/34903/000119312522002748/d275243dex31.htm" TargetMode="External"/><Relationship Id="rId97" Type="http://schemas.openxmlformats.org/officeDocument/2006/relationships/hyperlink" Target="http://www.sec.gov/Archives/edgar/data/34903/000119312522002748/d275243dex32.htm" TargetMode="External"/><Relationship Id="rId98" Type="http://schemas.openxmlformats.org/officeDocument/2006/relationships/hyperlink" Target="http://www.sec.gov/Archives/edgar/data/34903/000119312517299279/d453589dex41.htm" TargetMode="External"/><Relationship Id="rId99" Type="http://schemas.openxmlformats.org/officeDocument/2006/relationships/hyperlink" Target="http://www.sec.gov/Archives/edgar/data/34903/000095010900001048/0000950109-00-001048.txt" TargetMode="External"/><Relationship Id="rId100" Type="http://schemas.openxmlformats.org/officeDocument/2006/relationships/hyperlink" Target="http://www.sec.gov/Archives/edgar/data/34903/000119312517299279/d453589dex43.htm" TargetMode="External"/><Relationship Id="rId101" Type="http://schemas.openxmlformats.org/officeDocument/2006/relationships/hyperlink" Target="http://www.sec.gov/Archives/edgar/data/34903/0000950109-98-004542.txt" TargetMode="External"/><Relationship Id="rId102" Type="http://schemas.openxmlformats.org/officeDocument/2006/relationships/hyperlink" Target="http://www.sec.gov/Archives/edgar/data/34903/000119312522002748/d275243dex41.htm" TargetMode="External"/><Relationship Id="rId103" Type="http://schemas.openxmlformats.org/officeDocument/2006/relationships/hyperlink" Target="http://www.sec.gov/Archives/edgar/data/34903/000119312522002748/d275243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2024-03-08T06:41:38Z</dcterms:created>
  <dcterms:modified xsi:type="dcterms:W3CDTF">2024-03-08T06:41:38Z</dcterms:modified>
</cp:coreProperties>
</file>