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2012</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7, 2012, Federal Realty Investment Trust issued supplemental data pertaining to its operations, as well as a press release, to report its financial results for the quarter ended March 31, 2012.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2012 (including press release dated May 7,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640" w:val="left"/>
          <w:tab w:leader="none" w:pos="2140" w:val="left"/>
        </w:tabs>
        <w:rPr>
          <w:sz w:val="20"/>
          <w:szCs w:val="20"/>
          <w:color w:val="auto"/>
        </w:rPr>
      </w:pPr>
      <w:r>
        <w:rPr>
          <w:rFonts w:ascii="Arial" w:cs="Arial" w:eastAsia="Arial" w:hAnsi="Arial"/>
          <w:sz w:val="22"/>
          <w:szCs w:val="22"/>
          <w:color w:val="auto"/>
        </w:rPr>
        <w:t>Date:</w:t>
        <w:tab/>
        <w:t>May 7, 2012</w:t>
      </w:r>
      <w:r>
        <w:rPr>
          <w:sz w:val="20"/>
          <w:szCs w:val="20"/>
          <w:color w:val="auto"/>
        </w:rPr>
        <w:tab/>
      </w:r>
      <w:r>
        <w:rPr>
          <w:rFonts w:ascii="Arial" w:cs="Arial" w:eastAsia="Arial" w:hAnsi="Arial"/>
          <w:sz w:val="19"/>
          <w:szCs w:val="19"/>
          <w:u w:val="single" w:color="auto"/>
          <w:color w:val="auto"/>
        </w:rPr>
        <w:t>/s/ Andrew P. Blocher</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Andrew P. Blocher</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2012</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2012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6">
              <w:r>
                <w:rPr>
                  <w:rFonts w:ascii="Arial" w:cs="Arial" w:eastAsia="Arial" w:hAnsi="Arial"/>
                  <w:sz w:val="18"/>
                  <w:szCs w:val="18"/>
                  <w:color w:val="0000FF"/>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Development and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12</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16, 2012,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16, 2012.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1252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54"/>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2760" w:type="dxa"/>
            <w:vAlign w:val="bottom"/>
          </w:tcPr>
          <w:p>
            <w:pPr>
              <w:spacing w:after="0"/>
              <w:rPr>
                <w:sz w:val="24"/>
                <w:szCs w:val="24"/>
                <w:color w:val="auto"/>
              </w:rPr>
            </w:pPr>
          </w:p>
        </w:tc>
        <w:tc>
          <w:tcPr>
            <w:tcW w:w="4100" w:type="dxa"/>
            <w:vAlign w:val="bottom"/>
            <w:gridSpan w:val="3"/>
          </w:tcPr>
          <w:p>
            <w:pPr>
              <w:ind w:left="1680"/>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4100" w:type="dxa"/>
            <w:vAlign w:val="bottom"/>
            <w:gridSpan w:val="3"/>
          </w:tcPr>
          <w:p>
            <w:pPr>
              <w:ind w:left="1680"/>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4100" w:type="dxa"/>
            <w:vAlign w:val="bottom"/>
            <w:gridSpan w:val="3"/>
          </w:tcPr>
          <w:p>
            <w:pPr>
              <w:ind w:left="1680"/>
              <w:spacing w:after="0"/>
              <w:rPr>
                <w:sz w:val="20"/>
                <w:szCs w:val="20"/>
                <w:color w:val="auto"/>
              </w:rPr>
            </w:pPr>
            <w:r>
              <w:rPr>
                <w:rFonts w:ascii="Arial" w:cs="Arial" w:eastAsia="Arial" w:hAnsi="Arial"/>
                <w:sz w:val="18"/>
                <w:szCs w:val="18"/>
                <w:color w:val="auto"/>
                <w:w w:val="98"/>
              </w:rPr>
              <w:t>Investor Relations Coordinator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2760" w:type="dxa"/>
            <w:vAlign w:val="bottom"/>
          </w:tcPr>
          <w:p>
            <w:pPr>
              <w:spacing w:after="0"/>
              <w:rPr>
                <w:sz w:val="22"/>
                <w:szCs w:val="22"/>
                <w:color w:val="auto"/>
              </w:rPr>
            </w:pPr>
          </w:p>
        </w:tc>
        <w:tc>
          <w:tcPr>
            <w:tcW w:w="3040" w:type="dxa"/>
            <w:vAlign w:val="bottom"/>
            <w:gridSpan w:val="2"/>
          </w:tcPr>
          <w:p>
            <w:pPr>
              <w:ind w:left="1680"/>
              <w:spacing w:after="0"/>
              <w:rPr>
                <w:sz w:val="20"/>
                <w:szCs w:val="20"/>
                <w:color w:val="auto"/>
              </w:rPr>
            </w:pPr>
            <w:r>
              <w:rPr>
                <w:rFonts w:ascii="Arial" w:cs="Arial" w:eastAsia="Arial" w:hAnsi="Arial"/>
                <w:sz w:val="18"/>
                <w:szCs w:val="18"/>
                <w:color w:val="auto"/>
              </w:rPr>
              <w:t>301/998-8265</w:t>
            </w:r>
          </w:p>
        </w:tc>
        <w:tc>
          <w:tcPr>
            <w:tcW w:w="106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4100" w:type="dxa"/>
            <w:vAlign w:val="bottom"/>
            <w:gridSpan w:val="3"/>
          </w:tcPr>
          <w:p>
            <w:pPr>
              <w:ind w:left="1680"/>
              <w:spacing w:after="0"/>
              <w:rPr>
                <w:sz w:val="20"/>
                <w:szCs w:val="20"/>
                <w:color w:val="auto"/>
              </w:rPr>
            </w:pPr>
            <w:r>
              <w:rPr>
                <w:rFonts w:ascii="Arial" w:cs="Arial" w:eastAsia="Arial" w:hAnsi="Arial"/>
                <w:sz w:val="18"/>
                <w:szCs w:val="18"/>
                <w:i w:val="1"/>
                <w:iCs w:val="1"/>
                <w:color w:val="auto"/>
              </w:rPr>
              <w:t>klennox@federalrealty.com</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FIRST QUARTER 2012 OPERATING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leasing results and occupancy gains drive increased 2012 guidance-</w:t>
      </w:r>
    </w:p>
    <w:p>
      <w:pPr>
        <w:spacing w:after="0" w:line="27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ROCKVILLE, Md. (May 7, 2012)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first quarter ended March 31,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For first quarter 2012, Federal Realty generated funds from operations available for common shareholders (FFO) of $66.7 million, or $1.04 per diluted share compared to $61.3 million, or $0.99 per diluted share, in first quarter 2011. Net income available for common shareholders was $42.9 million and earnings per diluted share was $0.67 for first quarter 2012 versus $31.1 million and $0.50, respectively, for first quarter 2011.</w:t>
      </w:r>
    </w:p>
    <w:p>
      <w:pPr>
        <w:spacing w:after="0" w:line="298"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FFO is a non-GAAP supplemental earnings measure defined by the National Association of Real Estate Investment Trusts which the Trust considers meaningful in measuring its operating performance. A reconciliation of net income to FFO is attached to this press release.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first quarter 2012, same-center property operating income increased 5.9% including redevelopment and expansion properties, and increased 5.5% excluding redevelopment and expansion properties, compared to first quarter 2011.</w:t>
      </w:r>
    </w:p>
    <w:p>
      <w:pPr>
        <w:spacing w:after="0" w:line="197"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93.8% leased as of March 31, 2012, compared to 93.4% on December 31, 2011 and 93.8% on March 31, 2011. Federal Realty's same-center portfolio was 94.3% leased on March 31, 2012, compared to 93.9% on December 31, 2011 and 94.4% on March 31, 2011.</w:t>
      </w:r>
    </w:p>
    <w:p>
      <w:pPr>
        <w:spacing w:after="0" w:line="186"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During first quarter 2012, the Trust signed 97 leases for 472,501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461,088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17%. The average contractual rent on this comparable space for the first year of the new lease is $31.66 per square foot compared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the average contractual rent of $27.15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24% for first quarter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Realty's 2012 guidance for FFO per diluted share was increased to a range of $4.24 to $4.29 (previously $4.19 to $4.25) and 2012 earnings per diluted share guidance was increased to $2.29 to $2.34.</w:t>
      </w:r>
    </w:p>
    <w:p>
      <w:pPr>
        <w:spacing w:after="0" w:line="292" w:lineRule="exact"/>
        <w:rPr>
          <w:sz w:val="20"/>
          <w:szCs w:val="20"/>
          <w:color w:val="auto"/>
        </w:rPr>
      </w:pPr>
    </w:p>
    <w:p>
      <w:pPr>
        <w:ind w:right="100"/>
        <w:spacing w:after="0" w:line="364" w:lineRule="auto"/>
        <w:rPr>
          <w:sz w:val="20"/>
          <w:szCs w:val="20"/>
          <w:color w:val="auto"/>
        </w:rPr>
      </w:pPr>
      <w:r>
        <w:rPr>
          <w:rFonts w:ascii="Arial" w:cs="Arial" w:eastAsia="Arial" w:hAnsi="Arial"/>
          <w:sz w:val="18"/>
          <w:szCs w:val="18"/>
          <w:color w:val="auto"/>
        </w:rPr>
        <w:t>“In the first quarter of 2012, we continued to successfully execute all aspects of the Trust's business plan,” commented Donald C. Wood, president and chief executive officer of Federal Realty. “Our quality portfolio produced strong leasing results and occupancy improvements; we successfully integrated both Plaza El Segundo and Montrose Crossing into the core portfolio and continue to advance development at Assembly Row, Pike &amp; Rose and Santana Row. This positive momentum provides the basis for our increased 2012 guidance.”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53" w:lineRule="exact"/>
        <w:rPr>
          <w:sz w:val="20"/>
          <w:szCs w:val="20"/>
          <w:color w:val="auto"/>
        </w:rPr>
      </w:pPr>
    </w:p>
    <w:p>
      <w:pPr>
        <w:ind w:firstLine="8"/>
        <w:spacing w:after="0" w:line="414"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April 24, 2012 - Standard &amp; Poor's Ratings Services revised its outlook on Federal Realty from Stable to Positive and affirmed the Trusts BBB+ ratings on the company's Unsecured Notes.</w:t>
      </w:r>
    </w:p>
    <w:p>
      <w:pPr>
        <w:spacing w:after="0" w:line="15" w:lineRule="exact"/>
        <w:rPr>
          <w:rFonts w:ascii="Arial" w:cs="Arial" w:eastAsia="Arial" w:hAnsi="Arial"/>
          <w:sz w:val="18"/>
          <w:szCs w:val="18"/>
          <w:color w:val="auto"/>
        </w:rPr>
      </w:pPr>
    </w:p>
    <w:p>
      <w:pPr>
        <w:jc w:val="both"/>
        <w:ind w:firstLine="8"/>
        <w:spacing w:after="0" w:line="428"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April 26, 2012 - Fitch Ratings upgraded the Issuer Default Rating, Unsecured Revolving Credit Facility and Senior Unsecured Notes ratings for Federal Realty from BBB+ to A-. Fitch stated, “The rating actions are driven by the company's prudent balance sheet management and the high quality and consistent cash flow streams provided by FRT's community shopping centers.”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$0.69 per share on its common shares, resulting in an indicated annual rate of $2.76 per share. The regular common dividend will be payable on July 16, 2012 to common shareholders of record on June 22,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first quarter 2012 earnings conference call, which is scheduled for May 8, 2012, at 11 a.m. Eastern Daylight Time. To participate, please call (866) 272-9941 five to ten minutes prior to the call start time and use the passcode FRT EARNINGS (required). Federal Realty will also provide an online webcast on the Company's web 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June 8, 2012, by dialing (888) 286-8010 and using the passcode 97515532.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85"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 xml:space="preserve">In 2012, Federal Realty celebrates 50 years of being a proven leader in the ownership, operation, and redevelopment of high quality retail real estate in the country's best markets. Federal Realty's portfolio (excluding joint venture properties) contains approximately 19.2 million square feet located primarily in strategically selected metropolitan markets in the Northeast and Mid-Atlantic regions of the United States, as well as in California. In addition, the Trust has an ownership interest in approximately 1.0 million square feet of retail space through a joint venture in which the Trust has a 30% interest. Our operating portfolio (excluding joint venture properties) was 93.8% leased to national, regional, and local retailers as of March 31, 2012, with no single tenant accounting for more than approximately 2.5% of annualized base rent. Federal Realty has paid quarterly dividends to its shareholders continuously since its founding in 1962, and has increased its dividend rate for 44 consecutive years, the longest record in the REIT industry. Federal Realty is an S&amp;P MidCap 400 company and its shares are traded on the NYSE under the symbol FRT. For more information, please visit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16, 2012, and include the following:</w:t>
      </w:r>
    </w:p>
    <w:p>
      <w:pPr>
        <w:spacing w:after="0" w:line="206" w:lineRule="exact"/>
        <w:rPr>
          <w:sz w:val="20"/>
          <w:szCs w:val="20"/>
          <w:color w:val="auto"/>
        </w:rPr>
      </w:pPr>
    </w:p>
    <w:p>
      <w:pPr>
        <w:jc w:val="both"/>
        <w:ind w:left="660" w:firstLine="648"/>
        <w:spacing w:after="0" w:line="322" w:lineRule="auto"/>
        <w:rPr>
          <w:sz w:val="20"/>
          <w:szCs w:val="20"/>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jc w:val="both"/>
        <w:ind w:left="660" w:right="20" w:firstLine="648"/>
        <w:spacing w:after="0" w:line="322" w:lineRule="auto"/>
        <w:rPr>
          <w:sz w:val="20"/>
          <w:szCs w:val="20"/>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660" w:right="140" w:firstLine="648"/>
        <w:spacing w:after="0" w:line="322" w:lineRule="auto"/>
        <w:rPr>
          <w:sz w:val="20"/>
          <w:szCs w:val="20"/>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jc w:val="both"/>
        <w:ind w:left="660" w:firstLine="648"/>
        <w:spacing w:after="0" w:line="322" w:lineRule="auto"/>
        <w:rPr>
          <w:sz w:val="20"/>
          <w:szCs w:val="20"/>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ind w:left="1300"/>
        <w:spacing w:after="0"/>
        <w:rPr>
          <w:sz w:val="20"/>
          <w:szCs w:val="20"/>
          <w:color w:val="auto"/>
        </w:rPr>
      </w:pPr>
      <w:r>
        <w:rPr>
          <w:rFonts w:ascii="Arial" w:cs="Arial" w:eastAsia="Arial" w:hAnsi="Arial"/>
          <w:sz w:val="14"/>
          <w:szCs w:val="14"/>
          <w:i w:val="1"/>
          <w:iCs w:val="1"/>
          <w:color w:val="auto"/>
        </w:rPr>
        <w:t>risks that our growth will be limited if we cannot obtain additional capital;</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55" w:lineRule="exact"/>
        <w:rPr>
          <w:sz w:val="20"/>
          <w:szCs w:val="20"/>
          <w:color w:val="auto"/>
        </w:rPr>
      </w:pPr>
    </w:p>
    <w:p>
      <w:pPr>
        <w:jc w:val="both"/>
        <w:ind w:left="660" w:firstLine="648"/>
        <w:spacing w:after="0" w:line="322" w:lineRule="auto"/>
        <w:rPr>
          <w:sz w:val="20"/>
          <w:szCs w:val="20"/>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jc w:val="both"/>
        <w:ind w:left="660" w:firstLine="648"/>
        <w:spacing w:after="0" w:line="340" w:lineRule="auto"/>
        <w:rPr>
          <w:sz w:val="20"/>
          <w:szCs w:val="20"/>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16,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24"/>
                <w:szCs w:val="24"/>
                <w:color w:val="auto"/>
              </w:rPr>
            </w:pPr>
          </w:p>
        </w:tc>
      </w:tr>
      <w:tr>
        <w:trPr>
          <w:trHeight w:val="250"/>
        </w:trPr>
        <w:tc>
          <w:tcPr>
            <w:tcW w:w="8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44"/>
        </w:trPr>
        <w:tc>
          <w:tcPr>
            <w:tcW w:w="8300" w:type="dxa"/>
            <w:vAlign w:val="bottom"/>
          </w:tcPr>
          <w:p>
            <w:pPr>
              <w:spacing w:after="0"/>
              <w:rPr>
                <w:sz w:val="21"/>
                <w:szCs w:val="21"/>
                <w:color w:val="auto"/>
              </w:rPr>
            </w:pPr>
          </w:p>
        </w:tc>
        <w:tc>
          <w:tcPr>
            <w:tcW w:w="30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76"/>
        </w:trPr>
        <w:tc>
          <w:tcPr>
            <w:tcW w:w="8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24"/>
                <w:szCs w:val="24"/>
                <w:color w:val="auto"/>
              </w:rPr>
            </w:pPr>
          </w:p>
        </w:tc>
      </w:tr>
      <w:tr>
        <w:trPr>
          <w:trHeight w:val="25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140,661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134,438</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2,090</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1,121</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146,289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137,649</w:t>
            </w: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29,402</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16,057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15,407</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6,051</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36,571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30,416</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81,276</w:t>
            </w: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60,547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56,373</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(25,044)</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323</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31,963</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Income before gain on sale of real estate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32,384</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 in real estate partnership</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44,122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32,384</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42,986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31,186</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42,851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31,051</w:t>
            </w:r>
          </w:p>
        </w:tc>
      </w:tr>
      <w:tr>
        <w:trPr>
          <w:trHeight w:val="271"/>
        </w:trPr>
        <w:tc>
          <w:tcPr>
            <w:tcW w:w="8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EARNINGS PER COMMON SHARE, BASIC</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0.01</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0.50</w:t>
            </w:r>
          </w:p>
        </w:tc>
      </w:tr>
      <w:tr>
        <w:trPr>
          <w:trHeight w:val="67"/>
        </w:trPr>
        <w:tc>
          <w:tcPr>
            <w:tcW w:w="83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43"/>
        </w:trPr>
        <w:tc>
          <w:tcPr>
            <w:tcW w:w="8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304"/>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63,411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61,471</w:t>
            </w:r>
          </w:p>
        </w:tc>
      </w:tr>
      <w:tr>
        <w:trPr>
          <w:trHeight w:val="217"/>
        </w:trPr>
        <w:tc>
          <w:tcPr>
            <w:tcW w:w="8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r>
      <w:tr>
        <w:trPr>
          <w:trHeight w:val="243"/>
        </w:trPr>
        <w:tc>
          <w:tcPr>
            <w:tcW w:w="83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0.01</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0.50</w:t>
            </w:r>
          </w:p>
        </w:tc>
      </w:tr>
      <w:tr>
        <w:trPr>
          <w:trHeight w:val="67"/>
        </w:trPr>
        <w:tc>
          <w:tcPr>
            <w:tcW w:w="83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43"/>
        </w:trPr>
        <w:tc>
          <w:tcPr>
            <w:tcW w:w="8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64"/>
        </w:trPr>
        <w:tc>
          <w:tcPr>
            <w:tcW w:w="830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63,585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61,629</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742" w:right="25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$263,583 and $263,570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4,251,132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4,232,608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200,879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4,452,011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Less accumulated depreciation and amortization (including $6,741 and $4,991 of consolidated variable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(1,127,588)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3,301,613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131,943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133,308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3,668,848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$207,099 and $207,683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816,005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810,616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295,159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1,004,584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1,004,635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205,036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2,320,310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1,231,734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1,206,095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1,241,731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1,216,092</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1,266,286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3,668,848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56"/>
        </w:trPr>
        <w:tc>
          <w:tcPr>
            <w:tcW w:w="20" w:type="dxa"/>
            <w:vAlign w:val="bottom"/>
            <w:shd w:val="clear" w:color="auto" w:fill="CCEEFF"/>
          </w:tcPr>
          <w:p>
            <w:pPr>
              <w:spacing w:after="0"/>
              <w:rPr>
                <w:sz w:val="22"/>
                <w:szCs w:val="22"/>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3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93"/>
              <w:spacing w:after="0"/>
              <w:rPr>
                <w:sz w:val="20"/>
                <w:szCs w:val="20"/>
                <w:color w:val="auto"/>
              </w:rPr>
            </w:pPr>
            <w:r>
              <w:rPr>
                <w:rFonts w:ascii="Arial" w:cs="Arial" w:eastAsia="Arial" w:hAnsi="Arial"/>
                <w:sz w:val="18"/>
                <w:szCs w:val="18"/>
                <w:color w:val="auto"/>
              </w:rPr>
              <w:t>44,122</w:t>
            </w:r>
          </w:p>
        </w:tc>
        <w:tc>
          <w:tcPr>
            <w:tcW w:w="12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32,384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w:t>
            </w:r>
          </w:p>
        </w:tc>
      </w:tr>
      <w:tr>
        <w:trPr>
          <w:trHeight w:val="243"/>
        </w:trPr>
        <w:tc>
          <w:tcPr>
            <w:tcW w:w="20" w:type="dxa"/>
            <w:vAlign w:val="bottom"/>
          </w:tcPr>
          <w:p>
            <w:pPr>
              <w:spacing w:after="0"/>
              <w:rPr>
                <w:sz w:val="21"/>
                <w:szCs w:val="21"/>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Gain on sale of real estate in real estate partnership</w:t>
            </w:r>
          </w:p>
        </w:tc>
        <w:tc>
          <w:tcPr>
            <w:tcW w:w="3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32,415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27,589</w:t>
            </w:r>
          </w:p>
        </w:tc>
      </w:tr>
      <w:tr>
        <w:trPr>
          <w:trHeight w:val="243"/>
        </w:trPr>
        <w:tc>
          <w:tcPr>
            <w:tcW w:w="20" w:type="dxa"/>
            <w:vAlign w:val="bottom"/>
          </w:tcPr>
          <w:p>
            <w:pPr>
              <w:spacing w:after="0"/>
              <w:rPr>
                <w:sz w:val="21"/>
                <w:szCs w:val="21"/>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2,240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w:t>
            </w:r>
          </w:p>
        </w:tc>
      </w:tr>
      <w:tr>
        <w:trPr>
          <w:trHeight w:val="237"/>
        </w:trPr>
        <w:tc>
          <w:tcPr>
            <w:tcW w:w="20" w:type="dxa"/>
            <w:vAlign w:val="bottom"/>
          </w:tcPr>
          <w:p>
            <w:pPr>
              <w:spacing w:after="0"/>
              <w:rPr>
                <w:sz w:val="20"/>
                <w:szCs w:val="20"/>
                <w:color w:val="auto"/>
              </w:rPr>
            </w:pPr>
          </w:p>
        </w:tc>
        <w:tc>
          <w:tcPr>
            <w:tcW w:w="8160" w:type="dxa"/>
            <w:vAlign w:val="bottom"/>
            <w:gridSpan w:val="4"/>
          </w:tcPr>
          <w:p>
            <w:pPr>
              <w:ind w:left="36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66,858</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61,442</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r>
      <w:tr>
        <w:trPr>
          <w:trHeight w:val="243"/>
        </w:trPr>
        <w:tc>
          <w:tcPr>
            <w:tcW w:w="20" w:type="dxa"/>
            <w:vAlign w:val="bottom"/>
          </w:tcPr>
          <w:p>
            <w:pPr>
              <w:spacing w:after="0"/>
              <w:rPr>
                <w:sz w:val="21"/>
                <w:szCs w:val="21"/>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243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r>
      <w:tr>
        <w:trPr>
          <w:trHeight w:val="297"/>
        </w:trPr>
        <w:tc>
          <w:tcPr>
            <w:tcW w:w="20" w:type="dxa"/>
            <w:vAlign w:val="bottom"/>
            <w:tcBorders>
              <w:bottom w:val="single" w:sz="8" w:color="CCEEFF"/>
            </w:tcBorders>
          </w:tcPr>
          <w:p>
            <w:pPr>
              <w:spacing w:after="0"/>
              <w:rPr>
                <w:sz w:val="24"/>
                <w:szCs w:val="24"/>
                <w:color w:val="auto"/>
              </w:rPr>
            </w:pPr>
          </w:p>
        </w:tc>
        <w:tc>
          <w:tcPr>
            <w:tcW w:w="81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FFO</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66,654</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61,270</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0.99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81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63,943</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61,991</w:t>
            </w:r>
          </w:p>
        </w:tc>
      </w:tr>
      <w:tr>
        <w:trPr>
          <w:trHeight w:val="271"/>
        </w:trPr>
        <w:tc>
          <w:tcPr>
            <w:tcW w:w="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3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60" w:type="dxa"/>
            <w:vAlign w:val="bottom"/>
            <w:gridSpan w:val="4"/>
          </w:tcPr>
          <w:p>
            <w:pPr>
              <w:spacing w:after="0" w:line="202" w:lineRule="exact"/>
              <w:rPr>
                <w:sz w:val="20"/>
                <w:szCs w:val="20"/>
                <w:color w:val="auto"/>
              </w:rPr>
            </w:pPr>
            <w:r>
              <w:rPr>
                <w:rFonts w:ascii="Arial" w:cs="Arial" w:eastAsia="Arial" w:hAnsi="Arial"/>
                <w:sz w:val="18"/>
                <w:szCs w:val="18"/>
                <w:color w:val="auto"/>
              </w:rPr>
              <w:t>Summary of Capital Expenditures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5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60" w:type="dxa"/>
            <w:vAlign w:val="bottom"/>
            <w:gridSpan w:val="4"/>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18,039</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18,165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Tenant improvements and incentives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6,588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5,861</w:t>
            </w:r>
          </w:p>
        </w:tc>
      </w:tr>
      <w:tr>
        <w:trPr>
          <w:trHeight w:val="237"/>
        </w:trPr>
        <w:tc>
          <w:tcPr>
            <w:tcW w:w="20" w:type="dxa"/>
            <w:vAlign w:val="bottom"/>
          </w:tcPr>
          <w:p>
            <w:pPr>
              <w:spacing w:after="0"/>
              <w:rPr>
                <w:sz w:val="20"/>
                <w:szCs w:val="20"/>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Total non-maintenance capital expenditures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24,627</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24,026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3,956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2,601</w:t>
            </w:r>
          </w:p>
        </w:tc>
      </w:tr>
      <w:tr>
        <w:trPr>
          <w:trHeight w:val="297"/>
        </w:trPr>
        <w:tc>
          <w:tcPr>
            <w:tcW w:w="20" w:type="dxa"/>
            <w:vAlign w:val="bottom"/>
            <w:tcBorders>
              <w:bottom w:val="single" w:sz="8" w:color="CCEEFF"/>
            </w:tcBorders>
          </w:tcPr>
          <w:p>
            <w:pPr>
              <w:spacing w:after="0"/>
              <w:rPr>
                <w:sz w:val="24"/>
                <w:szCs w:val="24"/>
                <w:color w:val="auto"/>
              </w:rPr>
            </w:pPr>
          </w:p>
        </w:tc>
        <w:tc>
          <w:tcPr>
            <w:tcW w:w="8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28,583</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26,627</w:t>
            </w:r>
          </w:p>
        </w:tc>
      </w:tr>
      <w:tr>
        <w:trPr>
          <w:trHeight w:val="271"/>
        </w:trPr>
        <w:tc>
          <w:tcPr>
            <w:tcW w:w="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3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60" w:type="dxa"/>
            <w:vAlign w:val="bottom"/>
            <w:gridSpan w:val="4"/>
          </w:tcPr>
          <w:p>
            <w:pPr>
              <w:spacing w:after="0" w:line="202" w:lineRule="exact"/>
              <w:rPr>
                <w:sz w:val="20"/>
                <w:szCs w:val="20"/>
                <w:color w:val="auto"/>
              </w:rPr>
            </w:pPr>
            <w:r>
              <w:rPr>
                <w:rFonts w:ascii="Arial" w:cs="Arial" w:eastAsia="Arial" w:hAnsi="Arial"/>
                <w:sz w:val="18"/>
                <w:szCs w:val="18"/>
                <w:color w:val="auto"/>
              </w:rPr>
              <w:t>Dividends and Payout Ratios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44,093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41,669</w:t>
            </w:r>
          </w:p>
        </w:tc>
      </w:tr>
      <w:tr>
        <w:trPr>
          <w:trHeight w:val="28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20" w:type="dxa"/>
            <w:vAlign w:val="bottom"/>
            <w:shd w:val="clear" w:color="auto" w:fill="CCEEFF"/>
          </w:tcPr>
          <w:p>
            <w:pPr>
              <w:spacing w:after="0"/>
              <w:rPr>
                <w:sz w:val="21"/>
                <w:szCs w:val="21"/>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42" w:right="25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50"/>
        </w:trPr>
        <w:tc>
          <w:tcPr>
            <w:tcW w:w="8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63,909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62,232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96.79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81.56</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6,185,752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5,075,642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6,195,752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5,085,642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2,115,274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1,804,055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8,311,026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6,889,697</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constant common share price of $81.56</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do not include 326,140 and 362,314 Operating Partnership Units outstanding at March 31, 2012 and 2011,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0" w:hanging="652"/>
        <w:spacing w:after="0" w:line="286"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$17.2 million and $17.3 million which is the Trust's 30% share of the total mortgages payable of $57.3 million and $57.5 million at March 31, 2012 and 2011, respectively, of the partnership with a discretionary fund created and advised by ING Clarion Partners.</w:t>
      </w:r>
    </w:p>
    <w:p>
      <w:pPr>
        <w:spacing w:after="0" w:line="4" w:lineRule="exact"/>
        <w:rPr>
          <w:rFonts w:ascii="Arial" w:cs="Arial" w:eastAsia="Arial" w:hAnsi="Arial"/>
          <w:sz w:val="15"/>
          <w:szCs w:val="15"/>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8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103,135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96,736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26,957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28,830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1,952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140,661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134,438</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jc w:val="both"/>
        <w:ind w:left="660" w:right="120" w:hanging="652"/>
        <w:spacing w:after="0" w:line="26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Minimum rents include $0.6 million and $1.0 million for the three months ended March 31, 2012 and 2011, respectively, to recognize minimum rents on a straight-line basis. In addition, minimum rents include $0.2 million and $0.3 million for the three months ended March 31, 2012 and 2011, respectively, to recognize income from the amortization of in-place leases.</w:t>
      </w:r>
    </w:p>
    <w:p>
      <w:pPr>
        <w:spacing w:after="0" w:line="20"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As of March 31, 2012</w:t>
            </w:r>
          </w:p>
        </w:tc>
        <w:tc>
          <w:tcPr>
            <w:tcW w:w="1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Stated maturity date</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w:t>
            </w:r>
          </w:p>
        </w:tc>
        <w:tc>
          <w:tcPr>
            <w:tcW w:w="220" w:type="dxa"/>
            <w:vAlign w:val="bottom"/>
          </w:tcPr>
          <w:p>
            <w:pPr>
              <w:spacing w:after="0"/>
              <w:rPr>
                <w:sz w:val="13"/>
                <w:szCs w:val="13"/>
                <w:color w:val="auto"/>
              </w:rPr>
            </w:pPr>
          </w:p>
        </w:tc>
        <w:tc>
          <w:tcPr>
            <w:tcW w:w="12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Balance</w:t>
            </w:r>
          </w:p>
        </w:tc>
        <w:tc>
          <w:tcPr>
            <w:tcW w:w="1220" w:type="dxa"/>
            <w:vAlign w:val="bottom"/>
          </w:tcPr>
          <w:p>
            <w:pPr>
              <w:spacing w:after="0"/>
              <w:rPr>
                <w:sz w:val="13"/>
                <w:szCs w:val="13"/>
                <w:color w:val="auto"/>
              </w:rPr>
            </w:pPr>
          </w:p>
        </w:tc>
        <w:tc>
          <w:tcPr>
            <w:tcW w:w="13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effective rate (9)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12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Courtyard Shops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6,981</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19,993</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3,978</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White Marsh Plaza (2)</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4/1/2013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9,207</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Crow Canyon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19,835</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Idylwood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16,206</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Leesburg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28,198</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Loehmann's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36,464</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Pentagon Row</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52,345</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Melville Mall (3)</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9/1/2014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22,131</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56,293</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Barracks Road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38,771</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Hauppauge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14,616</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Lawrence Park</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27,481</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Wildwood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24,155</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Wynnewood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28,006</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Brick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28,581</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Plaza El Segundo</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8/5/2017</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Rollingwood Apartments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5/1/2019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Shoppers' World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1/31/2021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5,405</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Montrose Crossing</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1/10/2022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79,777</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Mount Vernon (4)</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4/15/2028</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10,455</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Chelsea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1/15/2031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7,585</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734,613</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Net unamortized premium</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9,684</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744,297</w:t>
            </w:r>
          </w:p>
        </w:tc>
        <w:tc>
          <w:tcPr>
            <w:tcW w:w="2060" w:type="dxa"/>
            <w:vAlign w:val="bottom"/>
            <w:gridSpan w:val="2"/>
          </w:tcPr>
          <w:p>
            <w:pPr>
              <w:jc w:val="right"/>
              <w:ind w:right="88"/>
              <w:spacing w:after="0"/>
              <w:rPr>
                <w:sz w:val="20"/>
                <w:szCs w:val="20"/>
                <w:color w:val="auto"/>
              </w:rPr>
            </w:pPr>
            <w:r>
              <w:rPr>
                <w:rFonts w:ascii="Arial" w:cs="Arial" w:eastAsia="Arial" w:hAnsi="Arial"/>
                <w:sz w:val="16"/>
                <w:szCs w:val="16"/>
                <w:color w:val="auto"/>
              </w:rPr>
              <w:t>6.23%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tcPr>
          <w:p>
            <w:pPr>
              <w:ind w:left="40"/>
              <w:spacing w:after="0"/>
              <w:rPr>
                <w:sz w:val="20"/>
                <w:szCs w:val="20"/>
                <w:color w:val="auto"/>
              </w:rPr>
            </w:pPr>
            <w:r>
              <w:rPr>
                <w:rFonts w:ascii="Arial" w:cs="Arial" w:eastAsia="Arial" w:hAnsi="Arial"/>
                <w:sz w:val="16"/>
                <w:szCs w:val="16"/>
                <w:color w:val="auto"/>
              </w:rPr>
              <w:t>Notes payable</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Various (5)</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Various through 2013</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10,285</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Term loan (6)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11/21/2018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LIBOR + 1.45%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Revolving credit facility (7)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7/6/2015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LIBOR + 1.15%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Escondido (municipal bonds) (8)</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10/1/2016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294,685</w:t>
            </w:r>
          </w:p>
        </w:tc>
        <w:tc>
          <w:tcPr>
            <w:tcW w:w="20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3.27%</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Senior notes and debentures</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40"/>
              <w:spacing w:after="0"/>
              <w:rPr>
                <w:sz w:val="20"/>
                <w:szCs w:val="20"/>
                <w:color w:val="auto"/>
              </w:rPr>
            </w:pPr>
            <w:r>
              <w:rPr>
                <w:rFonts w:ascii="Arial" w:cs="Arial" w:eastAsia="Arial" w:hAnsi="Arial"/>
                <w:sz w:val="16"/>
                <w:szCs w:val="16"/>
                <w:i w:val="1"/>
                <w:iCs w:val="1"/>
                <w:color w:val="auto"/>
                <w:w w:val="98"/>
              </w:rPr>
              <w:t>Unsecured fixed rate</w:t>
            </w:r>
          </w:p>
        </w:tc>
        <w:tc>
          <w:tcPr>
            <w:tcW w:w="182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6.00%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7/15/2012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5.40%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12/1/2013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5.95%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5.65%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6/1/2016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6.20%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1/15/2017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4/1/2020</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7.48% debentures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8/15/2026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6.82% medium term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8/1/2027</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1,004,200</w:t>
            </w:r>
          </w:p>
        </w:tc>
        <w:tc>
          <w:tcPr>
            <w:tcW w:w="1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1,004,584</w:t>
            </w:r>
          </w:p>
        </w:tc>
        <w:tc>
          <w:tcPr>
            <w:tcW w:w="20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6.05%</w:t>
            </w: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580" w:type="dxa"/>
            <w:vAlign w:val="bottom"/>
            <w:tcBorders>
              <w:top w:val="single" w:sz="8" w:color="auto"/>
            </w:tcBorders>
            <w:gridSpan w:val="3"/>
          </w:tcPr>
          <w:p>
            <w:pPr>
              <w:ind w:left="340"/>
              <w:spacing w:after="0"/>
              <w:rPr>
                <w:sz w:val="20"/>
                <w:szCs w:val="20"/>
                <w:color w:val="auto"/>
              </w:rPr>
            </w:pPr>
            <w:r>
              <w:rPr>
                <w:rFonts w:ascii="Arial" w:cs="Arial" w:eastAsia="Arial" w:hAnsi="Arial"/>
                <w:sz w:val="16"/>
                <w:szCs w:val="16"/>
                <w:color w:val="auto"/>
              </w:rPr>
              <w:t>Various</w:t>
            </w:r>
          </w:p>
        </w:tc>
        <w:tc>
          <w:tcPr>
            <w:tcW w:w="2060" w:type="dxa"/>
            <w:vAlign w:val="bottom"/>
            <w:tcBorders>
              <w:top w:val="single" w:sz="8" w:color="CCEEFF"/>
            </w:tcBorders>
            <w:gridSpan w:val="2"/>
          </w:tcPr>
          <w:p>
            <w:pPr>
              <w:spacing w:after="0"/>
              <w:rPr>
                <w:sz w:val="20"/>
                <w:szCs w:val="20"/>
                <w:color w:val="auto"/>
              </w:rPr>
            </w:pPr>
          </w:p>
        </w:tc>
        <w:tc>
          <w:tcPr>
            <w:tcW w:w="19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72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22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71,708</w:t>
            </w:r>
          </w:p>
        </w:tc>
        <w:tc>
          <w:tcPr>
            <w:tcW w:w="2060" w:type="dxa"/>
            <w:vAlign w:val="bottom"/>
            <w:tcBorders>
              <w:top w:val="single" w:sz="8" w:color="CCEEFF"/>
            </w:tcBorders>
            <w:gridSpan w:val="2"/>
          </w:tcPr>
          <w:p>
            <w:pPr>
              <w:jc w:val="right"/>
              <w:ind w:right="88"/>
              <w:spacing w:after="0"/>
              <w:rPr>
                <w:sz w:val="20"/>
                <w:szCs w:val="20"/>
                <w:color w:val="auto"/>
              </w:rPr>
            </w:pPr>
            <w:r>
              <w:rPr>
                <w:rFonts w:ascii="Arial" w:cs="Arial" w:eastAsia="Arial" w:hAnsi="Arial"/>
                <w:sz w:val="16"/>
                <w:szCs w:val="16"/>
                <w:color w:val="auto"/>
              </w:rPr>
              <w:t>8.05%</w:t>
            </w:r>
          </w:p>
        </w:tc>
        <w:tc>
          <w:tcPr>
            <w:tcW w:w="5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7"/>
        </w:trPr>
        <w:tc>
          <w:tcPr>
            <w:tcW w:w="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747" w:right="239" w:bottom="0" w:gutter="0" w:footer="0" w:header="0"/>
        </w:sectPr>
      </w:pPr>
    </w:p>
    <w:bookmarkStart w:id="14" w:name="page15"/>
    <w:bookmarkEnd w:id="14"/>
    <w:p>
      <w:pPr>
        <w:spacing w:after="0"/>
        <w:tabs>
          <w:tab w:leader="none" w:pos="7340" w:val="left"/>
          <w:tab w:leader="none" w:pos="8040" w:val="left"/>
        </w:tabs>
        <w:rPr>
          <w:sz w:val="20"/>
          <w:szCs w:val="20"/>
          <w:color w:val="auto"/>
        </w:rPr>
      </w:pPr>
      <w:r>
        <w:rPr>
          <w:rFonts w:ascii="Arial" w:cs="Arial" w:eastAsia="Arial" w:hAnsi="Arial"/>
          <w:sz w:val="16"/>
          <w:szCs w:val="16"/>
          <w:color w:val="auto"/>
        </w:rPr>
        <w:t>Total debt and capital lease obligations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2,115,274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-109855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179"/>
          </w:cols>
          <w:pgMar w:left="28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179"/>
          </w:cols>
          <w:pgMar w:left="280" w:top="130"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6"/>
        </w:trPr>
        <w:tc>
          <w:tcPr>
            <w:tcW w:w="7320" w:type="dxa"/>
            <w:vAlign w:val="bottom"/>
            <w:gridSpan w:val="3"/>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2,105,874</w:t>
            </w:r>
          </w:p>
        </w:tc>
        <w:tc>
          <w:tcPr>
            <w:tcW w:w="34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3"/>
        </w:trPr>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&lt;1%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r>
      <w:tr>
        <w:trPr>
          <w:trHeight w:val="244"/>
        </w:trPr>
        <w:tc>
          <w:tcPr>
            <w:tcW w:w="7320" w:type="dxa"/>
            <w:vAlign w:val="bottom"/>
            <w:gridSpan w:val="3"/>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2,115,274</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5.79%</w:t>
            </w:r>
          </w:p>
        </w:tc>
        <w:tc>
          <w:tcPr>
            <w:tcW w:w="80" w:type="dxa"/>
            <w:vAlign w:val="bottom"/>
            <w:tcBorders>
              <w:top w:val="single" w:sz="8" w:color="auto"/>
              <w:bottom w:val="single" w:sz="8" w:color="auto"/>
            </w:tcBorders>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r>
      <w:tr>
        <w:trPr>
          <w:trHeight w:val="20"/>
        </w:trPr>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0"/>
        </w:trPr>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6"/>
        </w:trPr>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50"/>
        </w:trPr>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2"/>
        </w:trPr>
        <w:tc>
          <w:tcPr>
            <w:tcW w:w="16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Operational Statistics</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48"/>
        </w:trPr>
        <w:tc>
          <w:tcPr>
            <w:tcW w:w="1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57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160" w:type="dxa"/>
            <w:vAlign w:val="bottom"/>
          </w:tcPr>
          <w:p>
            <w:pPr>
              <w:spacing w:after="0"/>
              <w:rPr>
                <w:sz w:val="20"/>
                <w:szCs w:val="20"/>
                <w:color w:val="auto"/>
              </w:rPr>
            </w:pPr>
          </w:p>
        </w:tc>
        <w:tc>
          <w:tcPr>
            <w:tcW w:w="716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(11)</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6"/>
                <w:szCs w:val="16"/>
                <w:color w:val="auto"/>
              </w:rPr>
              <w:t>3.46</w:t>
            </w: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3.28</w:t>
            </w:r>
          </w:p>
        </w:tc>
        <w:tc>
          <w:tcPr>
            <w:tcW w:w="520" w:type="dxa"/>
            <w:vAlign w:val="bottom"/>
            <w:gridSpan w:val="3"/>
          </w:tcPr>
          <w:p>
            <w:pPr>
              <w:jc w:val="right"/>
              <w:ind w:right="400"/>
              <w:spacing w:after="0"/>
              <w:rPr>
                <w:sz w:val="20"/>
                <w:szCs w:val="20"/>
                <w:color w:val="auto"/>
              </w:rPr>
            </w:pPr>
            <w:r>
              <w:rPr>
                <w:rFonts w:ascii="Arial" w:cs="Arial" w:eastAsia="Arial" w:hAnsi="Arial"/>
                <w:sz w:val="16"/>
                <w:szCs w:val="16"/>
                <w:color w:val="auto"/>
              </w:rPr>
              <w:t>x</w:t>
            </w:r>
          </w:p>
        </w:tc>
      </w:tr>
      <w:tr>
        <w:trPr>
          <w:trHeight w:val="33"/>
        </w:trPr>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160" w:type="dxa"/>
            <w:vAlign w:val="bottom"/>
            <w:shd w:val="clear" w:color="auto" w:fill="CCEEFF"/>
          </w:tcPr>
          <w:p>
            <w:pPr>
              <w:spacing w:after="0"/>
              <w:rPr>
                <w:sz w:val="20"/>
                <w:szCs w:val="20"/>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(11)</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3.09</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3.28</w:t>
            </w:r>
          </w:p>
        </w:tc>
        <w:tc>
          <w:tcPr>
            <w:tcW w:w="5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x</w:t>
            </w:r>
          </w:p>
        </w:tc>
      </w:tr>
      <w:tr>
        <w:trPr>
          <w:trHeight w:val="33"/>
        </w:trPr>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Mortgages payable do not include our 30% share ($17.2 million) of the $57.3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12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11" w:lineRule="exact"/>
        <w:rPr>
          <w:rFonts w:ascii="Arial" w:cs="Arial" w:eastAsia="Arial" w:hAnsi="Arial"/>
          <w:sz w:val="14"/>
          <w:szCs w:val="14"/>
          <w:color w:val="auto"/>
        </w:rPr>
      </w:pPr>
    </w:p>
    <w:p>
      <w:pPr>
        <w:ind w:left="660" w:right="280" w:hanging="652"/>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in 2013. The lender has the option to call the loan on April 15, 2013 or any time thereafter.</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interest rate of 3.10% represents the weighted average interest rate for two unsecured fixed rate notes payable. These notes mature on May 1, 2012 and January 31, 2013.</w:t>
      </w:r>
    </w:p>
    <w:p>
      <w:pPr>
        <w:spacing w:after="0" w:line="66" w:lineRule="exact"/>
        <w:rPr>
          <w:rFonts w:ascii="Arial" w:cs="Arial" w:eastAsia="Arial" w:hAnsi="Arial"/>
          <w:sz w:val="13"/>
          <w:szCs w:val="13"/>
          <w:color w:val="auto"/>
        </w:rPr>
      </w:pPr>
    </w:p>
    <w:p>
      <w:pPr>
        <w:ind w:left="660" w:right="8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3.17% and thus, the loan is included in fixed rate debt.</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amount was drawn under our revolving credit facility during the three months ended March 31, 2012.</w:t>
      </w:r>
    </w:p>
    <w:p>
      <w:pPr>
        <w:spacing w:after="0" w:line="55"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10.</w:t>
      </w:r>
    </w:p>
    <w:p>
      <w:pPr>
        <w:spacing w:after="0" w:line="55"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March 31, 2012. In addition, the weighted average effective interest rate is calculated using the fixed rate on our term loan of 3.17% as the result of the interest rate swap agreements discussed in Note 6.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52"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Fixed charges for the three months ended March 31, 2011 include $0.3 million of income from early extinguishment of debt due to the write-off of the unamortized debt premium net of a 3% prepayment premium and unamortized debt fees related to the payoff of our mortgage loan on Tower Shops prior to its contractual prepayment date. Adjusted EBITDA is reconciled to net income in the Glossary of Terms.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64"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2012</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8,991</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191,916</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200,907</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11,680</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196,893</w:t>
            </w:r>
          </w:p>
        </w:tc>
        <w:tc>
          <w:tcPr>
            <w:tcW w:w="340" w:type="dxa"/>
            <w:vAlign w:val="bottom"/>
          </w:tcPr>
          <w:p>
            <w:pPr>
              <w:jc w:val="right"/>
              <w:ind w:right="62"/>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208,573</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19.5%</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9,999</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297,864</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307,863</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6,572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jc w:val="right"/>
              <w:ind w:right="62"/>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204,963</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43.8%</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134,400</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136,951</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375,000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377,688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68.2%</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277,820</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2,612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22,772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82.5%</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152,556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2,410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6,035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90.1%</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21,249</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187,829</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209,078</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74,128</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2,031,078</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2,105,206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42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the repayment of the outstanding mortgage payable balance on Mount Vernon. The lender has the option to call the loan on April 15, 2013 or any time thereafter.</w:t>
      </w:r>
    </w:p>
    <w:p>
      <w:pPr>
        <w:spacing w:after="0" w:line="10"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$400.0 million unsecured revolving credit facility matures on July 6, 2015, subject to a one-year extension at our option. As of March 31, 2012, there was $0 drawn under this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March 31, 2012.</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weighted average rate excludes </w:t>
      </w:r>
      <w:r>
        <w:rPr>
          <w:rFonts w:ascii="Arial" w:cs="Arial" w:eastAsia="Arial" w:hAnsi="Arial"/>
          <w:sz w:val="14"/>
          <w:szCs w:val="14"/>
          <w:color w:val="auto"/>
        </w:rPr>
        <w:t>$0.5 million</w:t>
      </w:r>
      <w:r>
        <w:rPr>
          <w:rFonts w:ascii="Arial" w:cs="Arial" w:eastAsia="Arial" w:hAnsi="Arial"/>
          <w:sz w:val="16"/>
          <w:szCs w:val="16"/>
          <w:color w:val="auto"/>
        </w:rPr>
        <w:t xml:space="preserve">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Development and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2012</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Property</w:t>
            </w:r>
          </w:p>
        </w:tc>
        <w:tc>
          <w:tcPr>
            <w:tcW w:w="12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Location</w:t>
            </w:r>
          </w:p>
        </w:tc>
        <w:tc>
          <w:tcPr>
            <w:tcW w:w="342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Opportunity</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Redevelopment/Development</w:t>
            </w:r>
          </w:p>
        </w:tc>
        <w:tc>
          <w:tcPr>
            <w:tcW w:w="8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Cost (1)</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64"/>
        </w:trPr>
        <w:tc>
          <w:tcPr>
            <w:tcW w:w="624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Active projects which are expected to stabilize in 2012 and beyond</w:t>
            </w:r>
          </w:p>
        </w:tc>
        <w:tc>
          <w:tcPr>
            <w:tcW w:w="1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Richmond, VA</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Demo interior mall, relocate mall tenants, construct new</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exterior GLA, new pad buildings, and gas station</w:t>
            </w:r>
          </w:p>
        </w:tc>
        <w:tc>
          <w:tcPr>
            <w:tcW w:w="1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rPr>
              <w:t>Westgate Mall</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San Jose, CA</w:t>
            </w:r>
          </w:p>
        </w:tc>
        <w:tc>
          <w:tcPr>
            <w:tcW w:w="3420" w:type="dxa"/>
            <w:vAlign w:val="bottom"/>
          </w:tcPr>
          <w:p>
            <w:pPr>
              <w:ind w:left="60"/>
              <w:spacing w:after="0" w:line="157" w:lineRule="exact"/>
              <w:rPr>
                <w:sz w:val="20"/>
                <w:szCs w:val="20"/>
                <w:color w:val="auto"/>
              </w:rPr>
            </w:pPr>
            <w:r>
              <w:rPr>
                <w:rFonts w:ascii="Arial" w:cs="Arial" w:eastAsia="Arial" w:hAnsi="Arial"/>
                <w:sz w:val="14"/>
                <w:szCs w:val="14"/>
                <w:color w:val="auto"/>
                <w:w w:val="96"/>
              </w:rPr>
              <w:t>Façade and interior mall renovation and addition of food</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7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8%</w:t>
            </w: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2014/2015</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4"/>
                <w:szCs w:val="14"/>
                <w:color w:val="auto"/>
              </w:rPr>
              <w:t>court</w:t>
            </w: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 Cynwyd</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Bala Cynwyd, PA</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Construction of two retail pad buildings</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15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rPr>
              <w:t>Shoppers' World</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w w:val="99"/>
              </w:rPr>
              <w:t>Charlottesville, VA</w:t>
            </w:r>
          </w:p>
        </w:tc>
        <w:tc>
          <w:tcPr>
            <w:tcW w:w="3420" w:type="dxa"/>
            <w:vAlign w:val="bottom"/>
          </w:tcPr>
          <w:p>
            <w:pPr>
              <w:ind w:left="60"/>
              <w:spacing w:after="0" w:line="157" w:lineRule="exact"/>
              <w:rPr>
                <w:sz w:val="20"/>
                <w:szCs w:val="20"/>
                <w:color w:val="auto"/>
              </w:rPr>
            </w:pPr>
            <w:r>
              <w:rPr>
                <w:rFonts w:ascii="Arial" w:cs="Arial" w:eastAsia="Arial" w:hAnsi="Arial"/>
                <w:sz w:val="14"/>
                <w:szCs w:val="14"/>
                <w:color w:val="auto"/>
              </w:rPr>
              <w:t>Renovate canopy and reconfigure anchor spaces to</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7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4"/>
                <w:szCs w:val="14"/>
                <w:color w:val="auto"/>
              </w:rPr>
              <w:t>accommodate new tenants</w:t>
            </w: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Fresh Meadows</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Queens, NY</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Conversion of 2nd floor office space for new sporting</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goods retailer.</w:t>
            </w:r>
          </w:p>
        </w:tc>
        <w:tc>
          <w:tcPr>
            <w:tcW w:w="1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Mixed Use Projects</w:t>
            </w:r>
          </w:p>
        </w:tc>
        <w:tc>
          <w:tcPr>
            <w:tcW w:w="126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rPr>
              <w:t>Pike &amp; Rose (Mid-Pike)</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Rockville, MD</w:t>
            </w:r>
          </w:p>
        </w:tc>
        <w:tc>
          <w:tcPr>
            <w:tcW w:w="3420" w:type="dxa"/>
            <w:vAlign w:val="bottom"/>
          </w:tcPr>
          <w:p>
            <w:pPr>
              <w:ind w:left="60"/>
              <w:spacing w:after="0" w:line="157" w:lineRule="exact"/>
              <w:rPr>
                <w:sz w:val="20"/>
                <w:szCs w:val="20"/>
                <w:color w:val="auto"/>
              </w:rPr>
            </w:pPr>
            <w:r>
              <w:rPr>
                <w:rFonts w:ascii="Arial" w:cs="Arial" w:eastAsia="Arial" w:hAnsi="Arial"/>
                <w:sz w:val="14"/>
                <w:szCs w:val="14"/>
                <w:color w:val="auto"/>
              </w:rPr>
              <w:t>Ground up mixed use development on site of existing</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8% - 9%</w:t>
            </w: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$245 -</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2015/2016</w:t>
            </w:r>
          </w:p>
        </w:tc>
        <w:tc>
          <w:tcPr>
            <w:tcW w:w="0" w:type="dxa"/>
            <w:vAlign w:val="bottom"/>
          </w:tcPr>
          <w:p>
            <w:pPr>
              <w:spacing w:after="0"/>
              <w:rPr>
                <w:sz w:val="1"/>
                <w:szCs w:val="1"/>
                <w:color w:val="auto"/>
              </w:rPr>
            </w:pPr>
          </w:p>
        </w:tc>
      </w:tr>
      <w:tr>
        <w:trPr>
          <w:trHeight w:val="149"/>
        </w:trPr>
        <w:tc>
          <w:tcPr>
            <w:tcW w:w="1560" w:type="dxa"/>
            <w:vAlign w:val="bottom"/>
          </w:tcPr>
          <w:p>
            <w:pPr>
              <w:ind w:left="40"/>
              <w:spacing w:after="0" w:line="149" w:lineRule="exact"/>
              <w:rPr>
                <w:sz w:val="20"/>
                <w:szCs w:val="20"/>
                <w:color w:val="auto"/>
              </w:rPr>
            </w:pPr>
            <w:r>
              <w:rPr>
                <w:rFonts w:ascii="Arial" w:cs="Arial" w:eastAsia="Arial" w:hAnsi="Arial"/>
                <w:sz w:val="14"/>
                <w:szCs w:val="14"/>
                <w:color w:val="auto"/>
              </w:rPr>
              <w:t>(5)</w:t>
            </w:r>
          </w:p>
        </w:tc>
        <w:tc>
          <w:tcPr>
            <w:tcW w:w="1260" w:type="dxa"/>
            <w:vAlign w:val="bottom"/>
          </w:tcPr>
          <w:p>
            <w:pPr>
              <w:spacing w:after="0"/>
              <w:rPr>
                <w:sz w:val="12"/>
                <w:szCs w:val="12"/>
                <w:color w:val="auto"/>
              </w:rPr>
            </w:pPr>
          </w:p>
        </w:tc>
        <w:tc>
          <w:tcPr>
            <w:tcW w:w="3420" w:type="dxa"/>
            <w:vAlign w:val="bottom"/>
          </w:tcPr>
          <w:p>
            <w:pPr>
              <w:ind w:left="60"/>
              <w:spacing w:after="0" w:line="149" w:lineRule="exact"/>
              <w:rPr>
                <w:sz w:val="20"/>
                <w:szCs w:val="20"/>
                <w:color w:val="auto"/>
              </w:rPr>
            </w:pPr>
            <w:r>
              <w:rPr>
                <w:rFonts w:ascii="Arial" w:cs="Arial" w:eastAsia="Arial" w:hAnsi="Arial"/>
                <w:sz w:val="14"/>
                <w:szCs w:val="14"/>
                <w:color w:val="auto"/>
              </w:rPr>
              <w:t>Mid-Pike Shopping Center. Phase I of development</w:t>
            </w: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$255</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ind w:left="60"/>
              <w:spacing w:after="0" w:line="149" w:lineRule="exact"/>
              <w:rPr>
                <w:sz w:val="20"/>
                <w:szCs w:val="20"/>
                <w:color w:val="auto"/>
              </w:rPr>
            </w:pPr>
            <w:r>
              <w:rPr>
                <w:rFonts w:ascii="Arial" w:cs="Arial" w:eastAsia="Arial" w:hAnsi="Arial"/>
                <w:sz w:val="14"/>
                <w:szCs w:val="14"/>
                <w:color w:val="auto"/>
                <w:w w:val="96"/>
              </w:rPr>
              <w:t>involves demolition of roughly 25% of existing GLA, and</w:t>
            </w: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ind w:left="60"/>
              <w:spacing w:after="0" w:line="149" w:lineRule="exact"/>
              <w:rPr>
                <w:sz w:val="20"/>
                <w:szCs w:val="20"/>
                <w:color w:val="auto"/>
              </w:rPr>
            </w:pPr>
            <w:r>
              <w:rPr>
                <w:rFonts w:ascii="Arial" w:cs="Arial" w:eastAsia="Arial" w:hAnsi="Arial"/>
                <w:sz w:val="14"/>
                <w:szCs w:val="14"/>
                <w:color w:val="auto"/>
                <w:w w:val="94"/>
              </w:rPr>
              <w:t>construction of 493 residential units, 151,000 square feet</w:t>
            </w: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4"/>
                <w:szCs w:val="14"/>
                <w:color w:val="auto"/>
              </w:rPr>
              <w:t>of retail, and 79,000 square feet of office space.</w:t>
            </w: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Assembly Row - Phase I</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Somerville, MA</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Ground up mixed use development. Initial phase consists</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 - 7%</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$145 -</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w:t>
            </w: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of 575 residential units (by AvalonBay) and 323,000</w:t>
            </w:r>
          </w:p>
        </w:tc>
        <w:tc>
          <w:tcPr>
            <w:tcW w:w="1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$160</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4"/>
              </w:rPr>
              <w:t>square feet of retail space (including restaurant pad site).</w:t>
            </w:r>
          </w:p>
        </w:tc>
        <w:tc>
          <w:tcPr>
            <w:tcW w:w="1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 new Orange Line T-Stop will also be constructed by</w:t>
            </w:r>
          </w:p>
        </w:tc>
        <w:tc>
          <w:tcPr>
            <w:tcW w:w="1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Massachusetts Bay Transit Authority, as part of Phase I.</w:t>
            </w:r>
          </w:p>
        </w:tc>
        <w:tc>
          <w:tcPr>
            <w:tcW w:w="1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rPr>
              <w:t>Santana Row - Lot 8B</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San Jose, CA</w:t>
            </w:r>
          </w:p>
        </w:tc>
        <w:tc>
          <w:tcPr>
            <w:tcW w:w="3420" w:type="dxa"/>
            <w:vAlign w:val="bottom"/>
          </w:tcPr>
          <w:p>
            <w:pPr>
              <w:ind w:left="60"/>
              <w:spacing w:after="0" w:line="157" w:lineRule="exact"/>
              <w:rPr>
                <w:sz w:val="20"/>
                <w:szCs w:val="20"/>
                <w:color w:val="auto"/>
              </w:rPr>
            </w:pPr>
            <w:r>
              <w:rPr>
                <w:rFonts w:ascii="Arial" w:cs="Arial" w:eastAsia="Arial" w:hAnsi="Arial"/>
                <w:sz w:val="14"/>
                <w:szCs w:val="14"/>
                <w:color w:val="auto"/>
              </w:rPr>
              <w:t>Ground up development of a 5-story rental apartment</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6.5% -</w:t>
            </w: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$68 - $73</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ind w:left="60"/>
              <w:spacing w:after="0" w:line="149" w:lineRule="exact"/>
              <w:rPr>
                <w:sz w:val="20"/>
                <w:szCs w:val="20"/>
                <w:color w:val="auto"/>
              </w:rPr>
            </w:pPr>
            <w:r>
              <w:rPr>
                <w:rFonts w:ascii="Arial" w:cs="Arial" w:eastAsia="Arial" w:hAnsi="Arial"/>
                <w:sz w:val="14"/>
                <w:szCs w:val="14"/>
                <w:color w:val="auto"/>
              </w:rPr>
              <w:t>building, which will include 212 residential units and</w:t>
            </w:r>
          </w:p>
        </w:tc>
        <w:tc>
          <w:tcPr>
            <w:tcW w:w="1880" w:type="dxa"/>
            <w:vAlign w:val="bottom"/>
          </w:tcPr>
          <w:p>
            <w:pPr>
              <w:spacing w:after="0"/>
              <w:rPr>
                <w:sz w:val="12"/>
                <w:szCs w:val="12"/>
                <w:color w:val="auto"/>
              </w:rPr>
            </w:pP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7.5%</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4"/>
                <w:szCs w:val="14"/>
                <w:color w:val="auto"/>
              </w:rPr>
              <w:t>associated parking.</w:t>
            </w: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6B</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Jose, CA</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108 unit residential building</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15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jc w:val="right"/>
              <w:ind w:right="28"/>
              <w:spacing w:after="0" w:line="147" w:lineRule="exact"/>
              <w:rPr>
                <w:sz w:val="20"/>
                <w:szCs w:val="20"/>
                <w:color w:val="auto"/>
              </w:rPr>
            </w:pPr>
            <w:r>
              <w:rPr>
                <w:rFonts w:ascii="Arial" w:cs="Arial" w:eastAsia="Arial" w:hAnsi="Arial"/>
                <w:sz w:val="14"/>
                <w:szCs w:val="14"/>
                <w:b w:val="1"/>
                <w:bCs w:val="1"/>
                <w:color w:val="auto"/>
              </w:rPr>
              <w:t>$534 -</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Mixed Use Projects Anticipated to Stabilize in 2012 and beyond (4)</w:t>
            </w:r>
          </w:p>
        </w:tc>
        <w:tc>
          <w:tcPr>
            <w:tcW w:w="1880" w:type="dxa"/>
            <w:vAlign w:val="bottom"/>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 - 8%</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$564</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$88</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60"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future phases.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77" w:right="239" w:bottom="1440" w:gutter="0" w:footer="0" w:header="0"/>
        </w:sectPr>
      </w:pPr>
    </w:p>
    <w:bookmarkStart w:id="18" w:name="page19"/>
    <w:bookmarkEnd w:id="18"/>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2012</w:t>
      </w:r>
    </w:p>
    <w:p>
      <w:pPr>
        <w:spacing w:after="0" w:line="374" w:lineRule="exact"/>
        <w:rPr>
          <w:sz w:val="20"/>
          <w:szCs w:val="20"/>
          <w:color w:val="auto"/>
        </w:rPr>
      </w:pPr>
    </w:p>
    <w:p>
      <w:pPr>
        <w:ind w:left="2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20" w:right="9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Brick Plaza</w:t>
            </w:r>
          </w:p>
        </w:tc>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Brick, NJ</w:t>
            </w:r>
          </w:p>
        </w:tc>
        <w:tc>
          <w:tcPr>
            <w:tcW w:w="2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Melville Mall</w:t>
            </w:r>
          </w:p>
        </w:tc>
        <w:tc>
          <w:tcPr>
            <w:tcW w:w="5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Huntington, NY</w:t>
            </w:r>
          </w:p>
        </w:tc>
      </w:tr>
      <w:tr>
        <w:trPr>
          <w:trHeight w:val="237"/>
        </w:trPr>
        <w:tc>
          <w:tcPr>
            <w:tcW w:w="1800" w:type="dxa"/>
            <w:vAlign w:val="bottom"/>
          </w:tcPr>
          <w:p>
            <w:pPr>
              <w:ind w:left="500"/>
              <w:spacing w:after="0"/>
              <w:rPr>
                <w:sz w:val="20"/>
                <w:szCs w:val="20"/>
                <w:color w:val="auto"/>
              </w:rPr>
            </w:pPr>
            <w:r>
              <w:rPr>
                <w:rFonts w:ascii="Arial" w:cs="Arial" w:eastAsia="Arial" w:hAnsi="Arial"/>
                <w:sz w:val="16"/>
                <w:szCs w:val="16"/>
                <w:b w:val="1"/>
                <w:bCs w:val="1"/>
                <w:color w:val="auto"/>
              </w:rPr>
              <w:t>Dedham Plaza</w:t>
            </w:r>
          </w:p>
        </w:tc>
        <w:tc>
          <w:tcPr>
            <w:tcW w:w="1940" w:type="dxa"/>
            <w:vAlign w:val="bottom"/>
          </w:tcPr>
          <w:p>
            <w:pPr>
              <w:ind w:left="300"/>
              <w:spacing w:after="0"/>
              <w:rPr>
                <w:sz w:val="20"/>
                <w:szCs w:val="20"/>
                <w:color w:val="auto"/>
              </w:rPr>
            </w:pPr>
            <w:r>
              <w:rPr>
                <w:rFonts w:ascii="Arial" w:cs="Arial" w:eastAsia="Arial" w:hAnsi="Arial"/>
                <w:sz w:val="16"/>
                <w:szCs w:val="16"/>
                <w:color w:val="auto"/>
              </w:rPr>
              <w:t>Dedham, MA</w:t>
            </w:r>
          </w:p>
        </w:tc>
        <w:tc>
          <w:tcPr>
            <w:tcW w:w="2100" w:type="dxa"/>
            <w:vAlign w:val="bottom"/>
          </w:tcPr>
          <w:p>
            <w:pPr>
              <w:ind w:left="640"/>
              <w:spacing w:after="0"/>
              <w:rPr>
                <w:sz w:val="20"/>
                <w:szCs w:val="20"/>
                <w:color w:val="auto"/>
              </w:rPr>
            </w:pPr>
            <w:r>
              <w:rPr>
                <w:rFonts w:ascii="Arial" w:cs="Arial" w:eastAsia="Arial" w:hAnsi="Arial"/>
                <w:sz w:val="16"/>
                <w:szCs w:val="16"/>
                <w:b w:val="1"/>
                <w:bCs w:val="1"/>
                <w:color w:val="auto"/>
              </w:rPr>
              <w:t>Mercer Mall</w:t>
            </w:r>
          </w:p>
        </w:tc>
        <w:tc>
          <w:tcPr>
            <w:tcW w:w="5540" w:type="dxa"/>
            <w:vAlign w:val="bottom"/>
          </w:tcPr>
          <w:p>
            <w:pPr>
              <w:ind w:left="460"/>
              <w:spacing w:after="0"/>
              <w:rPr>
                <w:sz w:val="20"/>
                <w:szCs w:val="20"/>
                <w:color w:val="auto"/>
              </w:rPr>
            </w:pPr>
            <w:r>
              <w:rPr>
                <w:rFonts w:ascii="Arial" w:cs="Arial" w:eastAsia="Arial" w:hAnsi="Arial"/>
                <w:sz w:val="16"/>
                <w:szCs w:val="16"/>
                <w:color w:val="auto"/>
              </w:rPr>
              <w:t>Lawrenceville, NJ</w:t>
            </w:r>
          </w:p>
        </w:tc>
      </w:tr>
      <w:tr>
        <w:trPr>
          <w:trHeight w:val="33"/>
        </w:trPr>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Escondido</w:t>
            </w:r>
          </w:p>
        </w:tc>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Escondido, CA</w:t>
            </w:r>
          </w:p>
        </w:tc>
        <w:tc>
          <w:tcPr>
            <w:tcW w:w="2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Troy</w:t>
            </w:r>
          </w:p>
        </w:tc>
        <w:tc>
          <w:tcPr>
            <w:tcW w:w="5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Parsippany, NJ</w:t>
            </w:r>
          </w:p>
        </w:tc>
      </w:tr>
      <w:tr>
        <w:trPr>
          <w:trHeight w:val="237"/>
        </w:trPr>
        <w:tc>
          <w:tcPr>
            <w:tcW w:w="1800" w:type="dxa"/>
            <w:vAlign w:val="bottom"/>
          </w:tcPr>
          <w:p>
            <w:pPr>
              <w:ind w:left="500"/>
              <w:spacing w:after="0"/>
              <w:rPr>
                <w:sz w:val="20"/>
                <w:szCs w:val="20"/>
                <w:color w:val="auto"/>
              </w:rPr>
            </w:pPr>
            <w:r>
              <w:rPr>
                <w:rFonts w:ascii="Arial" w:cs="Arial" w:eastAsia="Arial" w:hAnsi="Arial"/>
                <w:sz w:val="16"/>
                <w:szCs w:val="16"/>
                <w:b w:val="1"/>
                <w:bCs w:val="1"/>
                <w:color w:val="auto"/>
              </w:rPr>
              <w:t>Federal Plaza</w:t>
            </w:r>
          </w:p>
        </w:tc>
        <w:tc>
          <w:tcPr>
            <w:tcW w:w="1940" w:type="dxa"/>
            <w:vAlign w:val="bottom"/>
          </w:tcPr>
          <w:p>
            <w:pPr>
              <w:ind w:left="300"/>
              <w:spacing w:after="0"/>
              <w:rPr>
                <w:sz w:val="20"/>
                <w:szCs w:val="20"/>
                <w:color w:val="auto"/>
              </w:rPr>
            </w:pPr>
            <w:r>
              <w:rPr>
                <w:rFonts w:ascii="Arial" w:cs="Arial" w:eastAsia="Arial" w:hAnsi="Arial"/>
                <w:sz w:val="16"/>
                <w:szCs w:val="16"/>
                <w:color w:val="auto"/>
              </w:rPr>
              <w:t>Rockville, MD</w:t>
            </w:r>
          </w:p>
        </w:tc>
        <w:tc>
          <w:tcPr>
            <w:tcW w:w="2100" w:type="dxa"/>
            <w:vAlign w:val="bottom"/>
          </w:tcPr>
          <w:p>
            <w:pPr>
              <w:ind w:left="640"/>
              <w:spacing w:after="0"/>
              <w:rPr>
                <w:sz w:val="20"/>
                <w:szCs w:val="20"/>
                <w:color w:val="auto"/>
              </w:rPr>
            </w:pPr>
            <w:r>
              <w:rPr>
                <w:rFonts w:ascii="Arial" w:cs="Arial" w:eastAsia="Arial" w:hAnsi="Arial"/>
                <w:sz w:val="16"/>
                <w:szCs w:val="16"/>
                <w:b w:val="1"/>
                <w:bCs w:val="1"/>
                <w:color w:val="auto"/>
              </w:rPr>
              <w:t>Westgate Mall</w:t>
            </w:r>
          </w:p>
        </w:tc>
        <w:tc>
          <w:tcPr>
            <w:tcW w:w="5540" w:type="dxa"/>
            <w:vAlign w:val="bottom"/>
          </w:tcPr>
          <w:p>
            <w:pPr>
              <w:ind w:left="460"/>
              <w:spacing w:after="0"/>
              <w:rPr>
                <w:sz w:val="20"/>
                <w:szCs w:val="20"/>
                <w:color w:val="auto"/>
              </w:rPr>
            </w:pPr>
            <w:r>
              <w:rPr>
                <w:rFonts w:ascii="Arial" w:cs="Arial" w:eastAsia="Arial" w:hAnsi="Arial"/>
                <w:sz w:val="16"/>
                <w:szCs w:val="16"/>
                <w:color w:val="auto"/>
              </w:rPr>
              <w:t>San Jose, CA</w:t>
            </w:r>
          </w:p>
        </w:tc>
      </w:tr>
      <w:tr>
        <w:trPr>
          <w:trHeight w:val="33"/>
        </w:trPr>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37"/>
        </w:trPr>
        <w:tc>
          <w:tcPr>
            <w:tcW w:w="18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Flourtown</w:t>
            </w:r>
          </w:p>
        </w:tc>
        <w:tc>
          <w:tcPr>
            <w:tcW w:w="1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Flourtown, PA</w:t>
            </w:r>
          </w:p>
        </w:tc>
        <w:tc>
          <w:tcPr>
            <w:tcW w:w="210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Wildwood</w:t>
            </w:r>
          </w:p>
        </w:tc>
        <w:tc>
          <w:tcPr>
            <w:tcW w:w="5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Bethesda, MD</w:t>
            </w:r>
          </w:p>
        </w:tc>
      </w:tr>
      <w:tr>
        <w:trPr>
          <w:trHeight w:val="33"/>
        </w:trPr>
        <w:tc>
          <w:tcPr>
            <w:tcW w:w="18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55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29475"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290" w:lineRule="exact"/>
        <w:rPr>
          <w:sz w:val="20"/>
          <w:szCs w:val="20"/>
          <w:color w:val="auto"/>
        </w:rPr>
      </w:pPr>
    </w:p>
    <w:p>
      <w:pPr>
        <w:ind w:left="20" w:right="50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ind w:left="500"/>
              <w:spacing w:after="0"/>
              <w:rPr>
                <w:sz w:val="20"/>
                <w:szCs w:val="20"/>
                <w:color w:val="auto"/>
              </w:rPr>
            </w:pPr>
            <w:r>
              <w:rPr>
                <w:rFonts w:ascii="Arial" w:cs="Arial" w:eastAsia="Arial" w:hAnsi="Arial"/>
                <w:sz w:val="16"/>
                <w:szCs w:val="16"/>
                <w:b w:val="1"/>
                <w:bCs w:val="1"/>
                <w:color w:val="auto"/>
              </w:rPr>
              <w:t>Fresh Meadows</w:t>
            </w:r>
          </w:p>
        </w:tc>
        <w:tc>
          <w:tcPr>
            <w:tcW w:w="1800" w:type="dxa"/>
            <w:vAlign w:val="bottom"/>
          </w:tcPr>
          <w:p>
            <w:pPr>
              <w:ind w:left="140"/>
              <w:spacing w:after="0"/>
              <w:rPr>
                <w:sz w:val="20"/>
                <w:szCs w:val="20"/>
                <w:color w:val="auto"/>
              </w:rPr>
            </w:pPr>
            <w:r>
              <w:rPr>
                <w:rFonts w:ascii="Arial" w:cs="Arial" w:eastAsia="Arial" w:hAnsi="Arial"/>
                <w:sz w:val="16"/>
                <w:szCs w:val="16"/>
                <w:color w:val="auto"/>
              </w:rPr>
              <w:t>Queens, NY</w:t>
            </w:r>
          </w:p>
        </w:tc>
        <w:tc>
          <w:tcPr>
            <w:tcW w:w="2440" w:type="dxa"/>
            <w:vAlign w:val="bottom"/>
          </w:tcPr>
          <w:p>
            <w:pPr>
              <w:ind w:left="620"/>
              <w:spacing w:after="0"/>
              <w:rPr>
                <w:sz w:val="20"/>
                <w:szCs w:val="20"/>
                <w:color w:val="auto"/>
              </w:rPr>
            </w:pPr>
            <w:r>
              <w:rPr>
                <w:rFonts w:ascii="Arial" w:cs="Arial" w:eastAsia="Arial" w:hAnsi="Arial"/>
                <w:sz w:val="16"/>
                <w:szCs w:val="16"/>
                <w:b w:val="1"/>
                <w:bCs w:val="1"/>
                <w:color w:val="auto"/>
                <w:w w:val="96"/>
              </w:rPr>
              <w:t>Plaza El Segundo (Land)</w:t>
            </w:r>
          </w:p>
        </w:tc>
        <w:tc>
          <w:tcPr>
            <w:tcW w:w="5180" w:type="dxa"/>
            <w:vAlign w:val="bottom"/>
          </w:tcPr>
          <w:p>
            <w:pPr>
              <w:ind w:left="100"/>
              <w:spacing w:after="0"/>
              <w:rPr>
                <w:sz w:val="20"/>
                <w:szCs w:val="20"/>
                <w:color w:val="auto"/>
              </w:rPr>
            </w:pPr>
            <w:r>
              <w:rPr>
                <w:rFonts w:ascii="Arial" w:cs="Arial" w:eastAsia="Arial" w:hAnsi="Arial"/>
                <w:sz w:val="16"/>
                <w:szCs w:val="16"/>
                <w:color w:val="auto"/>
              </w:rPr>
              <w:t>El Segundo, CA</w:t>
            </w:r>
          </w:p>
        </w:tc>
      </w:tr>
      <w:tr>
        <w:trPr>
          <w:trHeight w:val="33"/>
        </w:trPr>
        <w:tc>
          <w:tcPr>
            <w:tcW w:w="1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Hollywood Blvd</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Hollywood, CA</w:t>
            </w:r>
          </w:p>
        </w:tc>
        <w:tc>
          <w:tcPr>
            <w:tcW w:w="2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w w:val="99"/>
              </w:rPr>
              <w:t>Third Street Promenade</w:t>
            </w: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Santa Monica, CA</w:t>
            </w:r>
          </w:p>
        </w:tc>
      </w:tr>
      <w:tr>
        <w:trPr>
          <w:trHeight w:val="237"/>
        </w:trPr>
        <w:tc>
          <w:tcPr>
            <w:tcW w:w="1960" w:type="dxa"/>
            <w:vAlign w:val="bottom"/>
          </w:tcPr>
          <w:p>
            <w:pPr>
              <w:ind w:left="500"/>
              <w:spacing w:after="0"/>
              <w:rPr>
                <w:sz w:val="20"/>
                <w:szCs w:val="20"/>
                <w:color w:val="auto"/>
              </w:rPr>
            </w:pPr>
            <w:r>
              <w:rPr>
                <w:rFonts w:ascii="Arial" w:cs="Arial" w:eastAsia="Arial" w:hAnsi="Arial"/>
                <w:sz w:val="16"/>
                <w:szCs w:val="16"/>
                <w:b w:val="1"/>
                <w:bCs w:val="1"/>
                <w:color w:val="auto"/>
                <w:w w:val="98"/>
              </w:rPr>
              <w:t>Montrose Crossing</w:t>
            </w:r>
          </w:p>
        </w:tc>
        <w:tc>
          <w:tcPr>
            <w:tcW w:w="1800" w:type="dxa"/>
            <w:vAlign w:val="bottom"/>
          </w:tcPr>
          <w:p>
            <w:pPr>
              <w:ind w:left="140"/>
              <w:spacing w:after="0"/>
              <w:rPr>
                <w:sz w:val="20"/>
                <w:szCs w:val="20"/>
                <w:color w:val="auto"/>
              </w:rPr>
            </w:pPr>
            <w:r>
              <w:rPr>
                <w:rFonts w:ascii="Arial" w:cs="Arial" w:eastAsia="Arial" w:hAnsi="Arial"/>
                <w:sz w:val="16"/>
                <w:szCs w:val="16"/>
                <w:color w:val="auto"/>
              </w:rPr>
              <w:t>Rockville, MD</w:t>
            </w:r>
          </w:p>
        </w:tc>
        <w:tc>
          <w:tcPr>
            <w:tcW w:w="2440" w:type="dxa"/>
            <w:vAlign w:val="bottom"/>
          </w:tcPr>
          <w:p>
            <w:pPr>
              <w:ind w:left="620"/>
              <w:spacing w:after="0"/>
              <w:rPr>
                <w:sz w:val="20"/>
                <w:szCs w:val="20"/>
                <w:color w:val="auto"/>
              </w:rPr>
            </w:pPr>
            <w:r>
              <w:rPr>
                <w:rFonts w:ascii="Arial" w:cs="Arial" w:eastAsia="Arial" w:hAnsi="Arial"/>
                <w:sz w:val="16"/>
                <w:szCs w:val="16"/>
                <w:b w:val="1"/>
                <w:bCs w:val="1"/>
                <w:color w:val="auto"/>
              </w:rPr>
              <w:t>Tower Shops</w:t>
            </w:r>
          </w:p>
        </w:tc>
        <w:tc>
          <w:tcPr>
            <w:tcW w:w="5180" w:type="dxa"/>
            <w:vAlign w:val="bottom"/>
          </w:tcPr>
          <w:p>
            <w:pPr>
              <w:ind w:left="100"/>
              <w:spacing w:after="0"/>
              <w:rPr>
                <w:sz w:val="20"/>
                <w:szCs w:val="20"/>
                <w:color w:val="auto"/>
              </w:rPr>
            </w:pPr>
            <w:r>
              <w:rPr>
                <w:rFonts w:ascii="Arial" w:cs="Arial" w:eastAsia="Arial" w:hAnsi="Arial"/>
                <w:sz w:val="16"/>
                <w:szCs w:val="16"/>
                <w:color w:val="auto"/>
              </w:rPr>
              <w:t>Davie, FL</w:t>
            </w:r>
          </w:p>
        </w:tc>
      </w:tr>
      <w:tr>
        <w:trPr>
          <w:trHeight w:val="33"/>
        </w:trPr>
        <w:tc>
          <w:tcPr>
            <w:tcW w:w="1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37"/>
        </w:trPr>
        <w:tc>
          <w:tcPr>
            <w:tcW w:w="196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Pentagon Row</w:t>
            </w:r>
          </w:p>
        </w:tc>
        <w:tc>
          <w:tcPr>
            <w:tcW w:w="1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Arlington, VA</w:t>
            </w:r>
          </w:p>
        </w:tc>
        <w:tc>
          <w:tcPr>
            <w:tcW w:w="244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Wildwood</w:t>
            </w:r>
          </w:p>
        </w:tc>
        <w:tc>
          <w:tcPr>
            <w:tcW w:w="5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Bethesda, MD</w:t>
            </w:r>
          </w:p>
        </w:tc>
      </w:tr>
      <w:tr>
        <w:trPr>
          <w:trHeight w:val="33"/>
        </w:trPr>
        <w:tc>
          <w:tcPr>
            <w:tcW w:w="19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2947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Pr>
          <w:p>
            <w:pPr>
              <w:ind w:left="500"/>
              <w:spacing w:after="0"/>
              <w:rPr>
                <w:sz w:val="20"/>
                <w:szCs w:val="20"/>
                <w:color w:val="auto"/>
              </w:rPr>
            </w:pPr>
            <w:r>
              <w:rPr>
                <w:rFonts w:ascii="Arial" w:cs="Arial" w:eastAsia="Arial" w:hAnsi="Arial"/>
                <w:sz w:val="16"/>
                <w:szCs w:val="16"/>
                <w:b w:val="1"/>
                <w:bCs w:val="1"/>
                <w:color w:val="auto"/>
              </w:rPr>
              <w:t>Barracks Road</w:t>
            </w:r>
          </w:p>
        </w:tc>
        <w:tc>
          <w:tcPr>
            <w:tcW w:w="1920" w:type="dxa"/>
            <w:vAlign w:val="bottom"/>
          </w:tcPr>
          <w:p>
            <w:pPr>
              <w:ind w:left="160"/>
              <w:spacing w:after="0"/>
              <w:rPr>
                <w:sz w:val="20"/>
                <w:szCs w:val="20"/>
                <w:color w:val="auto"/>
              </w:rPr>
            </w:pPr>
            <w:r>
              <w:rPr>
                <w:rFonts w:ascii="Arial" w:cs="Arial" w:eastAsia="Arial" w:hAnsi="Arial"/>
                <w:sz w:val="16"/>
                <w:szCs w:val="16"/>
                <w:color w:val="auto"/>
              </w:rPr>
              <w:t>Charlottesville, VA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5220" w:type="dxa"/>
            <w:vAlign w:val="bottom"/>
          </w:tcPr>
          <w:p>
            <w:pPr>
              <w:ind w:left="140"/>
              <w:spacing w:after="0"/>
              <w:rPr>
                <w:sz w:val="20"/>
                <w:szCs w:val="20"/>
                <w:color w:val="auto"/>
              </w:rPr>
            </w:pPr>
            <w:r>
              <w:rPr>
                <w:rFonts w:ascii="Arial" w:cs="Arial" w:eastAsia="Arial" w:hAnsi="Arial"/>
                <w:sz w:val="16"/>
                <w:szCs w:val="16"/>
                <w:color w:val="auto"/>
              </w:rPr>
              <w:t>Arlington, VA</w:t>
            </w:r>
          </w:p>
        </w:tc>
      </w:tr>
      <w:tr>
        <w:trPr>
          <w:trHeight w:val="33"/>
        </w:trPr>
        <w:tc>
          <w:tcPr>
            <w:tcW w:w="1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8"/>
              </w:rPr>
              <w:t>Chelsea Commons</w:t>
            </w: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Chelsea, MA</w:t>
            </w:r>
          </w:p>
        </w:tc>
        <w:tc>
          <w:tcPr>
            <w:tcW w:w="230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1"/>
                <w:szCs w:val="21"/>
                <w:color w:val="auto"/>
              </w:rPr>
            </w:pPr>
          </w:p>
        </w:tc>
      </w:tr>
      <w:tr>
        <w:trPr>
          <w:trHeight w:val="297"/>
        </w:trPr>
        <w:tc>
          <w:tcPr>
            <w:tcW w:w="3860" w:type="dxa"/>
            <w:vAlign w:val="bottom"/>
            <w:gridSpan w:val="2"/>
          </w:tcPr>
          <w:p>
            <w:pPr>
              <w:spacing w:after="0"/>
              <w:rPr>
                <w:sz w:val="24"/>
                <w:szCs w:val="24"/>
                <w:color w:val="auto"/>
              </w:rPr>
            </w:pPr>
          </w:p>
        </w:tc>
        <w:tc>
          <w:tcPr>
            <w:tcW w:w="230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37"/>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spacing w:after="0"/>
              <w:rPr>
                <w:sz w:val="20"/>
                <w:szCs w:val="20"/>
                <w:color w:val="auto"/>
              </w:rPr>
            </w:pPr>
          </w:p>
        </w:tc>
      </w:tr>
      <w:tr>
        <w:trPr>
          <w:trHeight w:val="237"/>
        </w:trPr>
        <w:tc>
          <w:tcPr>
            <w:tcW w:w="1940" w:type="dxa"/>
            <w:vAlign w:val="bottom"/>
          </w:tcPr>
          <w:p>
            <w:pPr>
              <w:ind w:left="500"/>
              <w:spacing w:after="0"/>
              <w:rPr>
                <w:sz w:val="20"/>
                <w:szCs w:val="20"/>
                <w:color w:val="auto"/>
              </w:rPr>
            </w:pPr>
            <w:r>
              <w:rPr>
                <w:rFonts w:ascii="Arial" w:cs="Arial" w:eastAsia="Arial" w:hAnsi="Arial"/>
                <w:sz w:val="16"/>
                <w:szCs w:val="16"/>
                <w:b w:val="1"/>
                <w:bCs w:val="1"/>
                <w:color w:val="auto"/>
              </w:rPr>
              <w:t>Assembly Row (1)</w:t>
            </w:r>
          </w:p>
        </w:tc>
        <w:tc>
          <w:tcPr>
            <w:tcW w:w="1920" w:type="dxa"/>
            <w:vAlign w:val="bottom"/>
          </w:tcPr>
          <w:p>
            <w:pPr>
              <w:ind w:left="160"/>
              <w:spacing w:after="0"/>
              <w:rPr>
                <w:sz w:val="20"/>
                <w:szCs w:val="20"/>
                <w:color w:val="auto"/>
              </w:rPr>
            </w:pPr>
            <w:r>
              <w:rPr>
                <w:rFonts w:ascii="Arial" w:cs="Arial" w:eastAsia="Arial" w:hAnsi="Arial"/>
                <w:sz w:val="16"/>
                <w:szCs w:val="16"/>
                <w:color w:val="auto"/>
              </w:rPr>
              <w:t>Somerville, MA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Pike 7</w:t>
            </w:r>
          </w:p>
        </w:tc>
        <w:tc>
          <w:tcPr>
            <w:tcW w:w="5220" w:type="dxa"/>
            <w:vAlign w:val="bottom"/>
          </w:tcPr>
          <w:p>
            <w:pPr>
              <w:ind w:left="140"/>
              <w:spacing w:after="0"/>
              <w:rPr>
                <w:sz w:val="20"/>
                <w:szCs w:val="20"/>
                <w:color w:val="auto"/>
              </w:rPr>
            </w:pPr>
            <w:r>
              <w:rPr>
                <w:rFonts w:ascii="Arial" w:cs="Arial" w:eastAsia="Arial" w:hAnsi="Arial"/>
                <w:sz w:val="16"/>
                <w:szCs w:val="16"/>
                <w:color w:val="auto"/>
              </w:rPr>
              <w:t>Vienna, VA</w:t>
            </w:r>
          </w:p>
        </w:tc>
      </w:tr>
      <w:tr>
        <w:trPr>
          <w:trHeight w:val="33"/>
        </w:trPr>
        <w:tc>
          <w:tcPr>
            <w:tcW w:w="1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16"/>
        </w:trPr>
        <w:tc>
          <w:tcPr>
            <w:tcW w:w="19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5220" w:type="dxa"/>
            <w:vAlign w:val="bottom"/>
            <w:shd w:val="clear" w:color="auto" w:fill="CCEEFF"/>
          </w:tcPr>
          <w:p>
            <w:pPr>
              <w:spacing w:after="0"/>
              <w:rPr>
                <w:sz w:val="18"/>
                <w:szCs w:val="18"/>
                <w:color w:val="auto"/>
              </w:rPr>
            </w:pPr>
          </w:p>
        </w:tc>
      </w:tr>
      <w:tr>
        <w:trPr>
          <w:trHeight w:val="223"/>
        </w:trPr>
        <w:tc>
          <w:tcPr>
            <w:tcW w:w="1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Bala Cynwyd</w:t>
            </w: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Bala Cynwyd, PA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(2)</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Rockville, MD</w:t>
            </w:r>
          </w:p>
        </w:tc>
      </w:tr>
      <w:tr>
        <w:trPr>
          <w:trHeight w:val="237"/>
        </w:trPr>
        <w:tc>
          <w:tcPr>
            <w:tcW w:w="1940" w:type="dxa"/>
            <w:vAlign w:val="bottom"/>
          </w:tcPr>
          <w:p>
            <w:pPr>
              <w:ind w:left="500"/>
              <w:spacing w:after="0"/>
              <w:rPr>
                <w:sz w:val="20"/>
                <w:szCs w:val="20"/>
                <w:color w:val="auto"/>
              </w:rPr>
            </w:pPr>
            <w:r>
              <w:rPr>
                <w:rFonts w:ascii="Arial" w:cs="Arial" w:eastAsia="Arial" w:hAnsi="Arial"/>
                <w:sz w:val="16"/>
                <w:szCs w:val="16"/>
                <w:b w:val="1"/>
                <w:bCs w:val="1"/>
                <w:color w:val="auto"/>
              </w:rPr>
              <w:t>Forest Hills</w:t>
            </w:r>
          </w:p>
        </w:tc>
        <w:tc>
          <w:tcPr>
            <w:tcW w:w="1920" w:type="dxa"/>
            <w:vAlign w:val="bottom"/>
          </w:tcPr>
          <w:p>
            <w:pPr>
              <w:ind w:left="160"/>
              <w:spacing w:after="0"/>
              <w:rPr>
                <w:sz w:val="20"/>
                <w:szCs w:val="20"/>
                <w:color w:val="auto"/>
              </w:rPr>
            </w:pPr>
            <w:r>
              <w:rPr>
                <w:rFonts w:ascii="Arial" w:cs="Arial" w:eastAsia="Arial" w:hAnsi="Arial"/>
                <w:sz w:val="16"/>
                <w:szCs w:val="16"/>
                <w:color w:val="auto"/>
              </w:rPr>
              <w:t>Forest Hills, NY</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5220" w:type="dxa"/>
            <w:vAlign w:val="bottom"/>
          </w:tcPr>
          <w:p>
            <w:pPr>
              <w:ind w:left="140"/>
              <w:spacing w:after="0"/>
              <w:rPr>
                <w:sz w:val="20"/>
                <w:szCs w:val="20"/>
                <w:color w:val="auto"/>
              </w:rPr>
            </w:pPr>
            <w:r>
              <w:rPr>
                <w:rFonts w:ascii="Arial" w:cs="Arial" w:eastAsia="Arial" w:hAnsi="Arial"/>
                <w:sz w:val="16"/>
                <w:szCs w:val="16"/>
                <w:color w:val="auto"/>
              </w:rPr>
              <w:t>San Jose, CA</w:t>
            </w:r>
          </w:p>
        </w:tc>
      </w:tr>
      <w:tr>
        <w:trPr>
          <w:trHeight w:val="33"/>
        </w:trPr>
        <w:tc>
          <w:tcPr>
            <w:tcW w:w="1940" w:type="dxa"/>
            <w:vAlign w:val="bottom"/>
          </w:tcPr>
          <w:p>
            <w:pPr>
              <w:spacing w:after="0"/>
              <w:rPr>
                <w:sz w:val="2"/>
                <w:szCs w:val="2"/>
                <w:color w:val="auto"/>
              </w:rPr>
            </w:pPr>
          </w:p>
        </w:tc>
        <w:tc>
          <w:tcPr>
            <w:tcW w:w="9440" w:type="dxa"/>
            <w:vAlign w:val="bottom"/>
            <w:gridSpan w:val="3"/>
          </w:tcPr>
          <w:p>
            <w:pPr>
              <w:spacing w:after="0"/>
              <w:rPr>
                <w:sz w:val="2"/>
                <w:szCs w:val="2"/>
                <w:color w:val="auto"/>
              </w:rPr>
            </w:pPr>
          </w:p>
        </w:tc>
      </w:tr>
      <w:tr>
        <w:trPr>
          <w:trHeight w:val="324"/>
        </w:trPr>
        <w:tc>
          <w:tcPr>
            <w:tcW w:w="1940" w:type="dxa"/>
            <w:vAlign w:val="bottom"/>
            <w:shd w:val="clear" w:color="auto" w:fill="CCEEFF"/>
          </w:tcPr>
          <w:p>
            <w:pPr>
              <w:spacing w:after="0"/>
              <w:rPr>
                <w:sz w:val="24"/>
                <w:szCs w:val="24"/>
                <w:color w:val="auto"/>
              </w:rPr>
            </w:pPr>
          </w:p>
        </w:tc>
        <w:tc>
          <w:tcPr>
            <w:tcW w:w="9440" w:type="dxa"/>
            <w:vAlign w:val="bottom"/>
            <w:gridSpan w:val="3"/>
            <w:shd w:val="clear" w:color="auto" w:fill="CCEEFF"/>
          </w:tcPr>
          <w:p>
            <w:pPr>
              <w:spacing w:after="0"/>
              <w:rPr>
                <w:sz w:val="24"/>
                <w:szCs w:val="24"/>
                <w:color w:val="auto"/>
              </w:rPr>
            </w:pPr>
          </w:p>
        </w:tc>
      </w:tr>
      <w:tr>
        <w:trPr>
          <w:trHeight w:val="224"/>
        </w:trPr>
        <w:tc>
          <w:tcPr>
            <w:tcW w:w="1940" w:type="dxa"/>
            <w:vAlign w:val="bottom"/>
          </w:tcPr>
          <w:p>
            <w:pPr>
              <w:ind w:left="220"/>
              <w:spacing w:after="0"/>
              <w:rPr>
                <w:sz w:val="20"/>
                <w:szCs w:val="20"/>
                <w:color w:val="auto"/>
              </w:rPr>
            </w:pPr>
            <w:r>
              <w:rPr>
                <w:rFonts w:ascii="Arial" w:cs="Arial" w:eastAsia="Arial" w:hAnsi="Arial"/>
                <w:sz w:val="16"/>
                <w:szCs w:val="16"/>
                <w:color w:val="auto"/>
              </w:rPr>
              <w:t>(1) Assembly Row</w:t>
            </w:r>
          </w:p>
        </w:tc>
        <w:tc>
          <w:tcPr>
            <w:tcW w:w="9440" w:type="dxa"/>
            <w:vAlign w:val="bottom"/>
            <w:gridSpan w:val="3"/>
          </w:tcPr>
          <w:p>
            <w:pPr>
              <w:ind w:left="160"/>
              <w:spacing w:after="0"/>
              <w:rPr>
                <w:sz w:val="20"/>
                <w:szCs w:val="20"/>
                <w:color w:val="auto"/>
              </w:rPr>
            </w:pPr>
            <w:r>
              <w:rPr>
                <w:rFonts w:ascii="Arial" w:cs="Arial" w:eastAsia="Arial" w:hAnsi="Arial"/>
                <w:sz w:val="16"/>
                <w:szCs w:val="16"/>
                <w:color w:val="auto"/>
                <w:w w:val="92"/>
              </w:rPr>
              <w:t>Remaining entitlements after Phase 1 include 2 million square feet of commercial-use buildings, 1,525 residential units, and a 200 room hotel.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229475"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30" w:lineRule="exact"/>
        <w:rPr>
          <w:sz w:val="20"/>
          <w:szCs w:val="20"/>
          <w:color w:val="auto"/>
        </w:rPr>
      </w:pPr>
    </w:p>
    <w:p>
      <w:pPr>
        <w:ind w:left="500" w:right="1100" w:hanging="282"/>
        <w:spacing w:after="0" w:line="29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Pike &amp; Rose (Mid- Remaining entitlements after Phase 1 include 1.5 million square feet of commercial-use buildings, and 1,090 residential units. Pike)</w:t>
      </w:r>
    </w:p>
    <w:p>
      <w:pPr>
        <w:sectPr>
          <w:pgSz w:w="11900" w:h="16838" w:orient="portrait"/>
          <w:cols w:equalWidth="0" w:num="1">
            <w:col w:w="11380"/>
          </w:cols>
          <w:pgMar w:left="260" w:top="747" w:right="259" w:bottom="1440" w:gutter="0" w:footer="0" w:header="0"/>
        </w:sectPr>
      </w:pPr>
    </w:p>
    <w:p>
      <w:pPr>
        <w:spacing w:after="0" w:line="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(3) Santana Row</w:t>
      </w:r>
    </w:p>
    <w:p>
      <w:pPr>
        <w:spacing w:after="0" w:line="20" w:lineRule="exact"/>
        <w:rPr>
          <w:sz w:val="20"/>
          <w:szCs w:val="20"/>
          <w:color w:val="auto"/>
        </w:rPr>
      </w:pPr>
      <w:r>
        <w:rPr>
          <w:sz w:val="20"/>
          <w:szCs w:val="20"/>
          <w:color w:val="auto"/>
        </w:rPr>
        <w:br w:type="column"/>
      </w:r>
    </w:p>
    <w:p>
      <w:pPr>
        <w:ind w:right="440"/>
        <w:spacing w:after="0" w:line="293" w:lineRule="auto"/>
        <w:rPr>
          <w:sz w:val="20"/>
          <w:szCs w:val="20"/>
          <w:color w:val="auto"/>
        </w:rPr>
      </w:pPr>
      <w:r>
        <w:rPr>
          <w:rFonts w:ascii="Arial" w:cs="Arial" w:eastAsia="Arial" w:hAnsi="Arial"/>
          <w:sz w:val="16"/>
          <w:szCs w:val="16"/>
          <w:color w:val="auto"/>
        </w:rPr>
        <w:t>Current remaining entitlements for this property include 348 residential units and 200,000 square feet of commercial space for retail and office.</w:t>
      </w:r>
    </w:p>
    <w:p>
      <w:pPr>
        <w:spacing w:after="0" w:line="200" w:lineRule="exact"/>
        <w:rPr>
          <w:sz w:val="20"/>
          <w:szCs w:val="20"/>
          <w:color w:val="auto"/>
        </w:rPr>
      </w:pPr>
    </w:p>
    <w:p>
      <w:pPr>
        <w:sectPr>
          <w:pgSz w:w="11900" w:h="16838" w:orient="portrait"/>
          <w:cols w:equalWidth="0" w:num="2">
            <w:col w:w="1380" w:space="720"/>
            <w:col w:w="9280"/>
          </w:cols>
          <w:pgMar w:left="260" w:top="747" w:right="25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60" w:top="747" w:right="25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3380" w:type="dxa"/>
            <w:vAlign w:val="bottom"/>
          </w:tcPr>
          <w:p>
            <w:pPr>
              <w:spacing w:after="0"/>
              <w:rPr>
                <w:sz w:val="11"/>
                <w:szCs w:val="11"/>
                <w:color w:val="auto"/>
              </w:rPr>
            </w:pPr>
          </w:p>
        </w:tc>
      </w:tr>
      <w:tr>
        <w:trPr>
          <w:trHeight w:val="174"/>
        </w:trPr>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MSA Description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9"/>
              </w:rPr>
              <w:t>Washington Metropolitan Area</w:t>
            </w: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r>
      <w:tr>
        <w:trPr>
          <w:trHeight w:val="148"/>
        </w:trPr>
        <w:tc>
          <w:tcPr>
            <w:tcW w:w="1340" w:type="dxa"/>
            <w:vAlign w:val="bottom"/>
            <w:tcBorders>
              <w:top w:val="single" w:sz="8" w:color="CCEEFF"/>
            </w:tcBorders>
            <w:gridSpan w:val="3"/>
          </w:tcPr>
          <w:p>
            <w:pPr>
              <w:ind w:left="20"/>
              <w:spacing w:after="0" w:line="148" w:lineRule="exact"/>
              <w:rPr>
                <w:sz w:val="20"/>
                <w:szCs w:val="20"/>
                <w:color w:val="auto"/>
              </w:rPr>
            </w:pPr>
            <w:r>
              <w:rPr>
                <w:rFonts w:ascii="Arial" w:cs="Arial" w:eastAsia="Arial" w:hAnsi="Arial"/>
                <w:sz w:val="13"/>
                <w:szCs w:val="13"/>
                <w:color w:val="auto"/>
              </w:rPr>
              <w:t>Bethesda Row</w:t>
            </w:r>
          </w:p>
        </w:tc>
        <w:tc>
          <w:tcPr>
            <w:tcW w:w="44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gridSpan w:val="2"/>
          </w:tcPr>
          <w:p>
            <w:pPr>
              <w:spacing w:after="0" w:line="148" w:lineRule="exact"/>
              <w:rPr>
                <w:sz w:val="20"/>
                <w:szCs w:val="20"/>
                <w:color w:val="auto"/>
              </w:rPr>
            </w:pPr>
            <w:r>
              <w:rPr>
                <w:rFonts w:ascii="Arial" w:cs="Arial" w:eastAsia="Arial" w:hAnsi="Arial"/>
                <w:sz w:val="13"/>
                <w:szCs w:val="13"/>
                <w:color w:val="auto"/>
                <w:w w:val="97"/>
              </w:rPr>
              <w:t>Washington, DC-MD-VA</w:t>
            </w:r>
          </w:p>
        </w:tc>
        <w:tc>
          <w:tcPr>
            <w:tcW w:w="1580" w:type="dxa"/>
            <w:vAlign w:val="bottom"/>
            <w:tcBorders>
              <w:top w:val="single" w:sz="8" w:color="CCEEFF"/>
            </w:tcBorders>
            <w:gridSpan w:val="2"/>
          </w:tcPr>
          <w:p>
            <w:pPr>
              <w:jc w:val="right"/>
              <w:ind w:right="57"/>
              <w:spacing w:after="0" w:line="148" w:lineRule="exact"/>
              <w:rPr>
                <w:sz w:val="20"/>
                <w:szCs w:val="20"/>
                <w:color w:val="auto"/>
              </w:rPr>
            </w:pPr>
            <w:r>
              <w:rPr>
                <w:rFonts w:ascii="Arial" w:cs="Arial" w:eastAsia="Arial" w:hAnsi="Arial"/>
                <w:sz w:val="13"/>
                <w:szCs w:val="13"/>
                <w:color w:val="auto"/>
              </w:rPr>
              <w:t>1993- $ 214,464</w:t>
            </w:r>
          </w:p>
        </w:tc>
        <w:tc>
          <w:tcPr>
            <w:tcW w:w="660" w:type="dxa"/>
            <w:vAlign w:val="bottom"/>
            <w:tcBorders>
              <w:top w:val="single" w:sz="8" w:color="CCEEFF"/>
            </w:tcBorders>
          </w:tcPr>
          <w:p>
            <w:pPr>
              <w:jc w:val="right"/>
              <w:ind w:right="58"/>
              <w:spacing w:after="0" w:line="148" w:lineRule="exact"/>
              <w:rPr>
                <w:sz w:val="20"/>
                <w:szCs w:val="20"/>
                <w:color w:val="auto"/>
              </w:rPr>
            </w:pPr>
            <w:r>
              <w:rPr>
                <w:rFonts w:ascii="Arial" w:cs="Arial" w:eastAsia="Arial" w:hAnsi="Arial"/>
                <w:sz w:val="13"/>
                <w:szCs w:val="13"/>
                <w:color w:val="auto"/>
                <w:w w:val="95"/>
              </w:rPr>
              <w:t>$  23,971</w:t>
            </w:r>
          </w:p>
        </w:tc>
        <w:tc>
          <w:tcPr>
            <w:tcW w:w="64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2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90"/>
              </w:rPr>
              <w:t>40,000</w:t>
            </w:r>
          </w:p>
        </w:tc>
        <w:tc>
          <w:tcPr>
            <w:tcW w:w="820" w:type="dxa"/>
            <w:vAlign w:val="bottom"/>
            <w:tcBorders>
              <w:top w:val="single" w:sz="8" w:color="CCEEFF"/>
            </w:tcBorders>
          </w:tcPr>
          <w:p>
            <w:pPr>
              <w:ind w:left="100"/>
              <w:spacing w:after="0" w:line="148" w:lineRule="exact"/>
              <w:rPr>
                <w:sz w:val="20"/>
                <w:szCs w:val="20"/>
                <w:color w:val="auto"/>
              </w:rPr>
            </w:pPr>
            <w:r>
              <w:rPr>
                <w:rFonts w:ascii="Arial" w:cs="Arial" w:eastAsia="Arial" w:hAnsi="Arial"/>
                <w:sz w:val="13"/>
                <w:szCs w:val="13"/>
                <w:color w:val="auto"/>
              </w:rPr>
              <w:t>Giant Food</w:t>
            </w:r>
          </w:p>
        </w:tc>
        <w:tc>
          <w:tcPr>
            <w:tcW w:w="338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Landmark Theater / Apple Computer / Barnes &amp; Noble</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w w:val="91"/>
              </w:rPr>
              <w:t>2006/2008/2010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Congressional Plaza</w:t>
            </w:r>
          </w:p>
        </w:tc>
        <w:tc>
          <w:tcPr>
            <w:tcW w:w="4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w:t>
            </w: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73,870</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Fresh Market</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Buy Buy Baby / Container Store / Last Call Studio by Neiman</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Marcus</w:t>
            </w: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Courthouse Center</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4,542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36,000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48"/>
        </w:trPr>
        <w:tc>
          <w:tcPr>
            <w:tcW w:w="134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w w:val="96"/>
              </w:rPr>
              <w:t>Falls Plaza/Falls Plaza-</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12,431</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51,000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Giant Food</w:t>
            </w:r>
          </w:p>
        </w:tc>
        <w:tc>
          <w:tcPr>
            <w:tcW w:w="3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Staples</w:t>
            </w:r>
          </w:p>
        </w:tc>
      </w:tr>
      <w:tr>
        <w:trPr>
          <w:trHeight w:val="17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East</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Federal Plaza</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63,187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20" w:type="dxa"/>
            <w:vAlign w:val="bottom"/>
          </w:tcPr>
          <w:p>
            <w:pPr>
              <w:jc w:val="right"/>
              <w:spacing w:after="0"/>
              <w:rPr>
                <w:sz w:val="20"/>
                <w:szCs w:val="20"/>
                <w:color w:val="auto"/>
              </w:rPr>
            </w:pPr>
            <w:r>
              <w:rPr>
                <w:rFonts w:ascii="Arial" w:cs="Arial" w:eastAsia="Arial" w:hAnsi="Arial"/>
                <w:sz w:val="13"/>
                <w:szCs w:val="13"/>
                <w:color w:val="auto"/>
              </w:rPr>
              <w:t>87%</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14,000</w:t>
            </w:r>
          </w:p>
        </w:tc>
        <w:tc>
          <w:tcPr>
            <w:tcW w:w="820" w:type="dxa"/>
            <w:vAlign w:val="bottom"/>
          </w:tcPr>
          <w:p>
            <w:pPr>
              <w:ind w:left="100"/>
              <w:spacing w:after="0"/>
              <w:rPr>
                <w:sz w:val="20"/>
                <w:szCs w:val="20"/>
                <w:color w:val="auto"/>
              </w:rPr>
            </w:pPr>
            <w:r>
              <w:rPr>
                <w:rFonts w:ascii="Arial" w:cs="Arial" w:eastAsia="Arial" w:hAnsi="Arial"/>
                <w:sz w:val="13"/>
                <w:szCs w:val="13"/>
                <w:color w:val="auto"/>
                <w:w w:val="97"/>
              </w:rPr>
              <w:t>Trader Joe's</w:t>
            </w:r>
          </w:p>
        </w:tc>
        <w:tc>
          <w:tcPr>
            <w:tcW w:w="338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35,337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Maggiano's / Nordstrom Rack</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Gaithersburg Square</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25,180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20" w:type="dxa"/>
            <w:vAlign w:val="bottom"/>
          </w:tcPr>
          <w:p>
            <w:pPr>
              <w:jc w:val="right"/>
              <w:spacing w:after="0"/>
              <w:rPr>
                <w:sz w:val="20"/>
                <w:szCs w:val="20"/>
                <w:color w:val="auto"/>
              </w:rPr>
            </w:pPr>
            <w:r>
              <w:rPr>
                <w:rFonts w:ascii="Arial" w:cs="Arial" w:eastAsia="Arial" w:hAnsi="Arial"/>
                <w:sz w:val="13"/>
                <w:szCs w:val="13"/>
                <w:color w:val="auto"/>
              </w:rPr>
              <w:t>78%</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Idylwood Plaza</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16,392</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16,206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Whole Foods</w:t>
            </w:r>
          </w:p>
        </w:tc>
        <w:tc>
          <w:tcPr>
            <w:tcW w:w="338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Laurel</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50,831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20" w:type="dxa"/>
            <w:vAlign w:val="bottom"/>
          </w:tcPr>
          <w:p>
            <w:pPr>
              <w:jc w:val="right"/>
              <w:spacing w:after="0"/>
              <w:rPr>
                <w:sz w:val="20"/>
                <w:szCs w:val="20"/>
                <w:color w:val="auto"/>
              </w:rPr>
            </w:pPr>
            <w:r>
              <w:rPr>
                <w:rFonts w:ascii="Arial" w:cs="Arial" w:eastAsia="Arial" w:hAnsi="Arial"/>
                <w:sz w:val="13"/>
                <w:szCs w:val="13"/>
                <w:color w:val="auto"/>
              </w:rPr>
              <w:t>84%</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61,000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Leesburg Plaza</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35,003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28,198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Loehmann's Plaza</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32,823</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36,464</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259,000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58,000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Mid-Pike Plaza</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55,746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Toys R Us / L.A. Fitness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Montrose Crossing</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(4)</w:t>
            </w: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2011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140,446</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79,777</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357,000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73,000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tcPr>
          <w:p>
            <w:pPr>
              <w:ind w:left="60"/>
              <w:spacing w:after="0"/>
              <w:rPr>
                <w:sz w:val="20"/>
                <w:szCs w:val="20"/>
                <w:color w:val="auto"/>
              </w:rPr>
            </w:pPr>
            <w:r>
              <w:rPr>
                <w:rFonts w:ascii="Arial" w:cs="Arial" w:eastAsia="Arial" w:hAnsi="Arial"/>
                <w:sz w:val="13"/>
                <w:szCs w:val="13"/>
                <w:color w:val="auto"/>
                <w:w w:val="97"/>
              </w:rPr>
              <w:t>Marshalls / Sports Authority / Barnes &amp; Noble / A.C. Moore</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48"/>
        </w:trPr>
        <w:tc>
          <w:tcPr>
            <w:tcW w:w="134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440" w:type="dxa"/>
            <w:vAlign w:val="bottom"/>
            <w:shd w:val="clear" w:color="auto" w:fill="CCEEFF"/>
          </w:tcPr>
          <w:p>
            <w:pPr>
              <w:jc w:val="right"/>
              <w:ind w:right="117"/>
              <w:spacing w:after="0" w:line="148" w:lineRule="exact"/>
              <w:rPr>
                <w:sz w:val="20"/>
                <w:szCs w:val="20"/>
                <w:color w:val="auto"/>
              </w:rPr>
            </w:pPr>
            <w:r>
              <w:rPr>
                <w:rFonts w:ascii="Arial" w:cs="Arial" w:eastAsia="Arial" w:hAnsi="Arial"/>
                <w:sz w:val="13"/>
                <w:szCs w:val="13"/>
                <w:color w:val="auto"/>
              </w:rPr>
              <w:t>(5)</w:t>
            </w:r>
          </w:p>
        </w:tc>
        <w:tc>
          <w:tcPr>
            <w:tcW w:w="14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78,669</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10,455</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572,000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62,000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Shoppers</w:t>
            </w:r>
          </w:p>
        </w:tc>
        <w:tc>
          <w:tcPr>
            <w:tcW w:w="3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9"/>
              </w:rPr>
              <w:t>Bed, Bath &amp; Beyond / Michaels / Home Depot / TJ Maxx /</w:t>
            </w:r>
          </w:p>
        </w:tc>
      </w:tr>
      <w:tr>
        <w:trPr>
          <w:trHeight w:val="135"/>
        </w:trPr>
        <w:tc>
          <w:tcPr>
            <w:tcW w:w="134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Valley/7770 Richmond</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w:t>
            </w:r>
          </w:p>
        </w:tc>
        <w:tc>
          <w:tcPr>
            <w:tcW w:w="33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Gold's Gym / Staples</w:t>
            </w:r>
          </w:p>
        </w:tc>
      </w:tr>
      <w:tr>
        <w:trPr>
          <w:trHeight w:val="17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Hwy</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Warehouse</w:t>
            </w: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Old Keene Mill</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1976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6,296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24,000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38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Pan Am</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28,520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Safeway</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Pentagon Row</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88,730</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52,345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297,000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45,000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380" w:type="dxa"/>
            <w:vAlign w:val="bottom"/>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35,641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Quince Orchard</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22,739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20" w:type="dxa"/>
            <w:vAlign w:val="bottom"/>
          </w:tcPr>
          <w:p>
            <w:pPr>
              <w:jc w:val="right"/>
              <w:spacing w:after="0"/>
              <w:rPr>
                <w:sz w:val="20"/>
                <w:szCs w:val="20"/>
                <w:color w:val="auto"/>
              </w:rPr>
            </w:pPr>
            <w:r>
              <w:rPr>
                <w:rFonts w:ascii="Arial" w:cs="Arial" w:eastAsia="Arial" w:hAnsi="Arial"/>
                <w:sz w:val="13"/>
                <w:szCs w:val="13"/>
                <w:color w:val="auto"/>
              </w:rPr>
              <w:t>73%</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24,000</w:t>
            </w:r>
          </w:p>
        </w:tc>
        <w:tc>
          <w:tcPr>
            <w:tcW w:w="820" w:type="dxa"/>
            <w:vAlign w:val="bottom"/>
          </w:tcPr>
          <w:p>
            <w:pPr>
              <w:ind w:left="100"/>
              <w:spacing w:after="0"/>
              <w:rPr>
                <w:sz w:val="20"/>
                <w:szCs w:val="20"/>
                <w:color w:val="auto"/>
              </w:rPr>
            </w:pPr>
            <w:r>
              <w:rPr>
                <w:rFonts w:ascii="Arial" w:cs="Arial" w:eastAsia="Arial" w:hAnsi="Arial"/>
                <w:sz w:val="13"/>
                <w:szCs w:val="13"/>
                <w:color w:val="auto"/>
              </w:rPr>
              <w:t>Magruders</w:t>
            </w:r>
          </w:p>
        </w:tc>
        <w:tc>
          <w:tcPr>
            <w:tcW w:w="3380" w:type="dxa"/>
            <w:vAlign w:val="bottom"/>
          </w:tcPr>
          <w:p>
            <w:pPr>
              <w:ind w:left="60"/>
              <w:spacing w:after="0"/>
              <w:rPr>
                <w:sz w:val="20"/>
                <w:szCs w:val="20"/>
                <w:color w:val="auto"/>
              </w:rPr>
            </w:pPr>
            <w:r>
              <w:rPr>
                <w:rFonts w:ascii="Arial" w:cs="Arial" w:eastAsia="Arial" w:hAnsi="Arial"/>
                <w:sz w:val="13"/>
                <w:szCs w:val="13"/>
                <w:color w:val="auto"/>
              </w:rPr>
              <w:t>Staples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7"/>
              </w:rPr>
              <w:t>Rockville Town Square</w:t>
            </w:r>
          </w:p>
        </w:tc>
        <w:tc>
          <w:tcPr>
            <w:tcW w:w="4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w:t>
            </w: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44,765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4,548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Rollingwood</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8,803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23,150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N/A</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8"/>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Apartments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81"/>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Sam's Park &amp; Shop</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12,843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Tower</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21,063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20" w:type="dxa"/>
            <w:vAlign w:val="bottom"/>
          </w:tcPr>
          <w:p>
            <w:pPr>
              <w:jc w:val="right"/>
              <w:spacing w:after="0"/>
              <w:rPr>
                <w:sz w:val="20"/>
                <w:szCs w:val="20"/>
                <w:color w:val="auto"/>
              </w:rPr>
            </w:pPr>
            <w:r>
              <w:rPr>
                <w:rFonts w:ascii="Arial" w:cs="Arial" w:eastAsia="Arial" w:hAnsi="Arial"/>
                <w:sz w:val="13"/>
                <w:szCs w:val="13"/>
                <w:color w:val="auto"/>
              </w:rPr>
              <w:t>87%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Tyson's Station</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4,164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Trader Joe's</w:t>
            </w:r>
          </w:p>
        </w:tc>
        <w:tc>
          <w:tcPr>
            <w:tcW w:w="338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Village at Shirlington</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(3)</w:t>
            </w: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56,955</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6,374</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28,000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38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Wildwood</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18,154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24,155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Balducci's</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1,187,594</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5,495,000</w:t>
            </w:r>
          </w:p>
        </w:tc>
        <w:tc>
          <w:tcPr>
            <w:tcW w:w="52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gridSpan w:val="3"/>
          </w:tcPr>
          <w:p>
            <w:pPr>
              <w:spacing w:after="0"/>
              <w:rPr>
                <w:sz w:val="7"/>
                <w:szCs w:val="7"/>
                <w:color w:val="auto"/>
              </w:rPr>
            </w:pPr>
          </w:p>
        </w:tc>
        <w:tc>
          <w:tcPr>
            <w:tcW w:w="1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8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3160" w:type="dxa"/>
            <w:vAlign w:val="bottom"/>
            <w:gridSpan w:val="5"/>
            <w:shd w:val="clear" w:color="auto" w:fill="CCEEFF"/>
          </w:tcPr>
          <w:p>
            <w:pPr>
              <w:ind w:left="80"/>
              <w:spacing w:after="0"/>
              <w:rPr>
                <w:sz w:val="20"/>
                <w:szCs w:val="20"/>
                <w:color w:val="auto"/>
              </w:rPr>
            </w:pPr>
            <w:r>
              <w:rPr>
                <w:rFonts w:ascii="Arial" w:cs="Arial" w:eastAsia="Arial" w:hAnsi="Arial"/>
                <w:sz w:val="13"/>
                <w:szCs w:val="13"/>
                <w:b w:val="1"/>
                <w:bCs w:val="1"/>
                <w:color w:val="auto"/>
              </w:rPr>
              <w:t>Philadelphia Metropolitan Area</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3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80" w:type="dxa"/>
            <w:vAlign w:val="bottom"/>
            <w:tcBorders>
              <w:top w:val="single" w:sz="8" w:color="CCEEFF"/>
            </w:tcBorders>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Andorra</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25,190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267,000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24,000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338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Markets</w:t>
            </w:r>
          </w:p>
        </w:tc>
        <w:tc>
          <w:tcPr>
            <w:tcW w:w="338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Bala Cynwyd</w:t>
            </w:r>
          </w:p>
        </w:tc>
        <w:tc>
          <w:tcPr>
            <w:tcW w:w="4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39,137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Ellisburg Circle</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30,881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47,000</w:t>
            </w:r>
          </w:p>
        </w:tc>
        <w:tc>
          <w:tcPr>
            <w:tcW w:w="820" w:type="dxa"/>
            <w:vAlign w:val="bottom"/>
          </w:tcPr>
          <w:p>
            <w:pPr>
              <w:ind w:left="100"/>
              <w:spacing w:after="0"/>
              <w:rPr>
                <w:sz w:val="20"/>
                <w:szCs w:val="20"/>
                <w:color w:val="auto"/>
              </w:rPr>
            </w:pPr>
            <w:r>
              <w:rPr>
                <w:rFonts w:ascii="Arial" w:cs="Arial" w:eastAsia="Arial" w:hAnsi="Arial"/>
                <w:sz w:val="13"/>
                <w:szCs w:val="13"/>
                <w:color w:val="auto"/>
              </w:rPr>
              <w:t>Genuardi's</w:t>
            </w:r>
          </w:p>
        </w:tc>
        <w:tc>
          <w:tcPr>
            <w:tcW w:w="338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Flourtown</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15,999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42,000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Genuardi's</w:t>
            </w:r>
          </w:p>
        </w:tc>
        <w:tc>
          <w:tcPr>
            <w:tcW w:w="338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20,275</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55,000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Redner's</w:t>
            </w:r>
          </w:p>
        </w:tc>
        <w:tc>
          <w:tcPr>
            <w:tcW w:w="338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Warehouse</w:t>
            </w:r>
          </w:p>
        </w:tc>
        <w:tc>
          <w:tcPr>
            <w:tcW w:w="338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Mkts.</w:t>
            </w:r>
          </w:p>
        </w:tc>
        <w:tc>
          <w:tcPr>
            <w:tcW w:w="338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Lawrence Park</w:t>
            </w:r>
          </w:p>
        </w:tc>
        <w:tc>
          <w:tcPr>
            <w:tcW w:w="4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30,737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27,481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Northeast</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23,289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48"/>
        </w:trPr>
        <w:tc>
          <w:tcPr>
            <w:tcW w:w="134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Town Center of New</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14,464</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36,000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Giant Food</w:t>
            </w:r>
          </w:p>
        </w:tc>
        <w:tc>
          <w:tcPr>
            <w:tcW w:w="3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Rite Aid</w:t>
            </w:r>
          </w:p>
        </w:tc>
      </w:tr>
      <w:tr>
        <w:trPr>
          <w:trHeight w:val="17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Britain</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Willow Grove</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28,780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Wynnewood</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36,661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28,006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98,000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Genuardi's</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265,413</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2,438,000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8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California</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80" w:type="dxa"/>
            <w:vAlign w:val="bottom"/>
            <w:tcBorders>
              <w:top w:val="single" w:sz="8" w:color="CCEEFF"/>
            </w:tcBorders>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Colorado Blvd</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w w:val="92"/>
              </w:rPr>
              <w:t>Los Angeles-Long Beach,</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16,994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8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CA</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8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360"/>
          </w:cols>
          <w:pgMar w:left="280" w:top="747" w:right="259" w:bottom="973"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80" w:top="747" w:right="259" w:bottom="973"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440" w:type="dxa"/>
            <w:vAlign w:val="bottom"/>
          </w:tcPr>
          <w:p>
            <w:pPr>
              <w:spacing w:after="0"/>
              <w:rPr>
                <w:sz w:val="11"/>
                <w:szCs w:val="11"/>
                <w:color w:val="auto"/>
              </w:rPr>
            </w:pPr>
          </w:p>
        </w:tc>
      </w:tr>
      <w:tr>
        <w:trPr>
          <w:trHeight w:val="174"/>
        </w:trPr>
        <w:tc>
          <w:tcPr>
            <w:tcW w:w="14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Crow Canyon</w:t>
            </w:r>
          </w:p>
        </w:tc>
        <w:tc>
          <w:tcPr>
            <w:tcW w:w="4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San Ramon,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70,073</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19,835</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58,000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Lucky</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Loehmann's Dress Shop / Rite Aid</w:t>
            </w: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Escondido</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San Diego,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1996/2010</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44,484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w w:val="93"/>
              </w:rPr>
              <w:t>TJ Maxx / Toys R Us / Dick’s Sporting Goods / Ross Dress For</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Less</w:t>
            </w:r>
          </w:p>
        </w:tc>
      </w:tr>
      <w:tr>
        <w:trPr>
          <w:trHeight w:val="181"/>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Fifth Ave</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6,056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Urban Outfitters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Hermosa Ave</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5,486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Hollywood Blvd</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37,795</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Fresh &amp; Easy</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L.A. Fitness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Kings Court</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11,644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2"/>
              </w:rPr>
              <w:t>Super Market</w:t>
            </w:r>
          </w:p>
        </w:tc>
        <w:tc>
          <w:tcPr>
            <w:tcW w:w="3440" w:type="dxa"/>
            <w:vAlign w:val="bottom"/>
          </w:tcPr>
          <w:p>
            <w:pPr>
              <w:spacing w:after="0"/>
              <w:rPr>
                <w:sz w:val="14"/>
                <w:szCs w:val="14"/>
                <w:color w:val="auto"/>
              </w:rPr>
            </w:pPr>
          </w:p>
        </w:tc>
      </w:tr>
      <w:tr>
        <w:trPr>
          <w:trHeight w:val="181"/>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Old Town Center</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34,594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Gap / Banana Republic</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Plaza El Segundo</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94"/>
              </w:rPr>
              <w:t>(4)(6)</w:t>
            </w: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211,026</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175,000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rPr>
              <w:t>Anthropologie / Best Buy / Dick's Sporting Goods / H&amp;M /</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HomeGoods</w:t>
            </w: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Santana Row</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584,623</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Crate &amp; Barrel / Container Store / Best Buy / CineArts Theatre /</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Hotel Valencia</w:t>
            </w: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Third St Promenade</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1996-2000</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78,466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w w:val="97"/>
              </w:rPr>
              <w:t>J. Crew / Banana Republic / Old Navy / Abercrombie &amp; Fitch</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Westgate</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119,188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Target / Burlington Coat Factory / Ross Dress For Less / Michaels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Nordstrom Rack</w:t>
            </w: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150 Post Street</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37,898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Brooks Brothers / H &amp; M</w:t>
            </w:r>
          </w:p>
        </w:tc>
      </w:tr>
      <w:tr>
        <w:trPr>
          <w:trHeight w:val="97"/>
        </w:trPr>
        <w:tc>
          <w:tcPr>
            <w:tcW w:w="2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5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4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1,258,327</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2,941,000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80" w:type="dxa"/>
            <w:vAlign w:val="bottom"/>
            <w:gridSpan w:val="4"/>
          </w:tcPr>
          <w:p>
            <w:pPr>
              <w:ind w:left="80"/>
              <w:spacing w:after="0"/>
              <w:rPr>
                <w:sz w:val="20"/>
                <w:szCs w:val="20"/>
                <w:color w:val="auto"/>
              </w:rPr>
            </w:pPr>
            <w:r>
              <w:rPr>
                <w:rFonts w:ascii="Arial" w:cs="Arial" w:eastAsia="Arial" w:hAnsi="Arial"/>
                <w:sz w:val="13"/>
                <w:szCs w:val="13"/>
                <w:b w:val="1"/>
                <w:bCs w:val="1"/>
                <w:color w:val="auto"/>
                <w:w w:val="90"/>
              </w:rPr>
              <w:t>New York / New Jersey</w:t>
            </w: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Brick Plaza</w:t>
            </w:r>
          </w:p>
        </w:tc>
        <w:tc>
          <w:tcPr>
            <w:tcW w:w="4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Monmouth-Ocean,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60,903</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28,581</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414,000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66,000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A&amp;P</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Forest Hills</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8,222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Midway Theatre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73"/>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Fresh Meadows</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76,209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Kohl's / AMC Loews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Hauppauge</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28,042</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14,616</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133,000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61,000</w:t>
            </w:r>
          </w:p>
        </w:tc>
        <w:tc>
          <w:tcPr>
            <w:tcW w:w="82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44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73"/>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Huntington</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1988/2007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39,370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Buy Buy Baby / Bed, Bath &amp; Beyond / Michaels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Huntington Square</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10,573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Melville Mall</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(8)</w:t>
            </w: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68,974</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22,131</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Dick’s Sporting Goods / Kohl's / Marshalls</w:t>
            </w: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Mercer Mall</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(3)</w:t>
            </w:r>
          </w:p>
        </w:tc>
        <w:tc>
          <w:tcPr>
            <w:tcW w:w="1520" w:type="dxa"/>
            <w:vAlign w:val="bottom"/>
          </w:tcPr>
          <w:p>
            <w:pPr>
              <w:ind w:left="60"/>
              <w:spacing w:after="0"/>
              <w:rPr>
                <w:sz w:val="20"/>
                <w:szCs w:val="20"/>
                <w:color w:val="auto"/>
              </w:rPr>
            </w:pPr>
            <w:r>
              <w:rPr>
                <w:rFonts w:ascii="Arial" w:cs="Arial" w:eastAsia="Arial" w:hAnsi="Arial"/>
                <w:sz w:val="13"/>
                <w:szCs w:val="13"/>
                <w:color w:val="auto"/>
              </w:rPr>
              <w:t>Trenton, NJ</w:t>
            </w: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109,854</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55,879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500,000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2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440" w:type="dxa"/>
            <w:vAlign w:val="bottom"/>
          </w:tcPr>
          <w:p>
            <w:pPr>
              <w:ind w:left="40"/>
              <w:spacing w:after="0"/>
              <w:rPr>
                <w:sz w:val="20"/>
                <w:szCs w:val="20"/>
                <w:color w:val="auto"/>
              </w:rPr>
            </w:pPr>
            <w:r>
              <w:rPr>
                <w:rFonts w:ascii="Arial" w:cs="Arial" w:eastAsia="Arial" w:hAnsi="Arial"/>
                <w:sz w:val="13"/>
                <w:szCs w:val="13"/>
                <w:color w:val="auto"/>
                <w:w w:val="97"/>
              </w:rPr>
              <w:t>Bed, Bath &amp; Beyond / DSW / TJ Maxx / Raymour &amp; Flanigan</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21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Troy</w:t>
            </w:r>
          </w:p>
        </w:tc>
        <w:tc>
          <w:tcPr>
            <w:tcW w:w="4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28,902</w:t>
            </w:r>
          </w:p>
        </w:tc>
        <w:tc>
          <w:tcPr>
            <w:tcW w:w="6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Pathmark</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ind w:left="60"/>
              <w:spacing w:after="0" w:line="129" w:lineRule="exact"/>
              <w:rPr>
                <w:sz w:val="20"/>
                <w:szCs w:val="20"/>
                <w:color w:val="auto"/>
              </w:rPr>
            </w:pPr>
            <w:r>
              <w:rPr>
                <w:rFonts w:ascii="Arial" w:cs="Arial" w:eastAsia="Arial" w:hAnsi="Arial"/>
                <w:sz w:val="13"/>
                <w:szCs w:val="13"/>
                <w:b w:val="1"/>
                <w:bCs w:val="1"/>
                <w:color w:val="auto"/>
              </w:rPr>
              <w:t>Total New York / New</w:t>
            </w:r>
          </w:p>
        </w:tc>
        <w:tc>
          <w:tcPr>
            <w:tcW w:w="680" w:type="dxa"/>
            <w:vAlign w:val="bottom"/>
          </w:tcPr>
          <w:p>
            <w:pPr>
              <w:spacing w:after="0"/>
              <w:rPr>
                <w:sz w:val="11"/>
                <w:szCs w:val="11"/>
                <w:color w:val="auto"/>
              </w:rPr>
            </w:pPr>
          </w:p>
        </w:tc>
        <w:tc>
          <w:tcPr>
            <w:tcW w:w="7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431,049</w:t>
            </w:r>
          </w:p>
        </w:tc>
        <w:tc>
          <w:tcPr>
            <w:tcW w:w="660" w:type="dxa"/>
            <w:vAlign w:val="bottom"/>
          </w:tcPr>
          <w:p>
            <w:pPr>
              <w:spacing w:after="0"/>
              <w:rPr>
                <w:sz w:val="11"/>
                <w:szCs w:val="11"/>
                <w:color w:val="auto"/>
              </w:rPr>
            </w:pPr>
          </w:p>
        </w:tc>
        <w:tc>
          <w:tcPr>
            <w:tcW w:w="6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93"/>
              </w:rPr>
              <w:t>2,308,000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95%</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Jersey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4"/>
        </w:trPr>
        <w:tc>
          <w:tcPr>
            <w:tcW w:w="20" w:type="dxa"/>
            <w:vAlign w:val="bottom"/>
            <w:shd w:val="clear" w:color="auto" w:fill="CCEEFF"/>
          </w:tcPr>
          <w:p>
            <w:pPr>
              <w:spacing w:after="0"/>
              <w:rPr>
                <w:sz w:val="13"/>
                <w:szCs w:val="13"/>
                <w:color w:val="auto"/>
              </w:rPr>
            </w:pPr>
          </w:p>
        </w:tc>
        <w:tc>
          <w:tcPr>
            <w:tcW w:w="138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rPr>
              <w:t>New England</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Assembly Square</w:t>
            </w:r>
          </w:p>
        </w:tc>
        <w:tc>
          <w:tcPr>
            <w:tcW w:w="400" w:type="dxa"/>
            <w:vAlign w:val="bottom"/>
          </w:tcPr>
          <w:p>
            <w:pPr>
              <w:spacing w:after="0"/>
              <w:rPr>
                <w:sz w:val="12"/>
                <w:szCs w:val="12"/>
                <w:color w:val="auto"/>
              </w:rPr>
            </w:pPr>
          </w:p>
        </w:tc>
        <w:tc>
          <w:tcPr>
            <w:tcW w:w="220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2"/>
              </w:rPr>
              <w:t>Boston-Cambridge-Quincy,   2005-2011</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237,590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w w:val="90"/>
              </w:rPr>
              <w:t>AC Moore / Bed, Bath &amp; Beyond / Christmas Tree Shops / Kmart</w:t>
            </w:r>
          </w:p>
        </w:tc>
      </w:tr>
      <w:tr>
        <w:trPr>
          <w:trHeight w:val="135"/>
        </w:trPr>
        <w:tc>
          <w:tcPr>
            <w:tcW w:w="1400" w:type="dxa"/>
            <w:vAlign w:val="bottom"/>
            <w:gridSpan w:val="5"/>
          </w:tcPr>
          <w:p>
            <w:pPr>
              <w:ind w:left="20"/>
              <w:spacing w:after="0" w:line="135" w:lineRule="exact"/>
              <w:rPr>
                <w:sz w:val="20"/>
                <w:szCs w:val="20"/>
                <w:color w:val="auto"/>
              </w:rPr>
            </w:pPr>
            <w:r>
              <w:rPr>
                <w:rFonts w:ascii="Arial" w:cs="Arial" w:eastAsia="Arial" w:hAnsi="Arial"/>
                <w:sz w:val="13"/>
                <w:szCs w:val="13"/>
                <w:color w:val="auto"/>
              </w:rPr>
              <w:t>Marketplace/Assembly</w:t>
            </w:r>
          </w:p>
        </w:tc>
        <w:tc>
          <w:tcPr>
            <w:tcW w:w="400" w:type="dxa"/>
            <w:vAlign w:val="bottom"/>
          </w:tcPr>
          <w:p>
            <w:pPr>
              <w:spacing w:after="0"/>
              <w:rPr>
                <w:sz w:val="11"/>
                <w:szCs w:val="11"/>
                <w:color w:val="auto"/>
              </w:rPr>
            </w:pPr>
          </w:p>
        </w:tc>
        <w:tc>
          <w:tcPr>
            <w:tcW w:w="1520" w:type="dxa"/>
            <w:vAlign w:val="bottom"/>
          </w:tcPr>
          <w:p>
            <w:pPr>
              <w:ind w:left="60"/>
              <w:spacing w:after="0" w:line="135" w:lineRule="exact"/>
              <w:rPr>
                <w:sz w:val="20"/>
                <w:szCs w:val="20"/>
                <w:color w:val="auto"/>
              </w:rPr>
            </w:pPr>
            <w:r>
              <w:rPr>
                <w:rFonts w:ascii="Arial" w:cs="Arial" w:eastAsia="Arial" w:hAnsi="Arial"/>
                <w:sz w:val="13"/>
                <w:szCs w:val="13"/>
                <w:color w:val="auto"/>
              </w:rPr>
              <w:t>MA-NH</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ind w:left="40"/>
              <w:spacing w:after="0" w:line="135" w:lineRule="exact"/>
              <w:rPr>
                <w:sz w:val="20"/>
                <w:szCs w:val="20"/>
                <w:color w:val="auto"/>
              </w:rPr>
            </w:pPr>
            <w:r>
              <w:rPr>
                <w:rFonts w:ascii="Arial" w:cs="Arial" w:eastAsia="Arial" w:hAnsi="Arial"/>
                <w:sz w:val="13"/>
                <w:szCs w:val="13"/>
                <w:color w:val="auto"/>
              </w:rPr>
              <w:t>/ Staples / Sports Authority / TJ Maxx</w:t>
            </w:r>
          </w:p>
        </w:tc>
      </w:tr>
      <w:tr>
        <w:trPr>
          <w:trHeight w:val="168"/>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Row</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Chelsea Commons</w:t>
            </w:r>
          </w:p>
        </w:tc>
        <w:tc>
          <w:tcPr>
            <w:tcW w:w="40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2"/>
              </w:rPr>
              <w:t>Boston-Cambridge-Quincy,   2006-2008</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30,304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7,585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Dedham Plaza</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33,353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80,000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34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Linden Square</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146,557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North Dartmouth</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9,368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48,000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34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Queen Anne Plaza</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15,714</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Hannaford</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HomeGoods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Saugus Plaza</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14,644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170,000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3440" w:type="dxa"/>
            <w:vAlign w:val="bottom"/>
            <w:tcBorders>
              <w:bottom w:val="single" w:sz="8" w:color="CCEEFF"/>
            </w:tcBorders>
          </w:tcPr>
          <w:p>
            <w:pPr>
              <w:spacing w:after="0"/>
              <w:rPr>
                <w:sz w:val="14"/>
                <w:szCs w:val="14"/>
                <w:color w:val="auto"/>
              </w:rPr>
            </w:pPr>
          </w:p>
        </w:tc>
      </w:tr>
      <w:tr>
        <w:trPr>
          <w:trHeight w:val="173"/>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487,530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1,388,000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80" w:type="dxa"/>
            <w:vAlign w:val="bottom"/>
            <w:gridSpan w:val="4"/>
          </w:tcPr>
          <w:p>
            <w:pPr>
              <w:ind w:left="80"/>
              <w:spacing w:after="0"/>
              <w:rPr>
                <w:sz w:val="20"/>
                <w:szCs w:val="20"/>
                <w:color w:val="auto"/>
              </w:rPr>
            </w:pPr>
            <w:r>
              <w:rPr>
                <w:rFonts w:ascii="Arial" w:cs="Arial" w:eastAsia="Arial" w:hAnsi="Arial"/>
                <w:sz w:val="13"/>
                <w:szCs w:val="13"/>
                <w:b w:val="1"/>
                <w:bCs w:val="1"/>
                <w:color w:val="auto"/>
              </w:rPr>
              <w:t>Baltimore</w:t>
            </w: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Governor Plaza</w:t>
            </w:r>
          </w:p>
        </w:tc>
        <w:tc>
          <w:tcPr>
            <w:tcW w:w="4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26,371</w:t>
            </w: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16,500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 / Dick’s Sporting Goods</w:t>
            </w: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27,689</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rPr>
              <w:t>Home Depot / Burlington Coat Factory / Jo-Ann Stores</w:t>
            </w: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344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44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360"/>
          </w:cols>
          <w:pgMar w:left="280" w:top="747" w:right="25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80" w:top="747" w:right="259" w:bottom="1440"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6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440" w:type="dxa"/>
            <w:vAlign w:val="bottom"/>
          </w:tcPr>
          <w:p>
            <w:pPr>
              <w:spacing w:after="0"/>
              <w:rPr>
                <w:sz w:val="11"/>
                <w:szCs w:val="11"/>
                <w:color w:val="auto"/>
              </w:rPr>
            </w:pPr>
          </w:p>
        </w:tc>
      </w:tr>
      <w:tr>
        <w:trPr>
          <w:trHeight w:val="174"/>
        </w:trPr>
        <w:tc>
          <w:tcPr>
            <w:tcW w:w="13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48"/>
        </w:trPr>
        <w:tc>
          <w:tcPr>
            <w:tcW w:w="13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9"/>
              </w:rPr>
              <w:t>THE AVENUE at White</w:t>
            </w:r>
          </w:p>
        </w:tc>
        <w:tc>
          <w:tcPr>
            <w:tcW w:w="3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1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96,076</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56,293</w:t>
            </w: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297,000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AMC Loews / Old Navy / Barnes &amp; Noble / AC Moore</w:t>
            </w:r>
          </w:p>
        </w:tc>
      </w:tr>
      <w:tr>
        <w:trPr>
          <w:trHeight w:val="176"/>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Marsh</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3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The Shoppes at</w:t>
            </w:r>
          </w:p>
        </w:tc>
        <w:tc>
          <w:tcPr>
            <w:tcW w:w="340" w:type="dxa"/>
            <w:vAlign w:val="bottom"/>
          </w:tcPr>
          <w:p>
            <w:pPr>
              <w:spacing w:after="0"/>
              <w:rPr>
                <w:sz w:val="12"/>
                <w:szCs w:val="12"/>
                <w:color w:val="auto"/>
              </w:rPr>
            </w:pPr>
          </w:p>
        </w:tc>
        <w:tc>
          <w:tcPr>
            <w:tcW w:w="152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17,323</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68"/>
        </w:trPr>
        <w:tc>
          <w:tcPr>
            <w:tcW w:w="1380" w:type="dxa"/>
            <w:vAlign w:val="bottom"/>
            <w:gridSpan w:val="5"/>
          </w:tcPr>
          <w:p>
            <w:pPr>
              <w:ind w:left="20"/>
              <w:spacing w:after="0"/>
              <w:rPr>
                <w:sz w:val="20"/>
                <w:szCs w:val="20"/>
                <w:color w:val="auto"/>
              </w:rPr>
            </w:pPr>
            <w:r>
              <w:rPr>
                <w:rFonts w:ascii="Arial" w:cs="Arial" w:eastAsia="Arial" w:hAnsi="Arial"/>
                <w:sz w:val="13"/>
                <w:szCs w:val="13"/>
                <w:color w:val="auto"/>
              </w:rPr>
              <w:t>Nottingham Square</w:t>
            </w: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81"/>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White Marsh Plaza</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25,026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9,207</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44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20"/>
              <w:spacing w:after="0"/>
              <w:rPr>
                <w:sz w:val="20"/>
                <w:szCs w:val="20"/>
                <w:color w:val="auto"/>
              </w:rPr>
            </w:pPr>
            <w:r>
              <w:rPr>
                <w:rFonts w:ascii="Arial" w:cs="Arial" w:eastAsia="Arial" w:hAnsi="Arial"/>
                <w:sz w:val="13"/>
                <w:szCs w:val="13"/>
                <w:color w:val="auto"/>
              </w:rPr>
              <w:t>White Marsh Other</w:t>
            </w:r>
          </w:p>
        </w:tc>
        <w:tc>
          <w:tcPr>
            <w:tcW w:w="3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39,138</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52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34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Baltimore</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231,623</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1,141,000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60" w:type="dxa"/>
            <w:vAlign w:val="bottom"/>
            <w:gridSpan w:val="4"/>
          </w:tcPr>
          <w:p>
            <w:pPr>
              <w:ind w:left="80"/>
              <w:spacing w:after="0"/>
              <w:rPr>
                <w:sz w:val="20"/>
                <w:szCs w:val="20"/>
                <w:color w:val="auto"/>
              </w:rPr>
            </w:pPr>
            <w:r>
              <w:rPr>
                <w:rFonts w:ascii="Arial" w:cs="Arial" w:eastAsia="Arial" w:hAnsi="Arial"/>
                <w:sz w:val="13"/>
                <w:szCs w:val="13"/>
                <w:b w:val="1"/>
                <w:bCs w:val="1"/>
                <w:color w:val="auto"/>
              </w:rPr>
              <w:t>Chicago</w:t>
            </w: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Crossroads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30,879</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20"/>
              <w:spacing w:after="0"/>
              <w:rPr>
                <w:sz w:val="20"/>
                <w:szCs w:val="20"/>
                <w:color w:val="auto"/>
              </w:rPr>
            </w:pPr>
            <w:r>
              <w:rPr>
                <w:rFonts w:ascii="Arial" w:cs="Arial" w:eastAsia="Arial" w:hAnsi="Arial"/>
                <w:sz w:val="13"/>
                <w:szCs w:val="13"/>
                <w:color w:val="auto"/>
              </w:rPr>
              <w:t>Finley Square</w:t>
            </w:r>
          </w:p>
        </w:tc>
        <w:tc>
          <w:tcPr>
            <w:tcW w:w="3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32,477</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315,000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3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Garden Market</w:t>
            </w:r>
          </w:p>
        </w:tc>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12,357</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63,000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173"/>
        </w:trPr>
        <w:tc>
          <w:tcPr>
            <w:tcW w:w="1380" w:type="dxa"/>
            <w:vAlign w:val="bottom"/>
            <w:gridSpan w:val="5"/>
          </w:tcPr>
          <w:p>
            <w:pPr>
              <w:ind w:left="20"/>
              <w:spacing w:after="0"/>
              <w:rPr>
                <w:sz w:val="20"/>
                <w:szCs w:val="20"/>
                <w:color w:val="auto"/>
              </w:rPr>
            </w:pPr>
            <w:r>
              <w:rPr>
                <w:rFonts w:ascii="Arial" w:cs="Arial" w:eastAsia="Arial" w:hAnsi="Arial"/>
                <w:sz w:val="13"/>
                <w:szCs w:val="13"/>
                <w:color w:val="auto"/>
              </w:rPr>
              <w:t>North Lake Commons</w:t>
            </w:r>
          </w:p>
        </w:tc>
        <w:tc>
          <w:tcPr>
            <w:tcW w:w="3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14,191</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77,000</w:t>
            </w:r>
          </w:p>
        </w:tc>
        <w:tc>
          <w:tcPr>
            <w:tcW w:w="800" w:type="dxa"/>
            <w:vAlign w:val="bottom"/>
          </w:tcPr>
          <w:p>
            <w:pPr>
              <w:ind w:left="80"/>
              <w:spacing w:after="0"/>
              <w:rPr>
                <w:sz w:val="20"/>
                <w:szCs w:val="20"/>
                <w:color w:val="auto"/>
              </w:rPr>
            </w:pPr>
            <w:r>
              <w:rPr>
                <w:rFonts w:ascii="Arial" w:cs="Arial" w:eastAsia="Arial" w:hAnsi="Arial"/>
                <w:sz w:val="13"/>
                <w:szCs w:val="13"/>
                <w:color w:val="auto"/>
              </w:rPr>
              <w:t>Dominick's</w:t>
            </w:r>
          </w:p>
        </w:tc>
        <w:tc>
          <w:tcPr>
            <w:tcW w:w="344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52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34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Chicago</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89,904</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60" w:type="dxa"/>
            <w:vAlign w:val="bottom"/>
            <w:gridSpan w:val="4"/>
          </w:tcPr>
          <w:p>
            <w:pPr>
              <w:ind w:left="80"/>
              <w:spacing w:after="0"/>
              <w:rPr>
                <w:sz w:val="20"/>
                <w:szCs w:val="20"/>
                <w:color w:val="auto"/>
              </w:rPr>
            </w:pPr>
            <w:r>
              <w:rPr>
                <w:rFonts w:ascii="Arial" w:cs="Arial" w:eastAsia="Arial" w:hAnsi="Arial"/>
                <w:sz w:val="13"/>
                <w:szCs w:val="13"/>
                <w:b w:val="1"/>
                <w:bCs w:val="1"/>
                <w:color w:val="auto"/>
              </w:rPr>
              <w:t>South Florida</w:t>
            </w: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Courtyard Shops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40,111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6,981</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49,000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344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20"/>
              <w:spacing w:after="0"/>
              <w:rPr>
                <w:sz w:val="20"/>
                <w:szCs w:val="20"/>
                <w:color w:val="auto"/>
              </w:rPr>
            </w:pPr>
            <w:r>
              <w:rPr>
                <w:rFonts w:ascii="Arial" w:cs="Arial" w:eastAsia="Arial" w:hAnsi="Arial"/>
                <w:sz w:val="13"/>
                <w:szCs w:val="13"/>
                <w:color w:val="auto"/>
              </w:rPr>
              <w:t>Del Mar Village</w:t>
            </w:r>
          </w:p>
        </w:tc>
        <w:tc>
          <w:tcPr>
            <w:tcW w:w="3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55,632</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179,000</w:t>
            </w:r>
          </w:p>
        </w:tc>
        <w:tc>
          <w:tcPr>
            <w:tcW w:w="54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44,000</w:t>
            </w:r>
          </w:p>
        </w:tc>
        <w:tc>
          <w:tcPr>
            <w:tcW w:w="80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44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73"/>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Tower Shops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71,534</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Best Buy / DSW / Old Navy / Ross Dress For Less / TJ Maxx</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167,277</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677,000</w:t>
            </w:r>
          </w:p>
        </w:tc>
        <w:tc>
          <w:tcPr>
            <w:tcW w:w="54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4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rPr>
              <w:t>Other</w:t>
            </w:r>
          </w:p>
        </w:tc>
        <w:tc>
          <w:tcPr>
            <w:tcW w:w="3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r>
      <w:tr>
        <w:trPr>
          <w:trHeight w:val="148"/>
        </w:trPr>
        <w:tc>
          <w:tcPr>
            <w:tcW w:w="13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Barracks Road</w:t>
            </w:r>
          </w:p>
        </w:tc>
        <w:tc>
          <w:tcPr>
            <w:tcW w:w="340" w:type="dxa"/>
            <w:vAlign w:val="bottom"/>
          </w:tcPr>
          <w:p>
            <w:pPr>
              <w:spacing w:after="0"/>
              <w:rPr>
                <w:sz w:val="12"/>
                <w:szCs w:val="12"/>
                <w:color w:val="auto"/>
              </w:rPr>
            </w:pPr>
          </w:p>
        </w:tc>
        <w:tc>
          <w:tcPr>
            <w:tcW w:w="1520" w:type="dxa"/>
            <w:vAlign w:val="bottom"/>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54,096</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38,771</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487,000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99,000</w:t>
            </w:r>
          </w:p>
        </w:tc>
        <w:tc>
          <w:tcPr>
            <w:tcW w:w="42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6"/>
              </w:rPr>
              <w:t>Harris Teeter / Anthropologie / Bed, Bath &amp; Beyond / Barnes &amp; Noble / Old</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3440" w:type="dxa"/>
            <w:vAlign w:val="bottom"/>
          </w:tcPr>
          <w:p>
            <w:pPr>
              <w:ind w:left="60"/>
              <w:spacing w:after="0"/>
              <w:rPr>
                <w:sz w:val="20"/>
                <w:szCs w:val="20"/>
                <w:color w:val="auto"/>
              </w:rPr>
            </w:pPr>
            <w:r>
              <w:rPr>
                <w:rFonts w:ascii="Arial" w:cs="Arial" w:eastAsia="Arial" w:hAnsi="Arial"/>
                <w:sz w:val="13"/>
                <w:szCs w:val="13"/>
                <w:color w:val="auto"/>
              </w:rPr>
              <w:t>Navy / Michaels / Ulta</w:t>
            </w:r>
          </w:p>
        </w:tc>
      </w:tr>
      <w:tr>
        <w:trPr>
          <w:trHeight w:val="204"/>
        </w:trPr>
        <w:tc>
          <w:tcPr>
            <w:tcW w:w="13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Bristol Plaza</w:t>
            </w:r>
          </w:p>
        </w:tc>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Hartford, CT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28,090</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74,000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5"/>
              </w:rPr>
              <w:t>Stop &amp; Shop</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148"/>
        </w:trPr>
        <w:tc>
          <w:tcPr>
            <w:tcW w:w="13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Eastgate</w:t>
            </w:r>
          </w:p>
        </w:tc>
        <w:tc>
          <w:tcPr>
            <w:tcW w:w="340" w:type="dxa"/>
            <w:vAlign w:val="bottom"/>
          </w:tcPr>
          <w:p>
            <w:pPr>
              <w:spacing w:after="0"/>
              <w:rPr>
                <w:sz w:val="12"/>
                <w:szCs w:val="12"/>
                <w:color w:val="auto"/>
              </w:rPr>
            </w:pPr>
          </w:p>
        </w:tc>
        <w:tc>
          <w:tcPr>
            <w:tcW w:w="1520" w:type="dxa"/>
            <w:vAlign w:val="bottom"/>
          </w:tcPr>
          <w:p>
            <w:pPr>
              <w:ind w:left="100"/>
              <w:spacing w:after="0" w:line="148" w:lineRule="exact"/>
              <w:rPr>
                <w:sz w:val="20"/>
                <w:szCs w:val="20"/>
                <w:color w:val="auto"/>
              </w:rPr>
            </w:pPr>
            <w:r>
              <w:rPr>
                <w:rFonts w:ascii="Arial" w:cs="Arial" w:eastAsia="Arial" w:hAnsi="Arial"/>
                <w:sz w:val="13"/>
                <w:szCs w:val="13"/>
                <w:color w:val="auto"/>
                <w:w w:val="99"/>
              </w:rPr>
              <w:t>Raleigh-Durham-Chapel</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26,495</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13,000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Hill, NC</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04"/>
        </w:trPr>
        <w:tc>
          <w:tcPr>
            <w:tcW w:w="13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Gratiot Plaza</w:t>
            </w:r>
          </w:p>
        </w:tc>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Detroit, MI</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19,002</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69,000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148"/>
        </w:trPr>
        <w:tc>
          <w:tcPr>
            <w:tcW w:w="13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Greenwich Avenue</w:t>
            </w:r>
          </w:p>
        </w:tc>
        <w:tc>
          <w:tcPr>
            <w:tcW w:w="340" w:type="dxa"/>
            <w:vAlign w:val="bottom"/>
          </w:tcPr>
          <w:p>
            <w:pPr>
              <w:spacing w:after="0"/>
              <w:rPr>
                <w:sz w:val="12"/>
                <w:szCs w:val="12"/>
                <w:color w:val="auto"/>
              </w:rPr>
            </w:pPr>
          </w:p>
        </w:tc>
        <w:tc>
          <w:tcPr>
            <w:tcW w:w="1520" w:type="dxa"/>
            <w:vAlign w:val="bottom"/>
          </w:tcPr>
          <w:p>
            <w:pPr>
              <w:ind w:left="100"/>
              <w:spacing w:after="0" w:line="148" w:lineRule="exact"/>
              <w:rPr>
                <w:sz w:val="20"/>
                <w:szCs w:val="20"/>
                <w:color w:val="auto"/>
              </w:rPr>
            </w:pPr>
            <w:r>
              <w:rPr>
                <w:rFonts w:ascii="Arial" w:cs="Arial" w:eastAsia="Arial" w:hAnsi="Arial"/>
                <w:sz w:val="13"/>
                <w:szCs w:val="13"/>
                <w:color w:val="auto"/>
              </w:rPr>
              <w:t>New Haven-Bridgeport-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Stamford-Waterbury</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81"/>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Houston St</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San Antonio, TX</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65,566</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183,000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20"/>
              <w:spacing w:after="0"/>
              <w:rPr>
                <w:sz w:val="20"/>
                <w:szCs w:val="20"/>
                <w:color w:val="auto"/>
              </w:rPr>
            </w:pPr>
            <w:r>
              <w:rPr>
                <w:rFonts w:ascii="Arial" w:cs="Arial" w:eastAsia="Arial" w:hAnsi="Arial"/>
                <w:sz w:val="13"/>
                <w:szCs w:val="13"/>
                <w:color w:val="auto"/>
              </w:rPr>
              <w:t>Lancaster</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520" w:type="dxa"/>
            <w:vAlign w:val="bottom"/>
          </w:tcPr>
          <w:p>
            <w:pPr>
              <w:ind w:left="100"/>
              <w:spacing w:after="0"/>
              <w:rPr>
                <w:sz w:val="20"/>
                <w:szCs w:val="20"/>
                <w:color w:val="auto"/>
              </w:rPr>
            </w:pPr>
            <w:r>
              <w:rPr>
                <w:rFonts w:ascii="Arial" w:cs="Arial" w:eastAsia="Arial" w:hAnsi="Arial"/>
                <w:sz w:val="13"/>
                <w:szCs w:val="13"/>
                <w:color w:val="auto"/>
              </w:rPr>
              <w:t>Lancaster, PA</w:t>
            </w:r>
          </w:p>
        </w:tc>
        <w:tc>
          <w:tcPr>
            <w:tcW w:w="70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12,836</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4,907</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44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73"/>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Shoppers' World</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Charlottesville, VA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31,201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5,405</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Staples</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20"/>
              <w:spacing w:after="0"/>
              <w:rPr>
                <w:sz w:val="20"/>
                <w:szCs w:val="20"/>
                <w:color w:val="auto"/>
              </w:rPr>
            </w:pPr>
            <w:r>
              <w:rPr>
                <w:rFonts w:ascii="Arial" w:cs="Arial" w:eastAsia="Arial" w:hAnsi="Arial"/>
                <w:sz w:val="13"/>
                <w:szCs w:val="13"/>
                <w:color w:val="auto"/>
              </w:rPr>
              <w:t>Shops at Willow Lawn</w:t>
            </w:r>
          </w:p>
        </w:tc>
        <w:tc>
          <w:tcPr>
            <w:tcW w:w="34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w w:val="92"/>
              </w:rPr>
              <w:t>Richmond-Petersburg, VA</w:t>
            </w:r>
          </w:p>
        </w:tc>
        <w:tc>
          <w:tcPr>
            <w:tcW w:w="70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82,039</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442,000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66,000</w:t>
            </w: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3440" w:type="dxa"/>
            <w:vAlign w:val="bottom"/>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43"/>
        </w:trPr>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3440" w:type="dxa"/>
            <w:vAlign w:val="bottom"/>
            <w:tcBorders>
              <w:bottom w:val="single" w:sz="8" w:color="CCEEFF"/>
            </w:tcBorders>
          </w:tcPr>
          <w:p>
            <w:pPr>
              <w:spacing w:after="0"/>
              <w:rPr>
                <w:sz w:val="3"/>
                <w:szCs w:val="3"/>
                <w:color w:val="auto"/>
              </w:rPr>
            </w:pPr>
          </w:p>
        </w:tc>
      </w:tr>
      <w:tr>
        <w:trPr>
          <w:trHeight w:val="167"/>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Other</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333,294</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2,079,000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r>
      <w:tr>
        <w:trPr>
          <w:trHeight w:val="167"/>
        </w:trPr>
        <w:tc>
          <w:tcPr>
            <w:tcW w:w="1380" w:type="dxa"/>
            <w:vAlign w:val="bottom"/>
            <w:gridSpan w:val="5"/>
            <w:shd w:val="clear" w:color="auto" w:fill="CCEEFF"/>
          </w:tcPr>
          <w:p>
            <w:pPr>
              <w:ind w:left="20"/>
              <w:spacing w:after="0"/>
              <w:rPr>
                <w:sz w:val="20"/>
                <w:szCs w:val="20"/>
                <w:color w:val="auto"/>
              </w:rPr>
            </w:pPr>
            <w:r>
              <w:rPr>
                <w:rFonts w:ascii="Arial" w:cs="Arial" w:eastAsia="Arial" w:hAnsi="Arial"/>
                <w:sz w:val="13"/>
                <w:szCs w:val="13"/>
                <w:b w:val="1"/>
                <w:bCs w:val="1"/>
                <w:color w:val="auto"/>
              </w:rPr>
              <w:t>Grand Total</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4"/>
              </w:rPr>
              <w:t>$ 4,452,011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w w:val="89"/>
              </w:rPr>
              <w:t>$ 806,321</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6"/>
              </w:rPr>
              <w:t>19,219,000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97"/>
        </w:trPr>
        <w:tc>
          <w:tcPr>
            <w:tcW w:w="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52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3440" w:type="dxa"/>
            <w:vAlign w:val="bottom"/>
            <w:tcBorders>
              <w:bottom w:val="single" w:sz="8" w:color="auto"/>
            </w:tcBorders>
            <w:shd w:val="clear" w:color="auto" w:fill="CCEEFF"/>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60" w:hanging="1331"/>
        <w:spacing w:after="0"/>
        <w:tabs>
          <w:tab w:leader="none" w:pos="13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51" w:lineRule="exact"/>
        <w:rPr>
          <w:rFonts w:ascii="Arial" w:cs="Arial" w:eastAsia="Arial" w:hAnsi="Arial"/>
          <w:sz w:val="12"/>
          <w:szCs w:val="12"/>
          <w:color w:val="auto"/>
        </w:rPr>
      </w:pPr>
    </w:p>
    <w:p>
      <w:pPr>
        <w:ind w:left="1360" w:hanging="1331"/>
        <w:spacing w:after="0"/>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60" w:hanging="1331"/>
        <w:spacing w:after="0"/>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spacing w:after="0" w:line="39" w:lineRule="exact"/>
        <w:rPr>
          <w:rFonts w:ascii="Arial" w:cs="Arial" w:eastAsia="Arial" w:hAnsi="Arial"/>
          <w:sz w:val="13"/>
          <w:szCs w:val="13"/>
          <w:color w:val="auto"/>
        </w:rPr>
      </w:pPr>
    </w:p>
    <w:p>
      <w:pPr>
        <w:ind w:left="1360" w:hanging="1331"/>
        <w:spacing w:after="0"/>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360" w:right="520" w:hanging="1331"/>
        <w:spacing w:after="0" w:line="237" w:lineRule="auto"/>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60" w:hanging="1331"/>
        <w:spacing w:after="0"/>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a 100% owned, 8.1 acre land parcel to be used for future development.</w:t>
      </w:r>
    </w:p>
    <w:p>
      <w:pPr>
        <w:spacing w:after="0" w:line="39" w:lineRule="exact"/>
        <w:rPr>
          <w:rFonts w:ascii="Arial" w:cs="Arial" w:eastAsia="Arial" w:hAnsi="Arial"/>
          <w:sz w:val="13"/>
          <w:szCs w:val="13"/>
          <w:color w:val="auto"/>
        </w:rPr>
      </w:pPr>
    </w:p>
    <w:p>
      <w:pPr>
        <w:ind w:left="1360" w:hanging="1331"/>
        <w:spacing w:after="0"/>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pacing w:after="0" w:line="39" w:lineRule="exact"/>
        <w:rPr>
          <w:rFonts w:ascii="Arial" w:cs="Arial" w:eastAsia="Arial" w:hAnsi="Arial"/>
          <w:sz w:val="13"/>
          <w:szCs w:val="13"/>
          <w:color w:val="auto"/>
        </w:rPr>
      </w:pPr>
    </w:p>
    <w:p>
      <w:pPr>
        <w:ind w:left="1360" w:right="220" w:hanging="1331"/>
        <w:spacing w:after="0" w:line="237" w:lineRule="auto"/>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ectPr>
          <w:pgSz w:w="11900" w:h="16838" w:orient="portrait"/>
          <w:cols w:equalWidth="0" w:num="1">
            <w:col w:w="11360"/>
          </w:cols>
          <w:pgMar w:left="280" w:top="74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80" w:top="747" w:right="25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2012</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2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8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2012</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461,088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2,081,753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12,603,460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27.33</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231,394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32.81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29.80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697,168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1,641,570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7.09</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353,309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31.62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841,354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3,932,532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11.13</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369,685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28.21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26.64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581,478</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4,396,887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11.89</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1,415,476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4,201,753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22,574,449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15.95</w:t>
            </w:r>
          </w:p>
        </w:tc>
      </w:tr>
      <w:tr>
        <w:trPr>
          <w:trHeight w:val="20"/>
        </w:trPr>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83"/>
        </w:trPr>
        <w:tc>
          <w:tcPr>
            <w:tcW w:w="20" w:type="dxa"/>
            <w:vAlign w:val="bottom"/>
            <w:shd w:val="clear" w:color="auto" w:fill="CCEEFF"/>
          </w:tcPr>
          <w:p>
            <w:pPr>
              <w:spacing w:after="0"/>
              <w:rPr>
                <w:sz w:val="15"/>
                <w:szCs w:val="15"/>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tcBorders>
              <w:top w:val="single" w:sz="8" w:color="CCEEFF"/>
            </w:tcBorders>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2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8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2012</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224,338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34.23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1,824,154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10,880,880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48.50</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91,350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32.04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28.56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318,442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1,601,990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17.54</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161,822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45,490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3,846,699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23.77</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136,062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28.49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25.47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411,642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4,326,647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31.80</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613,572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2,599,728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20,656,216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33.67</w:t>
            </w:r>
          </w:p>
        </w:tc>
      </w:tr>
      <w:tr>
        <w:trPr>
          <w:trHeight w:val="20"/>
        </w:trPr>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83"/>
        </w:trPr>
        <w:tc>
          <w:tcPr>
            <w:tcW w:w="20" w:type="dxa"/>
            <w:vAlign w:val="bottom"/>
            <w:shd w:val="clear" w:color="auto" w:fill="CCEEFF"/>
          </w:tcPr>
          <w:p>
            <w:pPr>
              <w:spacing w:after="0"/>
              <w:rPr>
                <w:sz w:val="15"/>
                <w:szCs w:val="15"/>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w w:val="96"/>
              </w:rPr>
              <w:t>Renewal Lease Summary - Comparable (2) (7)</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tcBorders>
              <w:top w:val="single" w:sz="8" w:color="CCEEFF"/>
            </w:tcBorders>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2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8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2012</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236,750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257,599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1,722,580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7.28</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140,044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33.31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30.60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378,726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39,580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0.28</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191,487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795,864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85,833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0.45</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233,623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28.05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27.32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169,836</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70,240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0.30</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801,904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1,602,025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1,918,233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2.39</w:t>
            </w:r>
          </w:p>
        </w:tc>
      </w:tr>
      <w:tr>
        <w:trPr>
          <w:trHeight w:val="20"/>
        </w:trPr>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3980" w:type="dxa"/>
            <w:vAlign w:val="bottom"/>
            <w:tcBorders>
              <w:bottom w:val="single" w:sz="8" w:color="auto"/>
            </w:tcBorders>
            <w:gridSpan w:val="9"/>
            <w:shd w:val="clear" w:color="auto" w:fill="CCEEFF"/>
          </w:tcPr>
          <w:p>
            <w:pPr>
              <w:spacing w:after="0"/>
              <w:rPr>
                <w:sz w:val="20"/>
                <w:szCs w:val="20"/>
                <w:color w:val="auto"/>
              </w:rPr>
            </w:pPr>
            <w:r>
              <w:rPr>
                <w:rFonts w:ascii="Arial" w:cs="Arial" w:eastAsia="Arial" w:hAnsi="Arial"/>
                <w:sz w:val="14"/>
                <w:szCs w:val="14"/>
                <w:b w:val="1"/>
                <w:bCs w:val="1"/>
                <w:color w:val="auto"/>
                <w:w w:val="93"/>
              </w:rPr>
              <w:t>Total Lease Summary - Comparable and Non-comparable (2) (8)</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0"/>
              </w:rPr>
              <w:t>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Signed</w:t>
            </w:r>
          </w:p>
        </w:tc>
        <w:tc>
          <w:tcPr>
            <w:tcW w:w="140" w:type="dxa"/>
            <w:vAlign w:val="bottom"/>
          </w:tcPr>
          <w:p>
            <w:pPr>
              <w:spacing w:after="0"/>
              <w:rPr>
                <w:sz w:val="12"/>
                <w:szCs w:val="12"/>
                <w:color w:val="auto"/>
              </w:rPr>
            </w:pPr>
          </w:p>
        </w:tc>
        <w:tc>
          <w:tcPr>
            <w:tcW w:w="1660" w:type="dxa"/>
            <w:vAlign w:val="bottom"/>
            <w:gridSpan w:val="4"/>
          </w:tcPr>
          <w:p>
            <w:pPr>
              <w:ind w:left="4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2012</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472,501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32.01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13,008,316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27.53</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254,557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32.88</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2,921,575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11.48</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384,627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30.28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8,075,369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21.00</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395,874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28.27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6,304,341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15.93</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1,507,559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30,309,601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20.11</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Leases on this report represent retail activity only; office and residential leases are not included.</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Weighted average is determined on the basis of square footage.</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pacing w:after="0" w:line="41" w:lineRule="exact"/>
        <w:rPr>
          <w:rFonts w:ascii="Arial" w:cs="Arial" w:eastAsia="Arial" w:hAnsi="Arial"/>
          <w:sz w:val="14"/>
          <w:szCs w:val="14"/>
          <w:color w:val="auto"/>
        </w:rPr>
      </w:pPr>
    </w:p>
    <w:p>
      <w:pPr>
        <w:ind w:left="20" w:right="80" w:firstLine="10"/>
        <w:spacing w:after="0" w:line="253" w:lineRule="auto"/>
        <w:tabs>
          <w:tab w:leader="none" w:pos="2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include leases completed for Phase 1 of Assembly Row or Phase 1 of Pike &amp; Rose. The economic terms of those leases are included in the overall project return and cost summary shown on the “Summary of Development and Redevelopment Opportunities.”</w:t>
      </w:r>
    </w:p>
    <w:p>
      <w:pPr>
        <w:sectPr>
          <w:pgSz w:w="11900" w:h="16838" w:orient="portrait"/>
          <w:cols w:equalWidth="0" w:num="1">
            <w:col w:w="11220"/>
          </w:cols>
          <w:pgMar w:left="340" w:top="963"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340" w:top="963" w:right="3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804,000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934,000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16.73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1,041,000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32.36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1,974,000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879,000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14.52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965,000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31.83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1,843,000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23.59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1,438,000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15.68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901,000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32.94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2,339,000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586,000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18.48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262,000</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34.82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848,000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544,000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20.35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382,000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37.92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927,000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16.49</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10,304,000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7,423,000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33.55</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17,727,000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157,000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17.63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554,000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32.50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711,000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29.22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109,000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556,000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31.84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665,000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175,000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22.06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641,000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32.66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816,000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400,000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34.54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738,000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161,000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11.04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578,000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33.24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740,000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33.71</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10,827,000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10,304,000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7,423,000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33.55</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17,727,000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March 31,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occupied square footage as of March 31,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4" w:name="page25"/>
    <w:bookmarkEnd w:id="24"/>
    <w:p>
      <w:pPr>
        <w:ind w:left="20" w:right="32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March 31, 2012</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Retail Properties (2) (3) (sf)</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Residential Properties (4)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March 31, 2012</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March 31, 2011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2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100" w:type="dxa"/>
            <w:vAlign w:val="bottom"/>
            <w:gridSpan w:val="3"/>
          </w:tcPr>
          <w:p>
            <w:pPr>
              <w:jc w:val="right"/>
              <w:ind w:right="360"/>
              <w:spacing w:after="0"/>
              <w:rPr>
                <w:sz w:val="20"/>
                <w:szCs w:val="20"/>
                <w:color w:val="auto"/>
              </w:rPr>
            </w:pPr>
            <w:r>
              <w:rPr>
                <w:rFonts w:ascii="Arial" w:cs="Arial" w:eastAsia="Arial" w:hAnsi="Arial"/>
                <w:sz w:val="16"/>
                <w:szCs w:val="16"/>
                <w:color w:val="auto"/>
              </w:rPr>
              <w:t>Leased %</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1520" w:type="dxa"/>
            <w:vAlign w:val="bottom"/>
            <w:gridSpan w:val="3"/>
          </w:tcPr>
          <w:p>
            <w:pPr>
              <w:ind w:left="6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19,219,000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18,020,000</w:t>
            </w:r>
          </w:p>
        </w:tc>
        <w:tc>
          <w:tcPr>
            <w:tcW w:w="28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93.8%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18,604,000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17,455,000</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93.8%</w:t>
            </w:r>
          </w:p>
        </w:tc>
      </w:tr>
      <w:tr>
        <w:trPr>
          <w:trHeight w:val="540"/>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962</w:t>
            </w:r>
          </w:p>
        </w:tc>
        <w:tc>
          <w:tcPr>
            <w:tcW w:w="28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95.2%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869</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96.2%</w:t>
            </w:r>
          </w:p>
        </w:tc>
      </w:tr>
      <w:tr>
        <w:trPr>
          <w:trHeight w:val="864"/>
        </w:trPr>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March 31, 2012</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March 31, 2011</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2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100" w:type="dxa"/>
            <w:vAlign w:val="bottom"/>
            <w:gridSpan w:val="3"/>
          </w:tcPr>
          <w:p>
            <w:pPr>
              <w:jc w:val="right"/>
              <w:ind w:right="360"/>
              <w:spacing w:after="0"/>
              <w:rPr>
                <w:sz w:val="20"/>
                <w:szCs w:val="20"/>
                <w:color w:val="auto"/>
              </w:rPr>
            </w:pPr>
            <w:r>
              <w:rPr>
                <w:rFonts w:ascii="Arial" w:cs="Arial" w:eastAsia="Arial" w:hAnsi="Arial"/>
                <w:sz w:val="16"/>
                <w:szCs w:val="16"/>
                <w:color w:val="auto"/>
              </w:rPr>
              <w:t>Leased %</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1520" w:type="dxa"/>
            <w:vAlign w:val="bottom"/>
            <w:gridSpan w:val="3"/>
          </w:tcPr>
          <w:p>
            <w:pPr>
              <w:ind w:left="6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-2057400</wp:posOffset>
            </wp:positionV>
            <wp:extent cx="6603365" cy="2778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6840"/>
          </w:cols>
          <w:pgMar w:left="760" w:top="742" w:right="7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Retail Properties (2) (5) (sf)</w:t>
            </w:r>
          </w:p>
        </w:tc>
        <w:tc>
          <w:tcPr>
            <w:tcW w:w="1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16,440,000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15,504,000</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94.3%</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16,532,000</w:t>
            </w:r>
          </w:p>
        </w:tc>
        <w:tc>
          <w:tcPr>
            <w:tcW w:w="13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15,609,000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270"/>
        </w:trPr>
        <w:tc>
          <w:tcPr>
            <w:tcW w:w="30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Properties (4) (units)</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862</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95.5%</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869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r>
      <w:tr>
        <w:trPr>
          <w:trHeight w:val="33"/>
        </w:trPr>
        <w:tc>
          <w:tcPr>
            <w:tcW w:w="30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39"/>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March 31, 2012 leased percentage was 97.2% for anchor tenants and 89.4% for small shop tenants.</w:t>
      </w:r>
    </w:p>
    <w:p>
      <w:pPr>
        <w:spacing w:after="0" w:line="72" w:lineRule="exact"/>
        <w:rPr>
          <w:rFonts w:ascii="Arial" w:cs="Arial" w:eastAsia="Arial" w:hAnsi="Arial"/>
          <w:sz w:val="16"/>
          <w:szCs w:val="16"/>
          <w:color w:val="auto"/>
        </w:rPr>
      </w:pPr>
    </w:p>
    <w:p>
      <w:pPr>
        <w:jc w:val="both"/>
        <w:ind w:left="20" w:right="120" w:firstLine="1"/>
        <w:spacing w:after="0" w:line="278" w:lineRule="auto"/>
        <w:tabs>
          <w:tab w:leader="none" w:pos="25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Overall portfolio statistics at March 31, 2012 include Rollingwood Apartments, the Crest at Congressional Plaza Apartments, Santana Row (including 108 residential units at Santana Row 6B) and Bethesda Row. Same center and 2011 overall statistics exclude the 108 unit residential building at Santana Row that opened in October 2011.</w:t>
      </w:r>
    </w:p>
    <w:p>
      <w:pPr>
        <w:spacing w:after="0" w:line="22" w:lineRule="exact"/>
        <w:rPr>
          <w:rFonts w:ascii="Arial" w:cs="Arial" w:eastAsia="Arial" w:hAnsi="Arial"/>
          <w:sz w:val="16"/>
          <w:szCs w:val="16"/>
          <w:color w:val="auto"/>
        </w:rPr>
      </w:pPr>
    </w:p>
    <w:p>
      <w:pPr>
        <w:ind w:left="260" w:hanging="239"/>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00"/>
          </w:cols>
          <w:pgMar w:left="760" w:top="742" w:right="7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10,342,000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2.48%</w:t>
            </w:r>
          </w:p>
        </w:tc>
        <w:tc>
          <w:tcPr>
            <w:tcW w:w="980" w:type="dxa"/>
            <w:vAlign w:val="bottom"/>
          </w:tcPr>
          <w:p>
            <w:pPr>
              <w:jc w:val="right"/>
              <w:spacing w:after="0"/>
              <w:rPr>
                <w:sz w:val="20"/>
                <w:szCs w:val="20"/>
                <w:color w:val="auto"/>
              </w:rPr>
            </w:pPr>
            <w:r>
              <w:rPr>
                <w:rFonts w:ascii="Arial" w:cs="Arial" w:eastAsia="Arial" w:hAnsi="Arial"/>
                <w:sz w:val="16"/>
                <w:szCs w:val="16"/>
                <w:color w:val="auto"/>
              </w:rPr>
              <w:t>658,000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8,522,000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2.04%</w:t>
            </w:r>
          </w:p>
        </w:tc>
        <w:tc>
          <w:tcPr>
            <w:tcW w:w="980" w:type="dxa"/>
            <w:vAlign w:val="bottom"/>
          </w:tcPr>
          <w:p>
            <w:pPr>
              <w:jc w:val="right"/>
              <w:spacing w:after="0"/>
              <w:rPr>
                <w:sz w:val="20"/>
                <w:szCs w:val="20"/>
                <w:color w:val="auto"/>
              </w:rPr>
            </w:pPr>
            <w:r>
              <w:rPr>
                <w:rFonts w:ascii="Arial" w:cs="Arial" w:eastAsia="Arial" w:hAnsi="Arial"/>
                <w:sz w:val="16"/>
                <w:szCs w:val="16"/>
                <w:color w:val="auto"/>
              </w:rPr>
              <w:t>463,000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6,511,000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1.56%</w:t>
            </w:r>
          </w:p>
        </w:tc>
        <w:tc>
          <w:tcPr>
            <w:tcW w:w="980" w:type="dxa"/>
            <w:vAlign w:val="bottom"/>
          </w:tcPr>
          <w:p>
            <w:pPr>
              <w:jc w:val="right"/>
              <w:spacing w:after="0"/>
              <w:rPr>
                <w:sz w:val="20"/>
                <w:szCs w:val="20"/>
                <w:color w:val="auto"/>
              </w:rPr>
            </w:pPr>
            <w:r>
              <w:rPr>
                <w:rFonts w:ascii="Arial" w:cs="Arial" w:eastAsia="Arial" w:hAnsi="Arial"/>
                <w:sz w:val="16"/>
                <w:szCs w:val="16"/>
                <w:color w:val="auto"/>
              </w:rPr>
              <w:t>205,000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Safeway,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1.29%</w:t>
            </w:r>
          </w:p>
        </w:tc>
        <w:tc>
          <w:tcPr>
            <w:tcW w:w="980" w:type="dxa"/>
            <w:vAlign w:val="bottom"/>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4,328,000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1.04%</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3,627,000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0.87%</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3,558,000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0.85%</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OPNET Technologies,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Supervalu Inc. (Acme/Sav-A-Lot/Star Mkt/Shoppers Food)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3,348,000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Pr>
          <w:p>
            <w:pPr>
              <w:jc w:val="right"/>
              <w:spacing w:after="0"/>
              <w:rPr>
                <w:sz w:val="20"/>
                <w:szCs w:val="20"/>
                <w:color w:val="auto"/>
              </w:rPr>
            </w:pPr>
            <w:r>
              <w:rPr>
                <w:rFonts w:ascii="Arial" w:cs="Arial" w:eastAsia="Arial" w:hAnsi="Arial"/>
                <w:sz w:val="16"/>
                <w:szCs w:val="16"/>
                <w:color w:val="auto"/>
              </w:rPr>
              <w:t>338,000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3,228,000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0.77%</w:t>
            </w:r>
          </w:p>
        </w:tc>
        <w:tc>
          <w:tcPr>
            <w:tcW w:w="980" w:type="dxa"/>
            <w:vAlign w:val="bottom"/>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3,089,000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2,941,000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122,414,000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29.30%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6,545,000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417,825,000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19,219,000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80" w:hanging="482"/>
        <w:spacing w:after="0" w:line="293"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March 31, 2012.</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2012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4,571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4,589</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5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208,177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207,987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(29,294)</w:t>
            </w:r>
          </w:p>
        </w:tc>
        <w:tc>
          <w:tcPr>
            <w:tcW w:w="0" w:type="dxa"/>
            <w:vAlign w:val="bottom"/>
          </w:tcPr>
          <w:p>
            <w:pPr>
              <w:spacing w:after="0"/>
              <w:rPr>
                <w:sz w:val="1"/>
                <w:szCs w:val="1"/>
                <w:color w:val="auto"/>
              </w:rPr>
            </w:pPr>
          </w:p>
        </w:tc>
      </w:tr>
      <w:tr>
        <w:trPr>
          <w:trHeight w:val="23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177,618</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178,693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5,171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186,256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61,539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62,767</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124,717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125,077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186,256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2012</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12,437</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57,322</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166</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660" w:type="dxa"/>
            <w:vAlign w:val="bottom"/>
          </w:tcPr>
          <w:p>
            <w:pPr>
              <w:jc w:val="right"/>
              <w:spacing w:after="0"/>
              <w:rPr>
                <w:sz w:val="20"/>
                <w:szCs w:val="20"/>
                <w:color w:val="auto"/>
              </w:rPr>
            </w:pPr>
            <w:r>
              <w:rPr>
                <w:rFonts w:ascii="Arial" w:cs="Arial" w:eastAsia="Arial" w:hAnsi="Arial"/>
                <w:sz w:val="18"/>
                <w:szCs w:val="18"/>
                <w:color w:val="auto"/>
              </w:rPr>
              <w:t>2013</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233</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22,538</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1660" w:type="dxa"/>
            <w:vAlign w:val="bottom"/>
          </w:tcPr>
          <w:p>
            <w:pPr>
              <w:jc w:val="right"/>
              <w:spacing w:after="0"/>
              <w:rPr>
                <w:sz w:val="20"/>
                <w:szCs w:val="20"/>
                <w:color w:val="auto"/>
              </w:rPr>
            </w:pPr>
            <w:r>
              <w:rPr>
                <w:rFonts w:ascii="Arial" w:cs="Arial" w:eastAsia="Arial" w:hAnsi="Arial"/>
                <w:sz w:val="18"/>
                <w:szCs w:val="18"/>
                <w:color w:val="auto"/>
              </w:rPr>
              <w:t>2015</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80" w:type="dxa"/>
            <w:vAlign w:val="bottom"/>
            <w:gridSpan w:val="2"/>
          </w:tcPr>
          <w:p>
            <w:pPr>
              <w:jc w:val="right"/>
              <w:ind w:right="519"/>
              <w:spacing w:after="0"/>
              <w:rPr>
                <w:sz w:val="20"/>
                <w:szCs w:val="20"/>
                <w:color w:val="auto"/>
              </w:rPr>
            </w:pPr>
            <w:r>
              <w:rPr>
                <w:rFonts w:ascii="Arial" w:cs="Arial" w:eastAsia="Arial" w:hAnsi="Arial"/>
                <w:sz w:val="18"/>
                <w:szCs w:val="18"/>
                <w:color w:val="auto"/>
              </w:rPr>
              <w:t>Total $</w:t>
            </w:r>
          </w:p>
        </w:tc>
        <w:tc>
          <w:tcPr>
            <w:tcW w:w="940" w:type="dxa"/>
            <w:vAlign w:val="bottom"/>
          </w:tcPr>
          <w:p>
            <w:pPr>
              <w:jc w:val="right"/>
              <w:spacing w:after="0"/>
              <w:rPr>
                <w:sz w:val="20"/>
                <w:szCs w:val="20"/>
                <w:color w:val="auto"/>
              </w:rPr>
            </w:pPr>
            <w:r>
              <w:rPr>
                <w:rFonts w:ascii="Arial" w:cs="Arial" w:eastAsia="Arial" w:hAnsi="Arial"/>
                <w:sz w:val="18"/>
                <w:szCs w:val="18"/>
                <w:color w:val="auto"/>
              </w:rPr>
              <w:t>541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56,781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57,322</w:t>
            </w:r>
          </w:p>
        </w:tc>
        <w:tc>
          <w:tcPr>
            <w:tcW w:w="6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660" w:right="40" w:hanging="652"/>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Report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10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20" w:type="dxa"/>
            <w:vAlign w:val="bottom"/>
          </w:tcPr>
          <w:p>
            <w:pPr>
              <w:ind w:left="460"/>
              <w:spacing w:after="0" w:line="135" w:lineRule="exact"/>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Lease</w:t>
            </w:r>
          </w:p>
        </w:tc>
        <w:tc>
          <w:tcPr>
            <w:tcW w:w="5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10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74"/>
        </w:trPr>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0"/>
              </w:rPr>
              <w:t>Obligation</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GLA (1)</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2"/>
              </w:rPr>
              <w:t>Grocery Anchor</w:t>
            </w: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(in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color w:val="auto"/>
                <w:w w:val="91"/>
              </w:rPr>
              <w:t>(in thousands)</w:t>
            </w:r>
          </w:p>
        </w:tc>
        <w:tc>
          <w:tcPr>
            <w:tcW w:w="660" w:type="dxa"/>
            <w:vAlign w:val="bottom"/>
            <w:gridSpan w:val="2"/>
          </w:tcPr>
          <w:p>
            <w:pPr>
              <w:ind w:left="40"/>
              <w:spacing w:after="0"/>
              <w:rPr>
                <w:sz w:val="20"/>
                <w:szCs w:val="20"/>
                <w:color w:val="auto"/>
              </w:rPr>
            </w:pPr>
            <w:r>
              <w:rPr>
                <w:rFonts w:ascii="Arial" w:cs="Arial" w:eastAsia="Arial" w:hAnsi="Arial"/>
                <w:sz w:val="11"/>
                <w:szCs w:val="11"/>
                <w:color w:val="auto"/>
              </w:rPr>
              <w:t>thousands)</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62"/>
        </w:trPr>
        <w:tc>
          <w:tcPr>
            <w:tcW w:w="1820" w:type="dxa"/>
            <w:vAlign w:val="bottom"/>
            <w:gridSpan w:val="5"/>
          </w:tcPr>
          <w:p>
            <w:pPr>
              <w:ind w:left="40"/>
              <w:spacing w:after="0"/>
              <w:rPr>
                <w:sz w:val="20"/>
                <w:szCs w:val="20"/>
                <w:color w:val="auto"/>
              </w:rPr>
            </w:pPr>
            <w:r>
              <w:rPr>
                <w:rFonts w:ascii="Arial" w:cs="Arial" w:eastAsia="Arial" w:hAnsi="Arial"/>
                <w:sz w:val="13"/>
                <w:szCs w:val="13"/>
                <w:color w:val="auto"/>
              </w:rPr>
              <w:t>Barcroft Plaza</w:t>
            </w:r>
          </w:p>
        </w:tc>
        <w:tc>
          <w:tcPr>
            <w:tcW w:w="2200" w:type="dxa"/>
            <w:vAlign w:val="bottom"/>
          </w:tcPr>
          <w:p>
            <w:pPr>
              <w:ind w:left="60"/>
              <w:spacing w:after="0"/>
              <w:rPr>
                <w:sz w:val="20"/>
                <w:szCs w:val="20"/>
                <w:color w:val="auto"/>
              </w:rPr>
            </w:pPr>
            <w:r>
              <w:rPr>
                <w:rFonts w:ascii="Arial" w:cs="Arial" w:eastAsia="Arial" w:hAnsi="Arial"/>
                <w:sz w:val="13"/>
                <w:szCs w:val="13"/>
                <w:color w:val="auto"/>
              </w:rPr>
              <w:t>Washington, DC-MD-VA</w:t>
            </w:r>
          </w:p>
        </w:tc>
        <w:tc>
          <w:tcPr>
            <w:tcW w:w="920" w:type="dxa"/>
            <w:vAlign w:val="bottom"/>
          </w:tcPr>
          <w:p>
            <w:pPr>
              <w:ind w:left="260"/>
              <w:spacing w:after="0"/>
              <w:rPr>
                <w:sz w:val="20"/>
                <w:szCs w:val="20"/>
                <w:color w:val="auto"/>
              </w:rPr>
            </w:pPr>
            <w:r>
              <w:rPr>
                <w:rFonts w:ascii="Arial" w:cs="Arial" w:eastAsia="Arial" w:hAnsi="Arial"/>
                <w:sz w:val="13"/>
                <w:szCs w:val="13"/>
                <w:color w:val="auto"/>
              </w:rPr>
              <w:t>2006-2007</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34,340</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20,785</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1040" w:type="dxa"/>
            <w:vAlign w:val="bottom"/>
          </w:tcPr>
          <w:p>
            <w:pPr>
              <w:ind w:left="100"/>
              <w:spacing w:after="0"/>
              <w:rPr>
                <w:sz w:val="20"/>
                <w:szCs w:val="20"/>
                <w:color w:val="auto"/>
              </w:rPr>
            </w:pPr>
            <w:r>
              <w:rPr>
                <w:rFonts w:ascii="Arial" w:cs="Arial" w:eastAsia="Arial" w:hAnsi="Arial"/>
                <w:sz w:val="13"/>
                <w:szCs w:val="13"/>
                <w:color w:val="auto"/>
              </w:rPr>
              <w:t>Harris Teeter</w:t>
            </w:r>
          </w:p>
        </w:tc>
        <w:tc>
          <w:tcPr>
            <w:tcW w:w="2440" w:type="dxa"/>
            <w:vAlign w:val="bottom"/>
          </w:tcPr>
          <w:p>
            <w:pPr>
              <w:ind w:left="80"/>
              <w:spacing w:after="0"/>
              <w:rPr>
                <w:sz w:val="20"/>
                <w:szCs w:val="20"/>
                <w:color w:val="auto"/>
              </w:rPr>
            </w:pPr>
            <w:r>
              <w:rPr>
                <w:rFonts w:ascii="Arial" w:cs="Arial" w:eastAsia="Arial" w:hAnsi="Arial"/>
                <w:sz w:val="13"/>
                <w:szCs w:val="13"/>
                <w:color w:val="auto"/>
              </w:rPr>
              <w:t>Bank of America</w:t>
            </w:r>
          </w:p>
        </w:tc>
      </w:tr>
      <w:tr>
        <w:trPr>
          <w:trHeight w:val="156"/>
        </w:trPr>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TJ Maxx / Ross Dress For Less / Office</w:t>
            </w:r>
          </w:p>
        </w:tc>
      </w:tr>
      <w:tr>
        <w:trPr>
          <w:trHeight w:val="176"/>
        </w:trPr>
        <w:tc>
          <w:tcPr>
            <w:tcW w:w="18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Free State Shopping Center</w:t>
            </w:r>
          </w:p>
        </w:tc>
        <w:tc>
          <w:tcPr>
            <w:tcW w:w="2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9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66,493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1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Depot</w:t>
            </w:r>
          </w:p>
        </w:tc>
      </w:tr>
      <w:tr>
        <w:trPr>
          <w:trHeight w:val="264"/>
        </w:trPr>
        <w:tc>
          <w:tcPr>
            <w:tcW w:w="1820" w:type="dxa"/>
            <w:vAlign w:val="bottom"/>
            <w:tcBorders>
              <w:bottom w:val="single" w:sz="8" w:color="CCEEFF"/>
            </w:tcBorders>
            <w:gridSpan w:val="5"/>
          </w:tcPr>
          <w:p>
            <w:pPr>
              <w:ind w:left="40"/>
              <w:spacing w:after="0"/>
              <w:rPr>
                <w:sz w:val="20"/>
                <w:szCs w:val="20"/>
                <w:color w:val="auto"/>
              </w:rPr>
            </w:pPr>
            <w:r>
              <w:rPr>
                <w:rFonts w:ascii="Arial" w:cs="Arial" w:eastAsia="Arial" w:hAnsi="Arial"/>
                <w:sz w:val="13"/>
                <w:szCs w:val="13"/>
                <w:color w:val="auto"/>
              </w:rPr>
              <w:t>Plaza del Mercado</w:t>
            </w:r>
          </w:p>
        </w:tc>
        <w:tc>
          <w:tcPr>
            <w:tcW w:w="22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Washington, DC-MD-VA</w:t>
            </w:r>
          </w:p>
        </w:tc>
        <w:tc>
          <w:tcPr>
            <w:tcW w:w="9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21,614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12,437</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6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4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Washington Metropolitan Area</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122,447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78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64"/>
        </w:trPr>
        <w:tc>
          <w:tcPr>
            <w:tcW w:w="18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9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20,575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13,600</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Waldbaum's</w:t>
            </w:r>
          </w:p>
        </w:tc>
        <w:tc>
          <w:tcPr>
            <w:tcW w:w="2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Total New York / New Jersey</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20,575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1020" w:type="dxa"/>
            <w:vAlign w:val="bottom"/>
            <w:tcBorders>
              <w:bottom w:val="single" w:sz="8" w:color="CCEEFF"/>
            </w:tcBorders>
            <w:gridSpan w:val="3"/>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148"/>
        </w:trPr>
        <w:tc>
          <w:tcPr>
            <w:tcW w:w="18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200" w:type="dxa"/>
            <w:vAlign w:val="bottom"/>
          </w:tcPr>
          <w:p>
            <w:pPr>
              <w:ind w:left="60"/>
              <w:spacing w:after="0" w:line="148" w:lineRule="exact"/>
              <w:rPr>
                <w:sz w:val="20"/>
                <w:szCs w:val="20"/>
                <w:color w:val="auto"/>
              </w:rPr>
            </w:pPr>
            <w:r>
              <w:rPr>
                <w:rFonts w:ascii="Arial" w:cs="Arial" w:eastAsia="Arial" w:hAnsi="Arial"/>
                <w:sz w:val="13"/>
                <w:szCs w:val="13"/>
                <w:color w:val="auto"/>
              </w:rPr>
              <w:t>Boston-Worcester-Lawrence-Lowell-</w:t>
            </w:r>
          </w:p>
        </w:tc>
        <w:tc>
          <w:tcPr>
            <w:tcW w:w="920" w:type="dxa"/>
            <w:vAlign w:val="bottom"/>
          </w:tcPr>
          <w:p>
            <w:pPr>
              <w:ind w:left="260"/>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18,982</w:t>
            </w:r>
          </w:p>
        </w:tc>
        <w:tc>
          <w:tcPr>
            <w:tcW w:w="12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10,500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1040" w:type="dxa"/>
            <w:vAlign w:val="bottom"/>
          </w:tcPr>
          <w:p>
            <w:pPr>
              <w:ind w:left="100"/>
              <w:spacing w:after="0" w:line="148" w:lineRule="exact"/>
              <w:rPr>
                <w:sz w:val="20"/>
                <w:szCs w:val="20"/>
                <w:color w:val="auto"/>
              </w:rPr>
            </w:pPr>
            <w:r>
              <w:rPr>
                <w:rFonts w:ascii="Arial" w:cs="Arial" w:eastAsia="Arial" w:hAnsi="Arial"/>
                <w:sz w:val="13"/>
                <w:szCs w:val="13"/>
                <w:color w:val="auto"/>
              </w:rPr>
              <w:t>Stop &amp; Shop</w:t>
            </w:r>
          </w:p>
        </w:tc>
        <w:tc>
          <w:tcPr>
            <w:tcW w:w="2440" w:type="dxa"/>
            <w:vAlign w:val="bottom"/>
          </w:tcPr>
          <w:p>
            <w:pPr>
              <w:ind w:left="80"/>
              <w:spacing w:after="0" w:line="148" w:lineRule="exact"/>
              <w:rPr>
                <w:sz w:val="20"/>
                <w:szCs w:val="20"/>
                <w:color w:val="auto"/>
              </w:rPr>
            </w:pPr>
            <w:r>
              <w:rPr>
                <w:rFonts w:ascii="Arial" w:cs="Arial" w:eastAsia="Arial" w:hAnsi="Arial"/>
                <w:sz w:val="13"/>
                <w:szCs w:val="13"/>
                <w:color w:val="auto"/>
              </w:rPr>
              <w:t>Sears</w:t>
            </w: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Brockton, MA</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56"/>
        </w:trPr>
        <w:tc>
          <w:tcPr>
            <w:tcW w:w="18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Boston-Worcester-Lawrence-Lowell-</w:t>
            </w:r>
          </w:p>
        </w:tc>
        <w:tc>
          <w:tcPr>
            <w:tcW w:w="9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22,649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Roche Bros.</w:t>
            </w:r>
          </w:p>
        </w:tc>
        <w:tc>
          <w:tcPr>
            <w:tcW w:w="2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Brockton, MA</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r>
      <w:tr>
        <w:trPr>
          <w:trHeight w:val="148"/>
        </w:trPr>
        <w:tc>
          <w:tcPr>
            <w:tcW w:w="18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Pleasant Shops</w:t>
            </w:r>
          </w:p>
        </w:tc>
        <w:tc>
          <w:tcPr>
            <w:tcW w:w="2200" w:type="dxa"/>
            <w:vAlign w:val="bottom"/>
          </w:tcPr>
          <w:p>
            <w:pPr>
              <w:ind w:left="60"/>
              <w:spacing w:after="0" w:line="148" w:lineRule="exact"/>
              <w:rPr>
                <w:sz w:val="20"/>
                <w:szCs w:val="20"/>
                <w:color w:val="auto"/>
              </w:rPr>
            </w:pPr>
            <w:r>
              <w:rPr>
                <w:rFonts w:ascii="Arial" w:cs="Arial" w:eastAsia="Arial" w:hAnsi="Arial"/>
                <w:sz w:val="13"/>
                <w:szCs w:val="13"/>
                <w:color w:val="auto"/>
              </w:rPr>
              <w:t>Boston-Worcester-Lawrence-Lowell-</w:t>
            </w:r>
          </w:p>
        </w:tc>
        <w:tc>
          <w:tcPr>
            <w:tcW w:w="920" w:type="dxa"/>
            <w:vAlign w:val="bottom"/>
          </w:tcPr>
          <w:p>
            <w:pPr>
              <w:ind w:left="260"/>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23,524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1040" w:type="dxa"/>
            <w:vAlign w:val="bottom"/>
          </w:tcPr>
          <w:p>
            <w:pPr>
              <w:ind w:left="100"/>
              <w:spacing w:after="0" w:line="148" w:lineRule="exact"/>
              <w:rPr>
                <w:sz w:val="20"/>
                <w:szCs w:val="20"/>
                <w:color w:val="auto"/>
              </w:rPr>
            </w:pPr>
            <w:r>
              <w:rPr>
                <w:rFonts w:ascii="Arial" w:cs="Arial" w:eastAsia="Arial" w:hAnsi="Arial"/>
                <w:sz w:val="13"/>
                <w:szCs w:val="13"/>
                <w:color w:val="auto"/>
              </w:rPr>
              <w:t>Foodmaster</w:t>
            </w:r>
          </w:p>
        </w:tc>
        <w:tc>
          <w:tcPr>
            <w:tcW w:w="2440" w:type="dxa"/>
            <w:vAlign w:val="bottom"/>
          </w:tcPr>
          <w:p>
            <w:pPr>
              <w:ind w:left="8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Brockton, MA</w:t>
            </w: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Total New England</w:t>
            </w:r>
          </w:p>
        </w:tc>
        <w:tc>
          <w:tcPr>
            <w:tcW w:w="9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65,155</w:t>
            </w: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370,000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2440" w:type="dxa"/>
            <w:vAlign w:val="bottom"/>
            <w:tcBorders>
              <w:bottom w:val="single" w:sz="8" w:color="auto"/>
            </w:tcBorders>
            <w:shd w:val="clear" w:color="auto" w:fill="CCEEFF"/>
          </w:tcPr>
          <w:p>
            <w:pPr>
              <w:spacing w:after="0"/>
              <w:rPr>
                <w:sz w:val="21"/>
                <w:szCs w:val="21"/>
                <w:color w:val="auto"/>
              </w:rPr>
            </w:pPr>
          </w:p>
        </w:tc>
      </w:tr>
      <w:tr>
        <w:trPr>
          <w:trHeight w:val="264"/>
        </w:trPr>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Grand Totals</w:t>
            </w:r>
          </w:p>
        </w:tc>
        <w:tc>
          <w:tcPr>
            <w:tcW w:w="2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208,177</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57,322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w:t>
            </w: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Grocery anchor is defined as a grocery tenant leasing 15,000 square feet or more.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58"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ended March 31, 2012 and 2011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4"/>
        </w:trPr>
        <w:tc>
          <w:tcPr>
            <w:tcW w:w="8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r>
      <w:tr>
        <w:trPr>
          <w:trHeight w:val="250"/>
        </w:trPr>
        <w:tc>
          <w:tcPr>
            <w:tcW w:w="8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44,122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36,571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30,569</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28,793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109,279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87,686</w:t>
            </w:r>
          </w:p>
        </w:tc>
        <w:tc>
          <w:tcPr>
            <w:tcW w:w="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824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97,419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87,686</w:t>
            </w:r>
          </w:p>
        </w:tc>
        <w:tc>
          <w:tcPr>
            <w:tcW w:w="1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2019-12-09T07:40:42Z</dcterms:created>
  <dcterms:modified xsi:type="dcterms:W3CDTF">2019-12-09T07:40:42Z</dcterms:modified>
</cp:coreProperties>
</file>