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May 25,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4561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U.S. MAIL AND FAX 1-301-998-3700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Larry Finger</w:t>
      </w:r>
    </w:p>
    <w:p>
      <w:pPr>
        <w:spacing w:after="0" w:line="238" w:lineRule="auto"/>
        <w:rPr>
          <w:sz w:val="20"/>
          <w:szCs w:val="20"/>
          <w:color w:val="auto"/>
        </w:rPr>
      </w:pPr>
      <w:r>
        <w:rPr>
          <w:rFonts w:ascii="Courier New" w:cs="Courier New" w:eastAsia="Courier New" w:hAnsi="Courier New"/>
          <w:sz w:val="18"/>
          <w:szCs w:val="18"/>
          <w:color w:val="auto"/>
        </w:rPr>
        <w:t>Executive Vice President, Chief Financial Officer and Treasurer</w:t>
      </w: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7" w:lineRule="auto"/>
        <w:rPr>
          <w:sz w:val="20"/>
          <w:szCs w:val="20"/>
          <w:color w:val="auto"/>
        </w:rPr>
      </w:pPr>
      <w:r>
        <w:rPr>
          <w:rFonts w:ascii="Courier New" w:cs="Courier New" w:eastAsia="Courier New" w:hAnsi="Courier New"/>
          <w:sz w:val="18"/>
          <w:szCs w:val="18"/>
          <w:color w:val="auto"/>
        </w:rPr>
        <w:t>1626 East Jefferson Street</w:t>
      </w:r>
    </w:p>
    <w:p>
      <w:pPr>
        <w:spacing w:after="0" w:line="238" w:lineRule="auto"/>
        <w:rPr>
          <w:sz w:val="20"/>
          <w:szCs w:val="20"/>
          <w:color w:val="auto"/>
        </w:rPr>
      </w:pPr>
      <w:r>
        <w:rPr>
          <w:rFonts w:ascii="Courier New" w:cs="Courier New" w:eastAsia="Courier New" w:hAnsi="Courier New"/>
          <w:sz w:val="18"/>
          <w:szCs w:val="18"/>
          <w:color w:val="auto"/>
        </w:rPr>
        <w:t>Rockville, Maryland 20852</w:t>
      </w:r>
    </w:p>
    <w:p>
      <w:pPr>
        <w:spacing w:after="0" w:line="200" w:lineRule="exact"/>
        <w:rPr>
          <w:sz w:val="24"/>
          <w:szCs w:val="24"/>
          <w:color w:val="auto"/>
        </w:rPr>
      </w:pPr>
    </w:p>
    <w:p>
      <w:pPr>
        <w:spacing w:after="0" w:line="20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Form 10-K for the year ended December 31, 2005</w:t>
      </w:r>
    </w:p>
    <w:p>
      <w:pPr>
        <w:spacing w:after="0"/>
        <w:rPr>
          <w:sz w:val="20"/>
          <w:szCs w:val="20"/>
          <w:color w:val="auto"/>
        </w:rPr>
      </w:pPr>
      <w:r>
        <w:rPr>
          <w:rFonts w:ascii="Courier New" w:cs="Courier New" w:eastAsia="Courier New" w:hAnsi="Courier New"/>
          <w:sz w:val="18"/>
          <w:szCs w:val="18"/>
          <w:color w:val="auto"/>
        </w:rPr>
        <w:t>File no. 1-07533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Finger:</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We have reviewed your filing and have the following comments. We have limited our review of your filing to those issues we have addressed in our comments. Where indicated, we think you should revise your document in response to these comments. If you disagree,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6" w:lineRule="exact"/>
        <w:rPr>
          <w:sz w:val="24"/>
          <w:szCs w:val="24"/>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necessary in your explanation. In our comments, we ask you to provide us with information so we may better understand your disclosure. After reviewing this information, we may raise additional comments.</w:t>
      </w:r>
    </w:p>
    <w:p>
      <w:pPr>
        <w:spacing w:after="0" w:line="207"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Please understand that the purpose of our review process is to assist</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you in your compliance with the applicable disclosure requirements and to enhance the overall disclosure in your filing. We look forward to working with you in these respects. We welcome any questions you may have about our comments or on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year ended December 31, 2005</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 page 30</w:t>
      </w:r>
    </w:p>
    <w:p>
      <w:pPr>
        <w:spacing w:after="0" w:line="207" w:lineRule="exact"/>
        <w:rPr>
          <w:sz w:val="24"/>
          <w:szCs w:val="24"/>
          <w:color w:val="auto"/>
        </w:rPr>
      </w:pPr>
    </w:p>
    <w:p>
      <w:pPr>
        <w:ind w:right="32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have adjusted for gains on sales of assets in calculating Adjusted EBITDA under the basis that it is a non-recurring expense. Please revise your disclosure appropriately as Item 10(e)(ii)(B) of Regulation S-K does not permit you to smooth earnings by identifying items as "non-recurring" that occur more frequently than every two years.</w:t>
      </w:r>
    </w:p>
    <w:p>
      <w:pPr>
        <w:spacing w:after="0" w:line="200" w:lineRule="exact"/>
        <w:rPr>
          <w:sz w:val="24"/>
          <w:szCs w:val="24"/>
          <w:color w:val="auto"/>
        </w:rPr>
      </w:pPr>
    </w:p>
    <w:p>
      <w:pPr>
        <w:spacing w:after="0" w:line="212"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w:t>
      </w:r>
    </w:p>
    <w:p>
      <w:pPr>
        <w:spacing w:after="0"/>
        <w:rPr>
          <w:sz w:val="20"/>
          <w:szCs w:val="20"/>
          <w:color w:val="auto"/>
        </w:rPr>
      </w:pPr>
      <w:r>
        <w:rPr>
          <w:rFonts w:ascii="Courier New" w:cs="Courier New" w:eastAsia="Courier New" w:hAnsi="Courier New"/>
          <w:sz w:val="18"/>
          <w:szCs w:val="18"/>
          <w:color w:val="auto"/>
        </w:rPr>
        <w:t>and Results of Operations, Property Revenues, page 39</w:t>
      </w:r>
    </w:p>
    <w:p>
      <w:pPr>
        <w:spacing w:after="0" w:line="207" w:lineRule="exact"/>
        <w:rPr>
          <w:sz w:val="24"/>
          <w:szCs w:val="24"/>
          <w:color w:val="auto"/>
        </w:rPr>
      </w:pPr>
    </w:p>
    <w:p>
      <w:pPr>
        <w:ind w:right="357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in your results of operations discussion that your operating expense recoveries increased from fiscal year 2004 to 2005.</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 also note that actual recoverable expenses from 2004 to 2005 did</w:t>
      </w:r>
    </w:p>
    <w:p>
      <w:pPr>
        <w:spacing w:after="0" w:line="5" w:lineRule="exact"/>
        <w:rPr>
          <w:rFonts w:ascii="Courier New" w:cs="Courier New" w:eastAsia="Courier New" w:hAnsi="Courier New"/>
          <w:sz w:val="18"/>
          <w:szCs w:val="18"/>
          <w:color w:val="auto"/>
        </w:rPr>
      </w:pPr>
    </w:p>
    <w:p>
      <w:pPr>
        <w:ind w:right="325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 materially change. Please reconcile why your recoveries increased at a greater rate than your actual recoverable expenses. Please also explain to us why rental income increased so significantly in the fourth quarter as compared to prior quarters.</w:t>
      </w:r>
    </w:p>
    <w:p>
      <w:pPr>
        <w:spacing w:after="0" w:line="17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Summary of Significant Accounting Policies, page F-10</w:t>
      </w:r>
    </w:p>
    <w:p>
      <w:pPr>
        <w:spacing w:after="0" w:line="207" w:lineRule="exact"/>
        <w:rPr>
          <w:sz w:val="24"/>
          <w:szCs w:val="24"/>
          <w:color w:val="auto"/>
        </w:rPr>
      </w:pPr>
    </w:p>
    <w:p>
      <w:pPr>
        <w:ind w:right="37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investment in Santana Row includes commercial space,</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rental space as well as condominiums that either have been sold or are under construction. Tell us and disclose your accounting policy</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to the allocation of capitalized expenses as it relates to each of</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projects.</w:t>
      </w:r>
    </w:p>
    <w:p>
      <w:pPr>
        <w:sectPr>
          <w:pgSz w:w="11900" w:h="16855" w:orient="portrait"/>
          <w:cols w:equalWidth="0" w:num="1">
            <w:col w:w="10219"/>
          </w:cols>
          <w:pgMar w:left="240" w:top="649"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640" w:type="dxa"/>
            <w:vAlign w:val="bottom"/>
          </w:tcPr>
          <w:p>
            <w:pPr>
              <w:jc w:val="right"/>
              <w:ind w:right="32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As appropriate, please respond to these comments within</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days</w:t>
            </w:r>
          </w:p>
        </w:tc>
        <w:tc>
          <w:tcPr>
            <w:tcW w:w="4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or tell us when you will provide us with a</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response.  Please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file</w:t>
            </w:r>
          </w:p>
        </w:tc>
        <w:tc>
          <w:tcPr>
            <w:tcW w:w="4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your response on EDGAR.  Please understand</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we</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 have</w:t>
            </w:r>
          </w:p>
        </w:tc>
      </w:tr>
    </w:tbl>
    <w:p>
      <w:pPr>
        <w:spacing w:after="0" w:line="4"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additional comments after reviewing your responses to our comments.</w:t>
      </w:r>
    </w:p>
    <w:p>
      <w:pPr>
        <w:spacing w:after="0" w:line="208"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We urge all persons who are responsible for the accuracy and adequacy</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of the disclosure in the filings reviewed by the staff to be certain</w:t>
      </w:r>
    </w:p>
    <w:p>
      <w:pPr>
        <w:spacing w:after="0" w:line="6"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8"/>
          <w:szCs w:val="18"/>
          <w:color w:val="auto"/>
        </w:rPr>
        <w:t>that they have provided all information investors require for an informed decision. Since the company and its management are in possession of all facts relating to a company`s disclosure, they are</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responsible for the accuracy and adequacy of the disclosures they have made.</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In connection with responding to our comment, please provide, in writing, a statement from the company acknowledging that:</w:t>
      </w:r>
    </w:p>
    <w:p>
      <w:pPr>
        <w:spacing w:after="0" w:line="208" w:lineRule="exact"/>
        <w:rPr>
          <w:sz w:val="20"/>
          <w:szCs w:val="20"/>
          <w:color w:val="auto"/>
        </w:rPr>
      </w:pPr>
    </w:p>
    <w:p>
      <w:pPr>
        <w:ind w:right="335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filings;</w:t>
      </w:r>
    </w:p>
    <w:p>
      <w:pPr>
        <w:spacing w:after="0" w:line="208"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filings; and</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 has</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access to all information you provide to the staff of the Division of</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Corporation Finance in our review of your filings or in response to</w:t>
      </w:r>
    </w:p>
    <w:p>
      <w:pPr>
        <w:spacing w:after="0"/>
        <w:rPr>
          <w:sz w:val="20"/>
          <w:szCs w:val="20"/>
          <w:color w:val="auto"/>
        </w:rPr>
      </w:pPr>
      <w:r>
        <w:rPr>
          <w:rFonts w:ascii="Courier New" w:cs="Courier New" w:eastAsia="Courier New" w:hAnsi="Courier New"/>
          <w:sz w:val="18"/>
          <w:szCs w:val="18"/>
          <w:color w:val="auto"/>
        </w:rPr>
        <w:t>our comments on your filings.</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You may contact Kelly McCusker, Staff Accountant, at (202) 551-3433</w:t>
      </w:r>
    </w:p>
    <w:p>
      <w:pPr>
        <w:spacing w:after="0"/>
        <w:rPr>
          <w:sz w:val="20"/>
          <w:szCs w:val="20"/>
          <w:color w:val="auto"/>
        </w:rPr>
      </w:pPr>
      <w:r>
        <w:rPr>
          <w:rFonts w:ascii="Courier New" w:cs="Courier New" w:eastAsia="Courier New" w:hAnsi="Courier New"/>
          <w:sz w:val="18"/>
          <w:szCs w:val="18"/>
          <w:color w:val="auto"/>
        </w:rPr>
        <w:t>or the undersigned at (202) 551-3403 if you have questions.</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Steven Jacobs</w:t>
      </w:r>
    </w:p>
    <w:p>
      <w:pPr>
        <w:ind w:left="640"/>
        <w:spacing w:after="0" w:line="238" w:lineRule="auto"/>
        <w:rPr>
          <w:sz w:val="20"/>
          <w:szCs w:val="20"/>
          <w:color w:val="auto"/>
        </w:rPr>
      </w:pPr>
      <w:r>
        <w:rPr>
          <w:rFonts w:ascii="Courier New" w:cs="Courier New" w:eastAsia="Courier New" w:hAnsi="Courier New"/>
          <w:sz w:val="18"/>
          <w:szCs w:val="18"/>
          <w:color w:val="auto"/>
        </w:rPr>
        <w:t>Branch Chief</w:t>
      </w:r>
    </w:p>
    <w:p>
      <w:pPr>
        <w:spacing w:after="0"/>
        <w:rPr>
          <w:sz w:val="20"/>
          <w:szCs w:val="20"/>
          <w:color w:val="auto"/>
        </w:rPr>
      </w:pPr>
      <w:r>
        <w:rPr>
          <w:rFonts w:ascii="Courier New" w:cs="Courier New" w:eastAsia="Courier New" w:hAnsi="Courier New"/>
          <w:sz w:val="18"/>
          <w:szCs w:val="18"/>
          <w:color w:val="auto"/>
        </w:rPr>
        <w:t>Mr. Finger</w:t>
      </w:r>
    </w:p>
    <w:p>
      <w:pPr>
        <w:spacing w:after="0" w:line="237" w:lineRule="auto"/>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May 25, 2006</w:t>
      </w:r>
    </w:p>
    <w:p>
      <w:pPr>
        <w:spacing w:after="0"/>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2019-12-11T17:33:56Z</dcterms:created>
  <dcterms:modified xsi:type="dcterms:W3CDTF">2019-12-11T17:33:56Z</dcterms:modified>
</cp:coreProperties>
</file>