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52-0782497</w:t>
      </w:r>
    </w:p>
    <w:p>
      <w:pPr>
        <w:spacing w:after="0" w:line="12" w:lineRule="exact"/>
        <w:rPr>
          <w:sz w:val="24"/>
          <w:szCs w:val="24"/>
          <w:color w:val="auto"/>
        </w:rPr>
      </w:pPr>
    </w:p>
    <w:p>
      <w:pPr>
        <w:sectPr>
          <w:pgSz w:w="11900" w:h="16838" w:orient="portrait"/>
          <w:cols w:equalWidth="0" w:num="3">
            <w:col w:w="4820" w:space="720"/>
            <w:col w:w="2900" w:space="720"/>
            <w:col w:w="2260"/>
          </w:cols>
          <w:pgMar w:left="240" w:top="362" w:right="23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380"/>
          </w:cols>
          <w:pgMar w:left="240" w:top="362" w:right="239" w:bottom="1440" w:gutter="0" w:footer="0" w:header="0"/>
          <w:type w:val="continuous"/>
        </w:sectPr>
      </w:pPr>
    </w:p>
    <w:p>
      <w:pPr>
        <w:spacing w:after="0" w:line="29"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7"/>
          <w:szCs w:val="17"/>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20852-4041</w:t>
      </w:r>
    </w:p>
    <w:p>
      <w:pPr>
        <w:spacing w:after="0" w:line="43" w:lineRule="exact"/>
        <w:rPr>
          <w:sz w:val="24"/>
          <w:szCs w:val="24"/>
          <w:color w:val="auto"/>
        </w:rPr>
      </w:pPr>
    </w:p>
    <w:p>
      <w:pPr>
        <w:sectPr>
          <w:pgSz w:w="11900" w:h="16838" w:orient="portrait"/>
          <w:cols w:equalWidth="0" w:num="2">
            <w:col w:w="7500" w:space="720"/>
            <w:col w:w="3200"/>
          </w:cols>
          <w:pgMar w:left="240" w:top="362" w:right="23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600" w:space="720"/>
            <w:col w:w="3100"/>
          </w:cols>
          <w:pgMar w:left="240" w:top="362"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301/998-8100</w:t>
      </w:r>
    </w:p>
    <w:p>
      <w:pPr>
        <w:spacing w:after="0" w:line="229" w:lineRule="exact"/>
        <w:rPr>
          <w:sz w:val="24"/>
          <w:szCs w:val="24"/>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ind w:left="8860"/>
        <w:spacing w:after="0" w:line="207" w:lineRule="exact"/>
        <w:tabs>
          <w:tab w:leader="none" w:pos="112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right="3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disclosure under Item 8.01 below is incorporated hereunder by reference.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disclosure under Item 8.01 below is incorporated hereunder by reference.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On September 25, 2017, Federal Realty Investment Trust (the “Company”) entered into an underwriting agreement (the “Underwriting Agreement”) with Merrill Lynch, Pierce, Fenner &amp; Smith Incorporated, UBS Securities LLC and Wells Fargo Securities, LLC, as representatives of the several underwriters named in Schedule I to the related pricing agreement (the “Underwriters”), pursuant to which the Company agreed to sell through the Underwriters in an underwritten public offering 6,000,000 depositary shares (“Depositary Shares”), each representing a 1/1000th interest in a 5.000% Series C Cumulative Redeemable Preferred Share of the Company, par value $0.01 per share (the “Series C Preferred Shares”). The Company also granted the Underwriters a 30-day option to purchase up to 400,000 additional Depositary Shares. The Depositary Shares were offered and sold under a prospectus supplement and related prospectus filed with the Securities and Exchange Commission pursuant to the Company’s shelf registration statement on Form S-3 (File No. 333-203999). A copy of the Underwriting Agreement is attached hereto as Exhibit 1.1 and is incorporated by reference herein.</w:t>
      </w:r>
    </w:p>
    <w:p>
      <w:pPr>
        <w:spacing w:after="0" w:line="185"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On September 28, 2017, the Company filed with the Maryland State Department of Assessments and Taxation Articles Supplementary (the “Articles Supplementary”) to the Company’s Declaration of Trust (the “Declaration of Trust”), establishing and fixing the rights and preferences of 6,400 of the Company’s Series C Preferred Shares. The Articles Supplementary are filed as Exhibit 3.1 hereto.</w:t>
      </w:r>
    </w:p>
    <w:p>
      <w:pPr>
        <w:spacing w:after="0" w:line="176" w:lineRule="exact"/>
        <w:rPr>
          <w:sz w:val="20"/>
          <w:szCs w:val="20"/>
          <w:color w:val="auto"/>
        </w:rPr>
      </w:pPr>
    </w:p>
    <w:p>
      <w:pPr>
        <w:ind w:right="260" w:firstLine="456"/>
        <w:spacing w:after="0" w:line="255" w:lineRule="auto"/>
        <w:rPr>
          <w:sz w:val="20"/>
          <w:szCs w:val="20"/>
          <w:color w:val="auto"/>
        </w:rPr>
      </w:pPr>
      <w:r>
        <w:rPr>
          <w:rFonts w:ascii="Times New Roman" w:cs="Times New Roman" w:eastAsia="Times New Roman" w:hAnsi="Times New Roman"/>
          <w:sz w:val="18"/>
          <w:szCs w:val="18"/>
          <w:color w:val="auto"/>
        </w:rPr>
        <w:t>With respect to the payment of dividends and amounts upon liquidation, the Series C Preferred Shares rank senior to the Company’s common shares and to all other equity securities that, by their terms, rank junior to the Series C Preferred Shares, and on a parity with respect to the Company’s 5.417% Series 1 Cumulative Convertible Preferred Shares (“Series 1 Preferred Shares”). The Series 1 Preferred Shares were the Company’s only outstanding preferred shares prior to the issuance of the Series C Preferred Shares. The Series C Preferred Shares rank junior to the Company’s currently outstanding indebtedness and any future indebtedness and junior to any equity securities issued by the Company whose senior ranking is consented to by holders of at least two-thirds of the Series C Preferred Shares outstanding at the time. Additionally, the Company’s ability to make payments of dividends and other amounts due on the Series C Preferred Shares will be structurally subordinated to the indebtedness and other liabilities and any preferred equity of the Company’s subsidiaries and joint ventures.</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Holders of Series C Preferred Shares will be entitled to receive cumulative cash dividends on the Series C Preferred Shares at the rate of 5.000% of the $25,000.00 per share liquidation preference per year, or $1,250.00 per year per Series C Preferred Share (equal to $1.250 per Depositary Share). Dividends on the Series C Preferred Shares will be payable, subject to authorization by the Company’s Board of Trustees and declaration by the Company, quarterly in arrears on January 15, April 15, July 15 and October 15 of each year (or, if any such date is not a business day, on the next succeeding business day), commencing on January 15, 2018.</w:t>
      </w:r>
    </w:p>
    <w:p>
      <w:pPr>
        <w:spacing w:after="0" w:line="184"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If the Company liquidates, dissolves or winds up, holders of Series C Preferred Shares will have a right to receive $2,500.00 per Series C Preferred Share, plus any accrued and unpaid dividends (whether or not declared) to, but excluding, the date of payment, before any payments are made to the holders of our common shares or any other junior securities.</w:t>
      </w:r>
    </w:p>
    <w:p>
      <w:pPr>
        <w:spacing w:after="0" w:line="176"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Except in certain circumstances relating to the preservation of the Company’s status as a real estate investment trust (“REIT”), the Company may not redeem the Series C Preferred Shares prior to September 29, 2022. On or after September 29, 2022, the Company may, at its option, redeem the Series C Preferred Shares (and the depositary will redeem the</w:t>
      </w:r>
    </w:p>
    <w:p>
      <w:pPr>
        <w:sectPr>
          <w:pgSz w:w="11900" w:h="16838" w:orient="portrait"/>
          <w:cols w:equalWidth="0" w:num="1">
            <w:col w:w="11400"/>
          </w:cols>
          <w:pgMar w:left="240" w:top="266" w:right="259" w:bottom="1440" w:gutter="0" w:footer="0" w:header="0"/>
        </w:sectPr>
      </w:pPr>
    </w:p>
    <w:bookmarkStart w:id="2" w:name="page3"/>
    <w:bookmarkEnd w:id="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Depositary Shares representing the Series C Preferred Shares redeemed) for cash, in whole or in part, at a redemption price of $25,000.00 per Series C Preferred Share (equal to $25.00 per Depositary Share), plus accrued and unpaid dividends, if any, to, but excluding, the redemption date. The Series C Preferred Shares have no stated maturity date and will not be subject to any sinking fund or mandatory redemption (except in certain circumstances relating to the preservation of the Company’s status as a REIT).</w:t>
      </w:r>
    </w:p>
    <w:p>
      <w:pPr>
        <w:spacing w:after="0" w:line="18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Holders of Series C Preferred Shares generally have no voting rights. However, if and whenever dividends payable on the Series C Preferred Shares are in arrears for six or more dividend periods, whether or not declared or consecutive, holders of Series C Preferred Shares (voting together as a class with holders of any other classes or series of preferred shares upon which like voting rights have been conferred and are exercisable) will be entitled to elect two additional trustees to serve on the Company’s Board of Trustees until the Company pays all accrued and unpaid dividends on the Series C Preferred Shares to which the holders thereof are entitled.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Series C Preferred Shares and the Depositary Shares are not convertible into or exchangeable for any other property or securities.</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September 29, 2017, the Company closed the offering of 6,000,000 Depositary Shares representing interests in Series C Preferred Shares. The terms of the Depositary Shares are set forth in the Deposit Agreement, dated as of September 29, 2017, among the Company, American Stock Transfer &amp; Trust Company, LLC, as Depositary, and the holders from time to time of depositary receipts issued thereunder (the “Deposit Agreement”). The Deposit Agreement is filed as Exhibit 4.1 hereto and incorporated herein by reference. A specimen receipt representing the Depositary Shares is filed as Exhibit 4.3 hereto and incorporated herein by reference.</w:t>
      </w:r>
    </w:p>
    <w:p>
      <w:pPr>
        <w:spacing w:after="0" w:line="3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700" w:right="200" w:hanging="688"/>
        <w:spacing w:after="0" w:line="266" w:lineRule="auto"/>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1.1</w:t>
      </w:r>
      <w:r>
        <w:rPr>
          <w:sz w:val="20"/>
          <w:szCs w:val="20"/>
          <w:color w:val="auto"/>
        </w:rPr>
        <w:tab/>
      </w:r>
      <w:hyperlink w:anchor="page6">
        <w:r>
          <w:rPr>
            <w:rFonts w:ascii="Times New Roman" w:cs="Times New Roman" w:eastAsia="Times New Roman" w:hAnsi="Times New Roman"/>
            <w:sz w:val="18"/>
            <w:szCs w:val="18"/>
            <w:u w:val="single" w:color="auto"/>
            <w:color w:val="0000EE"/>
          </w:rPr>
          <w:t>Underwriting Agreement, dated September 25, 2017, by and among the Company and Merrill Lynch, Pierce, Fenner &amp; Smith Incorporated, UBS</w:t>
        </w:r>
      </w:hyperlink>
      <w:r>
        <w:rPr>
          <w:rFonts w:ascii="Times New Roman" w:cs="Times New Roman" w:eastAsia="Times New Roman" w:hAnsi="Times New Roman"/>
          <w:sz w:val="18"/>
          <w:szCs w:val="18"/>
          <w:u w:val="single" w:color="auto"/>
          <w:color w:val="0000EE"/>
        </w:rPr>
        <w:t xml:space="preserve"> </w:t>
      </w:r>
      <w:hyperlink w:anchor="page6">
        <w:r>
          <w:rPr>
            <w:rFonts w:ascii="Times New Roman" w:cs="Times New Roman" w:eastAsia="Times New Roman" w:hAnsi="Times New Roman"/>
            <w:sz w:val="18"/>
            <w:szCs w:val="18"/>
            <w:u w:val="single" w:color="auto"/>
            <w:color w:val="0000EE"/>
          </w:rPr>
          <w:t>Securities LLC and Wells Fargo Securities, LLC, as the representatives of the several underwriters named in Schedule I to the related pricing</w:t>
        </w:r>
      </w:hyperlink>
      <w:r>
        <w:rPr>
          <w:rFonts w:ascii="Times New Roman" w:cs="Times New Roman" w:eastAsia="Times New Roman" w:hAnsi="Times New Roman"/>
          <w:sz w:val="18"/>
          <w:szCs w:val="18"/>
          <w:u w:val="single" w:color="auto"/>
          <w:color w:val="0000EE"/>
        </w:rPr>
        <w:t xml:space="preserve"> </w:t>
      </w:r>
      <w:hyperlink w:anchor="page6">
        <w:r>
          <w:rPr>
            <w:rFonts w:ascii="Times New Roman" w:cs="Times New Roman" w:eastAsia="Times New Roman" w:hAnsi="Times New Roman"/>
            <w:sz w:val="18"/>
            <w:szCs w:val="18"/>
            <w:u w:val="single" w:color="auto"/>
            <w:color w:val="0000EE"/>
          </w:rPr>
          <w:t>agreement.</w:t>
        </w:r>
      </w:hyperlink>
    </w:p>
    <w:p>
      <w:pPr>
        <w:spacing w:after="0" w:line="68" w:lineRule="exact"/>
        <w:rPr>
          <w:rFonts w:ascii="Times New Roman" w:cs="Times New Roman" w:eastAsia="Times New Roman" w:hAnsi="Times New Roman"/>
          <w:sz w:val="18"/>
          <w:szCs w:val="18"/>
          <w:u w:val="single" w:color="auto"/>
          <w:color w:val="0000EE"/>
        </w:rPr>
      </w:pPr>
    </w:p>
    <w:p>
      <w:pPr>
        <w:ind w:left="700" w:right="700" w:hanging="688"/>
        <w:spacing w:after="0" w:line="282" w:lineRule="auto"/>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1.2</w:t>
      </w:r>
      <w:r>
        <w:rPr>
          <w:sz w:val="20"/>
          <w:szCs w:val="20"/>
          <w:color w:val="auto"/>
        </w:rPr>
        <w:tab/>
      </w:r>
      <w:hyperlink w:anchor="page49">
        <w:r>
          <w:rPr>
            <w:rFonts w:ascii="Times New Roman" w:cs="Times New Roman" w:eastAsia="Times New Roman" w:hAnsi="Times New Roman"/>
            <w:sz w:val="18"/>
            <w:szCs w:val="18"/>
            <w:u w:val="single" w:color="auto"/>
            <w:color w:val="0000EE"/>
          </w:rPr>
          <w:t>Pricing Agreement, dated September 25, 2017 by and among the Company and Merrill Lynch, Pierce, Fenner &amp; Smith Incorporated, UBS</w:t>
        </w:r>
      </w:hyperlink>
      <w:r>
        <w:rPr>
          <w:rFonts w:ascii="Times New Roman" w:cs="Times New Roman" w:eastAsia="Times New Roman" w:hAnsi="Times New Roman"/>
          <w:sz w:val="18"/>
          <w:szCs w:val="18"/>
          <w:u w:val="single" w:color="auto"/>
          <w:color w:val="0000EE"/>
        </w:rPr>
        <w:t xml:space="preserve"> </w:t>
      </w:r>
      <w:hyperlink w:anchor="page49">
        <w:r>
          <w:rPr>
            <w:rFonts w:ascii="Times New Roman" w:cs="Times New Roman" w:eastAsia="Times New Roman" w:hAnsi="Times New Roman"/>
            <w:sz w:val="18"/>
            <w:szCs w:val="18"/>
            <w:u w:val="single" w:color="auto"/>
            <w:color w:val="0000EE"/>
          </w:rPr>
          <w:t>Securities LLC and Wells Fargo Securities, LLC, as the representatives of the several underwriters named in Schedule I thereto.</w:t>
        </w:r>
      </w:hyperlink>
    </w:p>
    <w:p>
      <w:pPr>
        <w:spacing w:after="0" w:line="54" w:lineRule="exact"/>
        <w:rPr>
          <w:sz w:val="20"/>
          <w:szCs w:val="20"/>
          <w:color w:val="auto"/>
        </w:rPr>
      </w:pPr>
    </w:p>
    <w:p>
      <w:pPr>
        <w:jc w:val="both"/>
        <w:ind w:left="700" w:right="20" w:hanging="688"/>
        <w:spacing w:after="0" w:line="266" w:lineRule="auto"/>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8">
        <w:r>
          <w:rPr>
            <w:rFonts w:ascii="Times New Roman" w:cs="Times New Roman" w:eastAsia="Times New Roman" w:hAnsi="Times New Roman"/>
            <w:sz w:val="18"/>
            <w:szCs w:val="18"/>
            <w:u w:val="single" w:color="auto"/>
            <w:color w:val="0000EE"/>
          </w:rPr>
          <w:t>Articles Supplementary Establishing and Fixing the Rights and Preferences of 5.000% Series C Cumulative Redeemable Preferred Shares, par value</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$0.01 per share, dated September 28, 2017 (filed as Exhibit 3.2 to the Company’s Registration Statement on Form 8-A filed on September 29, 2017</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and incorporated herein by reference).</w:t>
        </w:r>
      </w:hyperlink>
    </w:p>
    <w:p>
      <w:pPr>
        <w:spacing w:after="0" w:line="68" w:lineRule="exact"/>
        <w:rPr>
          <w:rFonts w:ascii="Times New Roman" w:cs="Times New Roman" w:eastAsia="Times New Roman" w:hAnsi="Times New Roman"/>
          <w:sz w:val="18"/>
          <w:szCs w:val="18"/>
          <w:u w:val="single" w:color="auto"/>
          <w:color w:val="0000EE"/>
        </w:rPr>
      </w:pPr>
    </w:p>
    <w:p>
      <w:pPr>
        <w:ind w:left="700" w:right="100" w:hanging="688"/>
        <w:spacing w:after="0" w:line="266" w:lineRule="auto"/>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9">
        <w:r>
          <w:rPr>
            <w:rFonts w:ascii="Times New Roman" w:cs="Times New Roman" w:eastAsia="Times New Roman" w:hAnsi="Times New Roman"/>
            <w:sz w:val="18"/>
            <w:szCs w:val="18"/>
            <w:u w:val="single" w:color="auto"/>
            <w:color w:val="0000EE"/>
          </w:rPr>
          <w:t>Deposit Agreement, dated September 29, 2017, by and among the Company, American Stock Transfer &amp; Trust Company, LLC, as Depositary, and</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the holders from time to time of depositary receipts (filed as Exhibit 4.1 to the Company’s Registration Statement on Form 8-A filed on</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September 29, 2017 and incorporated herein by reference).</w:t>
        </w:r>
      </w:hyperlink>
    </w:p>
    <w:p>
      <w:pPr>
        <w:spacing w:after="0" w:line="68" w:lineRule="exact"/>
        <w:rPr>
          <w:rFonts w:ascii="Times New Roman" w:cs="Times New Roman" w:eastAsia="Times New Roman" w:hAnsi="Times New Roman"/>
          <w:sz w:val="18"/>
          <w:szCs w:val="18"/>
          <w:u w:val="single" w:color="auto"/>
          <w:color w:val="0000EE"/>
        </w:rPr>
      </w:pPr>
    </w:p>
    <w:p>
      <w:pPr>
        <w:ind w:left="700" w:right="60" w:hanging="688"/>
        <w:spacing w:after="0" w:line="266" w:lineRule="auto"/>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19">
        <w:r>
          <w:rPr>
            <w:rFonts w:ascii="Times New Roman" w:cs="Times New Roman" w:eastAsia="Times New Roman" w:hAnsi="Times New Roman"/>
            <w:sz w:val="18"/>
            <w:szCs w:val="18"/>
            <w:u w:val="single" w:color="auto"/>
            <w:color w:val="0000EE"/>
          </w:rPr>
          <w:t>Specimen receipt representing the Depositary Shares, each representing a 1/1000th interest in a 5.000% Series C Cumulative Redeemable Preferred</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Share, par value $0.01 per share, of the Company (included as part of Exhibit 4.1 to the Company’s Registration Statement on Form 8-A filed on</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September 29, 2017 and incorporated herein by reference).</w:t>
        </w:r>
      </w:hyperlink>
    </w:p>
    <w:p>
      <w:pPr>
        <w:sectPr>
          <w:pgSz w:w="11900" w:h="16838" w:orient="portrait"/>
          <w:cols w:equalWidth="0" w:num="1">
            <w:col w:w="11400"/>
          </w:cols>
          <w:pgMar w:left="240" w:top="270" w:right="259" w:bottom="1440" w:gutter="0" w:footer="0" w:header="0"/>
        </w:sectPr>
      </w:pPr>
    </w:p>
    <w:bookmarkStart w:id="3" w:name="page4"/>
    <w:bookmarkEnd w:id="3"/>
    <w:p>
      <w:pPr>
        <w:ind w:left="700" w:right="20" w:hanging="688"/>
        <w:spacing w:after="0" w:line="282" w:lineRule="auto"/>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4.3</w:t>
      </w:r>
      <w:r>
        <w:rPr>
          <w:sz w:val="20"/>
          <w:szCs w:val="20"/>
          <w:color w:val="auto"/>
        </w:rPr>
        <w:tab/>
      </w:r>
      <w:hyperlink r:id="rId21">
        <w:r>
          <w:rPr>
            <w:rFonts w:ascii="Times New Roman" w:cs="Times New Roman" w:eastAsia="Times New Roman" w:hAnsi="Times New Roman"/>
            <w:sz w:val="18"/>
            <w:szCs w:val="18"/>
            <w:u w:val="single" w:color="auto"/>
            <w:color w:val="0000EE"/>
          </w:rPr>
          <w:t>Specimen Certificate for the Company’s 5.000% Series C Cumulative Redeemable Preferred Shares, par value $0.01 per share (filed as Exhibit 4.3</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to the Company’s Registration Statement on Form 8-A filed on September 29, 2017 and incorporated herein by reference).</w:t>
        </w:r>
      </w:hyperlink>
    </w:p>
    <w:p>
      <w:pPr>
        <w:spacing w:after="0" w:line="54" w:lineRule="exact"/>
        <w:rPr>
          <w:sz w:val="20"/>
          <w:szCs w:val="20"/>
          <w:color w:val="auto"/>
        </w:rPr>
      </w:pPr>
    </w:p>
    <w:p>
      <w:pPr>
        <w:spacing w:after="0"/>
        <w:tabs>
          <w:tab w:leader="none" w:pos="6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5.1</w:t>
      </w:r>
      <w:r>
        <w:rPr>
          <w:sz w:val="20"/>
          <w:szCs w:val="20"/>
          <w:color w:val="auto"/>
        </w:rPr>
        <w:tab/>
      </w:r>
      <w:hyperlink w:anchor="page56">
        <w:r>
          <w:rPr>
            <w:rFonts w:ascii="Times New Roman" w:cs="Times New Roman" w:eastAsia="Times New Roman" w:hAnsi="Times New Roman"/>
            <w:sz w:val="17"/>
            <w:szCs w:val="17"/>
            <w:u w:val="single" w:color="auto"/>
            <w:color w:val="0000EE"/>
          </w:rPr>
          <w:t>Opinion of Pillsbury Winthrop Shaw Pittman LLP as to the legality of the securities being issued by the Company.</w:t>
        </w:r>
      </w:hyperlink>
    </w:p>
    <w:p>
      <w:pPr>
        <w:spacing w:after="0" w:line="117" w:lineRule="exact"/>
        <w:rPr>
          <w:sz w:val="20"/>
          <w:szCs w:val="20"/>
          <w:color w:val="auto"/>
        </w:rPr>
      </w:pPr>
    </w:p>
    <w:p>
      <w:pPr>
        <w:spacing w:after="0"/>
        <w:tabs>
          <w:tab w:leader="none" w:pos="6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8.1</w:t>
      </w:r>
      <w:r>
        <w:rPr>
          <w:sz w:val="20"/>
          <w:szCs w:val="20"/>
          <w:color w:val="auto"/>
        </w:rPr>
        <w:tab/>
      </w:r>
      <w:hyperlink w:anchor="page57">
        <w:r>
          <w:rPr>
            <w:rFonts w:ascii="Times New Roman" w:cs="Times New Roman" w:eastAsia="Times New Roman" w:hAnsi="Times New Roman"/>
            <w:sz w:val="17"/>
            <w:szCs w:val="17"/>
            <w:u w:val="single" w:color="auto"/>
            <w:color w:val="0000EE"/>
          </w:rPr>
          <w:t>Opinion of Pillsbury Winthrop Shaw Pittman LLP regarding certain material tax issues relating to the Company.</w:t>
        </w:r>
      </w:hyperlink>
    </w:p>
    <w:p>
      <w:pPr>
        <w:spacing w:after="0" w:line="117" w:lineRule="exact"/>
        <w:rPr>
          <w:sz w:val="20"/>
          <w:szCs w:val="20"/>
          <w:color w:val="auto"/>
        </w:rPr>
      </w:pPr>
    </w:p>
    <w:p>
      <w:pPr>
        <w:ind w:left="700" w:hanging="688"/>
        <w:spacing w:after="0" w:line="282" w:lineRule="auto"/>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w:anchor="page56">
        <w:r>
          <w:rPr>
            <w:rFonts w:ascii="Times New Roman" w:cs="Times New Roman" w:eastAsia="Times New Roman" w:hAnsi="Times New Roman"/>
            <w:sz w:val="18"/>
            <w:szCs w:val="18"/>
            <w:u w:val="single" w:color="auto"/>
            <w:color w:val="0000EE"/>
          </w:rPr>
          <w:t>Consent of Pillsbury Winthrop Shaw Pittman LLP to the filing of the opinion filed as Exhibit 5.1 hereto (included in its opinion filed as Exhibit 5.1</w:t>
        </w:r>
      </w:hyperlink>
      <w:r>
        <w:rPr>
          <w:rFonts w:ascii="Times New Roman" w:cs="Times New Roman" w:eastAsia="Times New Roman" w:hAnsi="Times New Roman"/>
          <w:sz w:val="18"/>
          <w:szCs w:val="18"/>
          <w:u w:val="single" w:color="auto"/>
          <w:color w:val="0000EE"/>
        </w:rPr>
        <w:t xml:space="preserve"> </w:t>
      </w:r>
      <w:hyperlink w:anchor="page56">
        <w:r>
          <w:rPr>
            <w:rFonts w:ascii="Times New Roman" w:cs="Times New Roman" w:eastAsia="Times New Roman" w:hAnsi="Times New Roman"/>
            <w:sz w:val="18"/>
            <w:szCs w:val="18"/>
            <w:u w:val="single" w:color="auto"/>
            <w:color w:val="0000EE"/>
          </w:rPr>
          <w:t>hereto)</w:t>
        </w:r>
      </w:hyperlink>
    </w:p>
    <w:p>
      <w:pPr>
        <w:spacing w:after="0" w:line="54" w:lineRule="exact"/>
        <w:rPr>
          <w:sz w:val="20"/>
          <w:szCs w:val="20"/>
          <w:color w:val="auto"/>
        </w:rPr>
      </w:pPr>
    </w:p>
    <w:p>
      <w:pPr>
        <w:ind w:left="700" w:hanging="688"/>
        <w:spacing w:after="0" w:line="282" w:lineRule="auto"/>
        <w:tabs>
          <w:tab w:leader="none" w:pos="6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23.2</w:t>
      </w:r>
      <w:r>
        <w:rPr>
          <w:sz w:val="20"/>
          <w:szCs w:val="20"/>
          <w:color w:val="auto"/>
        </w:rPr>
        <w:tab/>
      </w:r>
      <w:hyperlink w:anchor="page57">
        <w:r>
          <w:rPr>
            <w:rFonts w:ascii="Times New Roman" w:cs="Times New Roman" w:eastAsia="Times New Roman" w:hAnsi="Times New Roman"/>
            <w:sz w:val="18"/>
            <w:szCs w:val="18"/>
            <w:u w:val="single" w:color="auto"/>
            <w:color w:val="0000EE"/>
          </w:rPr>
          <w:t>Consent of Pillsbury Winthrop Shaw Pittman LLP to the filing of the opinion filed as Exhibit 8.1 hereto (included in its opinion filed as Exhibit 8.1</w:t>
        </w:r>
      </w:hyperlink>
      <w:r>
        <w:rPr>
          <w:rFonts w:ascii="Times New Roman" w:cs="Times New Roman" w:eastAsia="Times New Roman" w:hAnsi="Times New Roman"/>
          <w:sz w:val="18"/>
          <w:szCs w:val="18"/>
          <w:u w:val="single" w:color="auto"/>
          <w:color w:val="0000EE"/>
        </w:rPr>
        <w:t xml:space="preserve"> </w:t>
      </w:r>
      <w:hyperlink w:anchor="page57">
        <w:r>
          <w:rPr>
            <w:rFonts w:ascii="Times New Roman" w:cs="Times New Roman" w:eastAsia="Times New Roman" w:hAnsi="Times New Roman"/>
            <w:sz w:val="18"/>
            <w:szCs w:val="18"/>
            <w:u w:val="single" w:color="auto"/>
            <w:color w:val="0000EE"/>
          </w:rPr>
          <w:t>hereto)</w:t>
        </w:r>
      </w:hyperlink>
    </w:p>
    <w:p>
      <w:pPr>
        <w:sectPr>
          <w:pgSz w:w="11900" w:h="16838" w:orient="portrait"/>
          <w:cols w:equalWidth="0" w:num="1">
            <w:col w:w="11300"/>
          </w:cols>
          <w:pgMar w:left="240" w:top="378" w:right="359" w:bottom="1440" w:gutter="0" w:footer="0" w:header="0"/>
        </w:sectPr>
      </w:pPr>
    </w:p>
    <w:bookmarkStart w:id="4" w:name="page5"/>
    <w:bookmarkEnd w:id="4"/>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29, 2017</w:t>
      </w:r>
    </w:p>
    <w:p>
      <w:pPr>
        <w:spacing w:after="0" w:line="20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-7620</wp:posOffset>
            </wp:positionV>
            <wp:extent cx="24352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Dawn M. Becker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Vice President-General Counsel and Secretary</w:t>
      </w:r>
    </w:p>
    <w:p>
      <w:pPr>
        <w:sectPr>
          <w:pgSz w:w="11900" w:h="16838" w:orient="portrait"/>
          <w:cols w:equalWidth="0" w:num="1">
            <w:col w:w="10740"/>
          </w:cols>
          <w:pgMar w:left="240" w:top="266" w:right="9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w:t>
      </w:r>
      <w:r>
        <w:rPr>
          <w:rFonts w:ascii="Times New Roman" w:cs="Times New Roman" w:eastAsia="Times New Roman" w:hAnsi="Times New Roman"/>
          <w:sz w:val="15"/>
          <w:szCs w:val="15"/>
          <w:b w:val="1"/>
          <w:bCs w:val="1"/>
          <w:i w:val="1"/>
          <w:iCs w:val="1"/>
          <w:color w:val="auto"/>
        </w:rPr>
        <w:t>XECUTION</w:t>
      </w:r>
      <w:r>
        <w:rPr>
          <w:rFonts w:ascii="Times New Roman" w:cs="Times New Roman" w:eastAsia="Times New Roman" w:hAnsi="Times New Roman"/>
          <w:sz w:val="18"/>
          <w:szCs w:val="18"/>
          <w:b w:val="1"/>
          <w:bCs w:val="1"/>
          <w:i w:val="1"/>
          <w:iCs w:val="1"/>
          <w:color w:val="auto"/>
        </w:rPr>
        <w:t xml:space="preserve"> V</w:t>
      </w:r>
      <w:r>
        <w:rPr>
          <w:rFonts w:ascii="Times New Roman" w:cs="Times New Roman" w:eastAsia="Times New Roman" w:hAnsi="Times New Roman"/>
          <w:sz w:val="15"/>
          <w:szCs w:val="15"/>
          <w:b w:val="1"/>
          <w:bCs w:val="1"/>
          <w:i w:val="1"/>
          <w:iCs w:val="1"/>
          <w:color w:val="auto"/>
        </w:rPr>
        <w:t>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5"/>
          <w:szCs w:val="15"/>
          <w:b w:val="1"/>
          <w:bCs w:val="1"/>
          <w:color w:val="auto"/>
        </w:rPr>
        <w:t>EDERAL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EALTY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NVESTMENT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RUST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6,000,000 Depositary Shares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Each Representing 1/1000 Interest In a Share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5.000% Series C Cumulative Redeemable Preferred Shares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(Liquidation Preference Equivalent to $25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color w:val="auto"/>
        </w:rPr>
        <w:t>September 25, 2017</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550 South Tryon Street</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6" w:name="page7"/>
    <w:bookmarkEnd w:id="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specified therein) (i) a specified number of depositary shares (the “Initial Depositary Shares”), each such depositary share representing ownership of 1/1000 interest in a share of the Company’s 5.000% Series C Cumulative Redeemable Preferred Shares (the “Preferred Shares”), such certain depositary shares and (ii) a specified number of depositary shares that the Underwriters have the option to purchase, each such depositary share representing ownership of 1/1000 interest in a Preferred Share (the “Option Depositary Shares” and together with the Initial Depositary Shares, the “Depositary Shares”), in each case, as specified in Schedule II to such Pricing Agreement. The Preferred Shares will, when issued, be deposited by the Company against delivery of depositary receipts (the “Depositary Receipts”) to be issued by the Depositary (as defined below) under a Deposit Agreement, to be dated as of the Time of Delivery (as defined below). Each Depositary Receipt will evidence one or more Depositary Shares. The Preferred Shares and the Depositary Shares are herein collectively referred to as the “Designated Securities.”</w:t>
      </w:r>
    </w:p>
    <w:p>
      <w:pPr>
        <w:spacing w:after="0" w:line="185" w:lineRule="exact"/>
        <w:rPr>
          <w:sz w:val="20"/>
          <w:szCs w:val="20"/>
          <w:color w:val="auto"/>
        </w:rPr>
      </w:pPr>
    </w:p>
    <w:p>
      <w:pPr>
        <w:jc w:val="both"/>
        <w:ind w:right="580" w:firstLine="456"/>
        <w:spacing w:after="0" w:line="266" w:lineRule="auto"/>
        <w:rPr>
          <w:sz w:val="20"/>
          <w:szCs w:val="20"/>
          <w:color w:val="auto"/>
        </w:rPr>
      </w:pPr>
      <w:r>
        <w:rPr>
          <w:rFonts w:ascii="Times New Roman" w:cs="Times New Roman" w:eastAsia="Times New Roman" w:hAnsi="Times New Roman"/>
          <w:sz w:val="18"/>
          <w:szCs w:val="18"/>
          <w:color w:val="auto"/>
        </w:rPr>
        <w:t>The terms and rights of any particular issuance of Designated Securities shall be as specified in the Pricing Agreement relating thereto and in or pursuant to the articles supplementary (the “Articles Supplementary”) to the Company’s Declaration of Trust (the “Charter”) identified in such Pricing Agreement and resolutions of the board of trustees of the Company or a duly appointed committee thereof.</w:t>
      </w:r>
    </w:p>
    <w:p>
      <w:pPr>
        <w:spacing w:after="0" w:line="68" w:lineRule="exact"/>
        <w:rPr>
          <w:sz w:val="20"/>
          <w:szCs w:val="20"/>
          <w:color w:val="auto"/>
        </w:rPr>
      </w:pPr>
    </w:p>
    <w:p>
      <w:pPr>
        <w:ind w:right="20" w:firstLine="464"/>
        <w:spacing w:after="0" w:line="252" w:lineRule="auto"/>
        <w:tabs>
          <w:tab w:leader="none" w:pos="6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Particular sales of Designated Securities may be made from time to time to the Underwriters of such Designated Securities, for whom the firms designated as representatives of the Underwriters of such Designated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Designated Securities or as an obligation of any of the Underwriters to purchase any of the Designated Securities. The obligation of the Company to issue and sell any of the Designated Securities and the obligation of any of the Underwriters to purchase any of the Designated Securities shall be evidenced by the Pricing Agreement with respect to the Designated Securities specified therein. Each Pricing Agreement shall specify the aggregate number of Designated Securities (and, if applicable, the aggregate number of Initial Depositary Shares and Option Depositary Shares), the liquidation preference of the Preferred Shares, the fractional amount of Preferred Shares represented by each Depositary Share, the initial public offering price of such Designated Securities, the purchase price to the Underwriters of such Designated Securities, the names of the Underwriters of such Designated Securities, the names of the Representatives of such Underwriters, the number of such Designated Securities to be purchased by each Underwriter and the redemption provisions of the Designated Securities and shall set forth the date, time and manner of delivery of such Designated Securities and payment therefor. The Pricing Agreement shall also specify (to the extent not set forth in the Articles Supplementary, the Deposit Agreement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0" w:right="239" w:bottom="1440" w:gutter="0" w:footer="0" w:header="0"/>
        </w:sectPr>
      </w:pPr>
    </w:p>
    <w:bookmarkStart w:id="7" w:name="page8"/>
    <w:bookmarkEnd w:id="7"/>
    <w:p>
      <w:pPr>
        <w:jc w:val="both"/>
        <w:ind w:left="-40" w:right="640" w:firstLine="464"/>
        <w:spacing w:after="0" w:line="313" w:lineRule="auto"/>
        <w:tabs>
          <w:tab w:leader="none" w:pos="5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represents and warrants to, and agrees with, each of the Underwriters as of the date hereof, the Applicable Time referred to in Section 2(c) hereof and the Time of Delivery referred to in Section 4 hereof and the Option Closing Time referred to in Section 4 hereof, if any, that:</w:t>
      </w:r>
    </w:p>
    <w:p>
      <w:pPr>
        <w:spacing w:after="0" w:line="30" w:lineRule="exact"/>
        <w:rPr>
          <w:rFonts w:ascii="Times New Roman" w:cs="Times New Roman" w:eastAsia="Times New Roman" w:hAnsi="Times New Roman"/>
          <w:sz w:val="17"/>
          <w:szCs w:val="17"/>
          <w:color w:val="auto"/>
        </w:rPr>
      </w:pPr>
    </w:p>
    <w:p>
      <w:pPr>
        <w:ind w:left="420" w:firstLine="443"/>
        <w:spacing w:after="0" w:line="252" w:lineRule="auto"/>
        <w:tabs>
          <w:tab w:leader="none" w:pos="110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with the Securities and Exchange Commission (the “Commission”) an automatic shelf registration statement on Form S-3 (No. 333-203999), including the related preliminary prospectus, which registration statement became effective upon filing under Rule 462(e) of the rules and regulations of the Commission under the Securities Act of 1933, as amended (the “Act”). Such registration statement covers the registration of the Designated Securities under the Act. Promptly after execution and delivery of a Pricing Agreement with respect to the Designated Securities specified therein, the Company will prepare and file a prospectus in accordance with the provisions of Rule 430B under the Act (“Rule 430B”) and paragraph (b) of Rule 424 under the Act (“Rule 424(b)”) (without reliance on Rule 424(b)(8)). Any information included in such prospectus that was omitted from such registration statement at the time it became effective but that is deemed to be part of and included in such registration statement pursuant to Rule 430B is referred to herein as “Rule 430B Information.” Each prospectus used in connection with the offering of Designated Securities that omitted Rule 430B Information is herein called a “preliminary prospectus.” Such registration statement, at any given time, including the amendments thereto at such time, the exhibits and any schedules thereto at such time, the documents incorporated by reference therein pursuant to Item 12 of Form S-3 under the Act at such time and the documents otherwise 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Securities,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87" w:lineRule="exact"/>
        <w:rPr>
          <w:sz w:val="20"/>
          <w:szCs w:val="20"/>
          <w:color w:val="auto"/>
        </w:rPr>
      </w:pPr>
    </w:p>
    <w:p>
      <w:pPr>
        <w:jc w:val="both"/>
        <w:ind w:left="420" w:right="160" w:firstLine="438"/>
        <w:spacing w:after="0" w:line="266" w:lineRule="auto"/>
        <w:rPr>
          <w:sz w:val="20"/>
          <w:szCs w:val="20"/>
          <w:color w:val="auto"/>
        </w:rPr>
      </w:pPr>
      <w:r>
        <w:rPr>
          <w:rFonts w:ascii="Times New Roman" w:cs="Times New Roman" w:eastAsia="Times New Roman" w:hAnsi="Times New Roman"/>
          <w:sz w:val="18"/>
          <w:szCs w:val="18"/>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40"/>
          </w:cols>
          <w:pgMar w:left="280" w:top="270" w:right="279" w:bottom="1440" w:gutter="0" w:footer="0" w:header="0"/>
        </w:sectPr>
      </w:pPr>
    </w:p>
    <w:bookmarkStart w:id="8" w:name="page9"/>
    <w:bookmarkEnd w:id="8"/>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80" w:lineRule="exact"/>
        <w:rPr>
          <w:sz w:val="20"/>
          <w:szCs w:val="20"/>
          <w:color w:val="auto"/>
        </w:rPr>
      </w:pPr>
    </w:p>
    <w:p>
      <w:pPr>
        <w:ind w:right="140" w:firstLine="443"/>
        <w:spacing w:after="0" w:line="254" w:lineRule="auto"/>
        <w:tabs>
          <w:tab w:leader="none" w:pos="69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Securities in reliance on the exemption of Rule 163 under the Act (“Rule 163”), (D) at the earliest time that the Company or another offering participant made a bona fide offer (within the meaning of Rule 164(h)</w:t>
      </w:r>
    </w:p>
    <w:p>
      <w:pPr>
        <w:spacing w:after="0" w:line="3" w:lineRule="exact"/>
        <w:rPr>
          <w:rFonts w:ascii="Times New Roman" w:cs="Times New Roman" w:eastAsia="Times New Roman" w:hAnsi="Times New Roman"/>
          <w:sz w:val="18"/>
          <w:szCs w:val="18"/>
          <w:color w:val="auto"/>
        </w:rPr>
      </w:pPr>
    </w:p>
    <w:p>
      <w:pPr>
        <w:ind w:right="80" w:firstLine="4"/>
        <w:spacing w:after="0" w:line="25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Act) of the Designated Securities, (E) at the date hereof and (F) at the date of each Pricing Agreement, the Company was, is and will be a “well-known seasoned issuer” as defined in Rule 405 under the Act (“Rule 405”), including not having been and not being an “ineligible issuer” as defined in Rule 405. The Registration Statement is an “automatic shelf registration statement,” as defined in Rule 405, and the Designated Securities, since their 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82" w:lineRule="exact"/>
        <w:rPr>
          <w:rFonts w:ascii="Times New Roman" w:cs="Times New Roman" w:eastAsia="Times New Roman" w:hAnsi="Times New Roman"/>
          <w:sz w:val="18"/>
          <w:szCs w:val="18"/>
          <w:color w:val="auto"/>
        </w:rPr>
      </w:pPr>
    </w:p>
    <w:p>
      <w:pPr>
        <w:jc w:val="both"/>
        <w:ind w:right="100" w:firstLine="443"/>
        <w:spacing w:after="0" w:line="261" w:lineRule="auto"/>
        <w:tabs>
          <w:tab w:leader="none" w:pos="68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Registration Statement became effective upon filing under Rule 462(e) under the Act (“Rule 462(e)”) on May 8, 2015,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72" w:lineRule="exact"/>
        <w:rPr>
          <w:sz w:val="20"/>
          <w:szCs w:val="20"/>
          <w:color w:val="auto"/>
        </w:rPr>
      </w:pPr>
    </w:p>
    <w:p>
      <w:pPr>
        <w:ind w:firstLine="438"/>
        <w:spacing w:after="0" w:line="258" w:lineRule="auto"/>
        <w:rPr>
          <w:sz w:val="20"/>
          <w:szCs w:val="20"/>
          <w:color w:val="auto"/>
        </w:rPr>
      </w:pPr>
      <w:r>
        <w:rPr>
          <w:rFonts w:ascii="Times New Roman" w:cs="Times New Roman" w:eastAsia="Times New Roman" w:hAnsi="Times New Roman"/>
          <w:sz w:val="18"/>
          <w:szCs w:val="18"/>
          <w:color w:val="auto"/>
        </w:rPr>
        <w:t>Any offer that is a written communication relating to the Designated Securities made prior to the filing of the Original Registration Statement by the Company or any person acting on its behalf (within the meaning, for this paragraph only, of Rule 163(c)) has been filed (unless exempt from filing pursuant to Rule 163) 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1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700" w:top="270" w:right="239" w:bottom="1440" w:gutter="0" w:footer="0" w:header="0"/>
        </w:sectPr>
      </w:pPr>
    </w:p>
    <w:bookmarkStart w:id="9" w:name="page10"/>
    <w:bookmarkEnd w:id="9"/>
    <w:p>
      <w:pPr>
        <w:ind w:right="20" w:firstLine="443"/>
        <w:spacing w:after="0" w:line="258" w:lineRule="auto"/>
        <w:tabs>
          <w:tab w:leader="none" w:pos="73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respective times the Original Registration Statement and each amendment thereto became effective, (B) at each deemed effective date with respect to the Underwriters and the Designated Securities pursuant to Rule 430B(f)(2) under the Act, (C) at the Time of Delivery, and (D) at the Option Closing Time, if any, the Registration Statement complied, complies and will comply in all material respects with the requirements of the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76" w:lineRule="exact"/>
        <w:rPr>
          <w:sz w:val="20"/>
          <w:szCs w:val="20"/>
          <w:color w:val="auto"/>
        </w:rPr>
      </w:pPr>
    </w:p>
    <w:p>
      <w:pPr>
        <w:ind w:right="80" w:firstLine="438"/>
        <w:spacing w:after="0" w:line="256" w:lineRule="auto"/>
        <w:rPr>
          <w:sz w:val="20"/>
          <w:szCs w:val="20"/>
          <w:color w:val="auto"/>
        </w:rPr>
      </w:pPr>
      <w:r>
        <w:rPr>
          <w:rFonts w:ascii="Times New Roman" w:cs="Times New Roman" w:eastAsia="Times New Roman" w:hAnsi="Times New Roman"/>
          <w:sz w:val="18"/>
          <w:szCs w:val="18"/>
          <w:color w:val="auto"/>
        </w:rPr>
        <w:t>The Prospectus and each amendment or supplement thereto, if any, at the time the Prospectus or any such amendment or supplement was issued and at the Time of Delivery, and at the Option Closing Time, if any, complied, complies and will comply, in all material respects with the requirements of the Act, and neither the Prospectus nor any amendments or supplements thereto, at the time the Prospectus or any such amendment or supplement was issued, at the Time of Delivery or at the Option Closing Time, if any,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80" w:lineRule="exact"/>
        <w:rPr>
          <w:sz w:val="20"/>
          <w:szCs w:val="20"/>
          <w:color w:val="auto"/>
        </w:rPr>
      </w:pPr>
    </w:p>
    <w:p>
      <w:pPr>
        <w:ind w:right="300" w:firstLine="438"/>
        <w:spacing w:after="0" w:line="258" w:lineRule="auto"/>
        <w:rPr>
          <w:sz w:val="20"/>
          <w:szCs w:val="20"/>
          <w:color w:val="auto"/>
        </w:rPr>
      </w:pPr>
      <w:r>
        <w:rPr>
          <w:rFonts w:ascii="Times New Roman" w:cs="Times New Roman" w:eastAsia="Times New Roman" w:hAnsi="Times New Roman"/>
          <w:sz w:val="18"/>
          <w:szCs w:val="18"/>
          <w:color w:val="auto"/>
        </w:rPr>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 Statutory Prospectus and the Prospectus delivered to the Underwriters for use in connection with each offering of Designated Securities will be identical to the electronically transmitted copies thereof filed with the Commission pursuant to EDGAR, except to the extent permitted by Regulation S-T.</w:t>
      </w:r>
    </w:p>
    <w:p>
      <w:pPr>
        <w:spacing w:after="0" w:line="76" w:lineRule="exact"/>
        <w:rPr>
          <w:sz w:val="20"/>
          <w:szCs w:val="20"/>
          <w:color w:val="auto"/>
        </w:rPr>
      </w:pPr>
    </w:p>
    <w:p>
      <w:pPr>
        <w:ind w:firstLine="438"/>
        <w:spacing w:after="0" w:line="261" w:lineRule="auto"/>
        <w:rPr>
          <w:sz w:val="20"/>
          <w:szCs w:val="20"/>
          <w:color w:val="auto"/>
        </w:rPr>
      </w:pPr>
      <w:r>
        <w:rPr>
          <w:rFonts w:ascii="Times New Roman" w:cs="Times New Roman" w:eastAsia="Times New Roman" w:hAnsi="Times New Roman"/>
          <w:sz w:val="18"/>
          <w:szCs w:val="18"/>
          <w:color w:val="auto"/>
        </w:rPr>
        <w:t>As of the Applicable Time (as defined below), the Statutory Prospectus, when considered together with the Issuer Free Writing Prospectus(es) (as defined below) issued at or prior to the Applicable Time, will not include any untrue statement of a material fact or omit to state any material fact necessary in order to make the statements therein, in the light of the circumstances under which they were made, not misleading. The Statutory Prospectus and the Issuer Free Writing Prospectus(es) are collectively referred to herein as the “General Disclosure Package.”</w:t>
      </w:r>
    </w:p>
    <w:p>
      <w:pPr>
        <w:spacing w:after="0" w:line="72" w:lineRule="exact"/>
        <w:rPr>
          <w:sz w:val="20"/>
          <w:szCs w:val="20"/>
          <w:color w:val="auto"/>
        </w:rPr>
      </w:pPr>
    </w:p>
    <w:p>
      <w:pPr>
        <w:ind w:right="20" w:firstLine="438"/>
        <w:spacing w:after="0" w:line="266" w:lineRule="auto"/>
        <w:rPr>
          <w:sz w:val="20"/>
          <w:szCs w:val="20"/>
          <w:color w:val="auto"/>
        </w:rPr>
      </w:pPr>
      <w:r>
        <w:rPr>
          <w:rFonts w:ascii="Times New Roman" w:cs="Times New Roman" w:eastAsia="Times New Roman" w:hAnsi="Times New Roman"/>
          <w:sz w:val="18"/>
          <w:szCs w:val="18"/>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700" w:top="270" w:right="259" w:bottom="1440" w:gutter="0" w:footer="0" w:header="0"/>
        </w:sectPr>
      </w:pPr>
    </w:p>
    <w:bookmarkStart w:id="10" w:name="page11"/>
    <w:bookmarkEnd w:id="10"/>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in this subsection and elsewhere in this Underwriting Agreement:</w:t>
      </w:r>
    </w:p>
    <w:p>
      <w:pPr>
        <w:spacing w:after="0" w:line="117" w:lineRule="exact"/>
        <w:rPr>
          <w:sz w:val="20"/>
          <w:szCs w:val="20"/>
          <w:color w:val="auto"/>
        </w:rPr>
      </w:pPr>
    </w:p>
    <w:p>
      <w:pPr>
        <w:ind w:right="60" w:firstLine="438"/>
        <w:spacing w:after="0" w:line="282" w:lineRule="auto"/>
        <w:rPr>
          <w:sz w:val="20"/>
          <w:szCs w:val="20"/>
          <w:color w:val="auto"/>
        </w:rPr>
      </w:pPr>
      <w:r>
        <w:rPr>
          <w:rFonts w:ascii="Times New Roman" w:cs="Times New Roman" w:eastAsia="Times New Roman" w:hAnsi="Times New Roman"/>
          <w:sz w:val="18"/>
          <w:szCs w:val="18"/>
          <w:color w:val="auto"/>
        </w:rPr>
        <w:t>“Applicable Time” shall have the meaning set forth in Schedule II of the Pricing Agreement with respect to the Designated Securities specified therein.</w:t>
      </w:r>
    </w:p>
    <w:p>
      <w:pPr>
        <w:spacing w:after="0" w:line="54" w:lineRule="exact"/>
        <w:rPr>
          <w:sz w:val="20"/>
          <w:szCs w:val="20"/>
          <w:color w:val="auto"/>
        </w:rPr>
      </w:pPr>
    </w:p>
    <w:p>
      <w:pPr>
        <w:ind w:firstLine="438"/>
        <w:spacing w:after="0" w:line="256" w:lineRule="auto"/>
        <w:rPr>
          <w:sz w:val="20"/>
          <w:szCs w:val="20"/>
          <w:color w:val="auto"/>
        </w:rPr>
      </w:pPr>
      <w:r>
        <w:rPr>
          <w:rFonts w:ascii="Times New Roman" w:cs="Times New Roman" w:eastAsia="Times New Roman" w:hAnsi="Times New Roman"/>
          <w:sz w:val="18"/>
          <w:szCs w:val="18"/>
          <w:color w:val="auto"/>
        </w:rPr>
        <w:t>“Issuer Free Writing Prospectus” means any “issuer free writing prospectus,” as defined in Rule 433 under the Act (“Rule 433”), relating to any particular issuance of Designated Securities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80" w:lineRule="exact"/>
        <w:rPr>
          <w:sz w:val="20"/>
          <w:szCs w:val="20"/>
          <w:color w:val="auto"/>
        </w:rPr>
      </w:pPr>
    </w:p>
    <w:p>
      <w:pPr>
        <w:ind w:firstLine="438"/>
        <w:spacing w:after="0" w:line="266" w:lineRule="auto"/>
        <w:rPr>
          <w:sz w:val="20"/>
          <w:szCs w:val="20"/>
          <w:color w:val="auto"/>
        </w:rPr>
      </w:pPr>
      <w:r>
        <w:rPr>
          <w:rFonts w:ascii="Times New Roman" w:cs="Times New Roman" w:eastAsia="Times New Roman" w:hAnsi="Times New Roman"/>
          <w:sz w:val="18"/>
          <w:szCs w:val="18"/>
          <w:color w:val="auto"/>
        </w:rPr>
        <w:t>“Statutory Prospectus” as of any time means the prospectus that is included in the Registration Statement immediately prior to that time and the preliminary prospectus supplement relating to a particular issuance of Designated Securities set forth in the Pricing Agreement, including the documents incorporated by reference therein and any other preliminary or other prospectus deemed to be a part thereof.</w:t>
      </w:r>
    </w:p>
    <w:p>
      <w:pPr>
        <w:spacing w:after="0" w:line="68" w:lineRule="exact"/>
        <w:rPr>
          <w:sz w:val="20"/>
          <w:szCs w:val="20"/>
          <w:color w:val="auto"/>
        </w:rPr>
      </w:pPr>
    </w:p>
    <w:p>
      <w:pPr>
        <w:ind w:right="200" w:firstLine="443"/>
        <w:spacing w:after="0" w:line="266" w:lineRule="auto"/>
        <w:tabs>
          <w:tab w:leader="none" w:pos="6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68" w:lineRule="exact"/>
        <w:rPr>
          <w:rFonts w:ascii="Times New Roman" w:cs="Times New Roman" w:eastAsia="Times New Roman" w:hAnsi="Times New Roman"/>
          <w:sz w:val="18"/>
          <w:szCs w:val="18"/>
          <w:color w:val="auto"/>
        </w:rPr>
      </w:pPr>
    </w:p>
    <w:p>
      <w:pPr>
        <w:ind w:firstLine="443"/>
        <w:spacing w:after="0" w:line="255" w:lineRule="auto"/>
        <w:tabs>
          <w:tab w:leader="none" w:pos="68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identified on Exhibit B hereto, as of its issue date and at all subsequent times through the completion of the public offer and sale of the Designated Securities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12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00"/>
          </w:cols>
          <w:pgMar w:left="700" w:top="270" w:right="399" w:bottom="1440" w:gutter="0" w:footer="0" w:header="0"/>
        </w:sectPr>
      </w:pPr>
    </w:p>
    <w:bookmarkStart w:id="11" w:name="page12"/>
    <w:bookmarkEnd w:id="11"/>
    <w:p>
      <w:pPr>
        <w:ind w:firstLine="443"/>
        <w:spacing w:after="0" w:line="252" w:lineRule="auto"/>
        <w:tabs>
          <w:tab w:leader="none" w:pos="6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the General Disclosure Package and the Prospectus; each “significant subsidiary” of the Company (as such term is defined in Rule 1-02 of Regulation S-X) (each, a “Subsidiary” and collectively, the “Subsidiaries”) has been duly organized and is validly existing as a corporation, partnership, limited liability company, trust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the General Disclosure Package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of the applicable Pricing Agreement by the current and former holders of partnership or other interests in certain of the “DownREIT” and other subsidiaries, which may result in the issuance of common shares of beneficial interest of the Company (“Common Shares”);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85" w:lineRule="exact"/>
        <w:rPr>
          <w:rFonts w:ascii="Times New Roman" w:cs="Times New Roman" w:eastAsia="Times New Roman" w:hAnsi="Times New Roman"/>
          <w:sz w:val="18"/>
          <w:szCs w:val="18"/>
          <w:color w:val="auto"/>
        </w:rPr>
      </w:pPr>
    </w:p>
    <w:p>
      <w:pPr>
        <w:ind w:right="60" w:firstLine="443"/>
        <w:spacing w:after="0" w:line="256" w:lineRule="auto"/>
        <w:tabs>
          <w:tab w:leader="none" w:pos="6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considered as one enterprise, have not, since the date of the latest audited financial statements included or incorporated by reference in the Registration Statement, the General Disclosure Package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w:t>
      </w:r>
    </w:p>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700" w:top="270" w:right="239" w:bottom="1440" w:gutter="0" w:footer="0" w:header="0"/>
        </w:sectPr>
      </w:pPr>
    </w:p>
    <w:bookmarkStart w:id="12" w:name="page13"/>
    <w:bookmarkEnd w:id="12"/>
    <w:p>
      <w:pPr>
        <w:ind w:right="6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of the Company (except for subsequent issuances, if any, of Common Shares pursuant to (i) conversion of any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result in the issuance of Common Shares of the Company, (v) the terms of (a) the Equity Distribution Agreement dated November 4, 2016 between the Company and Wells Fargo Securities, LLC,</w:t>
      </w:r>
    </w:p>
    <w:p>
      <w:pPr>
        <w:spacing w:after="0" w:line="3" w:lineRule="exact"/>
        <w:rPr>
          <w:sz w:val="20"/>
          <w:szCs w:val="20"/>
          <w:color w:val="auto"/>
        </w:rPr>
      </w:pPr>
    </w:p>
    <w:p>
      <w:pPr>
        <w:ind w:left="260" w:hanging="256"/>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Distribution Agreement dated November 4, 2016 between the Company and Merrill Lynch, Pierce, Fenner &amp; Smith Incorporated and</w:t>
      </w:r>
    </w:p>
    <w:p>
      <w:pPr>
        <w:spacing w:after="0" w:line="9" w:lineRule="exact"/>
        <w:rPr>
          <w:rFonts w:ascii="Times New Roman" w:cs="Times New Roman" w:eastAsia="Times New Roman" w:hAnsi="Times New Roman"/>
          <w:sz w:val="18"/>
          <w:szCs w:val="18"/>
          <w:color w:val="auto"/>
        </w:rPr>
      </w:pPr>
    </w:p>
    <w:p>
      <w:pPr>
        <w:ind w:firstLine="4"/>
        <w:spacing w:after="0" w:line="253" w:lineRule="auto"/>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Distribution Agreement dated November 4, 2016 between the Company and Citigroup Global Markets Inc., as the same may be amended from time to time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General Disclosure Package and the Prospectus.</w:t>
      </w:r>
    </w:p>
    <w:p>
      <w:pPr>
        <w:spacing w:after="0" w:line="79" w:lineRule="exact"/>
        <w:rPr>
          <w:rFonts w:ascii="Times New Roman" w:cs="Times New Roman" w:eastAsia="Times New Roman" w:hAnsi="Times New Roman"/>
          <w:sz w:val="18"/>
          <w:szCs w:val="18"/>
          <w:color w:val="auto"/>
        </w:rPr>
      </w:pPr>
    </w:p>
    <w:p>
      <w:pPr>
        <w:ind w:right="40" w:firstLine="443"/>
        <w:spacing w:after="0" w:line="258" w:lineRule="auto"/>
        <w:tabs>
          <w:tab w:leader="none" w:pos="69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in the Company’s consolidated balance sheet as of the latest financial statements, audited or unaudited, as applicable, included or incorporated by reference in the Registration Statement, the General Disclosure Package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75" w:lineRule="exact"/>
        <w:rPr>
          <w:rFonts w:ascii="Times New Roman" w:cs="Times New Roman" w:eastAsia="Times New Roman" w:hAnsi="Times New Roman"/>
          <w:sz w:val="18"/>
          <w:szCs w:val="18"/>
          <w:color w:val="auto"/>
        </w:rPr>
      </w:pPr>
    </w:p>
    <w:p>
      <w:pPr>
        <w:ind w:right="540" w:firstLine="443"/>
        <w:spacing w:after="0" w:line="266" w:lineRule="auto"/>
        <w:tabs>
          <w:tab w:leader="none" w:pos="65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full right, power and authority under its organizational documents to enter into this Underwriting Agreement and the Pricing Agreement with respect to the Designated Securities, and this Underwriting Agreement and the Pricing Agreement with respect to the Designated Securities have been duly and validly authorized, executed and delivered by the Company.</w:t>
      </w:r>
    </w:p>
    <w:p>
      <w:pPr>
        <w:spacing w:after="0" w:line="68" w:lineRule="exact"/>
        <w:rPr>
          <w:rFonts w:ascii="Times New Roman" w:cs="Times New Roman" w:eastAsia="Times New Roman" w:hAnsi="Times New Roman"/>
          <w:sz w:val="18"/>
          <w:szCs w:val="18"/>
          <w:color w:val="auto"/>
        </w:rPr>
      </w:pPr>
    </w:p>
    <w:p>
      <w:pPr>
        <w:ind w:firstLine="443"/>
        <w:spacing w:after="0" w:line="261" w:lineRule="auto"/>
        <w:tabs>
          <w:tab w:leader="none" w:pos="65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Shares represented by the Depositary Shares to be purchased by the Underwriters from the Company have been duly and validly authorized by the Company, and, when such Designated Securities are issued and delivered pursuant to this Underwriting Agreement and the Pricing Agreement with respect to such Designated Securities, such Preferred Shares will be duly and validly issued and fully paid and non-assessable; and the issuance and sale of the</w:t>
      </w:r>
    </w:p>
    <w:p>
      <w:pPr>
        <w:spacing w:after="0" w:line="11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700" w:top="270" w:right="259" w:bottom="1440" w:gutter="0" w:footer="0" w:header="0"/>
        </w:sectPr>
      </w:pPr>
    </w:p>
    <w:bookmarkStart w:id="13" w:name="page14"/>
    <w:bookmarkEnd w:id="13"/>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Designated Securities is not subject to any preemptive, co-sale right, right of first refusal or other similar rights arising under applicable law, under the Charter, by-laws or similar organizational document of the Company or under any agreement to which the Company or any Subsidiary is a party or otherwise. The Designated Securities conform in all material respects to all statements relating thereto contained in the Registration Statement, the Prospectus and the General Disclosure Package and such description conforms in all material respects to the rights set forth in the instruments defining the same. No holder of Designated Securities will be subject to personal liability by reason of being such a holder.</w:t>
      </w:r>
    </w:p>
    <w:p>
      <w:pPr>
        <w:spacing w:after="0" w:line="76" w:lineRule="exact"/>
        <w:rPr>
          <w:sz w:val="20"/>
          <w:szCs w:val="20"/>
          <w:color w:val="auto"/>
        </w:rPr>
      </w:pPr>
    </w:p>
    <w:p>
      <w:pPr>
        <w:ind w:right="80" w:firstLine="443"/>
        <w:spacing w:after="0" w:line="256" w:lineRule="auto"/>
        <w:tabs>
          <w:tab w:leader="none" w:pos="6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Supplementary relating to the Preferred Shares will be in full force and effect at the Time of Delivery and any Option Closing Time. The Articles Supplementary have been duly authorized by the Company, and, at or prior to the Closing Date, the Company will have executed and filed the Articles Supplementary, with the Maryland State Department of Assessments and Taxation establishing the terms of the Preferred Shares. The form of certificate representing the Preferred Shares complies with the requirements of Maryland state law, the charter, the bylaws and the rules of the New York Stock Exchange. The Preferred Shares conform to all statements relating thereto contained in each of the Registration Statement, the Time of Sale Prospectus and the Prospectus and such statements conform to the rights set forth in the Articles Supplementary.</w:t>
      </w:r>
    </w:p>
    <w:p>
      <w:pPr>
        <w:spacing w:after="0" w:line="79" w:lineRule="exact"/>
        <w:rPr>
          <w:rFonts w:ascii="Times New Roman" w:cs="Times New Roman" w:eastAsia="Times New Roman" w:hAnsi="Times New Roman"/>
          <w:sz w:val="18"/>
          <w:szCs w:val="18"/>
          <w:color w:val="auto"/>
        </w:rPr>
      </w:pPr>
    </w:p>
    <w:p>
      <w:pPr>
        <w:ind w:right="80" w:firstLine="443"/>
        <w:spacing w:after="0" w:line="266" w:lineRule="auto"/>
        <w:tabs>
          <w:tab w:leader="none" w:pos="6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Shares being delivered to the Underwriters at the Time of Delivery have been duly authorized and, when issued and delivered against payment of the consideration set forth in the Underwriting Agreement and Pricing Agreement, will be duly and validly issued and will be entitled to the rights under, and the benefits of, the Deposit Agreement.</w:t>
      </w:r>
    </w:p>
    <w:p>
      <w:pPr>
        <w:spacing w:after="0" w:line="68" w:lineRule="exact"/>
        <w:rPr>
          <w:rFonts w:ascii="Times New Roman" w:cs="Times New Roman" w:eastAsia="Times New Roman" w:hAnsi="Times New Roman"/>
          <w:sz w:val="18"/>
          <w:szCs w:val="18"/>
          <w:color w:val="auto"/>
        </w:rPr>
      </w:pPr>
    </w:p>
    <w:p>
      <w:pPr>
        <w:ind w:right="200" w:firstLine="443"/>
        <w:spacing w:after="0" w:line="258" w:lineRule="auto"/>
        <w:tabs>
          <w:tab w:leader="none" w:pos="7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Agreement will have been duly authorized, executed and delivered by the Company prior to the Time of Delivery, and will constitute a valid and legally binding agreement of the Company enforceable in accordance with its terms, subject, as to enforcement, to bankruptcy, insolvency, reorganization and other laws of general applicability relating to or affecting creditors’ rights and to general equity principles; and the Deposit Agreement conforms in all material respects to all statements relating thereto contained in the Registration Statement, the Prospectus and the General Disclosure Package.</w:t>
      </w:r>
    </w:p>
    <w:p>
      <w:pPr>
        <w:spacing w:after="0" w:line="75" w:lineRule="exact"/>
        <w:rPr>
          <w:rFonts w:ascii="Times New Roman" w:cs="Times New Roman" w:eastAsia="Times New Roman" w:hAnsi="Times New Roman"/>
          <w:sz w:val="18"/>
          <w:szCs w:val="18"/>
          <w:color w:val="auto"/>
        </w:rPr>
      </w:pPr>
    </w:p>
    <w:p>
      <w:pPr>
        <w:ind w:firstLine="443"/>
        <w:spacing w:after="0" w:line="256" w:lineRule="auto"/>
        <w:tabs>
          <w:tab w:leader="none" w:pos="6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Company nor any of its Subsidiaries is in violation of its charter or bylaws or similar organizational documents; (ii) no subsidiary of the Company not referred to in clause (i) above is in violation of its charter or bylaws or similar organizational documents; (iii) 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700" w:top="270" w:right="259" w:bottom="1440" w:gutter="0" w:footer="0" w:header="0"/>
        </w:sectPr>
      </w:pPr>
    </w:p>
    <w:bookmarkStart w:id="14" w:name="page15"/>
    <w:bookmarkEnd w:id="14"/>
    <w:p>
      <w:pPr>
        <w:ind w:right="6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w:t>
      </w:r>
    </w:p>
    <w:p>
      <w:pPr>
        <w:spacing w:after="0" w:line="1" w:lineRule="exact"/>
        <w:rPr>
          <w:sz w:val="20"/>
          <w:szCs w:val="20"/>
          <w:color w:val="auto"/>
        </w:rPr>
      </w:pPr>
    </w:p>
    <w:p>
      <w:pPr>
        <w:ind w:right="20" w:firstLine="4"/>
        <w:spacing w:after="0" w:line="261" w:lineRule="auto"/>
        <w:tabs>
          <w:tab w:leader="none" w:pos="3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71" w:lineRule="exact"/>
        <w:rPr>
          <w:rFonts w:ascii="Times New Roman" w:cs="Times New Roman" w:eastAsia="Times New Roman" w:hAnsi="Times New Roman"/>
          <w:sz w:val="18"/>
          <w:szCs w:val="18"/>
          <w:color w:val="auto"/>
        </w:rPr>
      </w:pPr>
    </w:p>
    <w:p>
      <w:pPr>
        <w:ind w:firstLine="443"/>
        <w:spacing w:after="0" w:line="252" w:lineRule="auto"/>
        <w:tabs>
          <w:tab w:leader="none" w:pos="69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execution, delivery and performance of the Underwriting Agreement, the Pricing Agreement, the Deposit Agreement and the terms of the Designated Securities and the consummation by the Company of the transactions contemplated herein and in the Pricing Agreement, the Deposit Agreement, the General Disclosure Package and the Prospectus (including the issuance and sale of the Designated Securities and the use of the proceeds from the sale of the Designated Securities as described therein under the caption entitled “Use of Proceeds”) and compliance with the Company with its obligations hereunder and under the Pricing Agreement and the Deposit Agreement,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Charter or the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performance by the Company of its obligations hereunder, its obligations under the Pricing Agreement and the Deposit Agreement, in connection with the offering, issuance or sale of the Designated Securities or the consummation by the Company of the transactions contemplated by the Underwriting Agreement, the Pricing Agreement and the Deposit Agreement, except for the filing of the Articles Supplementary or except such as have been, or will have been prior to the Time of Delivery, obtained under the Act, the and the Exchange Act and except for the rules of the NYSE and such consents, approvals, authorizations, registrations or qualifications as may be required under state securities or “Blue Sky” laws in connection with the purchase and distribution of the Designated Securities by the Underwriters.</w:t>
      </w:r>
    </w:p>
    <w:p>
      <w:pPr>
        <w:spacing w:after="0" w:line="88" w:lineRule="exact"/>
        <w:rPr>
          <w:rFonts w:ascii="Times New Roman" w:cs="Times New Roman" w:eastAsia="Times New Roman" w:hAnsi="Times New Roman"/>
          <w:sz w:val="18"/>
          <w:szCs w:val="18"/>
          <w:color w:val="auto"/>
        </w:rPr>
      </w:pPr>
    </w:p>
    <w:p>
      <w:pPr>
        <w:ind w:right="40" w:firstLine="443"/>
        <w:spacing w:after="0" w:line="261" w:lineRule="auto"/>
        <w:tabs>
          <w:tab w:leader="none" w:pos="69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file a preliminary listing application and all required supporting documents with the NYSE with respect to the Designated Securities, and the Company has received no information stating that the Designated Securities will not be authorized for trading, subject to official notice of issuance and evidence of satisfactory distribution. The Company has taken all necessary actions to ensure that it is in compliance with all applicable NYSE</w:t>
      </w:r>
    </w:p>
    <w:p>
      <w:pPr>
        <w:spacing w:after="0" w:line="11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700" w:top="270" w:right="239" w:bottom="1440" w:gutter="0" w:footer="0" w:header="0"/>
        </w:sectPr>
      </w:pPr>
    </w:p>
    <w:bookmarkStart w:id="15" w:name="page16"/>
    <w:bookmarkEnd w:id="15"/>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listing standards that are currently in effect and is taking such steps as are necessary to ensure that the Company will be in compliance with other applicable requirements set forth in the NYSE’s listing standards not currently in effect upon the effectiveness of such requirements.</w:t>
      </w:r>
    </w:p>
    <w:p>
      <w:pPr>
        <w:spacing w:after="0" w:line="54" w:lineRule="exact"/>
        <w:rPr>
          <w:sz w:val="20"/>
          <w:szCs w:val="20"/>
          <w:color w:val="auto"/>
        </w:rPr>
      </w:pPr>
    </w:p>
    <w:p>
      <w:pPr>
        <w:ind w:firstLine="443"/>
        <w:spacing w:after="0" w:line="256" w:lineRule="auto"/>
        <w:tabs>
          <w:tab w:leader="none" w:pos="6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Registration Statement, the General Disclosure Package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79" w:lineRule="exact"/>
        <w:rPr>
          <w:rFonts w:ascii="Times New Roman" w:cs="Times New Roman" w:eastAsia="Times New Roman" w:hAnsi="Times New Roman"/>
          <w:sz w:val="18"/>
          <w:szCs w:val="18"/>
          <w:color w:val="auto"/>
        </w:rPr>
      </w:pPr>
    </w:p>
    <w:p>
      <w:pPr>
        <w:ind w:right="40" w:firstLine="443"/>
        <w:spacing w:after="0" w:line="255" w:lineRule="auto"/>
        <w:tabs>
          <w:tab w:leader="none" w:pos="6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and its subsidiaries, together with related notes and schedules as set forth or incorporated by reference in the Registration Statement, the General Disclosure Package and the Prospectus present fairly the financial position and the results of operations of the Company and its subsidiaries at the indicated dates and for the indicated periods. Such consolidated financial statements have been prepared in accordance with generally accepted accounting principles in the United States (“GAAP”),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81" w:lineRule="exact"/>
        <w:rPr>
          <w:rFonts w:ascii="Times New Roman" w:cs="Times New Roman" w:eastAsia="Times New Roman" w:hAnsi="Times New Roman"/>
          <w:sz w:val="18"/>
          <w:szCs w:val="18"/>
          <w:color w:val="auto"/>
        </w:rPr>
      </w:pPr>
    </w:p>
    <w:p>
      <w:pPr>
        <w:ind w:right="60" w:firstLine="443"/>
        <w:spacing w:after="0" w:line="261" w:lineRule="auto"/>
        <w:tabs>
          <w:tab w:leader="none" w:pos="6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good and marketable title to, or valid and enforceable leasehold estates in, all items of real and personal property referred to in the Registration Statement, the General Disclosure Package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1" w:lineRule="exact"/>
        <w:rPr>
          <w:rFonts w:ascii="Times New Roman" w:cs="Times New Roman" w:eastAsia="Times New Roman" w:hAnsi="Times New Roman"/>
          <w:sz w:val="18"/>
          <w:szCs w:val="18"/>
          <w:color w:val="auto"/>
        </w:rPr>
      </w:pPr>
    </w:p>
    <w:p>
      <w:pPr>
        <w:ind w:right="40" w:firstLine="443"/>
        <w:spacing w:after="0" w:line="258" w:lineRule="auto"/>
        <w:tabs>
          <w:tab w:leader="none" w:pos="6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700" w:top="270" w:right="259" w:bottom="1440" w:gutter="0" w:footer="0" w:header="0"/>
        </w:sectPr>
      </w:pPr>
    </w:p>
    <w:bookmarkStart w:id="16" w:name="page17"/>
    <w:bookmarkEnd w:id="16"/>
    <w:p>
      <w:pPr>
        <w:ind w:right="300" w:firstLine="443"/>
        <w:spacing w:after="0" w:line="266" w:lineRule="auto"/>
        <w:tabs>
          <w:tab w:leader="none" w:pos="6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68" w:lineRule="exact"/>
        <w:rPr>
          <w:rFonts w:ascii="Times New Roman" w:cs="Times New Roman" w:eastAsia="Times New Roman" w:hAnsi="Times New Roman"/>
          <w:sz w:val="18"/>
          <w:szCs w:val="18"/>
          <w:color w:val="auto"/>
        </w:rPr>
      </w:pPr>
    </w:p>
    <w:p>
      <w:pPr>
        <w:ind w:right="80" w:firstLine="443"/>
        <w:spacing w:after="0" w:line="258" w:lineRule="auto"/>
        <w:tabs>
          <w:tab w:leader="none" w:pos="6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Thornton LLP, which audited the consolidated balance sheets of the Company and subsidiaries as of December 31, 2016 and the consolidated statements of comprehensive income, consolidated statements of shareholders’ equity and consolidated statements of cash flows for the year ended December 31, 2016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75" w:lineRule="exact"/>
        <w:rPr>
          <w:rFonts w:ascii="Times New Roman" w:cs="Times New Roman" w:eastAsia="Times New Roman" w:hAnsi="Times New Roman"/>
          <w:sz w:val="18"/>
          <w:szCs w:val="18"/>
          <w:color w:val="auto"/>
        </w:rPr>
      </w:pPr>
    </w:p>
    <w:p>
      <w:pPr>
        <w:ind w:firstLine="443"/>
        <w:spacing w:after="0" w:line="252" w:lineRule="auto"/>
        <w:tabs>
          <w:tab w:leader="none" w:pos="7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3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700" w:top="270" w:right="299" w:bottom="1440" w:gutter="0" w:footer="0" w:header="0"/>
        </w:sectPr>
      </w:pPr>
    </w:p>
    <w:bookmarkStart w:id="17" w:name="page18"/>
    <w:bookmarkEnd w:id="17"/>
    <w:p>
      <w:pPr>
        <w:ind w:right="280" w:firstLine="443"/>
        <w:spacing w:after="0" w:line="282" w:lineRule="auto"/>
        <w:tabs>
          <w:tab w:leader="none" w:pos="6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53" w:lineRule="exact"/>
        <w:rPr>
          <w:rFonts w:ascii="Times New Roman" w:cs="Times New Roman" w:eastAsia="Times New Roman" w:hAnsi="Times New Roman"/>
          <w:sz w:val="18"/>
          <w:szCs w:val="18"/>
          <w:color w:val="auto"/>
        </w:rPr>
      </w:pPr>
    </w:p>
    <w:p>
      <w:pPr>
        <w:ind w:right="80" w:firstLine="443"/>
        <w:spacing w:after="0" w:line="255" w:lineRule="auto"/>
        <w:tabs>
          <w:tab w:leader="none" w:pos="6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81" w:lineRule="exact"/>
        <w:rPr>
          <w:rFonts w:ascii="Times New Roman" w:cs="Times New Roman" w:eastAsia="Times New Roman" w:hAnsi="Times New Roman"/>
          <w:sz w:val="18"/>
          <w:szCs w:val="18"/>
          <w:color w:val="auto"/>
        </w:rPr>
      </w:pPr>
    </w:p>
    <w:p>
      <w:pPr>
        <w:ind w:right="120" w:firstLine="443"/>
        <w:spacing w:after="0" w:line="258" w:lineRule="auto"/>
        <w:tabs>
          <w:tab w:leader="none" w:pos="6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tax periods regarding which the Internal Revenue Service is or will be entitled to assert any claim, the Company has met the requirements for qualification as a REIT under Sections 856 through 860 of the Internal Revenue Code of 1986, as amended (the “Code”),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w:t>
      </w:r>
    </w:p>
    <w:p>
      <w:pPr>
        <w:spacing w:after="0" w:line="76" w:lineRule="exact"/>
        <w:rPr>
          <w:sz w:val="20"/>
          <w:szCs w:val="20"/>
          <w:color w:val="auto"/>
        </w:rPr>
      </w:pPr>
    </w:p>
    <w:p>
      <w:pPr>
        <w:ind w:firstLine="443"/>
        <w:spacing w:after="0" w:line="274" w:lineRule="auto"/>
        <w:tabs>
          <w:tab w:leader="none" w:pos="76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65" w:lineRule="exact"/>
        <w:rPr>
          <w:rFonts w:ascii="Times New Roman" w:cs="Times New Roman" w:eastAsia="Times New Roman" w:hAnsi="Times New Roman"/>
          <w:sz w:val="17"/>
          <w:szCs w:val="17"/>
          <w:color w:val="auto"/>
        </w:rPr>
      </w:pPr>
    </w:p>
    <w:p>
      <w:pPr>
        <w:ind w:right="40" w:firstLine="443"/>
        <w:spacing w:after="0" w:line="258" w:lineRule="auto"/>
        <w:tabs>
          <w:tab w:leader="none" w:pos="7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700" w:top="270" w:right="259" w:bottom="1440" w:gutter="0" w:footer="0" w:header="0"/>
        </w:sectPr>
      </w:pPr>
    </w:p>
    <w:bookmarkStart w:id="18" w:name="page19"/>
    <w:bookmarkEnd w:id="18"/>
    <w:p>
      <w:pPr>
        <w:ind w:left="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80" w:lineRule="exact"/>
        <w:rPr>
          <w:sz w:val="20"/>
          <w:szCs w:val="20"/>
          <w:color w:val="auto"/>
        </w:rPr>
      </w:pPr>
    </w:p>
    <w:p>
      <w:pPr>
        <w:ind w:left="440" w:right="40" w:firstLine="443"/>
        <w:spacing w:after="0" w:line="256" w:lineRule="auto"/>
        <w:tabs>
          <w:tab w:leader="none" w:pos="120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79" w:lineRule="exact"/>
        <w:rPr>
          <w:rFonts w:ascii="Times New Roman" w:cs="Times New Roman" w:eastAsia="Times New Roman" w:hAnsi="Times New Roman"/>
          <w:sz w:val="18"/>
          <w:szCs w:val="18"/>
          <w:color w:val="auto"/>
        </w:rPr>
      </w:pPr>
    </w:p>
    <w:p>
      <w:pPr>
        <w:ind w:left="440" w:right="80" w:firstLine="443"/>
        <w:spacing w:after="0" w:line="255" w:lineRule="auto"/>
        <w:tabs>
          <w:tab w:leader="none" w:pos="122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(“OFAC”) or other relevant sanctions authority (collectively, “Sanctions”)); or (ii) located, organized or resident in a country or territory that is, or whose government is, the subject of Sanctions that broadly prohibit dealings with that country or territory (each, a “Sanctioned Country”); and the Company will not directly or indirectly use the proceeds of the offering of the Designated Securities hereunder, or lend, contribute or otherwise make available such proceeds to any subsidiary, joint venture partner or other person or entity, for the purpose of financing the activities of any person currently subject to any Sanctions.</w:t>
      </w:r>
    </w:p>
    <w:p>
      <w:pPr>
        <w:spacing w:after="0" w:line="81" w:lineRule="exact"/>
        <w:rPr>
          <w:rFonts w:ascii="Times New Roman" w:cs="Times New Roman" w:eastAsia="Times New Roman" w:hAnsi="Times New Roman"/>
          <w:sz w:val="18"/>
          <w:szCs w:val="18"/>
          <w:color w:val="auto"/>
        </w:rPr>
      </w:pPr>
    </w:p>
    <w:p>
      <w:pPr>
        <w:jc w:val="both"/>
        <w:ind w:left="440" w:right="180" w:firstLine="443"/>
        <w:spacing w:after="0" w:line="282" w:lineRule="auto"/>
        <w:tabs>
          <w:tab w:leader="none" w:pos="120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the eXtensible Business Reporting Language incorporated by reference in the Registration Statement fairly presents the information called for in all material respects and has been prepared in accordance with the Commission’s rules and guidelines applicable thereto.</w:t>
      </w:r>
    </w:p>
    <w:p>
      <w:pPr>
        <w:spacing w:after="0" w:line="161" w:lineRule="exact"/>
        <w:rPr>
          <w:rFonts w:ascii="Times New Roman" w:cs="Times New Roman" w:eastAsia="Times New Roman" w:hAnsi="Times New Roman"/>
          <w:sz w:val="18"/>
          <w:szCs w:val="18"/>
          <w:color w:val="auto"/>
        </w:rPr>
      </w:pPr>
    </w:p>
    <w:p>
      <w:pPr>
        <w:jc w:val="both"/>
        <w:ind w:left="-20" w:right="60" w:firstLine="464"/>
        <w:spacing w:after="0" w:line="266" w:lineRule="auto"/>
        <w:tabs>
          <w:tab w:leader="none" w:pos="6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60" w:top="270" w:right="239" w:bottom="1440" w:gutter="0" w:footer="0" w:header="0"/>
        </w:sectPr>
      </w:pPr>
    </w:p>
    <w:bookmarkStart w:id="19" w:name="page20"/>
    <w:bookmarkEnd w:id="19"/>
    <w:p>
      <w:pPr>
        <w:ind w:left="-40" w:right="60" w:firstLine="464"/>
        <w:spacing w:after="0" w:line="254" w:lineRule="auto"/>
        <w:tabs>
          <w:tab w:leader="none" w:pos="5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Designated Securities to be purchased by each Underwriter shall be delivered to the Representatives for the account of such Underwriter in the form of one or more global certificates in aggregate denomination equal to the aggregate number of the Designated Securities upon original issuance and registered in the name of Cede &amp; Co., as nominee for The Depository Trust Company (“DTC”),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Initial Depositary Shares (or if the applicable Pricing Agreement does not grant the Underwriters an option to purchase Option Depositary Shares, the Designated Securities) and if the applicable Pricing Agreement grants the Underwriter an option to purchase Option Shares and if the Underwriter exercises such option, in whole or in part, the time and date of delivery of such Option Shares is herein called the “Option Closing Time” for such Option Depositary Shares.</w:t>
      </w:r>
    </w:p>
    <w:p>
      <w:pPr>
        <w:spacing w:after="0" w:line="186" w:lineRule="exact"/>
        <w:rPr>
          <w:rFonts w:ascii="Times New Roman" w:cs="Times New Roman" w:eastAsia="Times New Roman" w:hAnsi="Times New Roman"/>
          <w:sz w:val="18"/>
          <w:szCs w:val="18"/>
          <w:color w:val="auto"/>
        </w:rPr>
      </w:pPr>
    </w:p>
    <w:p>
      <w:pPr>
        <w:ind w:left="600" w:hanging="176"/>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with each of the Underwriters of any Designated Securities that:</w:t>
      </w:r>
    </w:p>
    <w:p>
      <w:pPr>
        <w:spacing w:after="0" w:line="117" w:lineRule="exact"/>
        <w:rPr>
          <w:rFonts w:ascii="Times New Roman" w:cs="Times New Roman" w:eastAsia="Times New Roman" w:hAnsi="Times New Roman"/>
          <w:sz w:val="18"/>
          <w:szCs w:val="18"/>
          <w:color w:val="auto"/>
        </w:rPr>
      </w:pPr>
    </w:p>
    <w:p>
      <w:pPr>
        <w:ind w:left="420" w:firstLine="443"/>
        <w:spacing w:after="0" w:line="253" w:lineRule="auto"/>
        <w:tabs>
          <w:tab w:leader="none" w:pos="110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Securities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Securities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Securities. The Company will effect the filings required under Rule 424(b), in the manner and within the time period required by Rule 424(b) (without reliance on Rule 424(b)(8)), and will take such steps as it deems necessary to ascertain promptly whether the form of prospectus transmitted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40"/>
          </w:cols>
          <w:pgMar w:left="280" w:top="270" w:right="279" w:bottom="1440" w:gutter="0" w:footer="0" w:header="0"/>
        </w:sectPr>
      </w:pPr>
    </w:p>
    <w:bookmarkStart w:id="20" w:name="page21"/>
    <w:bookmarkEnd w:id="20"/>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Securities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80" w:lineRule="exact"/>
        <w:rPr>
          <w:sz w:val="20"/>
          <w:szCs w:val="20"/>
          <w:color w:val="auto"/>
        </w:rPr>
      </w:pPr>
    </w:p>
    <w:p>
      <w:pPr>
        <w:ind w:firstLine="443"/>
        <w:spacing w:after="0" w:line="252" w:lineRule="auto"/>
        <w:tabs>
          <w:tab w:leader="none" w:pos="6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Applicable Time to the Time of Delivery for such Designated Securities (or, if the applicable Pricing Agreement provides for an option to purchase the Option Depositary Shares, prior to the Option Closing Time or, if such option is not exercised by the Underwriter, from the Applicable Time to the expiration of such option), the Company will give the Representatives notice of its intention to file or prepare any amendment to the Registration Statement or new registration statement relating to the Designated Securities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 The Company will prepare a final term sheet (the “Final Term Sheet”) reflecting the final terms of the Designated Securities, substantially in the form set forth on Schedule I of Exhibit B hereto, and shall file such Final Term Sheet as an “issuer free writing prospectus” pursuant to Rule 433 prior to the close of business two business days after the date hereof; provided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90" w:lineRule="exact"/>
        <w:rPr>
          <w:rFonts w:ascii="Times New Roman" w:cs="Times New Roman" w:eastAsia="Times New Roman" w:hAnsi="Times New Roman"/>
          <w:sz w:val="18"/>
          <w:szCs w:val="18"/>
          <w:color w:val="auto"/>
        </w:rPr>
      </w:pPr>
    </w:p>
    <w:p>
      <w:pPr>
        <w:ind w:right="60" w:firstLine="443"/>
        <w:spacing w:after="0" w:line="258" w:lineRule="auto"/>
        <w:tabs>
          <w:tab w:leader="none" w:pos="6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Securities that would constitute an “issuer free writing prospectus,” as defined in Rule 433, or that would otherwise constitute a “free writing prospectus,” as defined in Rule 405, in each case required to be filed with the Commission; provided, however, that prior to the preparation of the Final Term Sheet in accordance with Section 5(b) hereof, the Underwriters are authorized to</w:t>
      </w:r>
    </w:p>
    <w:p>
      <w:pPr>
        <w:spacing w:after="0" w:line="1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700" w:top="270" w:right="239" w:bottom="1440" w:gutter="0" w:footer="0" w:header="0"/>
        </w:sectPr>
      </w:pPr>
    </w:p>
    <w:bookmarkStart w:id="21" w:name="page22"/>
    <w:bookmarkEnd w:id="21"/>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the information with respect to the final terms of the Designated Securities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76" w:lineRule="exact"/>
        <w:rPr>
          <w:sz w:val="20"/>
          <w:szCs w:val="20"/>
          <w:color w:val="auto"/>
        </w:rPr>
      </w:pPr>
    </w:p>
    <w:p>
      <w:pPr>
        <w:ind w:right="80" w:firstLine="443"/>
        <w:spacing w:after="0" w:line="258" w:lineRule="auto"/>
        <w:tabs>
          <w:tab w:leader="none" w:pos="6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promptly from time to time will take such action as the Representatives may reasonably request to qualify such Designated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75" w:lineRule="exact"/>
        <w:rPr>
          <w:rFonts w:ascii="Times New Roman" w:cs="Times New Roman" w:eastAsia="Times New Roman" w:hAnsi="Times New Roman"/>
          <w:sz w:val="18"/>
          <w:szCs w:val="18"/>
          <w:color w:val="auto"/>
        </w:rPr>
      </w:pPr>
    </w:p>
    <w:p>
      <w:pPr>
        <w:ind w:firstLine="443"/>
        <w:spacing w:after="0" w:line="255" w:lineRule="auto"/>
        <w:tabs>
          <w:tab w:leader="none" w:pos="6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81" w:lineRule="exact"/>
        <w:rPr>
          <w:rFonts w:ascii="Times New Roman" w:cs="Times New Roman" w:eastAsia="Times New Roman" w:hAnsi="Times New Roman"/>
          <w:sz w:val="18"/>
          <w:szCs w:val="18"/>
          <w:color w:val="auto"/>
        </w:rPr>
      </w:pPr>
    </w:p>
    <w:p>
      <w:pPr>
        <w:ind w:firstLine="443"/>
        <w:spacing w:after="0" w:line="255" w:lineRule="auto"/>
        <w:tabs>
          <w:tab w:leader="none" w:pos="6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each Underwriter, without charge, as many copies of each preliminary prospectus as such Underwriter reasonably requested, and the Company has delivered to each Underwriter, without charge, as many copies of each Issuer Free Writing Prospectus, if any, as such Underwriter reasonably requested, and the Company hereby consents to the use of such copies of each preliminary prospectus and each Issuer Free Writing Prospectus, if any, for purposes permitted by the Act. The Company will furnish to each Underwriter, without charge, during the period when the Prospectus is required to be delivered under the Act in connection with sales of the Designated Securities,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w:t>
      </w:r>
    </w:p>
    <w:p>
      <w:pPr>
        <w:spacing w:after="0" w:line="1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700" w:top="270" w:right="239" w:bottom="1440" w:gutter="0" w:footer="0" w:header="0"/>
        </w:sectPr>
      </w:pPr>
    </w:p>
    <w:bookmarkStart w:id="22" w:name="page23"/>
    <w:bookmarkEnd w:id="22"/>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54" w:lineRule="exact"/>
        <w:rPr>
          <w:sz w:val="20"/>
          <w:szCs w:val="20"/>
          <w:color w:val="auto"/>
        </w:rPr>
      </w:pPr>
    </w:p>
    <w:p>
      <w:pPr>
        <w:ind w:firstLine="443"/>
        <w:spacing w:after="0" w:line="252" w:lineRule="auto"/>
        <w:tabs>
          <w:tab w:leader="none" w:pos="69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comply with the Act and the rules and regulations of the Commission thereunder and the Exchange Act and the rules and regulations of the Commission thereunder so as to permit the completion of the distribution of the Designated Securities as contemplated in this Underwriting Agreement, a related Pricing Agreement and in the Prospectus. If at any time when a prospectus is required by the Act to be delivered in connection with sales of the Designated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Securities)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Securities)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84" w:lineRule="exact"/>
        <w:rPr>
          <w:rFonts w:ascii="Times New Roman" w:cs="Times New Roman" w:eastAsia="Times New Roman" w:hAnsi="Times New Roman"/>
          <w:sz w:val="18"/>
          <w:szCs w:val="18"/>
          <w:color w:val="auto"/>
        </w:rPr>
      </w:pPr>
    </w:p>
    <w:p>
      <w:pPr>
        <w:ind w:right="240" w:firstLine="443"/>
        <w:spacing w:after="0" w:line="266" w:lineRule="auto"/>
        <w:tabs>
          <w:tab w:leader="none" w:pos="69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700" w:top="270" w:right="259" w:bottom="1440" w:gutter="0" w:footer="0" w:header="0"/>
        </w:sectPr>
      </w:pPr>
    </w:p>
    <w:bookmarkStart w:id="23" w:name="page24"/>
    <w:bookmarkEnd w:id="23"/>
    <w:p>
      <w:pPr>
        <w:ind w:right="20" w:firstLine="443"/>
        <w:spacing w:after="0" w:line="258" w:lineRule="auto"/>
        <w:tabs>
          <w:tab w:leader="none" w:pos="6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period beginning on and including the date of the Pricing Agreement for such Designated Securities and continuing through and including the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after the date of the Pricing Agreement, the Company will not, without the consent of the Representatives, offer, sell, contract to sell, announce the offering or otherwise dispose of any preferred securities or any other securities of the Company which are substantially similar to the Preferred Shares, including any guarantee of any such securities, or any securities convertible into or exchangeable for or representing the right to receive any such securities;</w:t>
      </w:r>
    </w:p>
    <w:p>
      <w:pPr>
        <w:spacing w:after="0" w:line="75" w:lineRule="exact"/>
        <w:rPr>
          <w:rFonts w:ascii="Times New Roman" w:cs="Times New Roman" w:eastAsia="Times New Roman" w:hAnsi="Times New Roman"/>
          <w:sz w:val="18"/>
          <w:szCs w:val="18"/>
          <w:color w:val="auto"/>
        </w:rPr>
      </w:pPr>
    </w:p>
    <w:p>
      <w:pPr>
        <w:ind w:right="360" w:firstLine="443"/>
        <w:spacing w:after="0" w:line="282" w:lineRule="auto"/>
        <w:tabs>
          <w:tab w:leader="none" w:pos="6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the net proceeds received by it from the sale of the Designated Securities in the manner specified in the Prospectus under the caption “Use of Proceeds”;</w:t>
      </w:r>
    </w:p>
    <w:p>
      <w:pPr>
        <w:spacing w:after="0" w:line="53" w:lineRule="exact"/>
        <w:rPr>
          <w:rFonts w:ascii="Times New Roman" w:cs="Times New Roman" w:eastAsia="Times New Roman" w:hAnsi="Times New Roman"/>
          <w:sz w:val="18"/>
          <w:szCs w:val="18"/>
          <w:color w:val="auto"/>
        </w:rPr>
      </w:pPr>
    </w:p>
    <w:p>
      <w:pPr>
        <w:ind w:right="500" w:firstLine="443"/>
        <w:spacing w:after="0" w:line="282" w:lineRule="auto"/>
        <w:tabs>
          <w:tab w:leader="none" w:pos="6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qualify as a “REIT” under the Code, and will use its best efforts to continue to meet the requirements to qualify as a “REIT”; and</w:t>
      </w:r>
    </w:p>
    <w:p>
      <w:pPr>
        <w:spacing w:after="0" w:line="53" w:lineRule="exact"/>
        <w:rPr>
          <w:rFonts w:ascii="Times New Roman" w:cs="Times New Roman" w:eastAsia="Times New Roman" w:hAnsi="Times New Roman"/>
          <w:sz w:val="18"/>
          <w:szCs w:val="18"/>
          <w:color w:val="auto"/>
        </w:rPr>
      </w:pPr>
    </w:p>
    <w:p>
      <w:pPr>
        <w:ind w:firstLine="443"/>
        <w:spacing w:after="0" w:line="282" w:lineRule="auto"/>
        <w:tabs>
          <w:tab w:leader="none" w:pos="6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its best efforts to cause the Designated Securities to be approved for listing, subject to official notice of issuance, on the NYSE prior to the Time of Delivery.</w:t>
      </w:r>
    </w:p>
    <w:p>
      <w:pPr>
        <w:spacing w:after="0" w:line="53" w:lineRule="exact"/>
        <w:rPr>
          <w:rFonts w:ascii="Times New Roman" w:cs="Times New Roman" w:eastAsia="Times New Roman" w:hAnsi="Times New Roman"/>
          <w:sz w:val="18"/>
          <w:szCs w:val="18"/>
          <w:color w:val="auto"/>
        </w:rPr>
      </w:pPr>
    </w:p>
    <w:p>
      <w:pPr>
        <w:ind w:right="880" w:firstLine="443"/>
        <w:spacing w:after="0" w:line="282" w:lineRule="auto"/>
        <w:tabs>
          <w:tab w:leader="none" w:pos="7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file, prior to Time of Delivery, with the Maryland State Department of Assessments and Taxation, the Articles Supplementary.</w:t>
      </w:r>
    </w:p>
    <w:p>
      <w:pPr>
        <w:spacing w:after="0" w:line="53" w:lineRule="exact"/>
        <w:rPr>
          <w:rFonts w:ascii="Times New Roman" w:cs="Times New Roman" w:eastAsia="Times New Roman" w:hAnsi="Times New Roman"/>
          <w:sz w:val="18"/>
          <w:szCs w:val="18"/>
          <w:color w:val="auto"/>
        </w:rPr>
      </w:pPr>
    </w:p>
    <w:p>
      <w:pPr>
        <w:ind w:right="280" w:firstLine="443"/>
        <w:spacing w:after="0" w:line="282" w:lineRule="auto"/>
        <w:tabs>
          <w:tab w:leader="none" w:pos="6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cooperate with the Underwriters and use its best efforts to permit the Designated Securities to be eligible for clearance, settlement and trading through the facilities of DTC.</w:t>
      </w:r>
    </w:p>
    <w:p>
      <w:pPr>
        <w:spacing w:after="0" w:line="53" w:lineRule="exact"/>
        <w:rPr>
          <w:rFonts w:ascii="Times New Roman" w:cs="Times New Roman" w:eastAsia="Times New Roman" w:hAnsi="Times New Roman"/>
          <w:sz w:val="18"/>
          <w:szCs w:val="18"/>
          <w:color w:val="auto"/>
        </w:rPr>
      </w:pPr>
    </w:p>
    <w:p>
      <w:pPr>
        <w:ind w:right="120" w:firstLine="443"/>
        <w:spacing w:after="0" w:line="254" w:lineRule="auto"/>
        <w:tabs>
          <w:tab w:leader="none" w:pos="6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Underwriters of such Designated Securities are acting solely in the capacity of an arm’s length contractual counterparty to the Company with respect to the offering of such Designated Securities (including in connection with determining the terms of the offering) and not as a financial advisor or a fiduciary to, or an agent of, the Company or any other person. The Company agrees that it will not claim that the Underwriters, or any of them, has rendered advisory services of any nature or respect, or owes a fiduciary or similar duty to the Company, in connection with such transaction or the process leading thereto.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700" w:top="270" w:right="259" w:bottom="1440" w:gutter="0" w:footer="0" w:header="0"/>
        </w:sectPr>
      </w:pPr>
    </w:p>
    <w:bookmarkStart w:id="24" w:name="page25"/>
    <w:bookmarkEnd w:id="24"/>
    <w:p>
      <w:pPr>
        <w:ind w:left="-8" w:right="60" w:firstLine="464"/>
        <w:spacing w:after="0" w:line="255" w:lineRule="auto"/>
        <w:tabs>
          <w:tab w:leader="none" w:pos="62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covenants and agrees with the several Underwriters that the Company will pay or cause to be paid the following: (i) the fees, disbursements and expenses of the Company’s counsel and accountants in connection with the registration of the Designated Securities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w:t>
      </w:r>
    </w:p>
    <w:p>
      <w:pPr>
        <w:spacing w:after="0" w:line="2" w:lineRule="exact"/>
        <w:rPr>
          <w:rFonts w:ascii="Times New Roman" w:cs="Times New Roman" w:eastAsia="Times New Roman" w:hAnsi="Times New Roman"/>
          <w:sz w:val="18"/>
          <w:szCs w:val="18"/>
          <w:color w:val="auto"/>
        </w:rPr>
      </w:pPr>
    </w:p>
    <w:p>
      <w:pPr>
        <w:ind w:left="-8" w:firstLine="8"/>
        <w:spacing w:after="0" w:line="251" w:lineRule="auto"/>
        <w:tabs>
          <w:tab w:leader="none" w:pos="2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printing or producing any Agreement Among Underwriters, this Underwriting Agreement, any Pricing Agreement, any Blue Sky and legal investment surveys and any other documents in connection with the offering, purchase, sale and delivery of the Designated Securities; (iii) all expenses in connection with the qualification of the Designated Securities for offering and sale under state securities laws as provided in Section 5(d) hereof, including the fees and disbursements of counsel for the Underwriters in connection with such qualification and in connection with the Blue Sky and legal investment surveys; (iv) all expenses in connection with the preparation, issuance and delivery of the Depositary Shares to the Underwriters, including any stock or other transfer taxes and any stamp or other duties payable upon the sale, issuance or delivery of the Depositary Shares to the Underwriters; (v) any fees charged by securities rating services for rating the Designated Securities; (vi) any filing fees incident to any required review by the Financial Industry Regulatory Authority of the terms of the sale of the Designated Securities; (vii) the fees and expenses of any Trustee and any agent of any Trustee and the fees and disbursements of counsel for any Trustee in connection with the Designated Securities; (viii) all other costs and expenses incident to the performance of its obligations hereunder which are not otherwise specifically provided for in this Section 6; (ix) listing fees and (x) the costs and expenses (including without limitation any damages or other amounts payable in connection with legal or contractual liability) associated with the reforming of any contracts for sale of the Designated Securities made by the Underwriters caused by a breach of the representation contained in the sixth paragraph of Section 2(c) hereof. It is understood, however, that, except as provided in this Section 6, Section 8 and Section 11 hereof, the Underwriters will pay all of their own costs and expenses, including the fees of their counsel, transfer taxes on resale of any of the Designated Securities by them, and any advertising expenses connected with any offers they may make.</w:t>
      </w:r>
    </w:p>
    <w:p>
      <w:pPr>
        <w:spacing w:after="0" w:line="191" w:lineRule="exact"/>
        <w:rPr>
          <w:rFonts w:ascii="Times New Roman" w:cs="Times New Roman" w:eastAsia="Times New Roman" w:hAnsi="Times New Roman"/>
          <w:sz w:val="18"/>
          <w:szCs w:val="18"/>
          <w:color w:val="auto"/>
        </w:rPr>
      </w:pPr>
    </w:p>
    <w:p>
      <w:pPr>
        <w:ind w:left="-8" w:right="80" w:firstLine="464"/>
        <w:spacing w:after="0" w:line="258" w:lineRule="auto"/>
        <w:tabs>
          <w:tab w:leader="none" w:pos="62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Underwriting Agreement into, the Pricing Agreement relating to such Designated Securities are, at and as of the Time of Delivery for such Designated Securities (and if applicable, at and as of the Option Closing Time for any such Designated Securities), true and correct, to the condition that the Company shall have performed all of its obligations hereunder theretofore to be performed, and to the following additional conditions:</w:t>
      </w:r>
    </w:p>
    <w:p>
      <w:pPr>
        <w:spacing w:after="0" w:line="11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52"/>
          </w:cols>
          <w:pgMar w:left="248" w:top="270" w:right="299" w:bottom="1440" w:gutter="0" w:footer="0" w:header="0"/>
        </w:sectPr>
      </w:pPr>
    </w:p>
    <w:bookmarkStart w:id="25" w:name="page26"/>
    <w:bookmarkEnd w:id="25"/>
    <w:p>
      <w:pPr>
        <w:ind w:right="20" w:firstLine="443"/>
        <w:spacing w:after="0" w:line="254" w:lineRule="auto"/>
        <w:tabs>
          <w:tab w:leader="none" w:pos="68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Prospectus containing the 430B Information, as amended or supplemented, in relation to the applicable Designated Securities shall have been 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Securities within the time period required by Rule 456(b)(1)(i) under the Act without regard to the proviso therein and otherwise in accordance with Rules 456(b) and 457(r) under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81" w:lineRule="exact"/>
        <w:rPr>
          <w:rFonts w:ascii="Times New Roman" w:cs="Times New Roman" w:eastAsia="Times New Roman" w:hAnsi="Times New Roman"/>
          <w:sz w:val="18"/>
          <w:szCs w:val="18"/>
          <w:color w:val="auto"/>
        </w:rPr>
      </w:pPr>
    </w:p>
    <w:p>
      <w:pPr>
        <w:ind w:right="260" w:firstLine="443"/>
        <w:spacing w:after="0" w:line="258" w:lineRule="auto"/>
        <w:tabs>
          <w:tab w:leader="none" w:pos="69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Sidley Austin </w:t>
      </w:r>
      <w:r>
        <w:rPr>
          <w:rFonts w:ascii="Times New Roman" w:cs="Times New Roman" w:eastAsia="Times New Roman" w:hAnsi="Times New Roman"/>
          <w:sz w:val="15"/>
          <w:szCs w:val="15"/>
          <w:color w:val="auto"/>
        </w:rPr>
        <w:t>LLP</w:t>
      </w:r>
      <w:r>
        <w:rPr>
          <w:rFonts w:ascii="Times New Roman" w:cs="Times New Roman" w:eastAsia="Times New Roman" w:hAnsi="Times New Roman"/>
          <w:sz w:val="18"/>
          <w:szCs w:val="18"/>
          <w:color w:val="auto"/>
        </w:rPr>
        <w:t xml:space="preserve">, counsel for the Underwriters, shall have furnished to the Representatives such opinion or opinions, dated the Time of Delivery for such Designated Securities, with respect to the validity of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Times New Roman" w:cs="Times New Roman" w:eastAsia="Times New Roman" w:hAnsi="Times New Roman"/>
          <w:sz w:val="15"/>
          <w:szCs w:val="15"/>
          <w:color w:val="auto"/>
        </w:rPr>
        <w:t>LLP</w:t>
      </w:r>
      <w:r>
        <w:rPr>
          <w:rFonts w:ascii="Times New Roman" w:cs="Times New Roman" w:eastAsia="Times New Roman" w:hAnsi="Times New Roman"/>
          <w:sz w:val="18"/>
          <w:szCs w:val="18"/>
          <w:color w:val="auto"/>
        </w:rPr>
        <w:t xml:space="preserve"> may rely, as to all matters arising under or governed by the laws of the State of Maryland, on the opinion of Pillsbury Winthrop Shaw Pittman LLP);</w:t>
      </w:r>
    </w:p>
    <w:p>
      <w:pPr>
        <w:spacing w:after="0" w:line="75" w:lineRule="exact"/>
        <w:rPr>
          <w:rFonts w:ascii="Times New Roman" w:cs="Times New Roman" w:eastAsia="Times New Roman" w:hAnsi="Times New Roman"/>
          <w:sz w:val="18"/>
          <w:szCs w:val="18"/>
          <w:color w:val="auto"/>
        </w:rPr>
      </w:pPr>
    </w:p>
    <w:p>
      <w:pPr>
        <w:ind w:firstLine="443"/>
        <w:spacing w:after="0" w:line="266" w:lineRule="auto"/>
        <w:tabs>
          <w:tab w:leader="none" w:pos="68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Pillsbury Winthrop Shaw Pittman LLP, counsel for the Company, shall have furnished to the Representatives their written opinion, dated the Time of Delivery for such Designated Securities, in form and substance satisfactory to the Representatives, substantially similar to the forms set forth in Exhibit C and Exhibit D hereto, subject to such assumptions, exceptions, and qualifications reasonably acceptable to the Representatives;</w:t>
      </w:r>
    </w:p>
    <w:p>
      <w:pPr>
        <w:spacing w:after="0" w:line="68" w:lineRule="exact"/>
        <w:rPr>
          <w:rFonts w:ascii="Times New Roman" w:cs="Times New Roman" w:eastAsia="Times New Roman" w:hAnsi="Times New Roman"/>
          <w:sz w:val="18"/>
          <w:szCs w:val="18"/>
          <w:color w:val="auto"/>
        </w:rPr>
      </w:pPr>
    </w:p>
    <w:p>
      <w:pPr>
        <w:jc w:val="both"/>
        <w:ind w:right="500" w:firstLine="443"/>
        <w:spacing w:after="0" w:line="266" w:lineRule="auto"/>
        <w:tabs>
          <w:tab w:leader="none" w:pos="69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the Pricing Agreement for such Designated Securities and at the Time of Delivery for such Designated Securities, Grant Thornton LLP, the independent accountants of the Company, shall have furnished to the Representatives a “comfort letter” in form and substance satisfactory to the Representatives;</w:t>
      </w:r>
    </w:p>
    <w:p>
      <w:pPr>
        <w:spacing w:after="0" w:line="68" w:lineRule="exact"/>
        <w:rPr>
          <w:rFonts w:ascii="Times New Roman" w:cs="Times New Roman" w:eastAsia="Times New Roman" w:hAnsi="Times New Roman"/>
          <w:sz w:val="18"/>
          <w:szCs w:val="18"/>
          <w:color w:val="auto"/>
        </w:rPr>
      </w:pPr>
    </w:p>
    <w:p>
      <w:pPr>
        <w:ind w:right="140" w:firstLine="443"/>
        <w:spacing w:after="0" w:line="266" w:lineRule="auto"/>
        <w:tabs>
          <w:tab w:leader="none" w:pos="68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Delivery for such Designated Securities, the Company shall have filed the listing application and all required supporting documents with the NYSE with respect to the Designated Securities and shall not have received any information stating that the Designated Securities will not be authorized for trading.</w:t>
      </w:r>
    </w:p>
    <w:p>
      <w:pPr>
        <w:spacing w:after="0" w:line="1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700" w:top="270" w:right="239" w:bottom="1440" w:gutter="0" w:footer="0" w:header="0"/>
        </w:sectPr>
      </w:pPr>
    </w:p>
    <w:bookmarkStart w:id="26" w:name="page27"/>
    <w:bookmarkEnd w:id="26"/>
    <w:p>
      <w:pPr>
        <w:ind w:right="40" w:firstLine="443"/>
        <w:spacing w:after="0" w:line="261" w:lineRule="auto"/>
        <w:tabs>
          <w:tab w:leader="none" w:pos="6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Time of Delivery for such Designated Securities, the Designated Securities shall be rated at least Baa1 by Moody’s Investor’s Service Inc., BBB by Standard &amp; Poor’s Ratings Services and BBB by Fitch Ratings Inc., and the Company shall have delivered to the Representatives a letter dated the Time of Delivery, from each such rating agency, or other evidence satisfactory to the Representatives, confirming that the Designated Securities have such ratings;</w:t>
      </w:r>
    </w:p>
    <w:p>
      <w:pPr>
        <w:spacing w:after="0" w:line="71" w:lineRule="exact"/>
        <w:rPr>
          <w:rFonts w:ascii="Times New Roman" w:cs="Times New Roman" w:eastAsia="Times New Roman" w:hAnsi="Times New Roman"/>
          <w:sz w:val="18"/>
          <w:szCs w:val="18"/>
          <w:color w:val="auto"/>
        </w:rPr>
      </w:pPr>
    </w:p>
    <w:p>
      <w:pPr>
        <w:ind w:firstLine="443"/>
        <w:spacing w:after="0" w:line="252" w:lineRule="auto"/>
        <w:tabs>
          <w:tab w:leader="none" w:pos="69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Neither the Company nor any of its subsidiaries, considered as one enterprise, since the date of the last audited financial statements included or incorporated by reference in the Registration Statement, General Disclosure Package and the Prospectus, shall have sustained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(B) 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(i) conversion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require or permit (in lieu of a payment in cash) the issuance of Common Shares of the Company, (v) the terms of (a) the Equity Distribution Agreement dated November 4, 2016 between the Company and Wells Fargo Securities, LLC, (b) the Equity Distribution Agreement dated November 4, 2016 between the Company and Merrill Lynch, Pierce, Fenner &amp; Smith Incorporated and (c) the Equity Distribution Agreement dated November 4, 2016 between the Company and Citigroup Global Markets Inc., as the same may be amended from time to time or (vi) any non-material acquisition, merger or purchase of assets) or any material increase in the consolidated long-term debt of the Company or any of its subsidiaries or any change, or any development involving a prospective change, in or affecting the general affairs, management, financial position, shareholders’ equity or results of operations of the Company and its subsidiaries, otherwise than as set forth or contemplated in the Prospectus and the General Disclosure Package, the effect of which, in any such case described in clause (A) or (B), is in the judgment of the Representatives so material and adverse as to make it impracticable or inadvisable to proceed with the public offering, sale or the delivery of the Designated Securities on the terms and in the manner contemplated in the Prospectus, as amended or supplemented;</w:t>
      </w:r>
    </w:p>
    <w:p>
      <w:pPr>
        <w:spacing w:after="0" w:line="1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00"/>
          </w:cols>
          <w:pgMar w:left="700" w:top="270" w:right="299" w:bottom="1440" w:gutter="0" w:footer="0" w:header="0"/>
        </w:sectPr>
      </w:pPr>
    </w:p>
    <w:bookmarkStart w:id="27" w:name="page28"/>
    <w:bookmarkEnd w:id="27"/>
    <w:p>
      <w:pPr>
        <w:ind w:right="120" w:firstLine="443"/>
        <w:spacing w:after="0" w:line="261" w:lineRule="auto"/>
        <w:tabs>
          <w:tab w:leader="none" w:pos="69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Section 3(a)(62) under the Exchange Act and (ii) no such organization shall have publicly announced that it has under surveillance or review, with possible negative implications, its rating of any of the Company’s debt securities or preferred shares;</w:t>
      </w:r>
    </w:p>
    <w:p>
      <w:pPr>
        <w:spacing w:after="0" w:line="71" w:lineRule="exact"/>
        <w:rPr>
          <w:rFonts w:ascii="Times New Roman" w:cs="Times New Roman" w:eastAsia="Times New Roman" w:hAnsi="Times New Roman"/>
          <w:sz w:val="18"/>
          <w:szCs w:val="18"/>
          <w:color w:val="auto"/>
        </w:rPr>
      </w:pPr>
    </w:p>
    <w:p>
      <w:pPr>
        <w:ind w:firstLine="443"/>
        <w:spacing w:after="0" w:line="255" w:lineRule="auto"/>
        <w:tabs>
          <w:tab w:leader="none" w:pos="6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date of the Pricing Agreement relating to the Designated Securities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sale or the delivery of the Designated Securities on the terms and in the manner contemplated in the Prospectus, as amended or supplemented;</w:t>
      </w:r>
    </w:p>
    <w:p>
      <w:pPr>
        <w:spacing w:after="0" w:line="77" w:lineRule="exact"/>
        <w:rPr>
          <w:rFonts w:ascii="Times New Roman" w:cs="Times New Roman" w:eastAsia="Times New Roman" w:hAnsi="Times New Roman"/>
          <w:sz w:val="18"/>
          <w:szCs w:val="18"/>
          <w:color w:val="auto"/>
        </w:rPr>
      </w:pPr>
    </w:p>
    <w:p>
      <w:pPr>
        <w:ind w:right="320" w:firstLine="443"/>
        <w:spacing w:after="0" w:line="282" w:lineRule="auto"/>
        <w:tabs>
          <w:tab w:leader="none" w:pos="6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the provisions of Section 5(f) hereof with respect to the furnishing of Prospectuses, as amended or supplemented;</w:t>
      </w:r>
    </w:p>
    <w:p>
      <w:pPr>
        <w:spacing w:after="0" w:line="53" w:lineRule="exact"/>
        <w:rPr>
          <w:rFonts w:ascii="Times New Roman" w:cs="Times New Roman" w:eastAsia="Times New Roman" w:hAnsi="Times New Roman"/>
          <w:sz w:val="18"/>
          <w:szCs w:val="18"/>
          <w:color w:val="auto"/>
        </w:rPr>
      </w:pPr>
    </w:p>
    <w:p>
      <w:pPr>
        <w:ind w:firstLine="443"/>
        <w:spacing w:after="0" w:line="258" w:lineRule="auto"/>
        <w:tabs>
          <w:tab w:leader="none" w:pos="69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(g) of this Section 7 and as to such other matters as the Representatives may reasonably request; and</w:t>
      </w:r>
    </w:p>
    <w:p>
      <w:pPr>
        <w:spacing w:after="0" w:line="75" w:lineRule="exact"/>
        <w:rPr>
          <w:rFonts w:ascii="Times New Roman" w:cs="Times New Roman" w:eastAsia="Times New Roman" w:hAnsi="Times New Roman"/>
          <w:sz w:val="18"/>
          <w:szCs w:val="18"/>
          <w:color w:val="auto"/>
        </w:rPr>
      </w:pPr>
    </w:p>
    <w:p>
      <w:pPr>
        <w:ind w:right="20" w:firstLine="443"/>
        <w:spacing w:after="0" w:line="258" w:lineRule="auto"/>
        <w:tabs>
          <w:tab w:leader="none" w:pos="6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Pricing Agreement with respect to the Designated Securities grants the Underwriter an option to purchase Option Depositary Shares from the Company and the Representatives exercise such option to purchase all or any of the Option Depositary Shares, the obligations of the Underwriters to purchase such Option Depositary Shares at the Option Closing Time shall be subject to the further conditions that the Representatives shall have received legal opinions of Sidley Austin </w:t>
      </w:r>
      <w:r>
        <w:rPr>
          <w:rFonts w:ascii="Times New Roman" w:cs="Times New Roman" w:eastAsia="Times New Roman" w:hAnsi="Times New Roman"/>
          <w:sz w:val="15"/>
          <w:szCs w:val="15"/>
          <w:color w:val="auto"/>
        </w:rPr>
        <w:t>LLP</w:t>
      </w:r>
      <w:r>
        <w:rPr>
          <w:rFonts w:ascii="Times New Roman" w:cs="Times New Roman" w:eastAsia="Times New Roman" w:hAnsi="Times New Roman"/>
          <w:sz w:val="18"/>
          <w:szCs w:val="18"/>
          <w:color w:val="auto"/>
        </w:rPr>
        <w:t xml:space="preserve"> and Pillsbury Winthrop Shaw Pittman LLP, dated such Option Closing Time, relating to the Option Shares to be purchased and otherwise to the same effect as the respective opinions</w:t>
      </w:r>
    </w:p>
    <w:p>
      <w:pPr>
        <w:spacing w:after="0" w:line="1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700" w:top="270" w:right="239" w:bottom="1440" w:gutter="0" w:footer="0" w:header="0"/>
        </w:sectPr>
      </w:pPr>
    </w:p>
    <w:bookmarkStart w:id="28" w:name="page29"/>
    <w:bookmarkEnd w:id="28"/>
    <w:p>
      <w:pPr>
        <w:jc w:val="both"/>
        <w:ind w:left="440"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referred to in Sections 7(b) and (c), a certificate or certificates of officers of the Company, dated such Option Closing Time, to the same effect as the certificate or certificates required pursuant to Section 7(d), and a “comfort letter,” dated such Option Closing Time, from Grant Thornton LLP in the same form and substance as the letter furnished to the Representatives at the Time of Delivery except that the “specified date” in such letter shall be a date not more than five days prior to such Option Closing Time, and that all of the foregoing are satisfactory to the Representatives.</w:t>
      </w:r>
    </w:p>
    <w:p>
      <w:pPr>
        <w:spacing w:after="0" w:line="180" w:lineRule="exact"/>
        <w:rPr>
          <w:sz w:val="20"/>
          <w:szCs w:val="20"/>
          <w:color w:val="auto"/>
        </w:rPr>
      </w:pPr>
    </w:p>
    <w:p>
      <w:pPr>
        <w:ind w:left="-20" w:right="20" w:firstLine="464"/>
        <w:spacing w:after="0" w:line="252" w:lineRule="auto"/>
        <w:tabs>
          <w:tab w:leader="none" w:pos="6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will indemnify and hold harmless each Underwriter, its affiliates, its directors, its officers and each person, if any, who controls such Underwriter within the meaning of Section 15 of the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Designated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Designated Securities, or any such amendment or supplement in reliance upon and in conformity with written information furnished to the Company by any Underwriter of Designated Securities through the Representatives expressly for use therein.</w:t>
      </w:r>
    </w:p>
    <w:p>
      <w:pPr>
        <w:spacing w:after="0" w:line="199" w:lineRule="exact"/>
        <w:rPr>
          <w:sz w:val="20"/>
          <w:szCs w:val="20"/>
          <w:color w:val="auto"/>
        </w:rPr>
      </w:pPr>
    </w:p>
    <w:p>
      <w:pPr>
        <w:ind w:left="-20" w:firstLine="464"/>
        <w:spacing w:after="0" w:line="255" w:lineRule="auto"/>
        <w:tabs>
          <w:tab w:leader="none" w:pos="69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will indemnify and hold harmless the Company, its trustees, its officers who signed the Registration Statement and each person, if any, who controls the Company within the meaning of Section 15 of the Act or Section 20 of the Exchange Act to the same extent as the indemnity set forth in paragraph (a) above, but only with respect to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Designated Securities, or any amendment 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60" w:top="270" w:right="259" w:bottom="1440" w:gutter="0" w:footer="0" w:header="0"/>
        </w:sectPr>
      </w:pPr>
    </w:p>
    <w:bookmarkStart w:id="29" w:name="page30"/>
    <w:bookmarkEnd w:id="2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Designated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89" w:lineRule="exact"/>
        <w:rPr>
          <w:sz w:val="20"/>
          <w:szCs w:val="20"/>
          <w:color w:val="auto"/>
        </w:rPr>
      </w:pPr>
    </w:p>
    <w:p>
      <w:pPr>
        <w:ind w:right="40" w:firstLine="464"/>
        <w:spacing w:after="0" w:line="252" w:lineRule="auto"/>
        <w:tabs>
          <w:tab w:leader="none" w:pos="70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98"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8 is unavailable to or insufficient to hold harmless an indemnified party under subsection (a) or</w:t>
      </w:r>
    </w:p>
    <w:p>
      <w:pPr>
        <w:spacing w:after="0" w:line="27" w:lineRule="exact"/>
        <w:rPr>
          <w:rFonts w:ascii="Times New Roman" w:cs="Times New Roman" w:eastAsia="Times New Roman" w:hAnsi="Times New Roman"/>
          <w:sz w:val="18"/>
          <w:szCs w:val="18"/>
          <w:color w:val="auto"/>
        </w:rPr>
      </w:pPr>
    </w:p>
    <w:p>
      <w:pPr>
        <w:ind w:right="220" w:firstLine="8"/>
        <w:spacing w:after="0" w:line="255"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0" w:right="239" w:bottom="1440" w:gutter="0" w:footer="0" w:header="0"/>
        </w:sectPr>
      </w:pPr>
    </w:p>
    <w:bookmarkStart w:id="30" w:name="page31"/>
    <w:bookmarkEnd w:id="3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Designated Securities and not joint.</w:t>
      </w:r>
    </w:p>
    <w:p>
      <w:pPr>
        <w:spacing w:after="0" w:line="189" w:lineRule="exact"/>
        <w:rPr>
          <w:sz w:val="20"/>
          <w:szCs w:val="20"/>
          <w:color w:val="auto"/>
        </w:rPr>
      </w:pPr>
    </w:p>
    <w:p>
      <w:pPr>
        <w:ind w:right="100" w:firstLine="464"/>
        <w:spacing w:after="0" w:line="258" w:lineRule="auto"/>
        <w:tabs>
          <w:tab w:leader="none" w:pos="70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to each trustee of the Company and to each person, if any, who controls the Company within the meaning of the Act.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270" w:right="259" w:bottom="1440" w:gutter="0" w:footer="0" w:header="0"/>
        </w:sectPr>
      </w:pPr>
    </w:p>
    <w:bookmarkStart w:id="31" w:name="page32"/>
    <w:bookmarkEnd w:id="31"/>
    <w:p>
      <w:pPr>
        <w:ind w:left="-40" w:firstLine="464"/>
        <w:spacing w:after="0" w:line="253" w:lineRule="auto"/>
        <w:tabs>
          <w:tab w:leader="none" w:pos="5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If any Underwriter shall default in its obligation to purchase the Designated Securities which it has agreed to purchase at the Time of Delivery or, if applicable, at the Option Closing Time,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or the Option Closing Time, a the case may be,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9 with like effect as if such person had originally been a party to the Pricing Agreement with respect to such Designated Securities.</w:t>
      </w:r>
    </w:p>
    <w:p>
      <w:pPr>
        <w:spacing w:after="0" w:line="189" w:lineRule="exact"/>
        <w:rPr>
          <w:sz w:val="20"/>
          <w:szCs w:val="20"/>
          <w:color w:val="auto"/>
        </w:rPr>
      </w:pPr>
    </w:p>
    <w:p>
      <w:pPr>
        <w:ind w:left="-40" w:right="80" w:firstLine="464"/>
        <w:spacing w:after="0" w:line="255" w:lineRule="auto"/>
        <w:tabs>
          <w:tab w:leader="none" w:pos="6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Designated Securities of a defaulting Underwriter or Underwriters by the Representatives and the Company as provided in subsection (a) above, the aggregate number of such Designated Securities which remains unpurchased does not exceed one-tenth of the aggregate number of the Designated Securities to be purchased at the Time of Delivery or the Option Closing Time, as the case may be, then the Company shall have the right to require each non-defaulting Underwriter to purchase the number of Designated Securities which such Underwriter agreed to purchase at the Time of Delivery under the Pricing Agreement relating to such Designated Securities and, in addition, to require each non-defaulting Underwriter to purchase its pro rata share (based on the number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85" w:lineRule="exact"/>
        <w:rPr>
          <w:rFonts w:ascii="Times New Roman" w:cs="Times New Roman" w:eastAsia="Times New Roman" w:hAnsi="Times New Roman"/>
          <w:sz w:val="18"/>
          <w:szCs w:val="18"/>
          <w:color w:val="auto"/>
        </w:rPr>
      </w:pPr>
    </w:p>
    <w:p>
      <w:pPr>
        <w:ind w:left="-40" w:right="200" w:firstLine="464"/>
        <w:spacing w:after="0" w:line="266" w:lineRule="auto"/>
        <w:tabs>
          <w:tab w:leader="none" w:pos="66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Designated Securities of a defaulting Underwriter or Underwriters by the Representatives and the Company as provided in subsection (a) above, the aggregate number of Designated Securities which remains unpurchased exceeds one-tenth of the aggregate number of the Designated Securities to be purchased at the Time of Delivery, as referred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40"/>
          </w:cols>
          <w:pgMar w:left="280" w:top="270" w:right="279" w:bottom="1440" w:gutter="0" w:footer="0" w:header="0"/>
        </w:sectPr>
      </w:pPr>
    </w:p>
    <w:bookmarkStart w:id="32" w:name="page33"/>
    <w:bookmarkEnd w:id="32"/>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in subsection (b) 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84" w:lineRule="exact"/>
        <w:rPr>
          <w:sz w:val="20"/>
          <w:szCs w:val="20"/>
          <w:color w:val="auto"/>
        </w:rPr>
      </w:pPr>
    </w:p>
    <w:p>
      <w:pPr>
        <w:ind w:right="40" w:firstLine="464"/>
        <w:spacing w:after="0" w:line="258" w:lineRule="auto"/>
        <w:tabs>
          <w:tab w:leader="none" w:pos="72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indemnities, agreements, representations, warranties and other statements of the Company and the several Underwriters, as set forth in this Underwriting Agreement or made by or on behalf of them, respectively, pursuant to this 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Designated Securities.</w:t>
      </w:r>
    </w:p>
    <w:p>
      <w:pPr>
        <w:spacing w:after="0" w:line="183" w:lineRule="exact"/>
        <w:rPr>
          <w:rFonts w:ascii="Times New Roman" w:cs="Times New Roman" w:eastAsia="Times New Roman" w:hAnsi="Times New Roman"/>
          <w:sz w:val="18"/>
          <w:szCs w:val="18"/>
          <w:color w:val="auto"/>
        </w:rPr>
      </w:pPr>
    </w:p>
    <w:p>
      <w:pPr>
        <w:ind w:firstLine="464"/>
        <w:spacing w:after="0" w:line="255"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Pricing Agreement shall be terminated pursuant to Section 9 hereof, the Company shall not then have any liability to any Underwriter with respect to the Designated Securities covered by such Pricing Agreement except as provided in Section 6 and Section 8 hereof. If this Underwriting Agreement shall be terminated as a result of any of the conditions set forth in Section 7 (other than clause (i), (iii) or (iv) of Section 7(i))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have no further liability to any Underwriter with respect to such Designated Securities except as provided in Section 6 and Section 8 hereof.</w:t>
      </w:r>
    </w:p>
    <w:p>
      <w:pPr>
        <w:spacing w:after="0" w:line="189" w:lineRule="exact"/>
        <w:rPr>
          <w:rFonts w:ascii="Times New Roman" w:cs="Times New Roman" w:eastAsia="Times New Roman" w:hAnsi="Times New Roman"/>
          <w:sz w:val="18"/>
          <w:szCs w:val="18"/>
          <w:color w:val="auto"/>
        </w:rPr>
      </w:pPr>
    </w:p>
    <w:p>
      <w:pPr>
        <w:ind w:right="20" w:firstLine="464"/>
        <w:spacing w:after="0" w:line="266" w:lineRule="auto"/>
        <w:tabs>
          <w:tab w:leader="none" w:pos="72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7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270" w:right="259" w:bottom="1440" w:gutter="0" w:footer="0" w:header="0"/>
        </w:sectPr>
      </w:pPr>
    </w:p>
    <w:bookmarkStart w:id="33" w:name="page34"/>
    <w:bookmarkEnd w:id="33"/>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76" w:lineRule="exact"/>
        <w:rPr>
          <w:sz w:val="20"/>
          <w:szCs w:val="20"/>
          <w:color w:val="auto"/>
        </w:rPr>
      </w:pPr>
    </w:p>
    <w:p>
      <w:pPr>
        <w:ind w:right="140" w:firstLine="464"/>
        <w:spacing w:after="0" w:line="282" w:lineRule="auto"/>
        <w:tabs>
          <w:tab w:leader="none" w:pos="72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irrevocably waives, to the fullest extent permitted by applicable law, any and all right to trial by jury in any legal proceeding arising out of or relating to this Agreement or the transactions contemplated hereby.</w:t>
      </w:r>
    </w:p>
    <w:p>
      <w:pPr>
        <w:spacing w:after="0" w:line="161" w:lineRule="exact"/>
        <w:rPr>
          <w:rFonts w:ascii="Times New Roman" w:cs="Times New Roman" w:eastAsia="Times New Roman" w:hAnsi="Times New Roman"/>
          <w:sz w:val="18"/>
          <w:szCs w:val="18"/>
          <w:color w:val="auto"/>
        </w:rPr>
      </w:pPr>
    </w:p>
    <w:p>
      <w:pPr>
        <w:ind w:firstLine="464"/>
        <w:spacing w:after="0" w:line="258" w:lineRule="auto"/>
        <w:tabs>
          <w:tab w:leader="none" w:pos="72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if any, who controls the Company or any Underwriter, and their respective heirs, executors, administrators, successors and assigns, and no other person shall acquire or have any right under or by virtue of this Underwriting Agreement or any such Pricing Agreement. No purchaser of any of the Designated Securities from any Underwriter shall be deemed a successor or assign by reason merely of such purchase.</w:t>
      </w:r>
    </w:p>
    <w:p>
      <w:pPr>
        <w:spacing w:after="0" w:line="183" w:lineRule="exact"/>
        <w:rPr>
          <w:rFonts w:ascii="Times New Roman" w:cs="Times New Roman" w:eastAsia="Times New Roman" w:hAnsi="Times New Roman"/>
          <w:sz w:val="18"/>
          <w:szCs w:val="18"/>
          <w:color w:val="auto"/>
        </w:rPr>
      </w:pPr>
    </w:p>
    <w:p>
      <w:pPr>
        <w:ind w:right="500" w:firstLine="464"/>
        <w:spacing w:after="0" w:line="282" w:lineRule="auto"/>
        <w:tabs>
          <w:tab w:leader="none" w:pos="72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shall be of the essence of each Pricing Agreement. As used herein, “business day” shall mean any day when the Commission’s office in Washington, D.C. is open for business.</w:t>
      </w:r>
    </w:p>
    <w:p>
      <w:pPr>
        <w:spacing w:after="0" w:line="161" w:lineRule="exact"/>
        <w:rPr>
          <w:rFonts w:ascii="Times New Roman" w:cs="Times New Roman" w:eastAsia="Times New Roman" w:hAnsi="Times New Roman"/>
          <w:sz w:val="18"/>
          <w:szCs w:val="18"/>
          <w:color w:val="auto"/>
        </w:rPr>
      </w:pPr>
    </w:p>
    <w:p>
      <w:pPr>
        <w:ind w:left="740" w:hanging="276"/>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Underwriting Agreement and each Pricing Agreement shall be governed by and construed in accordance with the laws of the State of New</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York.</w:t>
      </w:r>
    </w:p>
    <w:p>
      <w:pPr>
        <w:spacing w:after="0" w:line="206" w:lineRule="exact"/>
        <w:rPr>
          <w:rFonts w:ascii="Times New Roman" w:cs="Times New Roman" w:eastAsia="Times New Roman" w:hAnsi="Times New Roman"/>
          <w:sz w:val="18"/>
          <w:szCs w:val="18"/>
          <w:color w:val="auto"/>
        </w:rPr>
      </w:pPr>
    </w:p>
    <w:p>
      <w:pPr>
        <w:ind w:right="120" w:firstLine="464"/>
        <w:spacing w:after="0" w:line="282" w:lineRule="auto"/>
        <w:tabs>
          <w:tab w:leader="none" w:pos="72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0"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Underwriting Agreement to us.</w:t>
      </w:r>
    </w:p>
    <w:p>
      <w:pPr>
        <w:spacing w:after="0" w:line="25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5"/>
          <w:szCs w:val="15"/>
          <w:b w:val="1"/>
          <w:bCs w:val="1"/>
          <w:color w:val="auto"/>
        </w:rPr>
        <w:t>EDERAL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EALTY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NVESTMENT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RUST</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  /s/ Daniel Guglielmone</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-127635</wp:posOffset>
            </wp:positionV>
            <wp:extent cx="26587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Title: Executive Vice President-Chief Financial</w:t>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Officer and Treasurer</w:t>
      </w: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[Underwriting Agreement Signature Page]</w:t>
      </w:r>
    </w:p>
    <w:p>
      <w:pPr>
        <w:sectPr>
          <w:pgSz w:w="11900" w:h="16838" w:orient="portrait"/>
          <w:cols w:equalWidth="0" w:num="1">
            <w:col w:w="10180"/>
          </w:cols>
          <w:pgMar w:left="700" w:top="270" w:right="10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w:t>
      </w:r>
      <w:r>
        <w:rPr>
          <w:rFonts w:ascii="Times New Roman" w:cs="Times New Roman" w:eastAsia="Times New Roman" w:hAnsi="Times New Roman"/>
          <w:sz w:val="15"/>
          <w:szCs w:val="15"/>
          <w:color w:val="auto"/>
        </w:rPr>
        <w:t>ERRILL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5"/>
          <w:szCs w:val="15"/>
          <w:color w:val="auto"/>
        </w:rPr>
        <w:t>YNCH</w:t>
      </w:r>
      <w:r>
        <w:rPr>
          <w:rFonts w:ascii="Times New Roman" w:cs="Times New Roman" w:eastAsia="Times New Roman" w:hAnsi="Times New Roman"/>
          <w:sz w:val="18"/>
          <w:szCs w:val="18"/>
          <w:color w:val="auto"/>
        </w:rPr>
        <w:t>, P</w:t>
      </w:r>
      <w:r>
        <w:rPr>
          <w:rFonts w:ascii="Times New Roman" w:cs="Times New Roman" w:eastAsia="Times New Roman" w:hAnsi="Times New Roman"/>
          <w:sz w:val="15"/>
          <w:szCs w:val="15"/>
          <w:color w:val="auto"/>
        </w:rPr>
        <w:t>IERCE</w:t>
      </w:r>
      <w:r>
        <w:rPr>
          <w:rFonts w:ascii="Times New Roman" w:cs="Times New Roman" w:eastAsia="Times New Roman" w:hAnsi="Times New Roman"/>
          <w:sz w:val="18"/>
          <w:szCs w:val="18"/>
          <w:color w:val="auto"/>
        </w:rPr>
        <w:t>, F</w:t>
      </w:r>
      <w:r>
        <w:rPr>
          <w:rFonts w:ascii="Times New Roman" w:cs="Times New Roman" w:eastAsia="Times New Roman" w:hAnsi="Times New Roman"/>
          <w:sz w:val="15"/>
          <w:szCs w:val="15"/>
          <w:color w:val="auto"/>
        </w:rPr>
        <w:t>ENNER</w:t>
      </w:r>
      <w:r>
        <w:rPr>
          <w:rFonts w:ascii="Times New Roman" w:cs="Times New Roman" w:eastAsia="Times New Roman" w:hAnsi="Times New Roman"/>
          <w:sz w:val="18"/>
          <w:szCs w:val="18"/>
          <w:color w:val="auto"/>
        </w:rPr>
        <w:t xml:space="preserve"> &amp; S</w:t>
      </w:r>
      <w:r>
        <w:rPr>
          <w:rFonts w:ascii="Times New Roman" w:cs="Times New Roman" w:eastAsia="Times New Roman" w:hAnsi="Times New Roman"/>
          <w:sz w:val="15"/>
          <w:szCs w:val="15"/>
          <w:color w:val="auto"/>
        </w:rPr>
        <w:t>MITH</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5"/>
          <w:szCs w:val="15"/>
          <w:color w:val="auto"/>
        </w:rPr>
        <w:t>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w:t>
      </w:r>
      <w:r>
        <w:rPr>
          <w:rFonts w:ascii="Times New Roman" w:cs="Times New Roman" w:eastAsia="Times New Roman" w:hAnsi="Times New Roman"/>
          <w:sz w:val="15"/>
          <w:szCs w:val="15"/>
          <w:color w:val="auto"/>
        </w:rPr>
        <w:t>ECURITIES</w:t>
      </w:r>
      <w:r>
        <w:rPr>
          <w:rFonts w:ascii="Times New Roman" w:cs="Times New Roman" w:eastAsia="Times New Roman" w:hAnsi="Times New Roman"/>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5"/>
          <w:szCs w:val="15"/>
          <w:color w:val="auto"/>
        </w:rPr>
        <w:t>ELLS</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5"/>
          <w:szCs w:val="15"/>
          <w:color w:val="auto"/>
        </w:rPr>
        <w:t>ARGO</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ECURITIES</w:t>
      </w:r>
      <w:r>
        <w:rPr>
          <w:rFonts w:ascii="Times New Roman" w:cs="Times New Roman" w:eastAsia="Times New Roman" w:hAnsi="Times New Roman"/>
          <w:sz w:val="18"/>
          <w:szCs w:val="18"/>
          <w:color w:val="auto"/>
        </w:rPr>
        <w:t>, LLC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Merrill Lynch, Pierce, Fenner &amp; Smith</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Incorporated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Chris Porter</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Chris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Managing Director, Investment Banking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UBS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Christopher Forshner</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Christopher Forshner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Managing Director, UBS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Prath Reddy</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Prath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Director, UBS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Carolyn Hurley</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as Representatives of the Underwriters named in Schedule I to the Pricing Agreement dated the date hereof.</w:t>
      </w:r>
    </w:p>
    <w:p>
      <w:pPr>
        <w:spacing w:after="0" w:line="2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i w:val="1"/>
          <w:iCs w:val="1"/>
          <w:color w:val="auto"/>
        </w:rPr>
        <w:t>[Underwriting Agreement Signature Page]</w:t>
      </w:r>
    </w:p>
    <w:p>
      <w:pPr>
        <w:sectPr>
          <w:pgSz w:w="11900" w:h="16838" w:orient="portrait"/>
          <w:cols w:equalWidth="0" w:num="1">
            <w:col w:w="10219"/>
          </w:cols>
          <w:pgMar w:left="240" w:top="270"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Pricing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25,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Federal Realty Investment Trust, a Maryland real estate investment trust (the “Company”), proposes, subject to the terms and conditions stated herein and in the Underwriting Agreement, dated September 25, 2017 (the “Underwriting Agreement”), between the Company on the one hand and Merrill Lynch, Pierce, Fenner &amp; Smith Incorporated, UBS Securities LLC and Wells Fargo Securities, LLC, acting for themselves and as representatives of the Underwriters named in Schedule I hereto (collectively, the “Underwriters”), on the other hand, to issue and sell to the Underwriters the depositary shares, each such depositary share representing ownership of 1/1000 interest in a share of the Company’s 5.000% Series C Cumulative Redeemable Preferred Shares (the “Preferred Shares”) (the “Depositary Shares”), specified in Schedule II hereto.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w:t>
      </w:r>
    </w:p>
    <w:p>
      <w:pPr>
        <w:sectPr>
          <w:pgSz w:w="11900" w:h="16838" w:orient="portrait"/>
          <w:cols w:equalWidth="0" w:num="1">
            <w:col w:w="11420"/>
          </w:cols>
          <w:pgMar w:left="240" w:top="266" w:right="239" w:bottom="1440" w:gutter="0" w:footer="0" w:header="0"/>
        </w:sectPr>
      </w:pPr>
    </w:p>
    <w:bookmarkStart w:id="37" w:name="page38"/>
    <w:bookmarkEnd w:id="3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88"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A supplement to the Prospectus relating to the Designated Securities, in the form heretofore delivered to you, is now proposed to be filed with the Commission.</w:t>
      </w:r>
    </w:p>
    <w:p>
      <w:pPr>
        <w:spacing w:after="0" w:line="162"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number of Depositary Shares set forth opposite the name of such Underwriter in Schedule I hereto.</w:t>
      </w:r>
    </w:p>
    <w:p>
      <w:pPr>
        <w:spacing w:after="0" w:line="18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addition, subject to the terms and conditions set forth herein and in the Underwriting Agreement incorporated herein by reference, the Company hereby grants an option to the Representatives to purchase up to the number of Option Depositary Shares (as defined in Schedule II hereto) specified in Schedule II hereto at the place and purchase price to the Representatives set forth in Schedule II hereto and at the Option Closing Time specified by the Representatives as provided below. The option hereby granted will expire at 11:59 p.m. (New York City time) on the 30th day after the date of this Pricing Agreement and may be exercised once, in whole or in part, upon notice by the Underwriter to the Company setting forth the number of Option Depositary Shares as to which the Representatives are then exercising the option and the Option Closing Time for such Option Depositary Shares. Any such Option Closing Time shall be determined by the Representatives but shall not be later than seven full business days after the exercise of such option nor in any event prior to the Time of Delivery. If the option is exercised as to all or any portion of the Option Depositary Shares, the Representatives will be obligated to purchase that number of Option Depositary Shares, and the Company shall be obligated to issue and sell such Option Depositary Shares to the Underwriter, subject to the terms and conditions set forth herein and in the Underwriting Agreement incorporated by reference herein.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obligations of the Underwriters under this Pricing Agreement and the Underwriting Agreement incorporated herein are several and not joint.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Pricing Agreement shall be governed by and construed in accordance with the laws of the State of New York</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 A-2</w:t>
      </w:r>
    </w:p>
    <w:p>
      <w:pPr>
        <w:sectPr>
          <w:pgSz w:w="11900" w:h="16838" w:orient="portrait"/>
          <w:cols w:equalWidth="0" w:num="1">
            <w:col w:w="11360"/>
          </w:cols>
          <w:pgMar w:left="240" w:top="270" w:right="299" w:bottom="1440" w:gutter="0" w:footer="0" w:header="0"/>
        </w:sectPr>
      </w:pPr>
    </w:p>
    <w:bookmarkStart w:id="38" w:name="page39"/>
    <w:bookmarkEnd w:id="38"/>
    <w:p>
      <w:pPr>
        <w:ind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5"/>
          <w:szCs w:val="15"/>
          <w:b w:val="1"/>
          <w:bCs w:val="1"/>
          <w:color w:val="auto"/>
        </w:rPr>
        <w:t>EDERAL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EALTY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NVESTMENT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RUST</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[Pricing Agreement Signature Page]</w:t>
      </w:r>
    </w:p>
    <w:p>
      <w:pPr>
        <w:sectPr>
          <w:pgSz w:w="11900" w:h="16838" w:orient="portrait"/>
          <w:cols w:equalWidth="0" w:num="1">
            <w:col w:w="11340"/>
          </w:cols>
          <w:pgMar w:left="240" w:top="27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w:t>
      </w:r>
      <w:r>
        <w:rPr>
          <w:rFonts w:ascii="Times New Roman" w:cs="Times New Roman" w:eastAsia="Times New Roman" w:hAnsi="Times New Roman"/>
          <w:sz w:val="15"/>
          <w:szCs w:val="15"/>
          <w:color w:val="auto"/>
        </w:rPr>
        <w:t>ERRILL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5"/>
          <w:szCs w:val="15"/>
          <w:color w:val="auto"/>
        </w:rPr>
        <w:t>YNCH</w:t>
      </w:r>
      <w:r>
        <w:rPr>
          <w:rFonts w:ascii="Times New Roman" w:cs="Times New Roman" w:eastAsia="Times New Roman" w:hAnsi="Times New Roman"/>
          <w:sz w:val="18"/>
          <w:szCs w:val="18"/>
          <w:color w:val="auto"/>
        </w:rPr>
        <w:t>, P</w:t>
      </w:r>
      <w:r>
        <w:rPr>
          <w:rFonts w:ascii="Times New Roman" w:cs="Times New Roman" w:eastAsia="Times New Roman" w:hAnsi="Times New Roman"/>
          <w:sz w:val="15"/>
          <w:szCs w:val="15"/>
          <w:color w:val="auto"/>
        </w:rPr>
        <w:t>IERCE</w:t>
      </w:r>
      <w:r>
        <w:rPr>
          <w:rFonts w:ascii="Times New Roman" w:cs="Times New Roman" w:eastAsia="Times New Roman" w:hAnsi="Times New Roman"/>
          <w:sz w:val="18"/>
          <w:szCs w:val="18"/>
          <w:color w:val="auto"/>
        </w:rPr>
        <w:t>, F</w:t>
      </w:r>
      <w:r>
        <w:rPr>
          <w:rFonts w:ascii="Times New Roman" w:cs="Times New Roman" w:eastAsia="Times New Roman" w:hAnsi="Times New Roman"/>
          <w:sz w:val="15"/>
          <w:szCs w:val="15"/>
          <w:color w:val="auto"/>
        </w:rPr>
        <w:t>ENNER</w:t>
      </w:r>
      <w:r>
        <w:rPr>
          <w:rFonts w:ascii="Times New Roman" w:cs="Times New Roman" w:eastAsia="Times New Roman" w:hAnsi="Times New Roman"/>
          <w:sz w:val="18"/>
          <w:szCs w:val="18"/>
          <w:color w:val="auto"/>
        </w:rPr>
        <w:t xml:space="preserve"> &amp; S</w:t>
      </w:r>
      <w:r>
        <w:rPr>
          <w:rFonts w:ascii="Times New Roman" w:cs="Times New Roman" w:eastAsia="Times New Roman" w:hAnsi="Times New Roman"/>
          <w:sz w:val="15"/>
          <w:szCs w:val="15"/>
          <w:color w:val="auto"/>
        </w:rPr>
        <w:t>MITH</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5"/>
          <w:szCs w:val="15"/>
          <w:color w:val="auto"/>
        </w:rPr>
        <w:t>NCORPORATED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w:t>
      </w:r>
      <w:r>
        <w:rPr>
          <w:rFonts w:ascii="Times New Roman" w:cs="Times New Roman" w:eastAsia="Times New Roman" w:hAnsi="Times New Roman"/>
          <w:sz w:val="15"/>
          <w:szCs w:val="15"/>
          <w:color w:val="auto"/>
        </w:rPr>
        <w:t>ECURITIES</w:t>
      </w:r>
      <w:r>
        <w:rPr>
          <w:rFonts w:ascii="Times New Roman" w:cs="Times New Roman" w:eastAsia="Times New Roman" w:hAnsi="Times New Roman"/>
          <w:sz w:val="18"/>
          <w:szCs w:val="18"/>
          <w:color w:val="auto"/>
        </w:rPr>
        <w:t xml:space="preserv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5"/>
          <w:szCs w:val="15"/>
          <w:color w:val="auto"/>
        </w:rPr>
        <w:t>ELLS</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5"/>
          <w:szCs w:val="15"/>
          <w:color w:val="auto"/>
        </w:rPr>
        <w:t>ARGO</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ECURITIES</w:t>
      </w:r>
      <w:r>
        <w:rPr>
          <w:rFonts w:ascii="Times New Roman" w:cs="Times New Roman" w:eastAsia="Times New Roman" w:hAnsi="Times New Roman"/>
          <w:sz w:val="18"/>
          <w:szCs w:val="18"/>
          <w:color w:val="auto"/>
        </w:rPr>
        <w:t>,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Incorporated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as Representatives of the Underwriters named in Schedule I to this Pricing Agreement.</w:t>
      </w:r>
    </w:p>
    <w:p>
      <w:pPr>
        <w:spacing w:after="0" w:line="2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i w:val="1"/>
          <w:iCs w:val="1"/>
          <w:color w:val="auto"/>
        </w:rPr>
        <w:t>[Pricing Agreement Signature Page]</w:t>
      </w:r>
    </w:p>
    <w:p>
      <w:pPr>
        <w:sectPr>
          <w:pgSz w:w="11900" w:h="16838" w:orient="portrait"/>
          <w:cols w:equalWidth="0" w:num="1">
            <w:col w:w="10219"/>
          </w:cols>
          <w:pgMar w:left="240" w:top="270"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3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400" w:type="dxa"/>
            <w:vAlign w:val="bottom"/>
            <w:vMerge w:val="restart"/>
          </w:tcPr>
          <w:p>
            <w:pPr>
              <w:spacing w:after="0"/>
              <w:rPr>
                <w:sz w:val="13"/>
                <w:szCs w:val="13"/>
                <w:color w:val="auto"/>
              </w:rPr>
            </w:pPr>
          </w:p>
        </w:tc>
        <w:tc>
          <w:tcPr>
            <w:tcW w:w="13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Initial</w:t>
            </w:r>
          </w:p>
        </w:tc>
        <w:tc>
          <w:tcPr>
            <w:tcW w:w="19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Number of Option</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25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Depositary Shares</w:t>
            </w:r>
          </w:p>
        </w:tc>
        <w:tc>
          <w:tcPr>
            <w:tcW w:w="780" w:type="dxa"/>
            <w:vAlign w:val="bottom"/>
          </w:tcPr>
          <w:p>
            <w:pPr>
              <w:spacing w:after="0"/>
              <w:rPr>
                <w:sz w:val="15"/>
                <w:szCs w:val="15"/>
                <w:color w:val="auto"/>
              </w:rPr>
            </w:pPr>
          </w:p>
        </w:tc>
        <w:tc>
          <w:tcPr>
            <w:tcW w:w="12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Depositary Shares</w:t>
            </w:r>
          </w:p>
        </w:tc>
        <w:tc>
          <w:tcPr>
            <w:tcW w:w="0" w:type="dxa"/>
            <w:vAlign w:val="bottom"/>
          </w:tcPr>
          <w:p>
            <w:pPr>
              <w:spacing w:after="0"/>
              <w:rPr>
                <w:sz w:val="1"/>
                <w:szCs w:val="1"/>
                <w:color w:val="auto"/>
              </w:rPr>
            </w:pPr>
          </w:p>
        </w:tc>
      </w:tr>
      <w:tr>
        <w:trPr>
          <w:trHeight w:val="171"/>
        </w:trPr>
        <w:tc>
          <w:tcPr>
            <w:tcW w:w="418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13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780" w:type="dxa"/>
            <w:vAlign w:val="bottom"/>
            <w:shd w:val="clear" w:color="auto" w:fill="CCEEFF"/>
          </w:tcPr>
          <w:p>
            <w:pPr>
              <w:spacing w:after="0"/>
              <w:rPr>
                <w:sz w:val="21"/>
                <w:szCs w:val="21"/>
                <w:color w:val="auto"/>
              </w:rPr>
            </w:pPr>
          </w:p>
        </w:tc>
        <w:tc>
          <w:tcPr>
            <w:tcW w:w="3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Incorporated</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1,440,000</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1,440,000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1,440,000</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7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 I to Exhibit A</w:t>
      </w:r>
    </w:p>
    <w:p>
      <w:pPr>
        <w:sectPr>
          <w:pgSz w:w="11900" w:h="16838" w:orient="portrait"/>
          <w:cols w:equalWidth="0" w:num="1">
            <w:col w:w="9019"/>
          </w:cols>
          <w:pgMar w:left="1440" w:top="270" w:right="1440" w:bottom="1440" w:gutter="0" w:footer="0" w:header="0"/>
        </w:sectPr>
      </w:pPr>
    </w:p>
    <w:bookmarkStart w:id="41" w:name="page42"/>
    <w:bookmarkEnd w:id="41"/>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of Depositary Shares:</w:t>
      </w:r>
    </w:p>
    <w:p>
      <w:pPr>
        <w:spacing w:after="0" w:line="121" w:lineRule="exact"/>
        <w:rPr>
          <w:sz w:val="20"/>
          <w:szCs w:val="20"/>
          <w:color w:val="auto"/>
        </w:rPr>
      </w:pPr>
    </w:p>
    <w:p>
      <w:pPr>
        <w:ind w:left="460" w:right="320"/>
        <w:spacing w:after="0" w:line="282" w:lineRule="auto"/>
        <w:rPr>
          <w:sz w:val="20"/>
          <w:szCs w:val="20"/>
          <w:color w:val="auto"/>
        </w:rPr>
      </w:pPr>
      <w:r>
        <w:rPr>
          <w:rFonts w:ascii="Times New Roman" w:cs="Times New Roman" w:eastAsia="Times New Roman" w:hAnsi="Times New Roman"/>
          <w:sz w:val="18"/>
          <w:szCs w:val="18"/>
          <w:color w:val="auto"/>
        </w:rPr>
        <w:t>Depositary Shares, each representing 1/1000 of a 5.000% Series C Cumulative Redeemable Preferred Share of Beneficial Interest (the “Depositary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Depositary Shares:</w:t>
      </w:r>
    </w:p>
    <w:p>
      <w:pPr>
        <w:spacing w:after="0" w:line="121" w:lineRule="exact"/>
        <w:rPr>
          <w:sz w:val="20"/>
          <w:szCs w:val="20"/>
          <w:color w:val="auto"/>
        </w:rPr>
      </w:pPr>
    </w:p>
    <w:p>
      <w:pPr>
        <w:ind w:left="460" w:firstLine="438"/>
        <w:spacing w:after="0" w:line="261" w:lineRule="auto"/>
        <w:rPr>
          <w:sz w:val="20"/>
          <w:szCs w:val="20"/>
          <w:color w:val="auto"/>
        </w:rPr>
      </w:pPr>
      <w:r>
        <w:rPr>
          <w:rFonts w:ascii="Times New Roman" w:cs="Times New Roman" w:eastAsia="Times New Roman" w:hAnsi="Times New Roman"/>
          <w:sz w:val="18"/>
          <w:szCs w:val="18"/>
          <w:color w:val="auto"/>
        </w:rPr>
        <w:t>6,400,000 depositary shares. The Depositary Shares consist of an aggregate of 6,000,000 Depositary Shares (the “Initial Depositary Shares”) that the Underwriters have agreed to purchase and that the Company has agreed to sell and an aggregate of up to 400,000 Depositary Shares (the “Option Depositary Shares”) that the Underwriters have the option to purchase from the Company, all subject to the terms and conditions set forth in this Pricing Agreement and the Underwriting Agreement incorporated by reference herein.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per Depositary Share: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$25.00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 by Underwriters: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$24.2125 per depositary share sold to retail accounts and $24.5000 per depositary share sold to institutional accounts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Specified funds for payment of purchase price: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Perpetual (unless redeemed by the Issuer pursuant to its optional redemption right on or after September 29,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Rate:</w:t>
      </w:r>
    </w:p>
    <w:p>
      <w:pPr>
        <w:spacing w:after="0" w:line="121" w:lineRule="exact"/>
        <w:rPr>
          <w:sz w:val="20"/>
          <w:szCs w:val="20"/>
          <w:color w:val="auto"/>
        </w:rPr>
      </w:pPr>
    </w:p>
    <w:p>
      <w:pPr>
        <w:ind w:left="460" w:right="80"/>
        <w:spacing w:after="0" w:line="282" w:lineRule="auto"/>
        <w:rPr>
          <w:sz w:val="20"/>
          <w:szCs w:val="20"/>
          <w:color w:val="auto"/>
        </w:rPr>
      </w:pPr>
      <w:r>
        <w:rPr>
          <w:rFonts w:ascii="Times New Roman" w:cs="Times New Roman" w:eastAsia="Times New Roman" w:hAnsi="Times New Roman"/>
          <w:sz w:val="18"/>
          <w:szCs w:val="18"/>
          <w:color w:val="auto"/>
        </w:rPr>
        <w:t>5.000% of the $25,000.00 liquidation preference per year, or $1,250.00 per year, per Series C Preferred Share (equal to $1.250 per year per depositary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21" w:lineRule="exact"/>
        <w:rPr>
          <w:sz w:val="20"/>
          <w:szCs w:val="20"/>
          <w:color w:val="auto"/>
        </w:rPr>
      </w:pPr>
    </w:p>
    <w:p>
      <w:pPr>
        <w:jc w:val="right"/>
        <w:ind w:right="5340"/>
        <w:spacing w:after="0"/>
        <w:rPr>
          <w:sz w:val="20"/>
          <w:szCs w:val="20"/>
          <w:color w:val="auto"/>
        </w:rPr>
      </w:pPr>
      <w:r>
        <w:rPr>
          <w:rFonts w:ascii="Times New Roman" w:cs="Times New Roman" w:eastAsia="Times New Roman" w:hAnsi="Times New Roman"/>
          <w:sz w:val="18"/>
          <w:szCs w:val="18"/>
          <w:color w:val="auto"/>
        </w:rPr>
        <w:t>January 15, April 15, July 15 and October 15, beginning on January 15, 2018</w:t>
      </w:r>
    </w:p>
    <w:p>
      <w:pPr>
        <w:spacing w:after="0" w:line="158" w:lineRule="exact"/>
        <w:rPr>
          <w:sz w:val="20"/>
          <w:szCs w:val="20"/>
          <w:color w:val="auto"/>
        </w:rPr>
      </w:pPr>
    </w:p>
    <w:p>
      <w:pPr>
        <w:jc w:val="right"/>
        <w:ind w:right="5360"/>
        <w:spacing w:after="0"/>
        <w:rPr>
          <w:sz w:val="20"/>
          <w:szCs w:val="20"/>
          <w:color w:val="auto"/>
        </w:rPr>
      </w:pPr>
      <w:r>
        <w:rPr>
          <w:rFonts w:ascii="Times New Roman" w:cs="Times New Roman" w:eastAsia="Times New Roman" w:hAnsi="Times New Roman"/>
          <w:sz w:val="18"/>
          <w:szCs w:val="18"/>
          <w:color w:val="auto"/>
        </w:rPr>
        <w:t>Ex. A-2</w:t>
      </w:r>
    </w:p>
    <w:p>
      <w:pPr>
        <w:sectPr>
          <w:pgSz w:w="11900" w:h="16838" w:orient="portrait"/>
          <w:cols w:equalWidth="0" w:num="1">
            <w:col w:w="11360"/>
          </w:cols>
          <w:pgMar w:left="240" w:top="270"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Provisions: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Designated Securities are not redeemable until September 29, 2022. On or after September 29, 2022, the Designated Securities may be redeemed at redemption prices as described in the Prospectus Supplement and the Issuer Free Writing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Sinking Fund Provisions: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provisions: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Time: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4:50 p.m. (Eastern time) on September 25, 2017 or such other time as agreed by the Company and the Representatives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of Delivery: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September 29, 2017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Closing Location: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Sidley Austin </w:t>
      </w:r>
      <w:r>
        <w:rPr>
          <w:rFonts w:ascii="Times New Roman" w:cs="Times New Roman" w:eastAsia="Times New Roman" w:hAnsi="Times New Roman"/>
          <w:sz w:val="15"/>
          <w:szCs w:val="15"/>
          <w:color w:val="auto"/>
        </w:rPr>
        <w:t>LLP</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 Section 12 Notice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Rockefeller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NY1-050-12-01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Debt Capital Markets Transaction Management/Legal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901-7881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Fixed Income Syndicate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(203) 719-0495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550 South Tryon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Transaction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(704) 410-0326</w:t>
      </w:r>
    </w:p>
    <w:p>
      <w:pPr>
        <w:spacing w:after="0" w:line="13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Ex. A-3</w:t>
      </w:r>
    </w:p>
    <w:p>
      <w:pPr>
        <w:sectPr>
          <w:pgSz w:w="11900" w:h="16838" w:orient="portrait"/>
          <w:cols w:equalWidth="0" w:num="1">
            <w:col w:w="10960"/>
          </w:cols>
          <w:pgMar w:left="240" w:top="266" w:right="6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ind w:left="1826"/>
        <w:spacing w:after="0"/>
        <w:rPr>
          <w:sz w:val="20"/>
          <w:szCs w:val="20"/>
          <w:color w:val="auto"/>
        </w:rPr>
      </w:pPr>
      <w:r>
        <w:rPr>
          <w:rFonts w:ascii="Times New Roman" w:cs="Times New Roman" w:eastAsia="Times New Roman" w:hAnsi="Times New Roman"/>
          <w:sz w:val="18"/>
          <w:szCs w:val="18"/>
          <w:b w:val="1"/>
          <w:bCs w:val="1"/>
          <w:color w:val="auto"/>
        </w:rPr>
        <w:t>Schedule of Issuer Free Writing Prospectuses Included in the General Disclosure Package</w:t>
      </w:r>
    </w:p>
    <w:p>
      <w:pPr>
        <w:spacing w:after="0" w:line="256" w:lineRule="exact"/>
        <w:rPr>
          <w:sz w:val="20"/>
          <w:szCs w:val="20"/>
          <w:color w:val="auto"/>
        </w:rPr>
      </w:pPr>
    </w:p>
    <w:p>
      <w:pPr>
        <w:ind w:left="446" w:hanging="446"/>
        <w:spacing w:after="0"/>
        <w:tabs>
          <w:tab w:leader="none" w:pos="4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Term Sheet, attached hereto as Schedule I to this Exhibit B</w:t>
      </w:r>
    </w:p>
    <w:p>
      <w:pPr>
        <w:spacing w:after="0" w:line="158"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8"/>
          <w:szCs w:val="18"/>
          <w:color w:val="auto"/>
        </w:rPr>
        <w:t>Ex. B-1</w:t>
      </w:r>
    </w:p>
    <w:p>
      <w:pPr>
        <w:sectPr>
          <w:pgSz w:w="11900" w:h="16838" w:orient="portrait"/>
          <w:cols w:equalWidth="0" w:num="1">
            <w:col w:w="10966"/>
          </w:cols>
          <w:pgMar w:left="694" w:top="266" w:right="239" w:bottom="1440" w:gutter="0" w:footer="0" w:header="0"/>
        </w:sectPr>
      </w:pPr>
    </w:p>
    <w:bookmarkStart w:id="44" w:name="page45"/>
    <w:bookmarkEnd w:id="44"/>
    <w:p>
      <w:pPr>
        <w:ind w:left="96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 Exhibit B</w:t>
      </w:r>
    </w:p>
    <w:p>
      <w:pPr>
        <w:spacing w:after="0" w:line="241"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7"/>
          <w:szCs w:val="17"/>
          <w:color w:val="auto"/>
        </w:rPr>
        <w:t>Filed Pursuant to Rule 433</w:t>
      </w:r>
    </w:p>
    <w:p>
      <w:pPr>
        <w:spacing w:after="0" w:line="39"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7"/>
          <w:szCs w:val="17"/>
          <w:color w:val="auto"/>
        </w:rPr>
        <w:t>Dated September 25, 2017</w:t>
      </w:r>
    </w:p>
    <w:p>
      <w:pPr>
        <w:spacing w:after="0" w:line="21"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7"/>
          <w:szCs w:val="17"/>
          <w:color w:val="auto"/>
        </w:rPr>
        <w:t>Registration Statement No. 333-203999</w:t>
      </w:r>
    </w:p>
    <w:p>
      <w:pPr>
        <w:spacing w:after="0" w:line="21"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8"/>
          <w:szCs w:val="18"/>
          <w:color w:val="auto"/>
        </w:rPr>
        <w:t>Relating to</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Preliminary Prospectus Supplement Dated September 25, 2017 to</w:t>
      </w:r>
    </w:p>
    <w:p>
      <w:pPr>
        <w:spacing w:after="0" w:line="21"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Prospectus dated May 8, 2015</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6,000,000 Depositary Shares each representing 1/1000 of a 5.000% Series 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Cumulative Redeemable Preferred Share of Beneficial Interest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Term Sheet dated September 25, 2017</w:t>
      </w:r>
    </w:p>
    <w:p>
      <w:pPr>
        <w:sectPr>
          <w:pgSz w:w="11900" w:h="16838" w:orient="portrait"/>
          <w:cols w:equalWidth="0" w:num="1">
            <w:col w:w="11420"/>
          </w:cols>
          <w:pgMar w:left="240" w:top="266" w:right="2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Realty Investment Trust</w:t>
      </w:r>
    </w:p>
    <w:p>
      <w:pPr>
        <w:spacing w:after="0" w:line="128" w:lineRule="exact"/>
        <w:rPr>
          <w:sz w:val="20"/>
          <w:szCs w:val="20"/>
          <w:color w:val="auto"/>
        </w:rPr>
      </w:pPr>
    </w:p>
    <w:p>
      <w:pPr>
        <w:sectPr>
          <w:pgSz w:w="11900" w:h="16838" w:orient="portrait"/>
          <w:cols w:equalWidth="0" w:num="2">
            <w:col w:w="3280" w:space="720"/>
            <w:col w:w="742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Security:</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Depositary shares each representing 1/1000 of a 5.000% Series C Cumulative Redeemable Preferred Share of Beneficial Interest</w:t>
      </w:r>
    </w:p>
    <w:p>
      <w:pPr>
        <w:spacing w:after="0" w:line="54" w:lineRule="exact"/>
        <w:rPr>
          <w:sz w:val="20"/>
          <w:szCs w:val="20"/>
          <w:color w:val="auto"/>
        </w:rPr>
      </w:pPr>
    </w:p>
    <w:p>
      <w:pPr>
        <w:sectPr>
          <w:pgSz w:w="11900" w:h="16838" w:orient="portrait"/>
          <w:cols w:equalWidth="0" w:num="2">
            <w:col w:w="3280" w:space="720"/>
            <w:col w:w="742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Ratings*: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(Moody’s / S&amp;P/Fitch)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$25.00 per depositary share</w:t>
      </w:r>
    </w:p>
    <w:p>
      <w:pPr>
        <w:spacing w:after="0" w:line="562" w:lineRule="exact"/>
        <w:rPr>
          <w:sz w:val="20"/>
          <w:szCs w:val="20"/>
          <w:color w:val="auto"/>
        </w:rPr>
      </w:pPr>
    </w:p>
    <w:p>
      <w:pPr>
        <w:sectPr>
          <w:pgSz w:w="11900" w:h="16838" w:orient="portrait"/>
          <w:cols w:equalWidth="0" w:num="2">
            <w:col w:w="3280" w:space="720"/>
            <w:col w:w="742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Number of Depositary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6,000,000 depositary shares</w:t>
      </w:r>
    </w:p>
    <w:p>
      <w:pPr>
        <w:spacing w:after="0" w:line="117" w:lineRule="exact"/>
        <w:rPr>
          <w:sz w:val="20"/>
          <w:szCs w:val="20"/>
          <w:color w:val="auto"/>
        </w:rPr>
      </w:pPr>
    </w:p>
    <w:p>
      <w:pPr>
        <w:sectPr>
          <w:pgSz w:w="11900" w:h="16838" w:orient="portrait"/>
          <w:cols w:equalWidth="0" w:num="2">
            <w:col w:w="3280" w:space="720"/>
            <w:col w:w="742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Over-Allotment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400,000 depositary shares</w:t>
      </w:r>
    </w:p>
    <w:p>
      <w:pPr>
        <w:spacing w:after="0" w:line="117" w:lineRule="exact"/>
        <w:rPr>
          <w:sz w:val="20"/>
          <w:szCs w:val="20"/>
          <w:color w:val="auto"/>
        </w:rPr>
      </w:pPr>
    </w:p>
    <w:p>
      <w:pPr>
        <w:sectPr>
          <w:pgSz w:w="11900" w:h="16838" w:orient="portrait"/>
          <w:cols w:equalWidth="0" w:num="2">
            <w:col w:w="3280" w:space="720"/>
            <w:col w:w="742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September 25, 2017</w:t>
      </w:r>
    </w:p>
    <w:p>
      <w:pPr>
        <w:spacing w:after="0" w:line="117" w:lineRule="exact"/>
        <w:rPr>
          <w:sz w:val="20"/>
          <w:szCs w:val="20"/>
          <w:color w:val="auto"/>
        </w:rPr>
      </w:pPr>
    </w:p>
    <w:p>
      <w:pPr>
        <w:sectPr>
          <w:pgSz w:w="11900" w:h="16838" w:orient="portrait"/>
          <w:cols w:equalWidth="0" w:num="2">
            <w:col w:w="3280" w:space="720"/>
            <w:col w:w="742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0" w:lineRule="exact"/>
        <w:rPr>
          <w:sz w:val="20"/>
          <w:szCs w:val="20"/>
          <w:color w:val="auto"/>
        </w:rPr>
      </w:pPr>
      <w:r>
        <w:rPr>
          <w:sz w:val="20"/>
          <w:szCs w:val="20"/>
          <w:color w:val="auto"/>
        </w:rPr>
        <w:br w:type="column"/>
      </w:r>
    </w:p>
    <w:p>
      <w:pPr>
        <w:ind w:right="240"/>
        <w:spacing w:after="0" w:line="256" w:lineRule="auto"/>
        <w:rPr>
          <w:sz w:val="20"/>
          <w:szCs w:val="20"/>
          <w:color w:val="auto"/>
        </w:rPr>
      </w:pPr>
      <w:r>
        <w:rPr>
          <w:rFonts w:ascii="Times New Roman" w:cs="Times New Roman" w:eastAsia="Times New Roman" w:hAnsi="Times New Roman"/>
          <w:sz w:val="18"/>
          <w:szCs w:val="18"/>
          <w:color w:val="auto"/>
        </w:rPr>
        <w:t>It is expected that delivery of the depositary shares will be made against payment on September 29, 2017, which is the fourth business day following the date hereof. Under Rule 15c6-1 under the Exchange Act, trades in the secondary market generally are required to settle in two business days unless the parties to any such trade expressly agree otherwise. Accordingly, purchasers who wish to trade the depositary shares prior to the second business day preceding the delivery date of the depositary shares will be required to specify an alternative settlement cycle at the time of any</w:t>
      </w:r>
    </w:p>
    <w:p>
      <w:pPr>
        <w:sectPr>
          <w:pgSz w:w="11900" w:h="16838" w:orient="portrait"/>
          <w:cols w:equalWidth="0" w:num="2">
            <w:col w:w="3280" w:space="720"/>
            <w:col w:w="7420"/>
          </w:cols>
          <w:pgMar w:left="240" w:top="266" w:right="239" w:bottom="1440" w:gutter="0" w:footer="0" w:header="0"/>
          <w:type w:val="continuous"/>
        </w:sectPr>
      </w:pPr>
    </w:p>
    <w:bookmarkStart w:id="45" w:name="page46"/>
    <w:bookmarkEnd w:id="45"/>
    <w:p>
      <w:pPr>
        <w:ind w:left="4000"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trade to prevent failed settlement. Purchasers of the depositary shares who wish to trade the depositary shares prior to the delivery date of the depositary shares should consult their own advisors.</w:t>
      </w:r>
    </w:p>
    <w:p>
      <w:pPr>
        <w:sectPr>
          <w:pgSz w:w="11900" w:h="16838" w:orient="portrait"/>
          <w:cols w:equalWidth="0" w:num="1">
            <w:col w:w="11400"/>
          </w:cols>
          <w:pgMar w:left="240" w:top="270" w:right="25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Maturity:</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Perpetual (unless redeemed by the Issuer pursuant to its optional redemption right on or after September 29, 2022)</w:t>
      </w:r>
    </w:p>
    <w:p>
      <w:pPr>
        <w:spacing w:after="0" w:line="54" w:lineRule="exact"/>
        <w:rPr>
          <w:sz w:val="20"/>
          <w:szCs w:val="20"/>
          <w:color w:val="auto"/>
        </w:rPr>
      </w:pPr>
    </w:p>
    <w:p>
      <w:pPr>
        <w:sectPr>
          <w:pgSz w:w="11900" w:h="16838" w:orient="portrait"/>
          <w:cols w:equalWidth="0" w:num="2">
            <w:col w:w="3280" w:space="720"/>
            <w:col w:w="7400"/>
          </w:cols>
          <w:pgMar w:left="240" w:top="27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Redemption:</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The Series C preferred shares and the depositary shares representing the Series C preferred shares are not redeemable until September 29, 2022. On or after September 29, 2022, such shares may be redeemed for cash at the Issuer’s option, in whole or in part, at a redemption price of $25,000.00 per Series C preferred share (equal to $25.00 per depositary share), plus any accrued and unpaid dividends to, but excluding, the date of redemption</w:t>
      </w:r>
    </w:p>
    <w:p>
      <w:pPr>
        <w:spacing w:after="0" w:line="76" w:lineRule="exact"/>
        <w:rPr>
          <w:sz w:val="20"/>
          <w:szCs w:val="20"/>
          <w:color w:val="auto"/>
        </w:rPr>
      </w:pPr>
    </w:p>
    <w:p>
      <w:pPr>
        <w:sectPr>
          <w:pgSz w:w="11900" w:h="16838" w:orient="portrait"/>
          <w:cols w:equalWidth="0" w:num="2">
            <w:col w:w="3280" w:space="720"/>
            <w:col w:w="7400"/>
          </w:cols>
          <w:pgMar w:left="240" w:top="270"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Dividend Rate (Cumulative):</w:t>
      </w:r>
    </w:p>
    <w:p>
      <w:pPr>
        <w:spacing w:after="0" w:line="20" w:lineRule="exact"/>
        <w:rPr>
          <w:sz w:val="20"/>
          <w:szCs w:val="20"/>
          <w:color w:val="auto"/>
        </w:rPr>
      </w:pPr>
      <w:r>
        <w:rPr>
          <w:sz w:val="20"/>
          <w:szCs w:val="20"/>
          <w:color w:val="auto"/>
        </w:rPr>
        <w:br w:type="column"/>
      </w:r>
    </w:p>
    <w:p>
      <w:pPr>
        <w:ind w:right="40"/>
        <w:spacing w:after="0" w:line="258" w:lineRule="auto"/>
        <w:rPr>
          <w:sz w:val="20"/>
          <w:szCs w:val="20"/>
          <w:color w:val="auto"/>
        </w:rPr>
      </w:pPr>
      <w:r>
        <w:rPr>
          <w:rFonts w:ascii="Times New Roman" w:cs="Times New Roman" w:eastAsia="Times New Roman" w:hAnsi="Times New Roman"/>
          <w:sz w:val="18"/>
          <w:szCs w:val="18"/>
          <w:color w:val="auto"/>
        </w:rPr>
        <w:t>Subject to authorization by the Issuer’s board of trustees and declaration by the Issuer, payable quarterly in arrears on January 15, April 15, July 15 and October 15 of each year, commencing on January 15, 2018 at the rate of 5.000% of the $25,000.00 liquidation preference per year, or $1,250.00 per year, per Series C Preferred Share (equal to $1.250 per year per depositary share), and accruing from, and including, September 29, 2017</w:t>
      </w:r>
    </w:p>
    <w:p>
      <w:pPr>
        <w:spacing w:after="0" w:line="76" w:lineRule="exact"/>
        <w:rPr>
          <w:sz w:val="20"/>
          <w:szCs w:val="20"/>
          <w:color w:val="auto"/>
        </w:rPr>
      </w:pPr>
    </w:p>
    <w:p>
      <w:pPr>
        <w:sectPr>
          <w:pgSz w:w="11900" w:h="16838" w:orient="portrait"/>
          <w:cols w:equalWidth="0" w:num="2">
            <w:col w:w="3280" w:space="720"/>
            <w:col w:w="7400"/>
          </w:cols>
          <w:pgMar w:left="240" w:top="270" w:right="259" w:bottom="1440" w:gutter="0" w:footer="0" w:header="0"/>
          <w:type w:val="continuous"/>
        </w:sectPr>
      </w:pPr>
    </w:p>
    <w:p>
      <w:pPr>
        <w:ind w:left="4000"/>
        <w:spacing w:after="0" w:line="256" w:lineRule="auto"/>
        <w:rPr>
          <w:sz w:val="20"/>
          <w:szCs w:val="20"/>
          <w:color w:val="auto"/>
        </w:rPr>
      </w:pPr>
      <w:r>
        <w:rPr>
          <w:rFonts w:ascii="Times New Roman" w:cs="Times New Roman" w:eastAsia="Times New Roman" w:hAnsi="Times New Roman"/>
          <w:sz w:val="18"/>
          <w:szCs w:val="18"/>
          <w:color w:val="auto"/>
        </w:rPr>
        <w:t>No full dividends shall be declared or paid or set apart for payment on any class or series of equity securities ranking, as to dividends or payments upon liquidation, dissolution or winding up, on a parity with or junior to the Series C preferred shares unless full cumulative dividends have been or contemporaneously are declared and paid or declared and a sum sufficient for the payment thereof set apart for that payment on the Series C preferred Shares for all past dividend periods and the then current dividend period.</w:t>
      </w:r>
    </w:p>
    <w:p>
      <w:pPr>
        <w:sectPr>
          <w:pgSz w:w="11900" w:h="16838" w:orient="portrait"/>
          <w:cols w:equalWidth="0" w:num="1">
            <w:col w:w="11400"/>
          </w:cols>
          <w:pgMar w:left="240" w:top="270" w:right="259" w:bottom="1440" w:gutter="0" w:footer="0" w:header="0"/>
          <w:type w:val="continuous"/>
        </w:sectPr>
      </w:pPr>
    </w:p>
    <w:bookmarkStart w:id="46" w:name="page47"/>
    <w:bookmarkEnd w:id="46"/>
    <w:p>
      <w:pPr>
        <w:spacing w:after="0"/>
        <w:tabs>
          <w:tab w:leader="none" w:pos="39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Price by Underwriters:</w:t>
      </w:r>
      <w:r>
        <w:rPr>
          <w:sz w:val="20"/>
          <w:szCs w:val="20"/>
          <w:color w:val="auto"/>
        </w:rPr>
        <w:tab/>
      </w:r>
      <w:r>
        <w:rPr>
          <w:rFonts w:ascii="Times New Roman" w:cs="Times New Roman" w:eastAsia="Times New Roman" w:hAnsi="Times New Roman"/>
          <w:sz w:val="18"/>
          <w:szCs w:val="18"/>
          <w:color w:val="auto"/>
        </w:rPr>
        <w:t>$24.2125 per depositary share sold to retail accounts and $24.5000 per depositary share sold to</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institutional accounts</w:t>
      </w:r>
    </w:p>
    <w:p>
      <w:pPr>
        <w:sectPr>
          <w:pgSz w:w="11900" w:h="16838" w:orient="portrait"/>
          <w:cols w:equalWidth="0" w:num="1">
            <w:col w:w="11360"/>
          </w:cols>
          <w:pgMar w:left="240" w:top="270" w:right="299" w:bottom="1440" w:gutter="0" w:footer="0" w:header="0"/>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to Issuer (before expenses):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$145,479,503.93 (not including underwriters’ over-allotment option) after deducting the underwriting discount</w:t>
      </w:r>
    </w:p>
    <w:p>
      <w:pPr>
        <w:spacing w:after="0" w:line="54" w:lineRule="exact"/>
        <w:rPr>
          <w:sz w:val="20"/>
          <w:szCs w:val="20"/>
          <w:color w:val="auto"/>
        </w:rPr>
      </w:pPr>
    </w:p>
    <w:p>
      <w:pPr>
        <w:sectPr>
          <w:pgSz w:w="11900" w:h="16838" w:orient="portrait"/>
          <w:cols w:equalWidth="0" w:num="2">
            <w:col w:w="3280" w:space="720"/>
            <w:col w:w="7360"/>
          </w:cols>
          <w:pgMar w:left="240" w:top="270" w:right="299" w:bottom="1440" w:gutter="0" w:footer="0" w:header="0"/>
          <w:type w:val="continuous"/>
        </w:sectPr>
      </w:pPr>
    </w:p>
    <w:p>
      <w:pPr>
        <w:spacing w:after="0"/>
        <w:tabs>
          <w:tab w:leader="none" w:pos="3980" w:val="left"/>
        </w:tabs>
        <w:rPr>
          <w:sz w:val="20"/>
          <w:szCs w:val="20"/>
          <w:color w:val="auto"/>
        </w:rPr>
      </w:pPr>
      <w:r>
        <w:rPr>
          <w:rFonts w:ascii="Times New Roman" w:cs="Times New Roman" w:eastAsia="Times New Roman" w:hAnsi="Times New Roman"/>
          <w:sz w:val="18"/>
          <w:szCs w:val="18"/>
          <w:color w:val="auto"/>
        </w:rPr>
        <w:t>Listing:</w:t>
      </w:r>
      <w:r>
        <w:rPr>
          <w:sz w:val="20"/>
          <w:szCs w:val="20"/>
          <w:color w:val="auto"/>
        </w:rPr>
        <w:tab/>
      </w:r>
      <w:r>
        <w:rPr>
          <w:rFonts w:ascii="Times New Roman" w:cs="Times New Roman" w:eastAsia="Times New Roman" w:hAnsi="Times New Roman"/>
          <w:sz w:val="18"/>
          <w:szCs w:val="18"/>
          <w:color w:val="auto"/>
        </w:rPr>
        <w:t>The Issuer intends to file an application with the NYSE and, if approved, trading is expected to begin</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within 30 days after the Settlement Date</w:t>
      </w:r>
    </w:p>
    <w:p>
      <w:pPr>
        <w:spacing w:after="0" w:line="99" w:lineRule="exact"/>
        <w:rPr>
          <w:sz w:val="20"/>
          <w:szCs w:val="20"/>
          <w:color w:val="auto"/>
        </w:rPr>
      </w:pPr>
    </w:p>
    <w:p>
      <w:pPr>
        <w:spacing w:after="0"/>
        <w:tabs>
          <w:tab w:leader="none" w:pos="3980" w:val="left"/>
        </w:tabs>
        <w:rPr>
          <w:sz w:val="20"/>
          <w:szCs w:val="20"/>
          <w:color w:val="auto"/>
        </w:rPr>
      </w:pPr>
      <w:r>
        <w:rPr>
          <w:rFonts w:ascii="Times New Roman" w:cs="Times New Roman" w:eastAsia="Times New Roman" w:hAnsi="Times New Roman"/>
          <w:sz w:val="18"/>
          <w:szCs w:val="18"/>
          <w:color w:val="auto"/>
        </w:rPr>
        <w:t>CUSIP/ISIN:</w:t>
      </w:r>
      <w:r>
        <w:rPr>
          <w:sz w:val="20"/>
          <w:szCs w:val="20"/>
          <w:color w:val="auto"/>
        </w:rPr>
        <w:tab/>
      </w:r>
      <w:r>
        <w:rPr>
          <w:rFonts w:ascii="Times New Roman" w:cs="Times New Roman" w:eastAsia="Times New Roman" w:hAnsi="Times New Roman"/>
          <w:sz w:val="18"/>
          <w:szCs w:val="18"/>
          <w:color w:val="auto"/>
        </w:rPr>
        <w:t>313747701 / US3137477010</w:t>
      </w:r>
    </w:p>
    <w:p>
      <w:pPr>
        <w:spacing w:after="0" w:line="117" w:lineRule="exact"/>
        <w:rPr>
          <w:sz w:val="20"/>
          <w:szCs w:val="20"/>
          <w:color w:val="auto"/>
        </w:rPr>
      </w:pPr>
    </w:p>
    <w:p>
      <w:pPr>
        <w:spacing w:after="0"/>
        <w:tabs>
          <w:tab w:leader="none" w:pos="3980" w:val="left"/>
        </w:tabs>
        <w:rPr>
          <w:sz w:val="20"/>
          <w:szCs w:val="20"/>
          <w:color w:val="auto"/>
        </w:rPr>
      </w:pPr>
      <w:r>
        <w:rPr>
          <w:rFonts w:ascii="Times New Roman" w:cs="Times New Roman" w:eastAsia="Times New Roman" w:hAnsi="Times New Roman"/>
          <w:sz w:val="18"/>
          <w:szCs w:val="18"/>
          <w:color w:val="auto"/>
        </w:rPr>
        <w:t>Joint Book-Running Managers:</w:t>
      </w:r>
      <w:r>
        <w:rPr>
          <w:sz w:val="20"/>
          <w:szCs w:val="20"/>
          <w:color w:val="auto"/>
        </w:rPr>
        <w:tab/>
      </w:r>
      <w:r>
        <w:rPr>
          <w:rFonts w:ascii="Times New Roman" w:cs="Times New Roman" w:eastAsia="Times New Roman" w:hAnsi="Times New Roman"/>
          <w:sz w:val="17"/>
          <w:szCs w:val="17"/>
          <w:color w:val="auto"/>
        </w:rPr>
        <w:t>Merrill Lynch, Pierce, Fenner &amp; Smith</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112" w:lineRule="exact"/>
        <w:rPr>
          <w:sz w:val="20"/>
          <w:szCs w:val="20"/>
          <w:color w:val="auto"/>
        </w:rPr>
      </w:pPr>
    </w:p>
    <w:p>
      <w:pPr>
        <w:spacing w:after="0"/>
        <w:tabs>
          <w:tab w:leader="none" w:pos="3980" w:val="left"/>
        </w:tabs>
        <w:rPr>
          <w:sz w:val="20"/>
          <w:szCs w:val="20"/>
          <w:color w:val="auto"/>
        </w:rPr>
      </w:pPr>
      <w:r>
        <w:rPr>
          <w:rFonts w:ascii="Times New Roman" w:cs="Times New Roman" w:eastAsia="Times New Roman" w:hAnsi="Times New Roman"/>
          <w:sz w:val="18"/>
          <w:szCs w:val="18"/>
          <w:color w:val="auto"/>
        </w:rPr>
        <w:t>Joint Lead Managers:</w:t>
      </w:r>
      <w:r>
        <w:rPr>
          <w:sz w:val="20"/>
          <w:szCs w:val="20"/>
          <w:color w:val="auto"/>
        </w:rPr>
        <w:tab/>
      </w:r>
      <w:r>
        <w:rPr>
          <w:rFonts w:ascii="Times New Roman" w:cs="Times New Roman" w:eastAsia="Times New Roman" w:hAnsi="Times New Roman"/>
          <w:sz w:val="18"/>
          <w:szCs w:val="18"/>
          <w:color w:val="auto"/>
        </w:rPr>
        <w:t>Raymond James &amp; Associates, Inc.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Jefferies LLC</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subject to revision or withdrawal at any time.</w:t>
      </w:r>
    </w:p>
    <w:p>
      <w:pPr>
        <w:spacing w:after="0" w:line="2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lternatively, the issuer, any underwriter or any dealer participating in the offering will arrange to send you the prospectus supplement and prospectus if you request it from (i) Merrill Lynch, Pierce, Fenner &amp; Smith Incorporated toll-free at 1-800-294-1322, (ii) UBS Securities LLC toll-free at 1-888-827-7275 or (iii) Wells Fargo Securities, LLC toll free at 1-800-645-3751.</w:t>
      </w:r>
    </w:p>
    <w:p>
      <w:pPr>
        <w:sectPr>
          <w:pgSz w:w="11900" w:h="16838" w:orient="portrait"/>
          <w:cols w:equalWidth="0" w:num="1">
            <w:col w:w="11360"/>
          </w:cols>
          <w:pgMar w:left="240" w:top="270" w:right="299" w:bottom="1440" w:gutter="0" w:footer="0" w:header="0"/>
          <w:type w:val="continuous"/>
        </w:sectPr>
      </w:pPr>
    </w:p>
    <w:bookmarkStart w:id="47" w:name="page48"/>
    <w:bookmarkEnd w:id="47"/>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ectPr>
          <w:pgSz w:w="11900" w:h="16838" w:orient="portrait"/>
          <w:cols w:equalWidth="0" w:num="1">
            <w:col w:w="11160"/>
          </w:cols>
          <w:pgMar w:left="240" w:top="266" w:right="4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Pricing Agreement</w:t>
      </w:r>
    </w:p>
    <w:p>
      <w:pPr>
        <w:spacing w:after="0" w:line="225"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7"/>
          <w:szCs w:val="17"/>
          <w:color w:val="auto"/>
        </w:rPr>
        <w:t>September 25, 2017</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550 South Tryon Street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Federal Realty Investment Trust, a Maryland real estate investment trust (the “Company”), proposes, subject to the terms and conditions stated herein and in the Underwriting Agreement, dated September 25, 2017 (the “Underwriting Agreement”), between the Company on the one hand and Merrill Lynch, Pierce, Fenner &amp; Smith Incorporated, UBS Securities LLC and Wells Fargo Securities, LLC, acting for themselves and as representatives of the Underwriters named in Schedule I hereto (collectively, the “Underwriters”), on the other hand, to issue and sell to the Underwriters the depositary shares, each such depositary share representing ownership of 1/1000 interest in a share of the Company’s 5.000% Series C Cumulative Redeemable Preferred Shares (the “Preferred Shares”) (the “Depositary Shares”), specified in Schedule II hereto.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w:t>
      </w:r>
    </w:p>
    <w:p>
      <w:pPr>
        <w:sectPr>
          <w:pgSz w:w="11900" w:h="16838" w:orient="portrait"/>
          <w:cols w:equalWidth="0" w:num="1">
            <w:col w:w="11420"/>
          </w:cols>
          <w:pgMar w:left="240" w:top="117" w:right="239" w:bottom="1440" w:gutter="0" w:footer="0" w:header="0"/>
        </w:sectPr>
      </w:pPr>
    </w:p>
    <w:bookmarkStart w:id="49" w:name="page50"/>
    <w:bookmarkEnd w:id="49"/>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80"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A supplement to the Prospectus relating to the Designated Securities, in the form heretofore delivered to you, is now proposed to be filed with the Commission.</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number of Depositary Shares set forth opposite the name of such Underwriter in Schedule I hereto.</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subject to the terms and conditions set forth herein and in the Underwriting Agreement incorporated herein by reference, the Company hereby grants an option to the Representatives to purchase up to the number of Option Depositary Shares (as defined in Schedule II hereto) specified in Schedule II hereto at the place and purchase price to the Representatives set forth in Schedule II hereto and at the Option Closing Time specified by the Representatives as provided below. The option hereby granted will expire at 11:59 p.m. (New York City time) on the 30th day after the date of this Pricing Agreement and may be exercised once, in whole or in part, upon notice by the Underwriter to the Company setting forth the number of Option Depositary Shares as to which the Representatives are then exercising the option and the Option Closing Time for such Option Depositary Shares. Any such Option Closing Time shall be determined by the Representatives but shall not be later than seven full business days after the exercise of such option nor in any event prior to the Time of Delivery. If the option is exercised as to all or any portion of the Option Depositary Shares, the Representatives will be obligated to purchase that number of Option Depositary Shares, and the Company shall be obligated to issue and sell such Option Depositary Shares to the Underwriter, subject to the terms and conditions set forth herein and in the Underwriting Agreement incorporated by reference herein.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obligations of the Underwriters under this Pricing Agreement and the Underwriting Agreement incorporated herein are several and not joint.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Pricing Agreement shall be governed by and construed in accordance with the laws of the State of New York</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ectPr>
          <w:pgSz w:w="11900" w:h="16838" w:orient="portrait"/>
          <w:cols w:equalWidth="0" w:num="1">
            <w:col w:w="11320"/>
          </w:cols>
          <w:pgMar w:left="240" w:top="270" w:right="339" w:bottom="1440" w:gutter="0" w:footer="0" w:header="0"/>
        </w:sectPr>
      </w:pPr>
    </w:p>
    <w:bookmarkStart w:id="50" w:name="page51"/>
    <w:bookmarkEnd w:id="50"/>
    <w:p>
      <w:pPr>
        <w:ind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5"/>
          <w:szCs w:val="15"/>
          <w:b w:val="1"/>
          <w:bCs w:val="1"/>
          <w:color w:val="auto"/>
        </w:rPr>
        <w:t>EDERAL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EALTY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NVESTMENT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RUST</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Daniel Guglielmone</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 Executive Vice President-Chief Financial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and Treasurer</w:t>
      </w: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[Pricing Agreement Signature Page]</w:t>
      </w:r>
    </w:p>
    <w:p>
      <w:pPr>
        <w:sectPr>
          <w:pgSz w:w="11900" w:h="16838" w:orient="portrait"/>
          <w:cols w:equalWidth="0" w:num="1">
            <w:col w:w="11340"/>
          </w:cols>
          <w:pgMar w:left="240" w:top="270"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w:t>
      </w:r>
      <w:r>
        <w:rPr>
          <w:rFonts w:ascii="Times New Roman" w:cs="Times New Roman" w:eastAsia="Times New Roman" w:hAnsi="Times New Roman"/>
          <w:sz w:val="15"/>
          <w:szCs w:val="15"/>
          <w:color w:val="auto"/>
        </w:rPr>
        <w:t>ERRILL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5"/>
          <w:szCs w:val="15"/>
          <w:color w:val="auto"/>
        </w:rPr>
        <w:t>YNCH</w:t>
      </w:r>
      <w:r>
        <w:rPr>
          <w:rFonts w:ascii="Times New Roman" w:cs="Times New Roman" w:eastAsia="Times New Roman" w:hAnsi="Times New Roman"/>
          <w:sz w:val="18"/>
          <w:szCs w:val="18"/>
          <w:color w:val="auto"/>
        </w:rPr>
        <w:t>, P</w:t>
      </w:r>
      <w:r>
        <w:rPr>
          <w:rFonts w:ascii="Times New Roman" w:cs="Times New Roman" w:eastAsia="Times New Roman" w:hAnsi="Times New Roman"/>
          <w:sz w:val="15"/>
          <w:szCs w:val="15"/>
          <w:color w:val="auto"/>
        </w:rPr>
        <w:t>IERCE</w:t>
      </w:r>
      <w:r>
        <w:rPr>
          <w:rFonts w:ascii="Times New Roman" w:cs="Times New Roman" w:eastAsia="Times New Roman" w:hAnsi="Times New Roman"/>
          <w:sz w:val="18"/>
          <w:szCs w:val="18"/>
          <w:color w:val="auto"/>
        </w:rPr>
        <w:t>, F</w:t>
      </w:r>
      <w:r>
        <w:rPr>
          <w:rFonts w:ascii="Times New Roman" w:cs="Times New Roman" w:eastAsia="Times New Roman" w:hAnsi="Times New Roman"/>
          <w:sz w:val="15"/>
          <w:szCs w:val="15"/>
          <w:color w:val="auto"/>
        </w:rPr>
        <w:t>ENNER</w:t>
      </w:r>
      <w:r>
        <w:rPr>
          <w:rFonts w:ascii="Times New Roman" w:cs="Times New Roman" w:eastAsia="Times New Roman" w:hAnsi="Times New Roman"/>
          <w:sz w:val="18"/>
          <w:szCs w:val="18"/>
          <w:color w:val="auto"/>
        </w:rPr>
        <w:t xml:space="preserve"> &amp; S</w:t>
      </w:r>
      <w:r>
        <w:rPr>
          <w:rFonts w:ascii="Times New Roman" w:cs="Times New Roman" w:eastAsia="Times New Roman" w:hAnsi="Times New Roman"/>
          <w:sz w:val="15"/>
          <w:szCs w:val="15"/>
          <w:color w:val="auto"/>
        </w:rPr>
        <w:t>MITH</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5"/>
          <w:szCs w:val="15"/>
          <w:color w:val="auto"/>
        </w:rPr>
        <w:t>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w:t>
      </w:r>
      <w:r>
        <w:rPr>
          <w:rFonts w:ascii="Times New Roman" w:cs="Times New Roman" w:eastAsia="Times New Roman" w:hAnsi="Times New Roman"/>
          <w:sz w:val="15"/>
          <w:szCs w:val="15"/>
          <w:color w:val="auto"/>
        </w:rPr>
        <w:t>ECURITIES</w:t>
      </w:r>
      <w:r>
        <w:rPr>
          <w:rFonts w:ascii="Times New Roman" w:cs="Times New Roman" w:eastAsia="Times New Roman" w:hAnsi="Times New Roman"/>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5"/>
          <w:szCs w:val="15"/>
          <w:color w:val="auto"/>
        </w:rPr>
        <w:t>ELLS</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5"/>
          <w:szCs w:val="15"/>
          <w:color w:val="auto"/>
        </w:rPr>
        <w:t>ARGO</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ECURITIES</w:t>
      </w:r>
      <w:r>
        <w:rPr>
          <w:rFonts w:ascii="Times New Roman" w:cs="Times New Roman" w:eastAsia="Times New Roman" w:hAnsi="Times New Roman"/>
          <w:sz w:val="18"/>
          <w:szCs w:val="18"/>
          <w:color w:val="auto"/>
        </w:rPr>
        <w:t>, LLC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Merrill Lynch, Pierce, Fenner &amp; Smith</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Incorporated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Chris Porter</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Chris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Managing Director, Investment Banking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UBS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Christopher Forshner</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Christopher Forshner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Managing Director, UBS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Prath Reddy</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Prath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Director, UBS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Carolyn Hurley</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Director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as Representatives of the Underwriters named in Schedule I to this Pricing Agreement.</w:t>
      </w:r>
    </w:p>
    <w:p>
      <w:pPr>
        <w:spacing w:after="0" w:line="2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i w:val="1"/>
          <w:iCs w:val="1"/>
          <w:color w:val="auto"/>
        </w:rPr>
        <w:t>[Pricing Agreement Signature Page]</w:t>
      </w:r>
    </w:p>
    <w:p>
      <w:pPr>
        <w:sectPr>
          <w:pgSz w:w="11900" w:h="16838" w:orient="portrait"/>
          <w:cols w:equalWidth="0" w:num="1">
            <w:col w:w="10219"/>
          </w:cols>
          <w:pgMar w:left="240" w:top="270"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3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400" w:type="dxa"/>
            <w:vAlign w:val="bottom"/>
            <w:vMerge w:val="restart"/>
          </w:tcPr>
          <w:p>
            <w:pPr>
              <w:spacing w:after="0"/>
              <w:rPr>
                <w:sz w:val="13"/>
                <w:szCs w:val="13"/>
                <w:color w:val="auto"/>
              </w:rPr>
            </w:pPr>
          </w:p>
        </w:tc>
        <w:tc>
          <w:tcPr>
            <w:tcW w:w="13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Initial</w:t>
            </w:r>
          </w:p>
        </w:tc>
        <w:tc>
          <w:tcPr>
            <w:tcW w:w="19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Number of Option</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25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Depositary Shares</w:t>
            </w:r>
          </w:p>
        </w:tc>
        <w:tc>
          <w:tcPr>
            <w:tcW w:w="780" w:type="dxa"/>
            <w:vAlign w:val="bottom"/>
          </w:tcPr>
          <w:p>
            <w:pPr>
              <w:spacing w:after="0"/>
              <w:rPr>
                <w:sz w:val="15"/>
                <w:szCs w:val="15"/>
                <w:color w:val="auto"/>
              </w:rPr>
            </w:pPr>
          </w:p>
        </w:tc>
        <w:tc>
          <w:tcPr>
            <w:tcW w:w="12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Depositary Shares</w:t>
            </w:r>
          </w:p>
        </w:tc>
        <w:tc>
          <w:tcPr>
            <w:tcW w:w="0" w:type="dxa"/>
            <w:vAlign w:val="bottom"/>
          </w:tcPr>
          <w:p>
            <w:pPr>
              <w:spacing w:after="0"/>
              <w:rPr>
                <w:sz w:val="1"/>
                <w:szCs w:val="1"/>
                <w:color w:val="auto"/>
              </w:rPr>
            </w:pPr>
          </w:p>
        </w:tc>
      </w:tr>
      <w:tr>
        <w:trPr>
          <w:trHeight w:val="171"/>
        </w:trPr>
        <w:tc>
          <w:tcPr>
            <w:tcW w:w="418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13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780" w:type="dxa"/>
            <w:vAlign w:val="bottom"/>
            <w:shd w:val="clear" w:color="auto" w:fill="CCEEFF"/>
          </w:tcPr>
          <w:p>
            <w:pPr>
              <w:spacing w:after="0"/>
              <w:rPr>
                <w:sz w:val="21"/>
                <w:szCs w:val="21"/>
                <w:color w:val="auto"/>
              </w:rPr>
            </w:pPr>
          </w:p>
        </w:tc>
        <w:tc>
          <w:tcPr>
            <w:tcW w:w="3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Incorporated</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1,440,000</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1,440,000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1,440,000</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7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 I to Exhibit A</w:t>
      </w:r>
    </w:p>
    <w:p>
      <w:pPr>
        <w:sectPr>
          <w:pgSz w:w="11900" w:h="16838" w:orient="portrait"/>
          <w:cols w:equalWidth="0" w:num="1">
            <w:col w:w="9019"/>
          </w:cols>
          <w:pgMar w:left="1440" w:top="270" w:right="1440" w:bottom="1440" w:gutter="0" w:footer="0" w:header="0"/>
        </w:sectPr>
      </w:pPr>
    </w:p>
    <w:bookmarkStart w:id="53" w:name="page54"/>
    <w:bookmarkEnd w:id="53"/>
    <w:p>
      <w:pPr>
        <w:jc w:val="center"/>
        <w:ind w:right="-1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of Depositary Shares:</w:t>
      </w:r>
    </w:p>
    <w:p>
      <w:pPr>
        <w:spacing w:after="0" w:line="121" w:lineRule="exact"/>
        <w:rPr>
          <w:sz w:val="20"/>
          <w:szCs w:val="20"/>
          <w:color w:val="auto"/>
        </w:rPr>
      </w:pPr>
    </w:p>
    <w:p>
      <w:pPr>
        <w:ind w:left="460" w:right="240"/>
        <w:spacing w:after="0" w:line="282" w:lineRule="auto"/>
        <w:rPr>
          <w:sz w:val="20"/>
          <w:szCs w:val="20"/>
          <w:color w:val="auto"/>
        </w:rPr>
      </w:pPr>
      <w:r>
        <w:rPr>
          <w:rFonts w:ascii="Times New Roman" w:cs="Times New Roman" w:eastAsia="Times New Roman" w:hAnsi="Times New Roman"/>
          <w:sz w:val="18"/>
          <w:szCs w:val="18"/>
          <w:color w:val="auto"/>
        </w:rPr>
        <w:t>Depositary Shares, each representing 1/1000 of a 5.000% Series C Cumulative Redeemable Preferred Share of Beneficial Interest (the “Depositary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Depositary Shares:</w:t>
      </w:r>
    </w:p>
    <w:p>
      <w:pPr>
        <w:spacing w:after="0" w:line="121" w:lineRule="exact"/>
        <w:rPr>
          <w:sz w:val="20"/>
          <w:szCs w:val="20"/>
          <w:color w:val="auto"/>
        </w:rPr>
      </w:pPr>
    </w:p>
    <w:p>
      <w:pPr>
        <w:ind w:left="460" w:right="100"/>
        <w:spacing w:after="0" w:line="261" w:lineRule="auto"/>
        <w:rPr>
          <w:sz w:val="20"/>
          <w:szCs w:val="20"/>
          <w:color w:val="auto"/>
        </w:rPr>
      </w:pPr>
      <w:r>
        <w:rPr>
          <w:rFonts w:ascii="Times New Roman" w:cs="Times New Roman" w:eastAsia="Times New Roman" w:hAnsi="Times New Roman"/>
          <w:sz w:val="18"/>
          <w:szCs w:val="18"/>
          <w:color w:val="auto"/>
        </w:rPr>
        <w:t>6,400,000 depositary shares. The Depositary Shares consist of an aggregate of 6,000,000 Depositary Shares (the “Initial Depositary Shares”) that the Underwriters have agreed to purchase and that the Company has agreed to sell and an aggregate of up to 400,000 Depositary Shares (the “Option Depositary Shares”) that the Underwriters have the option to purchase from the Company, all subject to the terms and conditions set forth in this Pricing Agreement and the Underwriting Agreement incorporated by reference herein.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per Depositary Share: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$25.00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 by Underwriters: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$24.2125 per depositary share sold to retail accounts and $24.5000 per depositary share sold to institutional accounts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Specified funds for payment of purchase price: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Perpetual (unless redeemed by the Issuer pursuant to its optional redemption right on or after September 29,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Rate:</w:t>
      </w:r>
    </w:p>
    <w:p>
      <w:pPr>
        <w:spacing w:after="0" w:line="121"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5.000% of the $25,000.00 liquidation preference per year, or $1,250.00 per year, per Series C Preferred Share (equal to $1.250 per year per depositary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January 15, April 15, July 15 and October 15, beginning on January 15, 2018</w:t>
      </w:r>
    </w:p>
    <w:p>
      <w:pPr>
        <w:sectPr>
          <w:pgSz w:w="11900" w:h="16838" w:orient="portrait"/>
          <w:cols w:equalWidth="0" w:num="1">
            <w:col w:w="11280"/>
          </w:cols>
          <w:pgMar w:left="240" w:top="270"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Provisions: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Designated Securities are not redeemable until September 29, 2022. On or after September 29, 2022, the Designated Securities may be redeemed at redemption prices as described in the Prospectus Supplement and the Issuer Free Writing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Sinking Fund Provisions: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provisions: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Time: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4:50 p.m. (Eastern time) on September 25, 2017 or such other time as agreed by the Company and the Representatives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of Delivery: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September 29, 2017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Closing Location: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Sidley Austin </w:t>
      </w:r>
      <w:r>
        <w:rPr>
          <w:rFonts w:ascii="Times New Roman" w:cs="Times New Roman" w:eastAsia="Times New Roman" w:hAnsi="Times New Roman"/>
          <w:sz w:val="15"/>
          <w:szCs w:val="15"/>
          <w:color w:val="auto"/>
        </w:rPr>
        <w:t>LLP</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 Section 12 Notice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Rockefeller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NY1-050-12-01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Debt Capital Markets Transaction Management/Legal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901-7881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Fixed Income Syndicate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(203) 719-0495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550 South Tryon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Transaction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(704) 410-0326</w:t>
      </w:r>
    </w:p>
    <w:p>
      <w:pPr>
        <w:sectPr>
          <w:pgSz w:w="11900" w:h="16838" w:orient="portrait"/>
          <w:cols w:equalWidth="0" w:num="1">
            <w:col w:w="10960"/>
          </w:cols>
          <w:pgMar w:left="240" w:top="266" w:right="6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PILLSBURY WINTHROP SHAW PITTMAN LLP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1200 Seventeenth St. NW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29,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Rockville, MD 20852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acting as counsel for Federal Realty Investment Trust, a Maryland real estate investment trust (the “Company”), in connection with the issuance and sale of up to 6,400,000 depositary shares (the “Depositary Shares”), each representing a 1/1000th interest in a 5.000% Series C Cumulative Redeemable Preferred Share, par value $0.01 per share, of the Company (the “Series C Preferred Shares”), all of which are authorized but heretofore unissued shares to be offered and sold by the Company in accordance with the terms of the Underwriting Agreement, dated September 25, 2017 (the “Underwriting Agreement”), among the Company and the several underwriters named therein, of the related Pricing Agreement, dated as of September 25, 2017, among the Company and the several underwriters named therein, and of the Deposit Agreement, dated September 29, 2017(the “Deposit Agreement”), by and among the Company, American Stock Transfer &amp; Trust Company, LLC, as Depositary, and the holders from time to time of the depositary receipts issued thereunder. The Depositary Shares and the Series C Preferred Shares will be offered and sold by the Company pursuant to the Registration Statement on Form S-3 (Registration No. 333-203999) (the “Registration Statement”), filed by the Company with the Securities and Exchange Commission (the “Commission”) under the Securities Act of 1933 (the “Act”), and related prospectus, dated May 8, 2015, as supplemented by the prospectus supplement, dated September 25, 2017, relating to the offer and sale of the Depositary Shares (as so supplemented, the “Prospectus”).</w:t>
      </w:r>
    </w:p>
    <w:p>
      <w:pPr>
        <w:spacing w:after="0" w:line="19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reviewed and are familiar with such documents, company proceedings and other matters as we have considered relevant or necessary as a basis for the opinions in this letter. Based on the foregoing, we are of the opinion that the Series C Preferred Shares and the Depositary Shares, when issued and delivered by the Company in accordance with the terms of the Underwriting Agreement, the Pricing Agreement and the Deposit Agreement, and upon receipt of consideration for the Depositary Shares in accordance with the terms of the Underwriting Agreement and the Pricing Agreement, will be validly issued, fully paid and nonassessable.</w:t>
      </w:r>
    </w:p>
    <w:p>
      <w:pPr>
        <w:spacing w:after="0" w:line="18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opinions set forth in this letter are limited to the law of the State of Maryland, as in effect on the date hereof, and we express no opinion as to the law of any other jurisdiction. We have no responsibility or obligation to update this letter or to take into account changes in law, facts or any other developments of which we may later become aware.</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Company’s Current Report on Form 8-K filed by the Company with the Commission on the date hereof and the incorporation thereof in the Registration Statement and to the use of our name under the caption “Legal Matters” in the Prospectus. In giving this consent, we do not thereby admit that we are within the category of persons whose consent is required under Section 7 of the Act or the rules and regulations of the Commission promulgated thereunder.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PILLSBURY WINTHROP SHAW PITTMAN LLP</w:t>
      </w:r>
    </w:p>
    <w:p>
      <w:pPr>
        <w:sectPr>
          <w:pgSz w:w="11900" w:h="16838" w:orient="portrait"/>
          <w:cols w:equalWidth="0" w:num="1">
            <w:col w:w="11420"/>
          </w:cols>
          <w:pgMar w:left="240" w:top="117"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PILLSBURY WINTHROP SHAW PITTMAN LLP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20036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25,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September 25, 2017 (the “Prospectus Supplement”) to a prospectus (the “Base Prospectus”) filed as part of a registration statement on Form S-3 (File No. 333-203999, the “Registration Statement,” which term includes the Base Prospectus, Prospectus Supplement, and all documents incorporated and deemed to be incorporated by reference therein) with the Securities and Exchange Commission.</w:t>
      </w:r>
    </w:p>
    <w:p>
      <w:pPr>
        <w:spacing w:after="0" w:line="184" w:lineRule="exact"/>
        <w:rPr>
          <w:sz w:val="20"/>
          <w:szCs w:val="20"/>
          <w:color w:val="auto"/>
        </w:rPr>
      </w:pPr>
    </w:p>
    <w:p>
      <w:pPr>
        <w:ind w:right="200" w:firstLine="456"/>
        <w:spacing w:after="0" w:line="257" w:lineRule="auto"/>
        <w:rPr>
          <w:sz w:val="20"/>
          <w:szCs w:val="20"/>
          <w:color w:val="auto"/>
        </w:rPr>
      </w:pPr>
      <w:r>
        <w:rPr>
          <w:rFonts w:ascii="Times New Roman" w:cs="Times New Roman" w:eastAsia="Times New Roman" w:hAnsi="Times New Roman"/>
          <w:sz w:val="18"/>
          <w:szCs w:val="18"/>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spacing w:after="0" w:line="2" w:lineRule="exact"/>
        <w:rPr>
          <w:sz w:val="20"/>
          <w:szCs w:val="20"/>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written representations of the Company contained in a letter to us dated as of the date hereof, a copy of which is attached as Schedule 1 hereto,</w:t>
      </w:r>
    </w:p>
    <w:p>
      <w:pPr>
        <w:spacing w:after="0" w:line="9" w:lineRule="exact"/>
        <w:rPr>
          <w:rFonts w:ascii="Times New Roman" w:cs="Times New Roman" w:eastAsia="Times New Roman" w:hAnsi="Times New Roman"/>
          <w:sz w:val="18"/>
          <w:szCs w:val="18"/>
          <w:color w:val="auto"/>
        </w:rPr>
      </w:pPr>
    </w:p>
    <w:p>
      <w:pPr>
        <w:ind w:right="40" w:firstLine="8"/>
        <w:spacing w:after="0" w:line="252"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90"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420"/>
          </w:cols>
          <w:pgMar w:left="240" w:top="117"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8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2017;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(2017) taxable year and for future taxable years, and (iii) the discussions in (w) the Base Prospectus under the caption “Material Federal Income Tax Considerations,” (x) Exhibit 99.1 to the Form 8-K filed on August 4, 2017 under the caption “Additional Material Federal Income Tax Considerations,” (y) the Prospectus Supplement under the caption “Additional Material Federal Income Tax Considerations,” and (z) the Company’s Annual Report on Form 10-K for the year ended December 31, 2016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are incorporated by reference into the Registration Statement, to the extent that they discuss matters of law or legal conclusions or purport to describe certain provisions of the federal tax laws, are correct summaries of the matters discussed therein.</w:t>
      </w:r>
    </w:p>
    <w:p>
      <w:pPr>
        <w:spacing w:after="0" w:line="19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00"/>
          </w:cols>
          <w:pgMar w:left="240" w:top="270" w:right="2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PILLSBURY WINTHROP SHAW PITTMAN LLP</w:t>
      </w:r>
    </w:p>
    <w:sectPr>
      <w:pgSz w:w="11900" w:h="16838" w:orient="portrait"/>
      <w:cols w:equalWidth="0" w:num="1">
        <w:col w:w="11240"/>
      </w:cols>
      <w:pgMar w:left="2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2"/>
    </w:lvl>
    <w:lvl w:ilvl="1">
      <w:lvlJc w:val="left"/>
      <w:lvlText w:val="(%2)"/>
      <w:numFmt w:val="lowerLetter"/>
      <w:start w:val="1"/>
    </w:lvl>
  </w:abstractNum>
  <w:abstractNum w:abstractNumId="3">
    <w:nsid w:val="333AB105"/>
    <w:multiLevelType w:val="hybridMultilevel"/>
    <w:lvl w:ilvl="0">
      <w:lvlJc w:val="left"/>
      <w:lvlText w:val="%1"/>
      <w:numFmt w:val="decimal"/>
      <w:start w:val="1"/>
    </w:lvl>
    <w:lvl w:ilvl="1">
      <w:lvlJc w:val="left"/>
      <w:lvlText w:val="(%2)"/>
      <w:numFmt w:val="lowerLetter"/>
      <w:start w:val="2"/>
    </w:lvl>
  </w:abstractNum>
  <w:abstractNum w:abstractNumId="4">
    <w:nsid w:val="721DA317"/>
    <w:multiLevelType w:val="hybridMultilevel"/>
    <w:lvl w:ilvl="0">
      <w:lvlJc w:val="left"/>
      <w:lvlText w:val="(%1)"/>
      <w:numFmt w:val="decimal"/>
      <w:start w:val="2"/>
    </w:lvl>
    <w:lvl w:ilvl="1">
      <w:lvlJc w:val="left"/>
      <w:lvlText w:val="(%2)"/>
      <w:numFmt w:val="lowerLetter"/>
      <w:start w:val="3"/>
    </w:lvl>
  </w:abstractNum>
  <w:abstractNum w:abstractNumId="5">
    <w:nsid w:val="2443A858"/>
    <w:multiLevelType w:val="hybridMultilevel"/>
    <w:lvl w:ilvl="0">
      <w:lvlJc w:val="left"/>
      <w:lvlText w:val="(%1)"/>
      <w:numFmt w:val="upperLetter"/>
      <w:start w:val="1"/>
    </w:lvl>
  </w:abstractNum>
  <w:abstractNum w:abstractNumId="6">
    <w:nsid w:val="2D1D5AE9"/>
    <w:multiLevelType w:val="hybridMultilevel"/>
    <w:lvl w:ilvl="0">
      <w:lvlJc w:val="left"/>
      <w:lvlText w:val="(%1)"/>
      <w:numFmt w:val="lowerLetter"/>
      <w:start w:val="4"/>
    </w:lvl>
  </w:abstractNum>
  <w:abstractNum w:abstractNumId="7">
    <w:nsid w:val="6763845E"/>
    <w:multiLevelType w:val="hybridMultilevel"/>
    <w:lvl w:ilvl="0">
      <w:lvlJc w:val="left"/>
      <w:lvlText w:val="(%1)"/>
      <w:numFmt w:val="lowerLetter"/>
      <w:start w:val="6"/>
    </w:lvl>
  </w:abstractNum>
  <w:abstractNum w:abstractNumId="8">
    <w:nsid w:val="75A2A8D4"/>
    <w:multiLevelType w:val="hybridMultilevel"/>
    <w:lvl w:ilvl="0">
      <w:lvlJc w:val="left"/>
      <w:lvlText w:val="(%1)"/>
      <w:numFmt w:val="lowerLetter"/>
      <w:start w:val="2"/>
    </w:lvl>
    <w:lvl w:ilvl="1">
      <w:lvlJc w:val="left"/>
      <w:lvlText w:val="(%2)"/>
      <w:numFmt w:val="lowerLetter"/>
      <w:start w:val="8"/>
    </w:lvl>
  </w:abstractNum>
  <w:abstractNum w:abstractNumId="9">
    <w:nsid w:val="8EDBDAB"/>
    <w:multiLevelType w:val="hybridMultilevel"/>
    <w:lvl w:ilvl="0">
      <w:lvlJc w:val="left"/>
      <w:lvlText w:val="(%1)"/>
      <w:numFmt w:val="lowerLetter"/>
      <w:start w:val="11"/>
    </w:lvl>
  </w:abstractNum>
  <w:abstractNum w:abstractNumId="10">
    <w:nsid w:val="79838CB2"/>
    <w:multiLevelType w:val="hybridMultilevel"/>
    <w:lvl w:ilvl="0">
      <w:lvlJc w:val="left"/>
      <w:lvlText w:val="(%1)"/>
      <w:numFmt w:val="lowerRoman"/>
      <w:start w:val="4"/>
    </w:lvl>
    <w:lvl w:ilvl="1">
      <w:lvlJc w:val="left"/>
      <w:lvlText w:val="(%2)"/>
      <w:numFmt w:val="lowerLetter"/>
      <w:start w:val="15"/>
    </w:lvl>
  </w:abstractNum>
  <w:abstractNum w:abstractNumId="11">
    <w:nsid w:val="4353D0CD"/>
    <w:multiLevelType w:val="hybridMultilevel"/>
    <w:lvl w:ilvl="0">
      <w:lvlJc w:val="left"/>
      <w:lvlText w:val="(%1)"/>
      <w:numFmt w:val="lowerLetter"/>
      <w:start w:val="17"/>
    </w:lvl>
  </w:abstractNum>
  <w:abstractNum w:abstractNumId="12">
    <w:nsid w:val="B03E0C6"/>
    <w:multiLevelType w:val="hybridMultilevel"/>
    <w:lvl w:ilvl="0">
      <w:lvlJc w:val="left"/>
      <w:lvlText w:val="(%1)"/>
      <w:numFmt w:val="lowerLetter"/>
      <w:start w:val="21"/>
    </w:lvl>
  </w:abstractNum>
  <w:abstractNum w:abstractNumId="13">
    <w:nsid w:val="189A769B"/>
    <w:multiLevelType w:val="hybridMultilevel"/>
    <w:lvl w:ilvl="0">
      <w:lvlJc w:val="left"/>
      <w:lvlText w:val="(%1)"/>
      <w:numFmt w:val="lowerLetter"/>
      <w:start w:val="24"/>
    </w:lvl>
  </w:abstractNum>
  <w:abstractNum w:abstractNumId="14">
    <w:nsid w:val="54E49EB4"/>
    <w:multiLevelType w:val="hybridMultilevel"/>
    <w:lvl w:ilvl="0">
      <w:lvlJc w:val="left"/>
      <w:lvlText w:val="(%1)"/>
      <w:numFmt w:val="lowerLetter"/>
      <w:start w:val="27"/>
    </w:lvl>
  </w:abstractNum>
  <w:abstractNum w:abstractNumId="15">
    <w:nsid w:val="71F32454"/>
    <w:multiLevelType w:val="hybridMultilevel"/>
    <w:lvl w:ilvl="0">
      <w:lvlJc w:val="left"/>
      <w:lvlText w:val="%1"/>
      <w:numFmt w:val="decimal"/>
      <w:start w:val="1"/>
    </w:lvl>
    <w:lvl w:ilvl="1">
      <w:lvlJc w:val="left"/>
      <w:lvlText w:val="(%2)"/>
      <w:numFmt w:val="lowerLetter"/>
      <w:start w:val="29"/>
    </w:lvl>
  </w:abstractNum>
  <w:abstractNum w:abstractNumId="16">
    <w:nsid w:val="2CA88611"/>
    <w:multiLevelType w:val="hybridMultilevel"/>
    <w:lvl w:ilvl="0">
      <w:lvlJc w:val="left"/>
      <w:lvlText w:val="%1."/>
      <w:numFmt w:val="decimal"/>
      <w:start w:val="3"/>
    </w:lvl>
    <w:lvl w:ilvl="1">
      <w:lvlJc w:val="left"/>
      <w:lvlText w:val="%2"/>
      <w:numFmt w:val="lowerLetter"/>
      <w:start w:val="1"/>
    </w:lvl>
  </w:abstractNum>
  <w:abstractNum w:abstractNumId="17">
    <w:nsid w:val="836C40E"/>
    <w:multiLevelType w:val="hybridMultilevel"/>
    <w:lvl w:ilvl="0">
      <w:lvlJc w:val="left"/>
      <w:lvlText w:val="%1."/>
      <w:numFmt w:val="decimal"/>
      <w:start w:val="4"/>
    </w:lvl>
    <w:lvl w:ilvl="1">
      <w:lvlJc w:val="left"/>
      <w:lvlText w:val="(%2)"/>
      <w:numFmt w:val="lowerLetter"/>
      <w:start w:val="1"/>
    </w:lvl>
  </w:abstractNum>
  <w:abstractNum w:abstractNumId="18">
    <w:nsid w:val="2901D82"/>
    <w:multiLevelType w:val="hybridMultilevel"/>
    <w:lvl w:ilvl="0">
      <w:lvlJc w:val="left"/>
      <w:lvlText w:val="(%1)"/>
      <w:numFmt w:val="lowerLetter"/>
      <w:start w:val="2"/>
    </w:lvl>
  </w:abstractNum>
  <w:abstractNum w:abstractNumId="19">
    <w:nsid w:val="3A95F874"/>
    <w:multiLevelType w:val="hybridMultilevel"/>
    <w:lvl w:ilvl="0">
      <w:lvlJc w:val="left"/>
      <w:lvlText w:val="(%1)"/>
      <w:numFmt w:val="lowerLetter"/>
      <w:start w:val="4"/>
    </w:lvl>
  </w:abstractNum>
  <w:abstractNum w:abstractNumId="20">
    <w:nsid w:val="8138641"/>
    <w:multiLevelType w:val="hybridMultilevel"/>
    <w:lvl w:ilvl="0">
      <w:lvlJc w:val="left"/>
      <w:lvlText w:val="(%1)"/>
      <w:numFmt w:val="lowerLetter"/>
      <w:start w:val="7"/>
    </w:lvl>
  </w:abstractNum>
  <w:abstractNum w:abstractNumId="21">
    <w:nsid w:val="1E7FF521"/>
    <w:multiLevelType w:val="hybridMultilevel"/>
    <w:lvl w:ilvl="0">
      <w:lvlJc w:val="left"/>
      <w:lvlText w:val="(%1)"/>
      <w:numFmt w:val="lowerLetter"/>
      <w:start w:val="9"/>
    </w:lvl>
  </w:abstractNum>
  <w:abstractNum w:abstractNumId="22">
    <w:nsid w:val="7C3DBD3D"/>
    <w:multiLevelType w:val="hybridMultilevel"/>
    <w:lvl w:ilvl="0">
      <w:lvlJc w:val="left"/>
      <w:lvlText w:val="%1"/>
      <w:numFmt w:val="lowerRoman"/>
      <w:start w:val="1"/>
    </w:lvl>
    <w:lvl w:ilvl="1">
      <w:lvlJc w:val="left"/>
      <w:lvlText w:val="%2."/>
      <w:numFmt w:val="decimal"/>
      <w:start w:val="6"/>
    </w:lvl>
  </w:abstractNum>
  <w:abstractNum w:abstractNumId="23">
    <w:nsid w:val="737B8DDC"/>
    <w:multiLevelType w:val="hybridMultilevel"/>
    <w:lvl w:ilvl="0">
      <w:lvlJc w:val="left"/>
      <w:lvlText w:val="(%1)"/>
      <w:numFmt w:val="lowerRoman"/>
      <w:start w:val="2"/>
    </w:lvl>
    <w:lvl w:ilvl="1">
      <w:lvlJc w:val="left"/>
      <w:lvlText w:val="%2."/>
      <w:numFmt w:val="decimal"/>
      <w:start w:val="7"/>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6"/>
    </w:lvl>
  </w:abstractNum>
  <w:abstractNum w:abstractNumId="26">
    <w:nsid w:val="4516DDE9"/>
    <w:multiLevelType w:val="hybridMultilevel"/>
    <w:lvl w:ilvl="0">
      <w:lvlJc w:val="left"/>
      <w:lvlText w:val="(%1)"/>
      <w:numFmt w:val="lowerLetter"/>
      <w:start w:val="8"/>
    </w:lvl>
  </w:abstractNum>
  <w:abstractNum w:abstractNumId="27">
    <w:nsid w:val="3006C83E"/>
    <w:multiLevelType w:val="hybridMultilevel"/>
    <w:lvl w:ilvl="0">
      <w:lvlJc w:val="left"/>
      <w:lvlText w:val="%1."/>
      <w:numFmt w:val="decimal"/>
      <w:start w:val="8"/>
    </w:lvl>
  </w:abstractNum>
  <w:abstractNum w:abstractNumId="28">
    <w:nsid w:val="614FD4A1"/>
    <w:multiLevelType w:val="hybridMultilevel"/>
    <w:lvl w:ilvl="0">
      <w:lvlJc w:val="left"/>
      <w:lvlText w:val="(%1)"/>
      <w:numFmt w:val="lowerLetter"/>
      <w:start w:val="2"/>
    </w:lvl>
  </w:abstractNum>
  <w:abstractNum w:abstractNumId="29">
    <w:nsid w:val="419AC241"/>
    <w:multiLevelType w:val="hybridMultilevel"/>
    <w:lvl w:ilvl="0">
      <w:lvlJc w:val="left"/>
      <w:lvlText w:val="%1"/>
      <w:numFmt w:val="lowerLetter"/>
      <w:start w:val="1"/>
    </w:lvl>
    <w:lvl w:ilvl="1">
      <w:lvlJc w:val="left"/>
      <w:lvlText w:val="(%2)"/>
      <w:numFmt w:val="lowerLetter"/>
      <w:start w:val="3"/>
    </w:lvl>
  </w:abstractNum>
  <w:abstractNum w:abstractNumId="30">
    <w:nsid w:val="5577F8E1"/>
    <w:multiLevelType w:val="hybridMultilevel"/>
    <w:lvl w:ilvl="0">
      <w:lvlJc w:val="left"/>
      <w:lvlText w:val="(%1)"/>
      <w:numFmt w:val="lowerLetter"/>
      <w:start w:val="2"/>
    </w:lvl>
    <w:lvl w:ilvl="1">
      <w:lvlJc w:val="left"/>
      <w:lvlText w:val="%2"/>
      <w:numFmt w:val="lowerLetter"/>
      <w:start w:val="1"/>
    </w:lvl>
  </w:abstractNum>
  <w:abstractNum w:abstractNumId="31">
    <w:nsid w:val="440BADFC"/>
    <w:multiLevelType w:val="hybridMultilevel"/>
    <w:lvl w:ilvl="0">
      <w:lvlJc w:val="left"/>
      <w:lvlText w:val="(%1)"/>
      <w:numFmt w:val="lowerLetter"/>
      <w:start w:val="5"/>
    </w:lvl>
  </w:abstractNum>
  <w:abstractNum w:abstractNumId="32">
    <w:nsid w:val="5072367"/>
    <w:multiLevelType w:val="hybridMultilevel"/>
    <w:lvl w:ilvl="0">
      <w:lvlJc w:val="left"/>
      <w:lvlText w:val="%1."/>
      <w:numFmt w:val="decimal"/>
      <w:start w:val="9"/>
    </w:lvl>
  </w:abstractNum>
  <w:abstractNum w:abstractNumId="33">
    <w:nsid w:val="3804823E"/>
    <w:multiLevelType w:val="hybridMultilevel"/>
    <w:lvl w:ilvl="0">
      <w:lvlJc w:val="left"/>
      <w:lvlText w:val="(%1)"/>
      <w:numFmt w:val="lowerLetter"/>
      <w:start w:val="2"/>
    </w:lvl>
  </w:abstractNum>
  <w:abstractNum w:abstractNumId="34">
    <w:nsid w:val="77465F01"/>
    <w:multiLevelType w:val="hybridMultilevel"/>
    <w:lvl w:ilvl="0">
      <w:lvlJc w:val="left"/>
      <w:lvlText w:val="%1."/>
      <w:numFmt w:val="decimal"/>
      <w:start w:val="10"/>
    </w:lvl>
  </w:abstractNum>
  <w:abstractNum w:abstractNumId="35">
    <w:nsid w:val="7724C67E"/>
    <w:multiLevelType w:val="hybridMultilevel"/>
    <w:lvl w:ilvl="0">
      <w:lvlJc w:val="left"/>
      <w:lvlText w:val="%1."/>
      <w:numFmt w:val="decimal"/>
      <w:start w:val="13"/>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18" Type="http://schemas.openxmlformats.org/officeDocument/2006/relationships/hyperlink" Target="http://www.sec.gov/Archives/edgar/data/34903/000119312517299279/d453589dex32.htm" TargetMode="External"/><Relationship Id="rId19" Type="http://schemas.openxmlformats.org/officeDocument/2006/relationships/hyperlink" Target="http://www.sec.gov/Archives/edgar/data/34903/000119312517299279/d453589dex41.htm" TargetMode="External"/><Relationship Id="rId21" Type="http://schemas.openxmlformats.org/officeDocument/2006/relationships/hyperlink" Target="http://www.sec.gov/Archives/edgar/data/34903/000119312517299279/d453589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2019-12-29T04:08:27Z</dcterms:created>
  <dcterms:modified xsi:type="dcterms:W3CDTF">2019-12-29T04:08:27Z</dcterms:modified>
</cp:coreProperties>
</file>