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spacing w:after="0"/>
        <w:tabs>
          <w:tab w:leader="none" w:pos="2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tcPr>
          <w:p>
            <w:pPr>
              <w:ind w:left="7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2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July 30, 2010 was 61,418,590.</w:t>
            </w:r>
          </w:p>
        </w:tc>
        <w:tc>
          <w:tcPr>
            <w:tcW w:w="2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2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320" w:type="dxa"/>
            <w:vAlign w:val="bottom"/>
            <w:gridSpan w:val="12"/>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9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2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June 30, 2010 (unaudited) and December 31, 2009</w:t>
              </w:r>
            </w:hyperlink>
          </w:p>
        </w:tc>
        <w:tc>
          <w:tcPr>
            <w:tcW w:w="288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Operations (unaudited) for the three and six months ended June 30, 2010 and 2009</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 of Shareholders’ Equity (unaudited) for the six months ended June 30, 2010</w:t>
              </w:r>
            </w:hyperlink>
          </w:p>
        </w:tc>
        <w:tc>
          <w:tcPr>
            <w:tcW w:w="1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six months ended June 30, 2010 and 2009</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7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260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90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70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PART II. OTHER INFORMATION</w:t>
              </w:r>
            </w:hyperlink>
          </w:p>
        </w:tc>
        <w:tc>
          <w:tcPr>
            <w:tcW w:w="7620" w:type="dxa"/>
            <w:vAlign w:val="bottom"/>
            <w:gridSpan w:val="1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60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8020" w:type="dxa"/>
            <w:vAlign w:val="bottom"/>
            <w:gridSpan w:val="1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466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9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6640" w:type="dxa"/>
            <w:vAlign w:val="bottom"/>
            <w:gridSpan w:val="9"/>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Other Information</w:t>
              </w:r>
            </w:hyperlink>
          </w:p>
        </w:tc>
        <w:tc>
          <w:tcPr>
            <w:tcW w:w="500" w:type="dxa"/>
            <w:vAlign w:val="bottom"/>
            <w:tcBorders>
              <w:top w:val="single" w:sz="8" w:color="0000EE"/>
            </w:tcBorders>
            <w:gridSpan w:val="5"/>
          </w:tcPr>
          <w:p>
            <w:pPr>
              <w:spacing w:after="0"/>
              <w:rPr>
                <w:sz w:val="17"/>
                <w:szCs w:val="17"/>
                <w:color w:val="auto"/>
              </w:rPr>
            </w:pPr>
          </w:p>
        </w:tc>
        <w:tc>
          <w:tcPr>
            <w:tcW w:w="7120" w:type="dxa"/>
            <w:vAlign w:val="bottom"/>
            <w:gridSpan w:val="10"/>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9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04"/>
        </w:trPr>
        <w:tc>
          <w:tcPr>
            <w:tcW w:w="12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3"/>
          </w:tcPr>
          <w:p>
            <w:pPr>
              <w:ind w:left="44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balance sheet as of December 31, 2009,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2010 are not necessarily indicative of the results that may be expected for the full year.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7"/>
              </w:rPr>
              <w:t>(In thousands,</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w w:val="74"/>
              </w:rPr>
              <w:t>except</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00" w:type="dxa"/>
            <w:vAlign w:val="bottom"/>
            <w:gridSpan w:val="3"/>
          </w:tcPr>
          <w:p>
            <w:pPr>
              <w:jc w:val="center"/>
              <w:ind w:right="184"/>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(including $86,954 and $68,643 of consolidated variable interest entities,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3,660,541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3,805,528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3"/>
              </w:rPr>
              <w:t>Less accumulated depreciation and amortization (including $3,524 and $3,053 of consolidated variable interest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entities, respectively)</w:t>
            </w:r>
          </w:p>
        </w:tc>
        <w:tc>
          <w:tcPr>
            <w:tcW w:w="100" w:type="dxa"/>
            <w:vAlign w:val="bottom"/>
          </w:tcPr>
          <w:p>
            <w:pPr>
              <w:spacing w:after="0"/>
              <w:rPr>
                <w:sz w:val="20"/>
                <w:szCs w:val="20"/>
                <w:color w:val="auto"/>
              </w:rPr>
            </w:pPr>
          </w:p>
        </w:tc>
        <w:tc>
          <w:tcPr>
            <w:tcW w:w="1000" w:type="dxa"/>
            <w:vAlign w:val="bottom"/>
            <w:gridSpan w:val="2"/>
          </w:tcPr>
          <w:p>
            <w:pPr>
              <w:jc w:val="right"/>
              <w:ind w:right="124"/>
              <w:spacing w:after="0"/>
              <w:rPr>
                <w:sz w:val="20"/>
                <w:szCs w:val="20"/>
                <w:color w:val="auto"/>
              </w:rPr>
            </w:pPr>
            <w:r>
              <w:rPr>
                <w:rFonts w:ascii="Arial" w:cs="Arial" w:eastAsia="Arial" w:hAnsi="Arial"/>
                <w:sz w:val="18"/>
                <w:szCs w:val="18"/>
                <w:color w:val="auto"/>
              </w:rPr>
              <w:t>(987,318)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2,818,210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Mortgage notes receivable,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$8,018 and $8,291,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3,103,645</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Mortgages payable (including $23,105 and $23,417 of consolidated variable interest entities,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534,627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1,079,880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1,909,240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61,408,051 and 61,242,050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1,659,896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1,653,177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(507,389)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1,163,118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1,177,337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1,194,405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3,103,645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18"/>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thousands,</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78"/>
              </w:rPr>
              <w:t>except</w:t>
            </w:r>
          </w:p>
        </w:tc>
        <w:tc>
          <w:tcPr>
            <w:tcW w:w="680" w:type="dxa"/>
            <w:vAlign w:val="bottom"/>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per share</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75"/>
              </w:rPr>
              <w:t>data)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130,256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w w:val="86"/>
              </w:rPr>
              <w:t>126,090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w w:val="86"/>
              </w:rPr>
              <w:t>261,748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8,420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133,835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130,338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w w:val="86"/>
              </w:rPr>
              <w:t>272,305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261,414</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55,584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14,905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14,821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30,009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11,218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77,680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74,935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w w:val="86"/>
              </w:rPr>
              <w:t>157,208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171,833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55,403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w w:val="86"/>
              </w:rPr>
              <w:t>115,097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(25,418)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(25,830)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92"/>
              </w:rPr>
              <w:t>(51,380)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30,958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29,250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61,512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62,512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62,922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30,979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28,282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60,063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38,630</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0.95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0.98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0.95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0.98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4"/>
                <w:szCs w:val="14"/>
                <w:b w:val="1"/>
                <w:bCs w:val="1"/>
                <w:color w:val="auto"/>
                <w:w w:val="88"/>
              </w:rPr>
              <w:t>Shareholders’ Equity of the Trust</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7"/>
              </w:rPr>
              <w:t>Preferred Shares</w:t>
            </w:r>
          </w:p>
        </w:tc>
        <w:tc>
          <w:tcPr>
            <w:tcW w:w="180" w:type="dxa"/>
            <w:vAlign w:val="bottom"/>
          </w:tcPr>
          <w:p>
            <w:pPr>
              <w:spacing w:after="0"/>
              <w:rPr>
                <w:sz w:val="12"/>
                <w:szCs w:val="12"/>
                <w:color w:val="auto"/>
              </w:rPr>
            </w:pPr>
          </w:p>
        </w:tc>
        <w:tc>
          <w:tcPr>
            <w:tcW w:w="16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Shares</w:t>
            </w:r>
          </w:p>
        </w:tc>
        <w:tc>
          <w:tcPr>
            <w:tcW w:w="108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Additional</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Dividends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080" w:type="dxa"/>
            <w:vAlign w:val="bottom"/>
            <w:gridSpan w:val="2"/>
            <w:vMerge w:val="restart"/>
          </w:tcPr>
          <w:p>
            <w:pPr>
              <w:jc w:val="right"/>
              <w:ind w:right="392"/>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Excess of Net</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8"/>
                <w:szCs w:val="8"/>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1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83"/>
              </w:rPr>
              <w:t>(In thousands, except</w:t>
            </w:r>
          </w:p>
        </w:tc>
        <w:tc>
          <w:tcPr>
            <w:tcW w:w="134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88"/>
              </w:rPr>
              <w:t>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399,896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$9,997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61,242,050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612</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$1,653,177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(486,449)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$ 1,209,063</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Net income/Comprehensive income</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60,334</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62,922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to noncontrolling interests</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Common shares issued</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2,187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1,294</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3,313</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Conversion and redemption of OP units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(82)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399,896</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61,408,051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614</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1,659,896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(507,389)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31,287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1,194,405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453"/>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62,922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extinguishment of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(Decrease) increase in security deposits and other liabilities</w:t>
            </w: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(1,943)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129,345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(19,063)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(9,850)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(16,720)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mortgage and other notes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(11,858)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(61,945)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repayments under revolving credit facility, net of costs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148,457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Purchase and retirement of senior notes</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(256,403)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(81,165)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(179,232)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63,615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(111,832)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135,389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June 30, 2010, we owned or had a majority interest in community and neighborhood shopping centers and mixed-use properties which are operated as 84 predominantly retail real estate projects.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2009 amounts have been reclassified to conform to current period presentation.</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376"/>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54,370</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52,370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(2,990)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880"/>
              <w:spacing w:after="0"/>
              <w:rPr>
                <w:sz w:val="20"/>
                <w:szCs w:val="20"/>
                <w:color w:val="auto"/>
              </w:rPr>
            </w:pPr>
            <w:r>
              <w:rPr>
                <w:rFonts w:ascii="Arial" w:cs="Arial" w:eastAsia="Arial" w:hAnsi="Arial"/>
                <w:sz w:val="18"/>
                <w:szCs w:val="18"/>
                <w:color w:val="auto"/>
              </w:rPr>
              <w:t>Interest expense</w:t>
            </w:r>
          </w:p>
        </w:tc>
        <w:tc>
          <w:tcPr>
            <w:tcW w:w="4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51,380</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49,413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45,519</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8"/>
                <w:szCs w:val="18"/>
                <w:color w:val="auto"/>
              </w:rPr>
              <w:t>Cash paid for income taxes</w:t>
            </w: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vMerge w:val="continue"/>
          </w:tcPr>
          <w:p>
            <w:pPr>
              <w:spacing w:after="0"/>
              <w:rPr>
                <w:sz w:val="18"/>
                <w:szCs w:val="18"/>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80" w:type="dxa"/>
            <w:vAlign w:val="bottom"/>
            <w:vMerge w:val="restart"/>
          </w:tcPr>
          <w:p>
            <w:pPr>
              <w:jc w:val="right"/>
              <w:ind w:right="3712"/>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 our balance sheet. These parenthetical amounts relate to Melville Mall in Huntington, New York and a shopping center and adjacent commercial building in Norwalk, Connecticut, which is further discussed in Note 3 below.</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2—REAL ESTATE</w:t>
      </w:r>
    </w:p>
    <w:p>
      <w:pPr>
        <w:spacing w:after="0" w:line="9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In 2010, we reached a settlement with the contractors responsible for performing defective work in previous years related to the conversion and sale of certain condominium units at Santana Row. The gain related to this settlement of $1.0 million is included in “discontinued operations - gain on sale of real estate”.</w:t>
      </w:r>
    </w:p>
    <w:p>
      <w:pPr>
        <w:spacing w:after="0" w:line="6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$0.4 million gain on sale of real estate relates to condemnation proceeds, net of costs, at one of our Northern Virginia properties in order to expand a local road.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3—MORTGAGE NOTES RECEIVABLE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bears interest at 7.25%, matures on September 1, 2032, and as of June 30, 2010, had an outstanding principal balance of $11.3 million. Since November 5, 2008, we have held the second mortgage on this shopping center and a first mortgage on an adjacent commercial building which had an outstanding balance of $7.4 million at June 30,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loans are in default, we have certain rights under the first mortgage loan agreement that gives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June 30, 2010.</w:t>
      </w:r>
    </w:p>
    <w:p>
      <w:pPr>
        <w:spacing w:after="0" w:line="14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In July 2010, we reached an agreement with the borrower whereby the borrower must repay the loans by September 30, 2010, subject to a possible extension through December 30, 2010. If the borrower fails to repay the loans at that time, we will be entitled to receive a deed-in-lieu of foreclosure for both properties.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2010,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The Partnership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60" w:type="dxa"/>
            <w:vAlign w:val="bottom"/>
            <w:gridSpan w:val="8"/>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2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10"/>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4,523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4,808</w:t>
            </w: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$9,178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3,342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2,512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1,702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7,556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gridSpan w:val="2"/>
            <w:vMerge w:val="continue"/>
          </w:tcPr>
          <w:p>
            <w:pPr>
              <w:spacing w:after="0"/>
              <w:rPr>
                <w:sz w:val="19"/>
                <w:szCs w:val="19"/>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1,133</w:t>
            </w:r>
          </w:p>
        </w:tc>
        <w:tc>
          <w:tcPr>
            <w:tcW w:w="100" w:type="dxa"/>
            <w:vAlign w:val="bottom"/>
          </w:tcPr>
          <w:p>
            <w:pPr>
              <w:spacing w:after="0"/>
              <w:rPr>
                <w:sz w:val="19"/>
                <w:szCs w:val="19"/>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24"/>
                <w:szCs w:val="24"/>
                <w:color w:val="auto"/>
              </w:rPr>
            </w:pPr>
          </w:p>
        </w:tc>
        <w:tc>
          <w:tcPr>
            <w:tcW w:w="8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w:t>
            </w:r>
          </w:p>
        </w:tc>
        <w:tc>
          <w:tcPr>
            <w:tcW w:w="7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2"/>
              </w:rPr>
              <w:t>thousands)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Real estate,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6"/>
              </w:rPr>
              <w:t>182,035</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183,757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6,197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192,247</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193,569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Mortgages payable</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57,683</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Partners’ capital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6"/>
              </w:rPr>
              <w:t>129,005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192,247</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193,569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17,305</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35,375</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the second quarter 2010, we recorded expenses of approximately $0.2 million related to formation costs of the partnership.</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May 26, 2010, Newbury Street Partnership acquired the fee interest in two buildings located on Newbury Street in Boston, Massachusetts for a purchase price of $17.5 million. The properties include approximately 32,000 square feet of retail and office space. We contributed $7.8 million towards this acquisition and provided an $8.8 million interest-only loan secured by the two buildings. The loan matures in May 2012, subject to a one-year extension option, and bears interest at LIBOR plus 400 basis points. All amounts contributed and advanced to Newbury Street Partnership are included in “Investment in real estate partnerships” in the consolidated balance sheet. Due to the timing of receiving financial information from the general partner, our share of operating earnings will be recorded one quarter in arrears.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of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six months ended June 30, 2010, the maximum amount of borrowings outstanding under our $300 million revolving credit facility was $20.0 million. The weighted average amount of borrowings outstanding was $4.5 million and $2.3 million for the three and six months ended June 30, 2010, respectively. Our revolving credit facility had a weighted average interest rate, before amortization of debt fees, of 0.7% for the three and six months ended June 30, 2010. At June 30, 2010, there was no balance outstanding on our revolving credit facility.</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June 30, 2010,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June 30, 2010</w:t>
            </w: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2009</w:t>
            </w:r>
          </w:p>
        </w:tc>
      </w:tr>
      <w:tr>
        <w:trPr>
          <w:trHeight w:val="129"/>
        </w:trPr>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4"/>
              <w:spacing w:after="0" w:line="12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Carrying</w:t>
            </w:r>
          </w:p>
        </w:tc>
        <w:tc>
          <w:tcPr>
            <w:tcW w:w="72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600,597</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2"/>
              </w:rPr>
              <w:t>$ 928,225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$ 926,478</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1,079,880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1,159,022</w:t>
            </w:r>
          </w:p>
        </w:tc>
        <w:tc>
          <w:tcPr>
            <w:tcW w:w="1120" w:type="dxa"/>
            <w:vAlign w:val="bottom"/>
            <w:gridSpan w:val="3"/>
          </w:tcPr>
          <w:p>
            <w:pPr>
              <w:ind w:left="220"/>
              <w:spacing w:after="0"/>
              <w:rPr>
                <w:sz w:val="20"/>
                <w:szCs w:val="20"/>
                <w:color w:val="auto"/>
              </w:rPr>
            </w:pPr>
            <w:r>
              <w:rPr>
                <w:rFonts w:ascii="Arial" w:cs="Arial" w:eastAsia="Arial" w:hAnsi="Arial"/>
                <w:sz w:val="18"/>
                <w:szCs w:val="18"/>
                <w:color w:val="auto"/>
              </w:rPr>
              <w:t>$ 905,114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$ 817,355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expect oral arguments on the appeal to be scheduled for late 2010. The enforcement of the judgment has been stayed until completion of the</w:t>
      </w:r>
    </w:p>
    <w:p>
      <w:pPr>
        <w:spacing w:after="0" w:line="38"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369,260 operating partnership units are outstanding which have a total fair value of $25.9 million, based on our closing stock price on June 30,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7"/>
              </w:rPr>
              <w:t>Six Months Ended June 30,</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24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360" w:type="dxa"/>
            <w:vAlign w:val="bottom"/>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$ 1.320</w:t>
            </w:r>
          </w:p>
        </w:tc>
        <w:tc>
          <w:tcPr>
            <w:tcW w:w="82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90"/>
              </w:rPr>
              <w:t>$1.320</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$ 1.300</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$1.300</w:t>
            </w:r>
          </w:p>
        </w:tc>
        <w:tc>
          <w:tcPr>
            <w:tcW w:w="20" w:type="dxa"/>
            <w:vAlign w:val="bottom"/>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$ 0.677</w:t>
            </w:r>
          </w:p>
        </w:tc>
        <w:tc>
          <w:tcPr>
            <w:tcW w:w="820" w:type="dxa"/>
            <w:vAlign w:val="bottom"/>
            <w:gridSpan w:val="3"/>
          </w:tcPr>
          <w:p>
            <w:pPr>
              <w:jc w:val="center"/>
              <w:ind w:left="39"/>
              <w:spacing w:after="0"/>
              <w:rPr>
                <w:sz w:val="20"/>
                <w:szCs w:val="20"/>
                <w:color w:val="auto"/>
              </w:rPr>
            </w:pPr>
            <w:r>
              <w:rPr>
                <w:rFonts w:ascii="Arial" w:cs="Arial" w:eastAsia="Arial" w:hAnsi="Arial"/>
                <w:sz w:val="18"/>
                <w:szCs w:val="18"/>
                <w:color w:val="auto"/>
                <w:w w:val="90"/>
              </w:rPr>
              <w:t>$0.677</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$ 0.677</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$0.677</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9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95,258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93,256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$ 189,231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$ 186,772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5,345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reimbursement</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24,395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55,145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1,948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6"/>
              </w:rPr>
              <w:t>126,090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$ 261,748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$ 253,296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160" w:type="dxa"/>
            <w:vAlign w:val="bottom"/>
            <w:vMerge w:val="restart"/>
          </w:tcPr>
          <w:p>
            <w:pPr>
              <w:jc w:val="right"/>
              <w:ind w:right="209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Minimum rents include $1.3 million and $1.2 million for the three months ended June 30, 2010 and 2009, respectively, and $2.5 million and $2.6 million for the six months ended June 30, 2010 and 2009, respectively, to recognize minimum rents on a straight-line basis. In addition, minimum rents include $0.5 million and $0.4 million for the three months ended June 30, 2010 and 2009, respectively, and $0.9 million and $0.7 million for the six months ended June 30, 2010 and 2009, respectively, to recognize income from the amortization of in-place leases. Residential minimum rents consist of the rental amounts for residential units at Rollingwood Apartments, the Crest at Congressional Plaza Apartments, Santana Row, and Bethesda Row.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w w:val="90"/>
              </w:rPr>
              <w:t>Three Months Ended</w:t>
            </w: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77"/>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$ 1,198</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$ 1,263</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$2,752</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1,620</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(246)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$ 1,297</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$ 1,374</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2,930</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each of the three and six months ended June 30, 2010 and 2009,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EPS.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38"/>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8"/>
              </w:rPr>
              <w:t>except</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30,958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29,250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61,512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4"/>
              </w:rPr>
              <w:t>(1,254)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8"/>
                <w:szCs w:val="18"/>
                <w:color w:val="auto"/>
                <w:w w:val="91"/>
              </w:rPr>
              <w:t>(1,377)</w:t>
            </w:r>
          </w:p>
        </w:tc>
        <w:tc>
          <w:tcPr>
            <w:tcW w:w="10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(2,588)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w w:val="94"/>
              </w:rPr>
              <w:t>Income from continuing operations available for common shareholders</w:t>
            </w:r>
          </w:p>
        </w:tc>
        <w:tc>
          <w:tcPr>
            <w:tcW w:w="2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29,436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27,613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58,386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30,846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59,796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38,378</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61,169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61,129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outstanding—diluted</w:t>
            </w: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61,311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59,042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61,266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Continuing operations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0.50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29,704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37,385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700" w:type="dxa"/>
            <w:vAlign w:val="bottom"/>
          </w:tcPr>
          <w:p>
            <w:pPr>
              <w:jc w:val="right"/>
              <w:ind w:right="213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2009 filed with the Securities and Exchange Commission on February 17, 2010.</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2009,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2010, we owned or had a majority interest in community and neighborhood shopping centers and mixed-use properties which are operated as 84 predominantly retail real estate projects comprising approximately 18.2 million square feet. In total, the real estate projects were 94.2% leased and 93.4% occupied at June 30, 2010. A joint venture in which we own a 30% interest owned seven retail real estate projects totaling approximately 1.0 million square feet as of June 30, 2010. In total, the joint venture properties in which we own a 30% interest were 90.8% leased and occupied at June 30,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Significant Debt, Equity and Other Transactions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of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bears interest at 7.25%, matures on September 1, 2032, and as of June 30, 2010, had an outstanding principal balance of $11.3 million. Since November 5, 2008, we have held the second mortgage on this shopping center and a first mortgage on an adjacent commercial building which had an outstanding balance of $7.4 million at June 30,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Because the loans are in default, we have certain rights under the first mortgage loan agreement that gives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June 30, 2010.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In July 2010, we reached an agreement with the borrower whereby the borrower must repay the loans by September 30, 2010, subject to a possible extension through December 30, 2010. If the borrower fails to repay the loans at that time, we will be entitled to receive a deed-in-lieu of foreclosure for both properties.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Joint Venture</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the second quarter 2010, we recorded expenses of approximately $0.2 million related to formation costs of the partnership.</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May 26, 2010, Newbury Street Partnership acquired the fee interest in two buildings located on Newbury Street in Boston, Massachusetts for a purchase price of $17.5 million. The properties include approximately 32,000 square feet of retail and office space. We contributed $7.8 million towards this acquisition and provided an $8.8 million interest-only loan secured by the two buildings. The loan matures in May 2012, subject to a one-year extension option, and bears interest at LIBOR plus 400 basis points. All amounts contributed and advanced to Newbury Street Partnership are included in “Investment in real estate partnerships” in the consolidated balance sheet. Due to the timing of receiving financial information from the general partner, our share of operating earnings will be recorded one quarter in arrears.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properties are located in densely populated and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and believe that the decrease in occupancy we have experienced since 2008 as a result of the economic recession will provide future redevelopment opportunities that may not have otherwise been available. In 2010 and 2011, we expect to have redevelopment projects stabilizing with projected costs of approximately $29 million and $57 million, respectively.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Additionally, we continue to invest in the development at Assembly Square which is a long-term development project we expect to be involved in over the coming years.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real estate companies. Continuing in 2010, we will be completing certain infrastructure work as well as continuing our current pre-development work. We received $10 million of public funding in April 2010, which is included in “notes payable” in the consolidated balance sheet, related to the infrastructure work we have completed and we expect the Commonwealth of Massachusetts will complete certain additional infrastructure work using government stimulus funds. We expect to invest between $10 million and $30 million related to the development in 2010, net of expected public funding.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the assumption or creation of mortgages.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June 30, 2010, no single tenant accounted for more than 2.7% of annualized base rent.</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current downturn in the economy has impacted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mitigate the negative impact of the economic environment, we may continue to see an increase in vacancy that will have a negative impact on our revenue and bad debt expense. We continue to monitor our tenants’ operating performances as well as trends in the retail industry to evaluate any future impact.</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June 30, 2010, the leasable square feet in our properties was 93.4% occupied and 94.2%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JUNE 30, 2010 AND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Dollars</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(Dollar amounts</w:t>
            </w:r>
          </w:p>
        </w:tc>
        <w:tc>
          <w:tcPr>
            <w:tcW w:w="3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130,256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126,090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$ 4,166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(433)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130,338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3,497</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2,912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(25,418)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(25,830)</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(982)</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982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(5,276)</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(125)</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(31,178)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(29,633)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(62,391)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(61,187)</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(1,204)</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(161)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(1,377)</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$ 2,697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property revenue increased $3.5 million, or 2.7%, to $133.8 million in the three months ended June 30, 2010 compared to $130.3 million in the three months ended June 30, 2009. The percentage occupied at our shopping centers increased slightly to 93.4% at June 30, 2010 compared to 93.2% at June 30, 2009.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0"/>
        <w:spacing w:after="0" w:line="357" w:lineRule="auto"/>
        <w:rPr>
          <w:sz w:val="20"/>
          <w:szCs w:val="20"/>
          <w:color w:val="auto"/>
        </w:rPr>
      </w:pPr>
      <w:r>
        <w:rPr>
          <w:rFonts w:ascii="Arial" w:cs="Arial" w:eastAsia="Arial" w:hAnsi="Arial"/>
          <w:sz w:val="15"/>
          <w:szCs w:val="15"/>
          <w:color w:val="auto"/>
        </w:rPr>
        <w:t>Rental income consists primarily of minimum rent, cost reimbursements from tenants and percentage rent. Rental income increased $4.2 million, or 3.3%, to $130.3 million in the three months ended June 30, 2010 compared to $126.1 million in the three months ended June 30, 2009 due primarily to the following:</w:t>
      </w: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$3.6 million at same-center properties due primarily to increased cost reimbursements, higher rental rates on new and renewal leases, and increased temporary tenant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$0.6 million at redevelopment properties due primarily to higher occupancy and increased rental rates on new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property income decreased $0.4 million, or 14.7%, to $2.5 million in the three months ended June 30, 2010 compared to $2.9 million in the three months ended June 30, 2009. Included in other property income are items which, although recurring, tend to fluctuate more than rental income from period to period, such as lease termination fees. This decrease is primarily due to a decrease in lease termination fees at redevelopment properties partially offset by an increase at same-center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property expenses increased $0.6 million, or 1.5%, to $40.5 million in the three months ended June 30, 2010 compared to $39.9 million in the three months ended June 30, 2009.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Rental expenses increased $0.5 million, or 2.0%, to $25.6 million in the three months ended June 30, 2010 compared to $25.1 million in the three months ended June 30, 2009. This increase is due to an increase of $0.3 million in other operating costs due primarily to higher demolition costs at same-center properties and an increase of $0.2 million in bad debt expense.</w:t>
      </w:r>
    </w:p>
    <w:p>
      <w:pPr>
        <w:spacing w:after="0" w:line="140"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19.3% in the three months ended June 30, 2010 from 19.4% in the three months ended June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Real estate tax expense increased $0.1 million, or 0.6% to $14.9 million in the three months ended June 30, 2010 compared to $14.8 million in the three months ended June 30, 2009 due primarily to net higher tax assessments at same-center and redevelopment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Property operating income increased $2.9 million, or 3.2%, to $93.3 million in the three months ended June 30, 2010 compared to $90.4 million in the three months ended June 30, 2009. This increase is primarily due to growth in earnings at same-center properties partially offset by lower earnings at redevelopment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Income from real estate partnerships decreased $0.2 million, or 52.9%, to $0.2 million for the three months ended June 30, 2010 compared to $0.4 million in the three months ended June 30, 2009. The decrease is due primarily to $0.2 million of expenses in 2010 related to the formation of our new joint venture partnership.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$0.4 million, or 1.6%, to $25.4 million in the three months ended June 30, 2010 compared to $25.8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This decrease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$1.7 million due to lower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$1.2 million due to a higher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$0.1 million in capitalized interest.</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Gross interest costs were $26.9 million and $27.4 million in the three months ended June 30, 2010 and 2009, respectively. Capitalized interest was $1.5 million and $1.6 million in the three months ended June 30,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$1.0 million early extinguishment of debt for the three months ended June 30, 2009 is primarily related to a cash tender offer for our 8.75% senior notes due December 1, 2009. On June 4, 2009, approximately $40.3 million of notes were purchased and retired at a 2% premium to par value resulting in a net loss on early extinguishment of approximately $1.0 million including costs of the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General and administrative expense increased $0.6 million, or 10.7%, to $5.8 million in the three months ended June 30, 2010 compared to $5.3 million in the three months ended June 30, 2009. The increase is primarily due to higher personnel related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litigation provision in the three months ended June 30, 2010 and 2009 is due to certain costs related to the litigation and appeal process over a parcel of land located adjacent to Santana Row. See Note 7 to the consolidated financial statements in this Form 10-Q for further discussion on the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$1.5 million, or 5.2%, to $31.2 million in the three months ended June 30, 2010 from $29.6 million in the three months ended June 30, 2009. This increase is due primarily to capital improvements at same-center and redevelopment properties and accelerated depreciation related to the change in use of certain redevelopment buildings.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Operations—Income</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$0.2 million for the three months ended June 30, 2009, represents the operating income for the period during which we owned properties sold in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$1.0 million gain on sale of real estate from discontinued operations for the three months ended June 30, 2010 relates to the final settlement reached with the contractors responsible for performing defective work in previous years related to the conversion and sale of certain condominium units at Santana Row. The $0.4 million gain on sale of real estate from discontinued operations for the three months ended June 30, 2009 is primarily due to the sale of our fee interest in a land parcel in White Marsh, Maryland, that was subject to a long-term ground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$0.4 million gain on sale of real estate for the three months ended June 30, 2010 is due to condemnation proceeds, net of costs, at one of our Northern Virginia properties in order to expand a local road.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OPERATIONS—SIX MONTHS ENDED JUNE 30, 2010 AND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Dollars</w:t>
            </w:r>
          </w:p>
        </w:tc>
        <w:tc>
          <w:tcPr>
            <w:tcW w:w="320" w:type="dxa"/>
            <w:vAlign w:val="bottom"/>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(Dollar amounts</w:t>
            </w:r>
          </w:p>
        </w:tc>
        <w:tc>
          <w:tcPr>
            <w:tcW w:w="3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261,748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253,296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272,305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261,414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10,891</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Real estate taxes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1,356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186,712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178,984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7,728</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(49,413)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(1,967)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(1,833)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(10,421)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Litigation provision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20,470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(58,225)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(1,885)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(138,833)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13,633</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21,361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21,255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the Trust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21,433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property revenue increased $10.9 million, or 4.2%, to $272.3 million in the six months ended June 30, 2010 compared to $261.4 million in the six months ended June 30, 2009. The percentage occupied at our shopping centers increased slightly to 93.4% at June 30, 2010 compared to 93.2% at June 30, 2009.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$8.5 million, or 3.3%, to $261.7 million in the six months ended June 30, 2010 compared to $253.3 million in the six months ended June 30, 2009 due primarily to the following:</w:t>
      </w:r>
    </w:p>
    <w:p>
      <w:pPr>
        <w:spacing w:after="0" w:line="4" w:lineRule="exact"/>
        <w:rPr>
          <w:sz w:val="20"/>
          <w:szCs w:val="20"/>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$7.3 million at same-center properties due primarily to increased cost reimbursements as a result of higher snow removal costs, higher rental rates on new and renewal leases, and increased temporary tenant income, and</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at redevelopment properties due primarily to increased occupancy and rental rates on new leases and higher cost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Other property income increased $2.9 million, or 51.9%, to $8.4 million in the six months ended June 30, 2010 compared to $5.5 million in the six months ended June 30, 2009. Included in other property income are items which, although recurring, tend to fluctuate more than rental income from period to period, such as lease termination fees. This increase is primarily due to an increase in lease termination fees at redevelopment and same-center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Total property expenses increased $3.2 million, or 3.8%, to $85.6 million in the six months ended June 30, 2010 compared to $82.4 million in the six months ended June 30, 2009. Changes in the components of property expenses are discussed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Rental expenses increased $1.8 million, or 3.4%, to $55.6 million in the six months ended June 30, 2010 compared to $53.8 million in the six months ended June 30, 2009. This increase is due primarily to an increase of $2.7 million in snow removal costs partially offset by a decrease of $0.8 million in bad debt expense.</w:t>
      </w:r>
    </w:p>
    <w:p>
      <w:pPr>
        <w:spacing w:after="0" w:line="14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20.6% in the six months ended June 30, 2010 from 20.8% in the six months ended June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Real estate tax expense increased $1.4 million, or 4.7%, to $30.0 million in the six months ended June 30, 2010 compared to $28.7 million in the six months ended June 30, 2009 due primarily to net higher tax assessments at same-center and redevelopment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Property operating income increased $7.7 million, or 4.3%, to $186.7 million in the six months ended June 30, 2010 compared to $179.0 million in the six months ended June 30, 2009. This increase is due to growth in earnings at same-center and redevelopment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Income from real estate partnerships decreased $0.2 million, or 36.6%, to $0.4 million for the six months ended June 30, 2010 compared to $0.6 million in the six months ended June 30, 2009. The decrease is due primarily to $0.2 million of expenses in 2010 related to the formation of our new joint venture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expense increased $2.0 million, or 4.0%, to $51.4 million in the six months ended June 30, 2010 compared to $49.4 million in the six months ended June 30, 2009. This increase is due primarily to an increase of $3.7 million due to a higher overall weighted average borrowing rate partially offset by a decrease of $1.7 million due to lower borrowings.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interest costs were $54.4 million and $52.4 million in the six months ended June 30, 2010 and 2009, respectively. Capitalized interest was $3.0 million in the six months ended June 30, 2010 and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$2.8 million early extinguishment of debt expense in the six months ended June 30, 2010 is due to the write-off of unamortized debt fees related to the $250.0 million payoff of the term loan prior to its maturity date. The $1.0 million early extinguishment of debt for the six months ended June 30, 2009 is primarily related to a cash tender offer for $40.3 million of our 8.75% senior notes due December 1, 2009, which were purchased and retired at a 2% premium to par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General and administrative expense increased $0.8 million, or 7.6%, to $11.2 million in the six months ended June 30, 2010 compared to $10.4 million in the six months ended June 30, 2009. The increase is primarily due to higher legal fees, as a result of the litigation regarding certain rights to acquire the land under Pentagon Row further discussed in Note 7 to the consolidated financial statements in this Form 10-Q, as well as higher personnel related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$0.3 million litigation provision in the six months ended June 30, 2010 is due to certain costs related to the litigation and appeal process over a parcel of land located adjacent to Santana Row. The $20.8 million litigation provision in the six months ended June 30, 2009 relates to increasing the accrual as well as costs related to the litigation and appeal process for such litigation matter. See Note 7 to the consolidated financial statements in this Form 10-Q for further discussion on the litigation.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Depreciation and amortization expense increased $1.9 million, or 3.2%, to $60.1 million in the six months ended June 30, 2010 from $58.2 million in the six months ended June 30, 2009. This increase is due primarily to capital improvements at same-center and redevelopment properties and accelerated depreciation related to the change in use of certain redevelopment buildings.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Operations—Income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$0.2 million for the six months ended June 30, 2009 primarily represents the operating income for the period during which we owned properties sold in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$1.0 million gain on sale of real estate from discontinued operations for the six months ended June 30, 2010 relates to the final settlement reached with the contractors responsible for performing defective work in previous years related to the conversion and sale of certain condominium units at Santana Row. The $1.3 million gain on sale of real estate from discontinued operations for the six months ended June 30,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$0.4 million gain on sale of real estate in the six months ended June 30, 2010 is due to condemnation proceeds, net of costs, at one of our Northern Virginia properties in order to expand a local road.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 our balance sheet. These parenthetical amounts relate to Melville Mall in Huntington, New York and a shopping center and adjacent commercial building in Norwalk, Connecticut, which is further discussed in Note 3 to the consolidated financial statements in this Form 10-Q.</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 In March 2010, we took advantage of lower long-term interest rates and issued $150 million of 10-year senior notes at a 5.90% interest rate. Using funds from the senior note offering as well as cash on hand, we repaid the outstanding $250 million balance on our term loan in advance of it maturing in July 2011. Cash and cash equivalents decreased $111.8 million to $23.6 million at June 30, 2010 due to the debt transactions discussed above; however, cash and cash equivalents are not a good indicator of our liquidity. We have a $300 million unsecured revolving credit facility that matures July 27, 2011, of which we had no outstanding balance at June 30,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2010. At June 30, 2010, we also have no scheduled debt maturities until 2011. We currently believe that cash flows from operations, cash on hand, our revolving credit facility, and proceeds from additional capital transactions will be sufficient to finance our operations and fund our capital expenditures.</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overall capital requirements during the remainder of 2010 will depend upon acquisition opportunities, the level of improvements and redevelopments of existing properties and the timing and cost of development of future phases of existing properties. While the amount of future investments will depend on numerous factors, we expect to invest similar levels of capital in 2010 compared to prior periods which will be funded on a short-term basis with cash flow from operations and/or the revolving credit facility, and on a long-term basis, with long-term debt or equity. If market conditions deteriorate, we may also delay the timing of certain development and redevelopment projects as well as limit future acquisitions, or re-evaluate our dividend policy.</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2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82"/>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129,345</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$ 146,209</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(61,945)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(179,232)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63,615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(111,832)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154,836</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23,557</w:t>
            </w: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$ 170,059</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cash provided by operating activities decreased $16.9 million to $129.3 million during the six months ended June 30, 2010 from $146.2 million during the six months ended June 30, 2009. The decrease was primarily attributable to timing of interest payments on our senior notes and term loan as a result of changes in the debt outstanding in 2009 and 2010, higher unbilled accounts receivable as a result of significant increases in snow removal costs in 2010, timing of payments related to operating expenses, and timing of cash receipts related to recoverable expense billings.</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cash used in investing activities increased $7.0 million to $61.9 million during the six months ended June 30, 2010 from $55.0 million during the six months ended June 30, 2009.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$16.7 million investment in the Newbury Street Partnership,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$22.4 million decrease in capital investments.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used in financing activities increased $242.8 million to $179.2 million during the six months ended June 30, 2010 from $63.6 million provided during the six months ended June 30, 2009. The increase was primarily attributable to:</w:t>
      </w:r>
    </w:p>
    <w:p>
      <w:pPr>
        <w:spacing w:after="0" w:line="51" w:lineRule="exact"/>
        <w:rPr>
          <w:sz w:val="20"/>
          <w:szCs w:val="20"/>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$516.7 million decrease in net proceeds from the issuance of mortgages, capital leases and notes payable due primarily to the 2009 issuance of our $372 million term loan and $163.1 million in new mortgage loans,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$46.7 million increase in repayment of mortgages, capital leases and notes payable due substantially to the $250 million payoff of our term loan in 2010 partially offset by the payoff of our $200 million term loan in May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$148.5 million issuance of 5.90% senior notes in March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$123.5 million decrease in net repayments on our revolving credit facility as there was no outstanding balance at June 30, 2010,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$52.3 million decrease in repayment of senior notes as a portion of our 8.75% senior notes due December 1, 2009, were repaid in the first and second quarter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2010,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these provisions at any time, which could result in either the sale of our interest or the use of available cash or borrowings to acquire Clarion’s interest. At June 30, 2010, the Partnership had approximately $57.7 million of mortgages payable outstanding; our investment in the Partnership was $35.4 million.</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in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 At June 30, 2010, we had invested approximately $16.7 million in Newbury Street Partnership including an $8.8 million loan.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Original</w:t>
            </w: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Principal Balance</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2"/>
                <w:szCs w:val="12"/>
                <w:color w:val="auto"/>
              </w:rPr>
            </w:pPr>
          </w:p>
        </w:tc>
        <w:tc>
          <w:tcPr>
            <w:tcW w:w="134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rPr>
              <w:t>as of</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4"/>
                <w:szCs w:val="14"/>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June 30, 2010</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 2010</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4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Mortgages payable (1)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32,215</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5,807</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7,405</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19,995</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9,722</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6.04%</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20,607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660" w:type="dxa"/>
            <w:vAlign w:val="bottom"/>
          </w:tcPr>
          <w:p>
            <w:pPr>
              <w:jc w:val="right"/>
              <w:spacing w:after="0"/>
              <w:rPr>
                <w:sz w:val="20"/>
                <w:szCs w:val="20"/>
                <w:color w:val="auto"/>
              </w:rPr>
            </w:pPr>
            <w:r>
              <w:rPr>
                <w:rFonts w:ascii="Arial" w:cs="Arial" w:eastAsia="Arial" w:hAnsi="Arial"/>
                <w:sz w:val="18"/>
                <w:szCs w:val="18"/>
                <w:color w:val="auto"/>
              </w:rPr>
              <w:t>16,910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16,670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660" w:type="dxa"/>
            <w:vAlign w:val="bottom"/>
          </w:tcPr>
          <w:p>
            <w:pPr>
              <w:jc w:val="right"/>
              <w:spacing w:after="0"/>
              <w:rPr>
                <w:sz w:val="20"/>
                <w:szCs w:val="20"/>
                <w:color w:val="auto"/>
              </w:rPr>
            </w:pPr>
            <w:r>
              <w:rPr>
                <w:rFonts w:ascii="Arial" w:cs="Arial" w:eastAsia="Arial" w:hAnsi="Arial"/>
                <w:sz w:val="18"/>
                <w:szCs w:val="18"/>
                <w:color w:val="auto"/>
              </w:rPr>
              <w:t>38,047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37,509</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53,846</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23,432</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58,379</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660" w:type="dxa"/>
            <w:vAlign w:val="bottom"/>
          </w:tcPr>
          <w:p>
            <w:pPr>
              <w:jc w:val="right"/>
              <w:spacing w:after="0"/>
              <w:rPr>
                <w:sz w:val="20"/>
                <w:szCs w:val="20"/>
                <w:color w:val="auto"/>
              </w:rPr>
            </w:pPr>
            <w:r>
              <w:rPr>
                <w:rFonts w:ascii="Arial" w:cs="Arial" w:eastAsia="Arial" w:hAnsi="Arial"/>
                <w:sz w:val="18"/>
                <w:szCs w:val="18"/>
                <w:color w:val="auto"/>
              </w:rPr>
              <w:t>44,300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40,252</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15,174</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660" w:type="dxa"/>
            <w:vAlign w:val="bottom"/>
          </w:tcPr>
          <w:p>
            <w:pPr>
              <w:jc w:val="right"/>
              <w:spacing w:after="0"/>
              <w:rPr>
                <w:sz w:val="20"/>
                <w:szCs w:val="20"/>
                <w:color w:val="auto"/>
              </w:rPr>
            </w:pPr>
            <w:r>
              <w:rPr>
                <w:rFonts w:ascii="Arial" w:cs="Arial" w:eastAsia="Arial" w:hAnsi="Arial"/>
                <w:sz w:val="18"/>
                <w:szCs w:val="18"/>
                <w:color w:val="auto"/>
              </w:rPr>
              <w:t>31,400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28,531</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25,078</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660" w:type="dxa"/>
            <w:vAlign w:val="bottom"/>
          </w:tcPr>
          <w:p>
            <w:pPr>
              <w:jc w:val="right"/>
              <w:spacing w:after="0"/>
              <w:rPr>
                <w:sz w:val="20"/>
                <w:szCs w:val="20"/>
                <w:color w:val="auto"/>
              </w:rPr>
            </w:pPr>
            <w:r>
              <w:rPr>
                <w:rFonts w:ascii="Arial" w:cs="Arial" w:eastAsia="Arial" w:hAnsi="Arial"/>
                <w:sz w:val="18"/>
                <w:szCs w:val="18"/>
                <w:color w:val="auto"/>
              </w:rPr>
              <w:t>32,000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29,076</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29,747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24,050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23,724</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5.54%</w:t>
            </w:r>
          </w:p>
        </w:tc>
        <w:tc>
          <w:tcPr>
            <w:tcW w:w="1520" w:type="dxa"/>
            <w:vAlign w:val="bottom"/>
          </w:tcPr>
          <w:p>
            <w:pPr>
              <w:jc w:val="right"/>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5,664</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660" w:type="dxa"/>
            <w:vAlign w:val="bottom"/>
          </w:tcPr>
          <w:p>
            <w:pPr>
              <w:jc w:val="right"/>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11,120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5.66%</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535,066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(439)</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mortgages payable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534,627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 (5)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 thru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facility (6)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(7)</w:t>
            </w:r>
          </w:p>
        </w:tc>
        <w:tc>
          <w:tcPr>
            <w:tcW w:w="660" w:type="dxa"/>
            <w:vAlign w:val="bottom"/>
          </w:tcPr>
          <w:p>
            <w:pPr>
              <w:jc w:val="right"/>
              <w:spacing w:after="0"/>
              <w:rPr>
                <w:sz w:val="20"/>
                <w:szCs w:val="20"/>
                <w:color w:val="auto"/>
              </w:rPr>
            </w:pPr>
            <w:r>
              <w:rPr>
                <w:rFonts w:ascii="Arial" w:cs="Arial" w:eastAsia="Arial" w:hAnsi="Arial"/>
                <w:sz w:val="18"/>
                <w:szCs w:val="18"/>
                <w:color w:val="auto"/>
              </w:rPr>
              <w:t>9,400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660" w:type="dxa"/>
            <w:vAlign w:val="bottom"/>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135,000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5.40%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5.95%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5.65%</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5.90%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5.90%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6.82%</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1,079,200</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1,079,880</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61,634</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1,697,138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payable do not include our 30% share ($17.3 million) of the $57.7 million debt of the partnership with a discretionary fund created and advised by ING Clarion Partners.</w:t>
      </w:r>
    </w:p>
    <w:p>
      <w:pPr>
        <w:ind w:left="460" w:right="3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ind w:left="460" w:right="2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of 3.86% represents the weighted average interest rate for three unsecured fixed rate notes payable. These notes mature between April 1, 2012 and January 31, 2013.</w:t>
      </w:r>
    </w:p>
    <w:p>
      <w:pPr>
        <w:ind w:left="460" w:right="2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and six months ended June 30, 2010 was $20.0 million. The weighted average effective interest rate on borrowings under our revolving credit facility, before amortization of debt fees, was 0.70% for the three and six months ended June 30, 2010.</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revolving credit facility and other debt agreements include financial and other covenants that may limit our operating activities in the future. As of June 30, 2010,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Unsecured</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Secured</w:t>
            </w: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75,720(1)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124,690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204,607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72,107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156,364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236,753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845,087</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1,100,197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535,066</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1,696,897(2)</w:t>
            </w: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$300 million four-year revolving credit facility matures on July 27, 2011. As of June 30, 2010, there was $0 drawn under this credit facility.</w:t>
      </w:r>
    </w:p>
    <w:p>
      <w:pPr>
        <w:spacing w:after="0" w:line="38"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June 30,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no hedging instruments outstanding during the three and six months ended June 30, 2010.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Included below is a reconciliation of net income to FFO available for common shareholders as well as FFO available to common shareholders excluding the litigation provision. As further discussed in Note 7 to the consolidated financial statements, net income includes certain charges related to the litigation and appeal process over a parcel of land adjacent to Santana Row; net income for the six months ended June 30, 2009 also includes a $20.6 million charge for increasing the accrual for such litigation matter. Management believes FFO excluding this litigation provision provides a more meaningful evaluation of operations; while litigation is not unusual, we believe the premise of the underlying litigation matter (see Note 7 for discussion) warrants presentation of FFO excluding the related charges.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224"/>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gridSpan w:val="2"/>
          </w:tcPr>
          <w:p>
            <w:pPr>
              <w:ind w:left="40"/>
              <w:spacing w:after="0"/>
              <w:rPr>
                <w:sz w:val="20"/>
                <w:szCs w:val="20"/>
                <w:color w:val="auto"/>
              </w:rPr>
            </w:pPr>
            <w:r>
              <w:rPr>
                <w:rFonts w:ascii="Arial" w:cs="Arial" w:eastAsia="Arial" w:hAnsi="Arial"/>
                <w:sz w:val="11"/>
                <w:szCs w:val="11"/>
                <w:b w:val="1"/>
                <w:bCs w:val="1"/>
                <w:color w:val="auto"/>
                <w:w w:val="74"/>
              </w:rPr>
              <w:t>except</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 share</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32,368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3"/>
              </w:rPr>
              <w:t>29,794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8"/>
                <w:szCs w:val="18"/>
                <w:color w:val="auto"/>
                <w:w w:val="91"/>
              </w:rPr>
              <w:t>(1,377)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27,797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4"/>
              <w:spacing w:after="0"/>
              <w:rPr>
                <w:sz w:val="20"/>
                <w:szCs w:val="20"/>
                <w:color w:val="auto"/>
              </w:rPr>
            </w:pPr>
            <w:r>
              <w:rPr>
                <w:rFonts w:ascii="Arial" w:cs="Arial" w:eastAsia="Arial" w:hAnsi="Arial"/>
                <w:sz w:val="18"/>
                <w:szCs w:val="18"/>
                <w:color w:val="auto"/>
                <w:w w:val="83"/>
              </w:rPr>
              <w:t>26,563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53,884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Depreciation of joint venture real estate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4"/>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60,407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3"/>
              </w:rPr>
              <w:t>57,449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118,301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60,315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3"/>
              </w:rPr>
              <w:t>57,366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118,127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Litigation provision, net of allocation to unvested shares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 excluding litigation provision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60,487</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3"/>
              </w:rPr>
              <w:t>57,490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116,063</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61,680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4"/>
              <w:spacing w:after="0"/>
              <w:rPr>
                <w:sz w:val="20"/>
                <w:szCs w:val="20"/>
                <w:color w:val="auto"/>
              </w:rPr>
            </w:pPr>
            <w:r>
              <w:rPr>
                <w:rFonts w:ascii="Arial" w:cs="Arial" w:eastAsia="Arial" w:hAnsi="Arial"/>
                <w:sz w:val="18"/>
                <w:szCs w:val="18"/>
                <w:color w:val="auto"/>
                <w:w w:val="83"/>
              </w:rPr>
              <w:t>59,414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61,636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Litigation provision per diluted share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Funds from operations available for common shareholders excluding litigation provision,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0.98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shd w:val="clear" w:color="auto" w:fill="CCEEFF"/>
              </w:rPr>
              <w:t>$</w:t>
            </w: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shd w:val="clear" w:color="auto" w:fill="CCEEFF"/>
              </w:rPr>
              <w:t>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three and six months ended June 30, 2010 and 2009,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June 30, 2010,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June 30, 2010, we had $1.7 billion of fixed-rate debt outstanding. If market interest rates on our fixed-rate debt instruments at June 30, 2010 had been 1.0% higher, the fair value of those debt instruments on that date would have decreased by approximately $72.2 million. If market interest rates on our fixed-rate debt instruments at June 30, 2010 had been 1.0% lower, the fair value of those debt instruments on that date would have increased by approximately $77.1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however, at June 30, 2010, we had only</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$9.4 million of variable rate debt outstanding which relates to municipal bonds. No balance was outstanding on our revolving credit facility which is currently the only other debt instrument which bears interest at a variable rate.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2010. Based on this evaluation, our management, including our Chief Executive Officer and Chief Financial Officer, concluded that our disclosure controls and procedures were effective as of June 30, 2010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expect oral arguments on the appeal to be scheduled for late 2010. The enforcement of the judgment has been stayed until completion of the</w:t>
      </w:r>
    </w:p>
    <w:p>
      <w:pPr>
        <w:spacing w:after="0" w:line="38"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2009 filed with the Securities and Exchange Commission on February 17, 2010. These factors include, but are not limited to, the following:</w:t>
      </w:r>
    </w:p>
    <w:p>
      <w:pPr>
        <w:spacing w:after="0" w:line="51" w:lineRule="exact"/>
        <w:rPr>
          <w:sz w:val="20"/>
          <w:szCs w:val="20"/>
          <w:color w:val="auto"/>
        </w:rPr>
      </w:pPr>
    </w:p>
    <w:p>
      <w:pPr>
        <w:ind w:left="900" w:right="5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April 6, 2010, we redeemed 2,000 operating partnership units for cash.</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Chief Financial Officer and Treasurer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of Federal Realty Investment Trust dated June 17, 2004, as amended by the Articles of Amendment of Declaration of Trust of Federal Realty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Investment Trust dated May 6, 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Second Amendment to Amended and Restated Rights Agreement, dated as of March 16, 2009,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Trust Company (previously filed as Exhibit 4.3 to the Trust’s Current Report on Form 8-K filed on March 19, 2009 (File No. 001-07533)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Indenture dated December 1,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11"/>
                <w:szCs w:val="11"/>
                <w:color w:val="auto"/>
                <w:w w:val="88"/>
              </w:rPr>
              <w:t>1</w:t>
            </w:r>
            <w:r>
              <w:rPr>
                <w:rFonts w:ascii="Arial" w:cs="Arial" w:eastAsia="Arial" w:hAnsi="Arial"/>
                <w:sz w:val="18"/>
                <w:szCs w:val="18"/>
                <w:color w:val="auto"/>
                <w:w w:val="88"/>
              </w:rPr>
              <w:t>/8% Notes due November 15, 2007; 4.50% Notes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due 2011; 5.65% Notes due 2016; 6.00% Notes due 2012; 6.20% Notes due 2017; 5.40% Notes due 2013; and 5.95% Notes due 2014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filed as Exhibit 4(a) to the Trust’s Registration Statement on Form S-3 (File No. 333-63619) filed on September 17, 1998 and incorporated herein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Split Dollar Life Insurance Agreement dated August 12, 1998 between the Trust and Donald C. Wood (previously filed as a portion of Exhibit 10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Jeffrey S. Berkes dated March 1, 2000 (previously filed as a portion of Exhibit 10 to the Trust’s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2001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dated March 1, 2002 between the Trust and Larry E. Finger (previously filed as a portion of Exhibit 10 to the Trust’s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10-Q for the quarter ended June 30, 2002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Severance Agreement between Federal Realty Investment Trust and Larry E. Finger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Amendment to Stock Option Agreement dated August 15, 2002 between the Trust and Dawn M. Becker (previously filed as a portion of Exhibit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to the Trust’s Quarterly Report on Form 10-Q for the quarter ended September 30, 2002 (File No. 1-075330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Registration Statement on Form S-8 (File No. 333-60364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May 7, 2001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M. Becker dated April 19, 2000 (previously filed as Exhibit 10.26 to the Trust’s Quarterly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Form 10-Q for the quarter ended June 30, 2005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 2004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 Long-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various other financial institutions (previously filed as Exhibit 10.20 to the Trust’s Quarterly Report on Form 10-Q for the quarter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(File No. 1-07533) (the “First Quarter 2010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Restricted Share Award Agreement between the Trust and Joseph M. Squeri dated October 1, 2007 (previously filed as Exhibit 10.23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2007 (File No 1-07533) (the “2007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Joseph M. Squeri dated October 1, 2007 (previously filed as Exhibit 10.24 to the 2007 Form 10-K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 Trust’s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Donald C. Wood dated January 1, 2009 (previously filed as Exhibit 10.26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Executive Agreement between the Trust and Donald C. Wood dated January 1, 2009 (previously filed as Exhibit 10.27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10.28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Dawn M. Becker dated January 1, 2009 (previously filed as Exhibit 10.30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Change in Control Agreement between the Trust and Andrew P. Blocher dated January 1, 2009 (previously filed as Exhibit 10.31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Stock Option Agreements between the Trust and Andrew P. Blocher dated February 17, 2009 (previously filed as Exhibit 10.32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Combined Incentive and Non-Qualified Stock Option Agreement between the Trust and Andrew P. Blocher dated February 17, 2009 (previously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as Exhibit 10.34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Andrew P. Blocher dated February 17, 2009 (previously filed as Exhibit 10.35 to the Trust’s 2008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May 4, 2009, by and among the Trust, Wachovia Capital Markets LLC, PNC Capital Markets LLC,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National Association, PNC Bank, National Association and various other financial institutions (previously filed as Exhibit 10.36 to the First Quarter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2010 Performance Incentive Plan (previously filed as Appendix A to the Trust’s Proxy Supplement for the 2010 Annual Meeting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20" w:right="220" w:hanging="912"/>
        <w:spacing w:after="0" w:line="256"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2010,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tagged as blocks of text.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2010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June 30, 2010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lvl w:ilvl="1">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2019-12-10T00:30:42Z</dcterms:created>
  <dcterms:modified xsi:type="dcterms:W3CDTF">2019-12-10T00:30:42Z</dcterms:modified>
</cp:coreProperties>
</file>