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8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5, 2020</w:t>
      </w:r>
    </w:p>
    <w:p>
      <w:pPr>
        <w:spacing w:after="0" w:line="200" w:lineRule="exact"/>
        <w:rPr>
          <w:sz w:val="24"/>
          <w:szCs w:val="24"/>
          <w:color w:val="auto"/>
        </w:rPr>
      </w:pPr>
    </w:p>
    <w:p>
      <w:pPr>
        <w:spacing w:after="0" w:line="36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5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36" w:lineRule="exact"/>
        <w:rPr>
          <w:sz w:val="24"/>
          <w:szCs w:val="24"/>
          <w:color w:val="auto"/>
        </w:rPr>
      </w:pPr>
    </w:p>
    <w:tbl>
      <w:tblPr>
        <w:tblLayout w:type="fixed"/>
        <w:tblInd w:w="160" w:type="dxa"/>
        <w:tblCellMar>
          <w:top w:w="0" w:type="dxa"/>
          <w:left w:w="0" w:type="dxa"/>
          <w:bottom w:w="0" w:type="dxa"/>
          <w:right w:w="0" w:type="dxa"/>
        </w:tblCellMar>
      </w:tblPr>
      <w:tr>
        <w:trPr>
          <w:trHeight w:val="238"/>
        </w:trPr>
        <w:tc>
          <w:tcPr>
            <w:tcW w:w="4040" w:type="dxa"/>
            <w:vAlign w:val="bottom"/>
            <w:gridSpan w:val="3"/>
          </w:tcPr>
          <w:p>
            <w:pPr>
              <w:jc w:val="center"/>
              <w:ind w:right="665"/>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1780" w:type="dxa"/>
            <w:vAlign w:val="bottom"/>
            <w:gridSpan w:val="2"/>
          </w:tcPr>
          <w:p>
            <w:pPr>
              <w:jc w:val="center"/>
              <w:ind w:left="896"/>
              <w:spacing w:after="0"/>
              <w:rPr>
                <w:sz w:val="20"/>
                <w:szCs w:val="20"/>
                <w:color w:val="auto"/>
              </w:rPr>
            </w:pPr>
            <w:r>
              <w:rPr>
                <w:rFonts w:ascii="Times New Roman" w:cs="Times New Roman" w:eastAsia="Times New Roman" w:hAnsi="Times New Roman"/>
                <w:sz w:val="18"/>
                <w:szCs w:val="18"/>
                <w:b w:val="1"/>
                <w:bCs w:val="1"/>
                <w:color w:val="auto"/>
                <w:w w:val="99"/>
              </w:rPr>
              <w:t>1-07533</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20" w:type="dxa"/>
            <w:vAlign w:val="bottom"/>
          </w:tcPr>
          <w:p>
            <w:pPr>
              <w:jc w:val="center"/>
              <w:ind w:left="844"/>
              <w:spacing w:after="0"/>
              <w:rPr>
                <w:sz w:val="20"/>
                <w:szCs w:val="20"/>
                <w:color w:val="auto"/>
              </w:rPr>
            </w:pPr>
            <w:r>
              <w:rPr>
                <w:rFonts w:ascii="Times New Roman" w:cs="Times New Roman" w:eastAsia="Times New Roman" w:hAnsi="Times New Roman"/>
                <w:sz w:val="18"/>
                <w:szCs w:val="18"/>
                <w:b w:val="1"/>
                <w:bCs w:val="1"/>
                <w:color w:val="auto"/>
                <w:w w:val="98"/>
              </w:rPr>
              <w:t>52-0782497</w:t>
            </w:r>
          </w:p>
        </w:tc>
      </w:tr>
      <w:tr>
        <w:trPr>
          <w:trHeight w:val="169"/>
        </w:trPr>
        <w:tc>
          <w:tcPr>
            <w:tcW w:w="4040" w:type="dxa"/>
            <w:vAlign w:val="bottom"/>
            <w:gridSpan w:val="3"/>
          </w:tcPr>
          <w:p>
            <w:pPr>
              <w:jc w:val="center"/>
              <w:ind w:right="665"/>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880" w:type="dxa"/>
            <w:vAlign w:val="bottom"/>
          </w:tcPr>
          <w:p>
            <w:pPr>
              <w:spacing w:after="0"/>
              <w:rPr>
                <w:sz w:val="14"/>
                <w:szCs w:val="14"/>
                <w:color w:val="auto"/>
              </w:rPr>
            </w:pPr>
          </w:p>
        </w:tc>
        <w:tc>
          <w:tcPr>
            <w:tcW w:w="900" w:type="dxa"/>
            <w:vAlign w:val="bottom"/>
          </w:tcPr>
          <w:p>
            <w:pPr>
              <w:jc w:val="center"/>
              <w:ind w:left="43"/>
              <w:spacing w:after="0"/>
              <w:rPr>
                <w:sz w:val="20"/>
                <w:szCs w:val="20"/>
                <w:color w:val="auto"/>
              </w:rPr>
            </w:pPr>
            <w:r>
              <w:rPr>
                <w:rFonts w:ascii="Times New Roman" w:cs="Times New Roman" w:eastAsia="Times New Roman" w:hAnsi="Times New Roman"/>
                <w:sz w:val="13"/>
                <w:szCs w:val="13"/>
                <w:b w:val="1"/>
                <w:bCs w:val="1"/>
                <w:color w:val="auto"/>
                <w:w w:val="95"/>
              </w:rPr>
              <w:t>(Commission</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20" w:type="dxa"/>
            <w:vAlign w:val="bottom"/>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4040" w:type="dxa"/>
            <w:vAlign w:val="bottom"/>
            <w:gridSpan w:val="3"/>
          </w:tcPr>
          <w:p>
            <w:pPr>
              <w:jc w:val="center"/>
              <w:ind w:right="645"/>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880" w:type="dxa"/>
            <w:vAlign w:val="bottom"/>
          </w:tcPr>
          <w:p>
            <w:pPr>
              <w:spacing w:after="0"/>
              <w:rPr>
                <w:sz w:val="14"/>
                <w:szCs w:val="14"/>
                <w:color w:val="auto"/>
              </w:rPr>
            </w:pPr>
          </w:p>
        </w:tc>
        <w:tc>
          <w:tcPr>
            <w:tcW w:w="900" w:type="dxa"/>
            <w:vAlign w:val="bottom"/>
          </w:tcPr>
          <w:p>
            <w:pPr>
              <w:jc w:val="center"/>
              <w:ind w:left="23"/>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20" w:type="dxa"/>
            <w:vAlign w:val="bottom"/>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596"/>
        </w:trPr>
        <w:tc>
          <w:tcPr>
            <w:tcW w:w="1500" w:type="dxa"/>
            <w:vAlign w:val="bottom"/>
          </w:tcPr>
          <w:p>
            <w:pPr>
              <w:spacing w:after="0"/>
              <w:rPr>
                <w:sz w:val="24"/>
                <w:szCs w:val="24"/>
                <w:color w:val="auto"/>
              </w:rPr>
            </w:pPr>
          </w:p>
        </w:tc>
        <w:tc>
          <w:tcPr>
            <w:tcW w:w="25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909 Rose Avenue, Suite 200</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North Bethesda,</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220" w:type="dxa"/>
            <w:vAlign w:val="bottom"/>
          </w:tcPr>
          <w:p>
            <w:pPr>
              <w:jc w:val="right"/>
              <w:ind w:right="184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281"/>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20" w:type="dxa"/>
            <w:vAlign w:val="bottom"/>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20" w:type="dxa"/>
            <w:vAlign w:val="bottom"/>
          </w:tcPr>
          <w:p>
            <w:pPr>
              <w:jc w:val="center"/>
              <w:ind w:right="100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394"/>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80" w:type="dxa"/>
            <w:vAlign w:val="bottom"/>
            <w:gridSpan w:val="6"/>
          </w:tcPr>
          <w:p>
            <w:pPr>
              <w:jc w:val="center"/>
              <w:ind w:right="2164"/>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301/998-8100</w:t>
            </w:r>
          </w:p>
        </w:tc>
      </w:tr>
      <w:tr>
        <w:trPr>
          <w:trHeight w:val="218"/>
        </w:trPr>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1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1626 East Jefferson Street, Rockville</w:t>
            </w:r>
          </w:p>
        </w:tc>
        <w:tc>
          <w:tcPr>
            <w:tcW w:w="3220" w:type="dxa"/>
            <w:vAlign w:val="bottom"/>
          </w:tcPr>
          <w:p>
            <w:pPr>
              <w:spacing w:after="0"/>
              <w:rPr>
                <w:sz w:val="18"/>
                <w:szCs w:val="18"/>
                <w:color w:val="auto"/>
              </w:rPr>
            </w:pPr>
          </w:p>
        </w:tc>
      </w:tr>
      <w:tr>
        <w:trPr>
          <w:trHeight w:val="190"/>
        </w:trPr>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580" w:type="dxa"/>
            <w:vAlign w:val="bottom"/>
            <w:gridSpan w:val="6"/>
          </w:tcPr>
          <w:p>
            <w:pPr>
              <w:jc w:val="center"/>
              <w:ind w:right="2164"/>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from last report)</w:t>
            </w:r>
          </w:p>
        </w:tc>
      </w:tr>
      <w:tr>
        <w:trPr>
          <w:trHeight w:val="401"/>
        </w:trPr>
        <w:tc>
          <w:tcPr>
            <w:tcW w:w="1500" w:type="dxa"/>
            <w:vAlign w:val="bottom"/>
          </w:tcPr>
          <w:p>
            <w:pPr>
              <w:spacing w:after="0"/>
              <w:rPr>
                <w:sz w:val="24"/>
                <w:szCs w:val="24"/>
                <w:color w:val="auto"/>
              </w:rPr>
            </w:pPr>
          </w:p>
        </w:tc>
        <w:tc>
          <w:tcPr>
            <w:tcW w:w="2540" w:type="dxa"/>
            <w:vAlign w:val="bottom"/>
            <w:gridSpan w:val="2"/>
          </w:tcPr>
          <w:p>
            <w:pPr>
              <w:jc w:val="center"/>
              <w:ind w:right="1165"/>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80" w:type="dxa"/>
            <w:vAlign w:val="bottom"/>
          </w:tcPr>
          <w:p>
            <w:pPr>
              <w:spacing w:after="0"/>
              <w:rPr>
                <w:sz w:val="24"/>
                <w:szCs w:val="24"/>
                <w:color w:val="auto"/>
              </w:rPr>
            </w:pPr>
          </w:p>
        </w:tc>
        <w:tc>
          <w:tcPr>
            <w:tcW w:w="2240" w:type="dxa"/>
            <w:vAlign w:val="bottom"/>
            <w:gridSpan w:val="3"/>
          </w:tcPr>
          <w:p>
            <w:pPr>
              <w:jc w:val="center"/>
              <w:ind w:right="114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91"/>
        </w:trPr>
        <w:tc>
          <w:tcPr>
            <w:tcW w:w="4040" w:type="dxa"/>
            <w:vAlign w:val="bottom"/>
            <w:gridSpan w:val="3"/>
          </w:tcPr>
          <w:p>
            <w:pPr>
              <w:jc w:val="center"/>
              <w:ind w:left="204"/>
              <w:spacing w:after="0"/>
              <w:rPr>
                <w:sz w:val="20"/>
                <w:szCs w:val="20"/>
                <w:color w:val="auto"/>
              </w:rPr>
            </w:pPr>
            <w:r>
              <w:rPr>
                <w:rFonts w:ascii="Times New Roman" w:cs="Times New Roman" w:eastAsia="Times New Roman" w:hAnsi="Times New Roman"/>
                <w:sz w:val="16"/>
                <w:szCs w:val="16"/>
                <w:color w:val="auto"/>
              </w:rPr>
              <w:t>Common Shares of Beneficial Interest</w:t>
            </w:r>
          </w:p>
        </w:tc>
        <w:tc>
          <w:tcPr>
            <w:tcW w:w="880" w:type="dxa"/>
            <w:vAlign w:val="bottom"/>
          </w:tcPr>
          <w:p>
            <w:pPr>
              <w:spacing w:after="0"/>
              <w:rPr>
                <w:sz w:val="24"/>
                <w:szCs w:val="24"/>
                <w:color w:val="auto"/>
              </w:rPr>
            </w:pPr>
          </w:p>
        </w:tc>
        <w:tc>
          <w:tcPr>
            <w:tcW w:w="900" w:type="dxa"/>
            <w:vAlign w:val="bottom"/>
          </w:tcPr>
          <w:p>
            <w:pPr>
              <w:jc w:val="center"/>
              <w:ind w:left="143"/>
              <w:spacing w:after="0"/>
              <w:rPr>
                <w:sz w:val="20"/>
                <w:szCs w:val="20"/>
                <w:color w:val="auto"/>
              </w:rPr>
            </w:pPr>
            <w:r>
              <w:rPr>
                <w:rFonts w:ascii="Times New Roman" w:cs="Times New Roman" w:eastAsia="Times New Roman" w:hAnsi="Times New Roman"/>
                <w:sz w:val="18"/>
                <w:szCs w:val="18"/>
                <w:color w:val="auto"/>
                <w:w w:val="96"/>
              </w:rPr>
              <w:t>FRT</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43"/>
        </w:trPr>
        <w:tc>
          <w:tcPr>
            <w:tcW w:w="5820" w:type="dxa"/>
            <w:vAlign w:val="bottom"/>
            <w:gridSpan w:val="5"/>
          </w:tcPr>
          <w:p>
            <w:pPr>
              <w:jc w:val="center"/>
              <w:ind w:right="1443"/>
              <w:spacing w:after="0"/>
              <w:rPr>
                <w:sz w:val="20"/>
                <w:szCs w:val="20"/>
                <w:color w:val="auto"/>
              </w:rPr>
            </w:pPr>
            <w:r>
              <w:rPr>
                <w:rFonts w:ascii="Times New Roman" w:cs="Times New Roman" w:eastAsia="Times New Roman" w:hAnsi="Times New Roman"/>
                <w:sz w:val="16"/>
                <w:szCs w:val="16"/>
                <w:color w:val="auto"/>
              </w:rPr>
              <w:t>$.01 par value per share, with associated Common Share Purchase</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210"/>
        </w:trPr>
        <w:tc>
          <w:tcPr>
            <w:tcW w:w="1500" w:type="dxa"/>
            <w:vAlign w:val="bottom"/>
          </w:tcPr>
          <w:p>
            <w:pPr>
              <w:spacing w:after="0"/>
              <w:rPr>
                <w:sz w:val="18"/>
                <w:szCs w:val="18"/>
                <w:color w:val="auto"/>
              </w:rPr>
            </w:pPr>
          </w:p>
        </w:tc>
        <w:tc>
          <w:tcPr>
            <w:tcW w:w="2540" w:type="dxa"/>
            <w:vAlign w:val="bottom"/>
            <w:gridSpan w:val="2"/>
          </w:tcPr>
          <w:p>
            <w:pPr>
              <w:jc w:val="center"/>
              <w:ind w:right="1165"/>
              <w:spacing w:after="0"/>
              <w:rPr>
                <w:sz w:val="20"/>
                <w:szCs w:val="20"/>
                <w:color w:val="auto"/>
              </w:rPr>
            </w:pPr>
            <w:r>
              <w:rPr>
                <w:rFonts w:ascii="Times New Roman" w:cs="Times New Roman" w:eastAsia="Times New Roman" w:hAnsi="Times New Roman"/>
                <w:sz w:val="16"/>
                <w:szCs w:val="16"/>
                <w:color w:val="auto"/>
              </w:rPr>
              <w:t>Rights</w:t>
            </w: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452"/>
        </w:trPr>
        <w:tc>
          <w:tcPr>
            <w:tcW w:w="4040" w:type="dxa"/>
            <w:vAlign w:val="bottom"/>
            <w:gridSpan w:val="3"/>
          </w:tcPr>
          <w:p>
            <w:pPr>
              <w:jc w:val="center"/>
              <w:ind w:left="204"/>
              <w:spacing w:after="0"/>
              <w:rPr>
                <w:sz w:val="20"/>
                <w:szCs w:val="20"/>
                <w:color w:val="auto"/>
              </w:rPr>
            </w:pPr>
            <w:r>
              <w:rPr>
                <w:rFonts w:ascii="Times New Roman" w:cs="Times New Roman" w:eastAsia="Times New Roman" w:hAnsi="Times New Roman"/>
                <w:sz w:val="16"/>
                <w:szCs w:val="16"/>
                <w:color w:val="auto"/>
              </w:rPr>
              <w:t>Depositary Shares, each representing 1/1000 of a share</w:t>
            </w:r>
          </w:p>
        </w:tc>
        <w:tc>
          <w:tcPr>
            <w:tcW w:w="880" w:type="dxa"/>
            <w:vAlign w:val="bottom"/>
          </w:tcPr>
          <w:p>
            <w:pPr>
              <w:spacing w:after="0"/>
              <w:rPr>
                <w:sz w:val="24"/>
                <w:szCs w:val="24"/>
                <w:color w:val="auto"/>
              </w:rPr>
            </w:pPr>
          </w:p>
        </w:tc>
        <w:tc>
          <w:tcPr>
            <w:tcW w:w="900" w:type="dxa"/>
            <w:vAlign w:val="bottom"/>
          </w:tcPr>
          <w:p>
            <w:pPr>
              <w:jc w:val="center"/>
              <w:ind w:left="123"/>
              <w:spacing w:after="0"/>
              <w:rPr>
                <w:sz w:val="20"/>
                <w:szCs w:val="20"/>
                <w:color w:val="auto"/>
              </w:rPr>
            </w:pPr>
            <w:r>
              <w:rPr>
                <w:rFonts w:ascii="Times New Roman" w:cs="Times New Roman" w:eastAsia="Times New Roman" w:hAnsi="Times New Roman"/>
                <w:sz w:val="18"/>
                <w:szCs w:val="18"/>
                <w:color w:val="auto"/>
                <w:w w:val="97"/>
              </w:rPr>
              <w:t>FRT-C</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40" w:lineRule="exact"/>
        <w:rPr>
          <w:sz w:val="24"/>
          <w:szCs w:val="24"/>
          <w:color w:val="auto"/>
        </w:rPr>
      </w:pPr>
    </w:p>
    <w:p>
      <w:pPr>
        <w:jc w:val="center"/>
        <w:ind w:right="6360"/>
        <w:spacing w:after="0"/>
        <w:rPr>
          <w:sz w:val="20"/>
          <w:szCs w:val="20"/>
          <w:color w:val="auto"/>
        </w:rPr>
      </w:pPr>
      <w:r>
        <w:rPr>
          <w:rFonts w:ascii="Times New Roman" w:cs="Times New Roman" w:eastAsia="Times New Roman" w:hAnsi="Times New Roman"/>
          <w:sz w:val="16"/>
          <w:szCs w:val="16"/>
          <w:color w:val="auto"/>
        </w:rPr>
        <w:t>of 5.00% Series C Cumulative Redeemable Preferred Stock, $.01 par</w:t>
      </w:r>
    </w:p>
    <w:p>
      <w:pPr>
        <w:spacing w:after="0" w:line="26" w:lineRule="exact"/>
        <w:rPr>
          <w:sz w:val="24"/>
          <w:szCs w:val="24"/>
          <w:color w:val="auto"/>
        </w:rPr>
      </w:pPr>
    </w:p>
    <w:p>
      <w:pPr>
        <w:jc w:val="center"/>
        <w:ind w:right="6360"/>
        <w:spacing w:after="0"/>
        <w:rPr>
          <w:sz w:val="20"/>
          <w:szCs w:val="20"/>
          <w:color w:val="auto"/>
        </w:rPr>
      </w:pPr>
      <w:r>
        <w:rPr>
          <w:rFonts w:ascii="Times New Roman" w:cs="Times New Roman" w:eastAsia="Times New Roman" w:hAnsi="Times New Roman"/>
          <w:sz w:val="16"/>
          <w:szCs w:val="16"/>
          <w:color w:val="auto"/>
        </w:rPr>
        <w:t>value per share</w:t>
      </w:r>
    </w:p>
    <w:p>
      <w:pPr>
        <w:spacing w:after="0" w:line="303" w:lineRule="exact"/>
        <w:rPr>
          <w:sz w:val="24"/>
          <w:szCs w:val="24"/>
          <w:color w:val="auto"/>
        </w:rPr>
      </w:pPr>
    </w:p>
    <w:p>
      <w:pPr>
        <w:jc w:val="both"/>
        <w:ind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2"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98" w:lineRule="exact"/>
        <w:rPr>
          <w:rFonts w:ascii="MS PGothic" w:cs="MS PGothic" w:eastAsia="MS PGothic" w:hAnsi="MS PGothic"/>
          <w:sz w:val="18"/>
          <w:szCs w:val="18"/>
          <w:color w:val="auto"/>
        </w:rPr>
      </w:pPr>
    </w:p>
    <w:p>
      <w:pPr>
        <w:ind w:left="500" w:hanging="465"/>
        <w:spacing w:after="0" w:line="282" w:lineRule="auto"/>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0980"/>
          </w:cols>
          <w:pgMar w:left="320" w:top="646" w:right="5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24" w:lineRule="exact"/>
        <w:rPr>
          <w:sz w:val="20"/>
          <w:szCs w:val="20"/>
          <w:color w:val="auto"/>
        </w:rPr>
      </w:pPr>
    </w:p>
    <w:p>
      <w:pPr>
        <w:ind w:right="220" w:firstLine="648"/>
        <w:spacing w:after="0" w:line="248" w:lineRule="auto"/>
        <w:rPr>
          <w:sz w:val="20"/>
          <w:szCs w:val="20"/>
          <w:color w:val="auto"/>
        </w:rPr>
      </w:pPr>
      <w:r>
        <w:rPr>
          <w:rFonts w:ascii="Times New Roman" w:cs="Times New Roman" w:eastAsia="Times New Roman" w:hAnsi="Times New Roman"/>
          <w:sz w:val="22"/>
          <w:szCs w:val="22"/>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87" w:lineRule="exact"/>
        <w:rPr>
          <w:sz w:val="20"/>
          <w:szCs w:val="20"/>
          <w:color w:val="auto"/>
        </w:rPr>
      </w:pPr>
    </w:p>
    <w:p>
      <w:pPr>
        <w:jc w:val="both"/>
        <w:ind w:right="40" w:firstLine="648"/>
        <w:spacing w:after="0" w:line="257" w:lineRule="auto"/>
        <w:rPr>
          <w:sz w:val="20"/>
          <w:szCs w:val="20"/>
          <w:color w:val="auto"/>
        </w:rPr>
      </w:pPr>
      <w:r>
        <w:rPr>
          <w:rFonts w:ascii="Times New Roman" w:cs="Times New Roman" w:eastAsia="Times New Roman" w:hAnsi="Times New Roman"/>
          <w:sz w:val="22"/>
          <w:szCs w:val="22"/>
          <w:color w:val="auto"/>
        </w:rPr>
        <w:t>On November 5, 2020, Federal Realty Investment Trust issued supplemental data pertaining to its operations, as well as a press release, to report its financial results for the quarter ended September 30, 2020. The supplemental data and press release are furnished as Exhibit 99.1 hereto.</w:t>
      </w:r>
    </w:p>
    <w:p>
      <w:pPr>
        <w:spacing w:after="0" w:line="16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37"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Exhibits</w:t>
      </w:r>
    </w:p>
    <w:p>
      <w:pPr>
        <w:spacing w:after="0" w:line="233" w:lineRule="exact"/>
        <w:rPr>
          <w:sz w:val="20"/>
          <w:szCs w:val="20"/>
          <w:color w:val="auto"/>
        </w:rPr>
      </w:pPr>
    </w:p>
    <w:p>
      <w:pPr>
        <w:ind w:left="1960"/>
        <w:spacing w:after="0"/>
        <w:tabs>
          <w:tab w:leader="none" w:pos="254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Supplemental information at September 30, 2020 (including press release dated November 5, 2020)</w:t>
      </w:r>
    </w:p>
    <w:p>
      <w:pPr>
        <w:spacing w:after="0" w:line="274" w:lineRule="exact"/>
        <w:rPr>
          <w:sz w:val="20"/>
          <w:szCs w:val="20"/>
          <w:color w:val="auto"/>
        </w:rPr>
      </w:pPr>
    </w:p>
    <w:p>
      <w:pPr>
        <w:ind w:left="1300" w:firstLine="652"/>
        <w:spacing w:after="0" w:line="271" w:lineRule="auto"/>
        <w:tabs>
          <w:tab w:leader="none" w:pos="248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 Page Interactive Data File (the Cover Page Interactive Data File is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40" w:lineRule="exact"/>
        <w:rPr>
          <w:sz w:val="20"/>
          <w:szCs w:val="20"/>
          <w:color w:val="auto"/>
        </w:rPr>
      </w:pPr>
    </w:p>
    <w:p>
      <w:pPr>
        <w:ind w:right="560"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FEDERAL REALTY INVESTMENT TRUST</w:t>
      </w:r>
    </w:p>
    <w:p>
      <w:pPr>
        <w:spacing w:after="0" w:line="372" w:lineRule="exact"/>
        <w:rPr>
          <w:sz w:val="20"/>
          <w:szCs w:val="20"/>
          <w:color w:val="auto"/>
        </w:rPr>
      </w:pPr>
    </w:p>
    <w:p>
      <w:pPr>
        <w:ind w:left="1040"/>
        <w:spacing w:after="0"/>
        <w:tabs>
          <w:tab w:leader="none" w:pos="1700" w:val="left"/>
          <w:tab w:leader="none" w:pos="4860" w:val="left"/>
        </w:tabs>
        <w:rPr>
          <w:sz w:val="20"/>
          <w:szCs w:val="20"/>
          <w:color w:val="auto"/>
        </w:rPr>
      </w:pPr>
      <w:r>
        <w:rPr>
          <w:rFonts w:ascii="Times New Roman" w:cs="Times New Roman" w:eastAsia="Times New Roman" w:hAnsi="Times New Roman"/>
          <w:sz w:val="22"/>
          <w:szCs w:val="22"/>
          <w:color w:val="auto"/>
        </w:rPr>
        <w:t>Date:</w:t>
        <w:tab/>
        <w:t>November 5, 2020</w:t>
      </w:r>
      <w:r>
        <w:rPr>
          <w:sz w:val="20"/>
          <w:szCs w:val="20"/>
          <w:color w:val="auto"/>
        </w:rPr>
        <w:tab/>
      </w:r>
      <w:r>
        <w:rPr>
          <w:rFonts w:ascii="Times New Roman" w:cs="Times New Roman" w:eastAsia="Times New Roman" w:hAnsi="Times New Roman"/>
          <w:sz w:val="21"/>
          <w:szCs w:val="21"/>
          <w:u w:val="single" w:color="auto"/>
          <w:color w:val="auto"/>
        </w:rPr>
        <w:t>/s/ Daniel Guglielmone</w:t>
      </w:r>
    </w:p>
    <w:p>
      <w:pPr>
        <w:spacing w:after="0" w:line="36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Daniel Guglielmone</w:t>
      </w:r>
    </w:p>
    <w:p>
      <w:pPr>
        <w:spacing w:after="0" w:line="4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Executive Vice President-</w:t>
      </w:r>
    </w:p>
    <w:p>
      <w:pPr>
        <w:spacing w:after="0" w:line="4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ectPr>
          <w:pgSz w:w="11900" w:h="16838" w:orient="portrait"/>
          <w:cols w:equalWidth="0" w:num="1">
            <w:col w:w="11220"/>
          </w:cols>
          <w:pgMar w:left="320" w:top="55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2"/>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tcPr>
          <w:p>
            <w:pPr>
              <w:ind w:left="2900"/>
              <w:spacing w:after="0"/>
              <w:rPr>
                <w:sz w:val="20"/>
                <w:szCs w:val="20"/>
                <w:color w:val="auto"/>
              </w:rPr>
            </w:pPr>
            <w:r>
              <w:rPr>
                <w:rFonts w:ascii="Times New Roman" w:cs="Times New Roman" w:eastAsia="Times New Roman" w:hAnsi="Times New Roman"/>
                <w:sz w:val="22"/>
                <w:szCs w:val="22"/>
                <w:color w:val="auto"/>
              </w:rPr>
              <w:t>EXHIBIT INDEX</w:t>
            </w:r>
          </w:p>
        </w:tc>
      </w:tr>
      <w:tr>
        <w:trPr>
          <w:trHeight w:val="798"/>
        </w:trPr>
        <w:tc>
          <w:tcPr>
            <w:tcW w:w="19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320" w:type="dxa"/>
            <w:vAlign w:val="bottom"/>
            <w:tcBorders>
              <w:bottom w:val="single" w:sz="8" w:color="auto"/>
            </w:tcBorders>
          </w:tcPr>
          <w:p>
            <w:pPr>
              <w:spacing w:after="0"/>
              <w:rPr>
                <w:sz w:val="2"/>
                <w:szCs w:val="2"/>
                <w:color w:val="auto"/>
              </w:rPr>
            </w:pPr>
          </w:p>
        </w:tc>
      </w:tr>
      <w:tr>
        <w:trPr>
          <w:trHeight w:val="237"/>
        </w:trPr>
        <w:tc>
          <w:tcPr>
            <w:tcW w:w="1820" w:type="dxa"/>
            <w:vAlign w:val="bottom"/>
          </w:tcPr>
          <w:p>
            <w:pPr>
              <w:ind w:left="4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99.1</w:t>
              </w:r>
            </w:hyperlink>
          </w:p>
        </w:tc>
        <w:tc>
          <w:tcPr>
            <w:tcW w:w="100" w:type="dxa"/>
            <w:vAlign w:val="bottom"/>
          </w:tcPr>
          <w:p>
            <w:pPr>
              <w:spacing w:after="0"/>
              <w:rPr>
                <w:sz w:val="20"/>
                <w:szCs w:val="20"/>
                <w:color w:val="auto"/>
              </w:rPr>
            </w:pPr>
          </w:p>
        </w:tc>
        <w:tc>
          <w:tcPr>
            <w:tcW w:w="9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Information at September 30, 2020</w:t>
            </w:r>
          </w:p>
        </w:tc>
      </w:tr>
      <w:tr>
        <w:trPr>
          <w:trHeight w:val="392"/>
        </w:trPr>
        <w:tc>
          <w:tcPr>
            <w:tcW w:w="1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9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Cover Page Interactive Data File (the Cover Page Interactive Data File is embedded within the Inline XBRL Document</w:t>
            </w:r>
          </w:p>
        </w:tc>
      </w:tr>
    </w:tbl>
    <w:p>
      <w:pPr>
        <w:sectPr>
          <w:pgSz w:w="11900" w:h="16838" w:orient="portrait"/>
          <w:cols w:equalWidth="0" w:num="1">
            <w:col w:w="11240"/>
          </w:cols>
          <w:pgMar w:left="320" w:top="55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2020</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6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Third Quarter 2020 Earnings Press Release</w:t>
            </w:r>
          </w:p>
        </w:tc>
        <w:tc>
          <w:tcPr>
            <w:tcW w:w="186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3</w:t>
              </w:r>
            </w:hyperlink>
          </w:p>
        </w:tc>
      </w:tr>
      <w:tr>
        <w:trPr>
          <w:trHeight w:val="270"/>
        </w:trPr>
        <w:tc>
          <w:tcPr>
            <w:tcW w:w="500" w:type="dxa"/>
            <w:vAlign w:val="bottom"/>
          </w:tcPr>
          <w:p>
            <w:pPr>
              <w:spacing w:after="0"/>
              <w:rPr>
                <w:sz w:val="23"/>
                <w:szCs w:val="23"/>
                <w:color w:val="auto"/>
              </w:rPr>
            </w:pPr>
          </w:p>
        </w:tc>
        <w:tc>
          <w:tcPr>
            <w:tcW w:w="69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w:t>
            </w:r>
          </w:p>
        </w:tc>
        <w:tc>
          <w:tcPr>
            <w:tcW w:w="69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Financial Highlights</w:t>
            </w: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69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Consolidated Income Statements</w:t>
            </w:r>
          </w:p>
        </w:tc>
        <w:tc>
          <w:tcPr>
            <w:tcW w:w="1860" w:type="dxa"/>
            <w:vAlign w:val="bottom"/>
          </w:tcPr>
          <w:p>
            <w:pPr>
              <w:jc w:val="right"/>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7</w:t>
              </w:r>
            </w:hyperlink>
          </w:p>
        </w:tc>
      </w:tr>
      <w:tr>
        <w:trPr>
          <w:trHeight w:val="27"/>
        </w:trPr>
        <w:tc>
          <w:tcPr>
            <w:tcW w:w="5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86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8</w:t>
              </w:r>
            </w:hyperlink>
          </w:p>
        </w:tc>
      </w:tr>
      <w:tr>
        <w:trPr>
          <w:trHeight w:val="243"/>
        </w:trPr>
        <w:tc>
          <w:tcPr>
            <w:tcW w:w="500" w:type="dxa"/>
            <w:vAlign w:val="bottom"/>
          </w:tcPr>
          <w:p>
            <w:pPr>
              <w:spacing w:after="0"/>
              <w:rPr>
                <w:sz w:val="21"/>
                <w:szCs w:val="21"/>
                <w:color w:val="auto"/>
              </w:rPr>
            </w:pPr>
          </w:p>
        </w:tc>
        <w:tc>
          <w:tcPr>
            <w:tcW w:w="69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Funds From Operations / Other Supplemental Information</w:t>
            </w:r>
          </w:p>
        </w:tc>
        <w:tc>
          <w:tcPr>
            <w:tcW w:w="1860" w:type="dxa"/>
            <w:vAlign w:val="bottom"/>
          </w:tcPr>
          <w:p>
            <w:pPr>
              <w:jc w:val="right"/>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9</w:t>
              </w:r>
            </w:hyperlink>
          </w:p>
        </w:tc>
      </w:tr>
      <w:tr>
        <w:trPr>
          <w:trHeight w:val="27"/>
        </w:trPr>
        <w:tc>
          <w:tcPr>
            <w:tcW w:w="5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COVID-19 Related Impacts</w:t>
            </w:r>
          </w:p>
        </w:tc>
        <w:tc>
          <w:tcPr>
            <w:tcW w:w="186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10</w:t>
              </w:r>
            </w:hyperlink>
          </w:p>
        </w:tc>
      </w:tr>
      <w:tr>
        <w:trPr>
          <w:trHeight w:val="243"/>
        </w:trPr>
        <w:tc>
          <w:tcPr>
            <w:tcW w:w="500" w:type="dxa"/>
            <w:vAlign w:val="bottom"/>
          </w:tcPr>
          <w:p>
            <w:pPr>
              <w:spacing w:after="0"/>
              <w:rPr>
                <w:sz w:val="21"/>
                <w:szCs w:val="21"/>
                <w:color w:val="auto"/>
              </w:rPr>
            </w:pPr>
          </w:p>
        </w:tc>
        <w:tc>
          <w:tcPr>
            <w:tcW w:w="69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Components of Rental Income</w:t>
            </w:r>
          </w:p>
        </w:tc>
        <w:tc>
          <w:tcPr>
            <w:tcW w:w="1860" w:type="dxa"/>
            <w:vAlign w:val="bottom"/>
          </w:tcPr>
          <w:p>
            <w:pPr>
              <w:jc w:val="right"/>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11</w:t>
              </w:r>
            </w:hyperlink>
          </w:p>
        </w:tc>
      </w:tr>
      <w:tr>
        <w:trPr>
          <w:trHeight w:val="27"/>
        </w:trPr>
        <w:tc>
          <w:tcPr>
            <w:tcW w:w="5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Comparable Property Information</w:t>
            </w:r>
          </w:p>
        </w:tc>
        <w:tc>
          <w:tcPr>
            <w:tcW w:w="186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12</w:t>
              </w:r>
            </w:hyperlink>
          </w:p>
        </w:tc>
      </w:tr>
      <w:tr>
        <w:trPr>
          <w:trHeight w:val="243"/>
        </w:trPr>
        <w:tc>
          <w:tcPr>
            <w:tcW w:w="500" w:type="dxa"/>
            <w:vAlign w:val="bottom"/>
          </w:tcPr>
          <w:p>
            <w:pPr>
              <w:spacing w:after="0"/>
              <w:rPr>
                <w:sz w:val="21"/>
                <w:szCs w:val="21"/>
                <w:color w:val="auto"/>
              </w:rPr>
            </w:pPr>
          </w:p>
        </w:tc>
        <w:tc>
          <w:tcPr>
            <w:tcW w:w="69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Market Data</w:t>
            </w:r>
          </w:p>
        </w:tc>
        <w:tc>
          <w:tcPr>
            <w:tcW w:w="1860" w:type="dxa"/>
            <w:vAlign w:val="bottom"/>
          </w:tcPr>
          <w:p>
            <w:pPr>
              <w:jc w:val="right"/>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13</w:t>
              </w:r>
            </w:hyperlink>
          </w:p>
        </w:tc>
      </w:tr>
      <w:tr>
        <w:trPr>
          <w:trHeight w:val="27"/>
        </w:trPr>
        <w:tc>
          <w:tcPr>
            <w:tcW w:w="5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84"/>
        </w:trPr>
        <w:tc>
          <w:tcPr>
            <w:tcW w:w="500" w:type="dxa"/>
            <w:vAlign w:val="bottom"/>
            <w:shd w:val="clear" w:color="auto" w:fill="CCEEFF"/>
          </w:tcPr>
          <w:p>
            <w:pPr>
              <w:spacing w:after="0"/>
              <w:rPr>
                <w:sz w:val="24"/>
                <w:szCs w:val="24"/>
                <w:color w:val="auto"/>
              </w:rPr>
            </w:pPr>
          </w:p>
        </w:tc>
        <w:tc>
          <w:tcPr>
            <w:tcW w:w="696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bl>
    <w:p>
      <w:pPr>
        <w:spacing w:after="0" w:line="9" w:lineRule="exact"/>
        <w:rPr>
          <w:sz w:val="20"/>
          <w:szCs w:val="20"/>
          <w:color w:val="auto"/>
        </w:rPr>
      </w:pPr>
    </w:p>
    <w:p>
      <w:pPr>
        <w:ind w:left="880" w:hanging="847"/>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Debt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0" w:type="dxa"/>
            <w:vAlign w:val="bottom"/>
            <w:shd w:val="clear" w:color="auto" w:fill="CCEEFF"/>
          </w:tcPr>
          <w:p>
            <w:pPr>
              <w:spacing w:after="0"/>
              <w:rPr>
                <w:sz w:val="23"/>
                <w:szCs w:val="23"/>
                <w:color w:val="auto"/>
              </w:rPr>
            </w:pPr>
          </w:p>
        </w:tc>
        <w:tc>
          <w:tcPr>
            <w:tcW w:w="67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Summary of Outstanding Debt</w:t>
            </w:r>
          </w:p>
        </w:tc>
        <w:tc>
          <w:tcPr>
            <w:tcW w:w="204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14</w:t>
              </w:r>
            </w:hyperlink>
          </w:p>
        </w:tc>
      </w:tr>
      <w:tr>
        <w:trPr>
          <w:trHeight w:val="243"/>
        </w:trPr>
        <w:tc>
          <w:tcPr>
            <w:tcW w:w="540" w:type="dxa"/>
            <w:vAlign w:val="bottom"/>
          </w:tcPr>
          <w:p>
            <w:pPr>
              <w:spacing w:after="0"/>
              <w:rPr>
                <w:sz w:val="21"/>
                <w:szCs w:val="21"/>
                <w:color w:val="auto"/>
              </w:rPr>
            </w:pPr>
          </w:p>
        </w:tc>
        <w:tc>
          <w:tcPr>
            <w:tcW w:w="67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Summary of Debt Maturities</w:t>
            </w:r>
          </w:p>
        </w:tc>
        <w:tc>
          <w:tcPr>
            <w:tcW w:w="2040" w:type="dxa"/>
            <w:vAlign w:val="bottom"/>
          </w:tcPr>
          <w:p>
            <w:pPr>
              <w:jc w:val="right"/>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16</w:t>
              </w:r>
            </w:hyperlink>
          </w:p>
        </w:tc>
      </w:tr>
      <w:tr>
        <w:trPr>
          <w:trHeight w:val="27"/>
        </w:trPr>
        <w:tc>
          <w:tcPr>
            <w:tcW w:w="5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84"/>
        </w:trPr>
        <w:tc>
          <w:tcPr>
            <w:tcW w:w="540" w:type="dxa"/>
            <w:vAlign w:val="bottom"/>
            <w:shd w:val="clear" w:color="auto" w:fill="CCEEFF"/>
          </w:tcPr>
          <w:p>
            <w:pPr>
              <w:spacing w:after="0"/>
              <w:rPr>
                <w:sz w:val="24"/>
                <w:szCs w:val="24"/>
                <w:color w:val="auto"/>
              </w:rPr>
            </w:pPr>
          </w:p>
        </w:tc>
        <w:tc>
          <w:tcPr>
            <w:tcW w:w="67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43"/>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Summary of Redevelopment Opportunities</w:t>
            </w:r>
          </w:p>
        </w:tc>
        <w:tc>
          <w:tcPr>
            <w:tcW w:w="2040" w:type="dxa"/>
            <w:vAlign w:val="bottom"/>
          </w:tcPr>
          <w:p>
            <w:pPr>
              <w:jc w:val="right"/>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17</w:t>
              </w:r>
            </w:hyperlink>
          </w:p>
        </w:tc>
      </w:tr>
      <w:tr>
        <w:trPr>
          <w:trHeight w:val="27"/>
        </w:trPr>
        <w:tc>
          <w:tcPr>
            <w:tcW w:w="5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84"/>
        </w:trPr>
        <w:tc>
          <w:tcPr>
            <w:tcW w:w="540" w:type="dxa"/>
            <w:vAlign w:val="bottom"/>
            <w:shd w:val="clear" w:color="auto" w:fill="CCEEFF"/>
          </w:tcPr>
          <w:p>
            <w:pPr>
              <w:spacing w:after="0"/>
              <w:rPr>
                <w:sz w:val="24"/>
                <w:szCs w:val="24"/>
                <w:color w:val="auto"/>
              </w:rPr>
            </w:pPr>
          </w:p>
        </w:tc>
        <w:tc>
          <w:tcPr>
            <w:tcW w:w="67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43"/>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Assembly Row, Pike &amp; Rose, and Santana Row</w:t>
            </w:r>
          </w:p>
        </w:tc>
        <w:tc>
          <w:tcPr>
            <w:tcW w:w="2040" w:type="dxa"/>
            <w:vAlign w:val="bottom"/>
          </w:tcPr>
          <w:p>
            <w:pPr>
              <w:jc w:val="right"/>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18</w:t>
              </w:r>
            </w:hyperlink>
          </w:p>
        </w:tc>
      </w:tr>
      <w:tr>
        <w:trPr>
          <w:trHeight w:val="27"/>
        </w:trPr>
        <w:tc>
          <w:tcPr>
            <w:tcW w:w="5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324"/>
        </w:trPr>
        <w:tc>
          <w:tcPr>
            <w:tcW w:w="540" w:type="dxa"/>
            <w:vAlign w:val="bottom"/>
            <w:shd w:val="clear" w:color="auto" w:fill="CCEEFF"/>
          </w:tcPr>
          <w:p>
            <w:pPr>
              <w:spacing w:after="0"/>
              <w:rPr>
                <w:sz w:val="24"/>
                <w:szCs w:val="24"/>
                <w:color w:val="auto"/>
              </w:rPr>
            </w:pPr>
          </w:p>
        </w:tc>
        <w:tc>
          <w:tcPr>
            <w:tcW w:w="67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43"/>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Future Redevelopment Opportunities</w:t>
            </w:r>
          </w:p>
        </w:tc>
        <w:tc>
          <w:tcPr>
            <w:tcW w:w="2040" w:type="dxa"/>
            <w:vAlign w:val="bottom"/>
          </w:tcPr>
          <w:p>
            <w:pPr>
              <w:jc w:val="right"/>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19</w:t>
              </w:r>
            </w:hyperlink>
          </w:p>
        </w:tc>
      </w:tr>
      <w:tr>
        <w:trPr>
          <w:trHeight w:val="27"/>
        </w:trPr>
        <w:tc>
          <w:tcPr>
            <w:tcW w:w="5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83"/>
        </w:trPr>
        <w:tc>
          <w:tcPr>
            <w:tcW w:w="540" w:type="dxa"/>
            <w:vAlign w:val="bottom"/>
            <w:shd w:val="clear" w:color="auto" w:fill="CCEEFF"/>
          </w:tcPr>
          <w:p>
            <w:pPr>
              <w:spacing w:after="0"/>
              <w:rPr>
                <w:sz w:val="24"/>
                <w:szCs w:val="24"/>
                <w:color w:val="auto"/>
              </w:rPr>
            </w:pPr>
          </w:p>
        </w:tc>
        <w:tc>
          <w:tcPr>
            <w:tcW w:w="67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43"/>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Significant Property Acquisitions, Disposition, and Impairment</w:t>
            </w:r>
          </w:p>
        </w:tc>
        <w:tc>
          <w:tcPr>
            <w:tcW w:w="2040" w:type="dxa"/>
            <w:vAlign w:val="bottom"/>
          </w:tcPr>
          <w:p>
            <w:pPr>
              <w:jc w:val="right"/>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20</w:t>
              </w:r>
            </w:hyperlink>
          </w:p>
        </w:tc>
      </w:tr>
      <w:tr>
        <w:trPr>
          <w:trHeight w:val="27"/>
        </w:trPr>
        <w:tc>
          <w:tcPr>
            <w:tcW w:w="5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84"/>
        </w:trPr>
        <w:tc>
          <w:tcPr>
            <w:tcW w:w="540" w:type="dxa"/>
            <w:vAlign w:val="bottom"/>
            <w:shd w:val="clear" w:color="auto" w:fill="CCEEFF"/>
          </w:tcPr>
          <w:p>
            <w:pPr>
              <w:spacing w:after="0"/>
              <w:rPr>
                <w:sz w:val="24"/>
                <w:szCs w:val="24"/>
                <w:color w:val="auto"/>
              </w:rPr>
            </w:pPr>
          </w:p>
        </w:tc>
        <w:tc>
          <w:tcPr>
            <w:tcW w:w="67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43"/>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Real Estate Status Report</w:t>
            </w:r>
          </w:p>
        </w:tc>
        <w:tc>
          <w:tcPr>
            <w:tcW w:w="2040" w:type="dxa"/>
            <w:vAlign w:val="bottom"/>
          </w:tcPr>
          <w:p>
            <w:pPr>
              <w:jc w:val="right"/>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21</w:t>
              </w:r>
            </w:hyperlink>
          </w:p>
        </w:tc>
      </w:tr>
      <w:tr>
        <w:trPr>
          <w:trHeight w:val="27"/>
        </w:trPr>
        <w:tc>
          <w:tcPr>
            <w:tcW w:w="5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83"/>
        </w:trPr>
        <w:tc>
          <w:tcPr>
            <w:tcW w:w="540" w:type="dxa"/>
            <w:vAlign w:val="bottom"/>
            <w:shd w:val="clear" w:color="auto" w:fill="CCEEFF"/>
          </w:tcPr>
          <w:p>
            <w:pPr>
              <w:spacing w:after="0"/>
              <w:rPr>
                <w:sz w:val="24"/>
                <w:szCs w:val="24"/>
                <w:color w:val="auto"/>
              </w:rPr>
            </w:pPr>
          </w:p>
        </w:tc>
        <w:tc>
          <w:tcPr>
            <w:tcW w:w="67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43"/>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Retail Leasing Summary</w:t>
            </w:r>
          </w:p>
        </w:tc>
        <w:tc>
          <w:tcPr>
            <w:tcW w:w="2040" w:type="dxa"/>
            <w:vAlign w:val="bottom"/>
          </w:tcPr>
          <w:p>
            <w:pPr>
              <w:jc w:val="right"/>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25</w:t>
              </w:r>
            </w:hyperlink>
          </w:p>
        </w:tc>
      </w:tr>
      <w:tr>
        <w:trPr>
          <w:trHeight w:val="27"/>
        </w:trPr>
        <w:tc>
          <w:tcPr>
            <w:tcW w:w="5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83"/>
        </w:trPr>
        <w:tc>
          <w:tcPr>
            <w:tcW w:w="540" w:type="dxa"/>
            <w:vAlign w:val="bottom"/>
            <w:shd w:val="clear" w:color="auto" w:fill="CCEEFF"/>
          </w:tcPr>
          <w:p>
            <w:pPr>
              <w:spacing w:after="0"/>
              <w:rPr>
                <w:sz w:val="24"/>
                <w:szCs w:val="24"/>
                <w:color w:val="auto"/>
              </w:rPr>
            </w:pPr>
          </w:p>
        </w:tc>
        <w:tc>
          <w:tcPr>
            <w:tcW w:w="67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43"/>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Expirations</w:t>
            </w:r>
          </w:p>
        </w:tc>
        <w:tc>
          <w:tcPr>
            <w:tcW w:w="2040" w:type="dxa"/>
            <w:vAlign w:val="bottom"/>
          </w:tcPr>
          <w:p>
            <w:pPr>
              <w:jc w:val="right"/>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26</w:t>
              </w:r>
            </w:hyperlink>
          </w:p>
        </w:tc>
      </w:tr>
      <w:tr>
        <w:trPr>
          <w:trHeight w:val="27"/>
        </w:trPr>
        <w:tc>
          <w:tcPr>
            <w:tcW w:w="5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83"/>
        </w:trPr>
        <w:tc>
          <w:tcPr>
            <w:tcW w:w="540" w:type="dxa"/>
            <w:vAlign w:val="bottom"/>
            <w:shd w:val="clear" w:color="auto" w:fill="CCEEFF"/>
          </w:tcPr>
          <w:p>
            <w:pPr>
              <w:spacing w:after="0"/>
              <w:rPr>
                <w:sz w:val="24"/>
                <w:szCs w:val="24"/>
                <w:color w:val="auto"/>
              </w:rPr>
            </w:pPr>
          </w:p>
        </w:tc>
        <w:tc>
          <w:tcPr>
            <w:tcW w:w="67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43"/>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Portfolio Leased Statistics</w:t>
            </w:r>
          </w:p>
        </w:tc>
        <w:tc>
          <w:tcPr>
            <w:tcW w:w="2040" w:type="dxa"/>
            <w:vAlign w:val="bottom"/>
          </w:tcPr>
          <w:p>
            <w:pPr>
              <w:jc w:val="right"/>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27</w:t>
              </w:r>
            </w:hyperlink>
          </w:p>
        </w:tc>
      </w:tr>
      <w:tr>
        <w:trPr>
          <w:trHeight w:val="27"/>
        </w:trPr>
        <w:tc>
          <w:tcPr>
            <w:tcW w:w="5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84"/>
        </w:trPr>
        <w:tc>
          <w:tcPr>
            <w:tcW w:w="540" w:type="dxa"/>
            <w:vAlign w:val="bottom"/>
            <w:shd w:val="clear" w:color="auto" w:fill="CCEEFF"/>
          </w:tcPr>
          <w:p>
            <w:pPr>
              <w:spacing w:after="0"/>
              <w:rPr>
                <w:sz w:val="24"/>
                <w:szCs w:val="24"/>
                <w:color w:val="auto"/>
              </w:rPr>
            </w:pPr>
          </w:p>
        </w:tc>
        <w:tc>
          <w:tcPr>
            <w:tcW w:w="67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43"/>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Summary of Top 25 Tenants</w:t>
            </w:r>
          </w:p>
        </w:tc>
        <w:tc>
          <w:tcPr>
            <w:tcW w:w="2040" w:type="dxa"/>
            <w:vAlign w:val="bottom"/>
          </w:tcPr>
          <w:p>
            <w:pPr>
              <w:jc w:val="right"/>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28</w:t>
              </w:r>
            </w:hyperlink>
          </w:p>
        </w:tc>
      </w:tr>
      <w:tr>
        <w:trPr>
          <w:trHeight w:val="27"/>
        </w:trPr>
        <w:tc>
          <w:tcPr>
            <w:tcW w:w="5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83"/>
        </w:trPr>
        <w:tc>
          <w:tcPr>
            <w:tcW w:w="540" w:type="dxa"/>
            <w:vAlign w:val="bottom"/>
            <w:shd w:val="clear" w:color="auto" w:fill="CCEEFF"/>
          </w:tcPr>
          <w:p>
            <w:pPr>
              <w:spacing w:after="0"/>
              <w:rPr>
                <w:sz w:val="24"/>
                <w:szCs w:val="24"/>
                <w:color w:val="auto"/>
              </w:rPr>
            </w:pPr>
          </w:p>
        </w:tc>
        <w:tc>
          <w:tcPr>
            <w:tcW w:w="67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43"/>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w:t>
            </w: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Tenant Diversification by Category</w:t>
            </w:r>
          </w:p>
        </w:tc>
        <w:tc>
          <w:tcPr>
            <w:tcW w:w="2040" w:type="dxa"/>
            <w:vAlign w:val="bottom"/>
          </w:tcPr>
          <w:p>
            <w:pPr>
              <w:jc w:val="right"/>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29</w:t>
              </w:r>
            </w:hyperlink>
          </w:p>
        </w:tc>
      </w:tr>
      <w:tr>
        <w:trPr>
          <w:trHeight w:val="27"/>
        </w:trPr>
        <w:tc>
          <w:tcPr>
            <w:tcW w:w="5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324"/>
        </w:trPr>
        <w:tc>
          <w:tcPr>
            <w:tcW w:w="540" w:type="dxa"/>
            <w:vAlign w:val="bottom"/>
            <w:shd w:val="clear" w:color="auto" w:fill="CCEEFF"/>
          </w:tcPr>
          <w:p>
            <w:pPr>
              <w:spacing w:after="0"/>
              <w:rPr>
                <w:sz w:val="24"/>
                <w:szCs w:val="24"/>
                <w:color w:val="auto"/>
              </w:rPr>
            </w:pPr>
          </w:p>
        </w:tc>
        <w:tc>
          <w:tcPr>
            <w:tcW w:w="67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43"/>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14</w:t>
            </w: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Glossary of Terms</w:t>
            </w:r>
          </w:p>
        </w:tc>
        <w:tc>
          <w:tcPr>
            <w:tcW w:w="2040" w:type="dxa"/>
            <w:vAlign w:val="bottom"/>
          </w:tcPr>
          <w:p>
            <w:pPr>
              <w:jc w:val="right"/>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30</w:t>
              </w:r>
            </w:hyperlink>
          </w:p>
        </w:tc>
      </w:tr>
      <w:tr>
        <w:trPr>
          <w:trHeight w:val="27"/>
        </w:trPr>
        <w:tc>
          <w:tcPr>
            <w:tcW w:w="5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84"/>
        </w:trPr>
        <w:tc>
          <w:tcPr>
            <w:tcW w:w="540" w:type="dxa"/>
            <w:vAlign w:val="bottom"/>
            <w:shd w:val="clear" w:color="auto" w:fill="CCEEFF"/>
          </w:tcPr>
          <w:p>
            <w:pPr>
              <w:spacing w:after="0"/>
              <w:rPr>
                <w:sz w:val="24"/>
                <w:szCs w:val="24"/>
                <w:color w:val="auto"/>
              </w:rPr>
            </w:pPr>
          </w:p>
        </w:tc>
        <w:tc>
          <w:tcPr>
            <w:tcW w:w="67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171450</wp:posOffset>
            </wp:positionV>
            <wp:extent cx="591502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15025" cy="17145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909 Rose Avenue, Suite 200</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North Bethesda, Maryland 20852-8688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591502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1502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301/998-8100</w:t>
      </w:r>
    </w:p>
    <w:p>
      <w:pPr>
        <w:sectPr>
          <w:pgSz w:w="11900" w:h="16838" w:orient="portrait"/>
          <w:cols w:equalWidth="0" w:num="1">
            <w:col w:w="9320"/>
          </w:cols>
          <w:pgMar w:left="1280" w:top="711" w:right="129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320"/>
          </w:cols>
          <w:pgMar w:left="1280" w:top="711" w:right="12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Language</w:t>
      </w:r>
    </w:p>
    <w:p>
      <w:pPr>
        <w:spacing w:after="0" w:line="3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2020 and subsequent quarterly reports on Form 10-Q, and include the following:</w:t>
      </w:r>
    </w:p>
    <w:p>
      <w:pPr>
        <w:spacing w:after="0" w:line="2" w:lineRule="exact"/>
        <w:rPr>
          <w:sz w:val="20"/>
          <w:szCs w:val="20"/>
          <w:color w:val="auto"/>
        </w:rPr>
      </w:pPr>
    </w:p>
    <w:p>
      <w:pPr>
        <w:ind w:left="980" w:right="14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tenants will not pay rent, may vacate early or may file for bankruptcy or that we may be unable to renew leases or re-let space at favorable rents as leases expire;</w:t>
      </w:r>
    </w:p>
    <w:p>
      <w:pPr>
        <w:ind w:left="98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Times New Roman" w:cs="Times New Roman" w:eastAsia="Times New Roman" w:hAnsi="Times New Roman"/>
          <w:sz w:val="18"/>
          <w:szCs w:val="18"/>
          <w:color w:val="auto"/>
        </w:rPr>
      </w:pPr>
    </w:p>
    <w:p>
      <w:pPr>
        <w:ind w:left="980" w:right="4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Times New Roman" w:cs="Times New Roman" w:eastAsia="Times New Roman" w:hAnsi="Times New Roman"/>
          <w:sz w:val="18"/>
          <w:szCs w:val="18"/>
          <w:color w:val="auto"/>
        </w:rPr>
      </w:pPr>
    </w:p>
    <w:p>
      <w:pPr>
        <w:ind w:left="980" w:right="8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growth will be limited if we cannot obtain additional capital;</w:t>
      </w:r>
    </w:p>
    <w:p>
      <w:pPr>
        <w:spacing w:after="0" w:line="9" w:lineRule="exact"/>
        <w:rPr>
          <w:rFonts w:ascii="Times New Roman" w:cs="Times New Roman" w:eastAsia="Times New Roman" w:hAnsi="Times New Roman"/>
          <w:sz w:val="18"/>
          <w:szCs w:val="18"/>
          <w:color w:val="auto"/>
        </w:rPr>
      </w:pPr>
    </w:p>
    <w:p>
      <w:pPr>
        <w:ind w:left="980" w:right="32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jc w:val="both"/>
        <w:ind w:left="980" w:right="40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 w:lineRule="exact"/>
        <w:rPr>
          <w:rFonts w:ascii="Times New Roman" w:cs="Times New Roman" w:eastAsia="Times New Roman" w:hAnsi="Times New Roman"/>
          <w:sz w:val="18"/>
          <w:szCs w:val="18"/>
          <w:color w:val="auto"/>
        </w:rPr>
      </w:pPr>
    </w:p>
    <w:p>
      <w:pPr>
        <w:ind w:left="980" w:right="20" w:hanging="324"/>
        <w:spacing w:after="0" w:line="253" w:lineRule="auto"/>
        <w:tabs>
          <w:tab w:leader="none" w:pos="98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10, 2020 and subsequent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549"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drawing>
          <wp:anchor simplePos="0" relativeHeight="251657728" behindDoc="1" locked="0" layoutInCell="0" allowOverlap="1">
            <wp:simplePos x="0" y="0"/>
            <wp:positionH relativeFrom="page">
              <wp:posOffset>2548255</wp:posOffset>
            </wp:positionH>
            <wp:positionV relativeFrom="page">
              <wp:posOffset>542925</wp:posOffset>
            </wp:positionV>
            <wp:extent cx="2451735" cy="960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45173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NEWS RELEASE</w:t>
            </w:r>
          </w:p>
        </w:tc>
        <w:tc>
          <w:tcPr>
            <w:tcW w:w="5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www.federalrealty.com</w:t>
            </w:r>
          </w:p>
        </w:tc>
      </w:tr>
      <w:tr>
        <w:trPr>
          <w:trHeight w:val="431"/>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FOR IMMEDIATE RELEASE</w:t>
            </w:r>
          </w:p>
        </w:tc>
        <w:tc>
          <w:tcPr>
            <w:tcW w:w="5620" w:type="dxa"/>
            <w:vAlign w:val="bottom"/>
          </w:tcPr>
          <w:p>
            <w:pPr>
              <w:spacing w:after="0"/>
              <w:rPr>
                <w:sz w:val="24"/>
                <w:szCs w:val="24"/>
                <w:color w:val="auto"/>
              </w:rPr>
            </w:pPr>
          </w:p>
        </w:tc>
      </w:tr>
      <w:tr>
        <w:trPr>
          <w:trHeight w:val="492"/>
        </w:trPr>
        <w:tc>
          <w:tcPr>
            <w:tcW w:w="5180" w:type="dxa"/>
            <w:vAlign w:val="bottom"/>
          </w:tcPr>
          <w:p>
            <w:pPr>
              <w:spacing w:after="0"/>
              <w:rPr>
                <w:sz w:val="24"/>
                <w:szCs w:val="24"/>
                <w:color w:val="auto"/>
              </w:rPr>
            </w:pPr>
          </w:p>
        </w:tc>
        <w:tc>
          <w:tcPr>
            <w:tcW w:w="5620" w:type="dxa"/>
            <w:vAlign w:val="bottom"/>
          </w:tcPr>
          <w:p>
            <w:pPr>
              <w:jc w:val="right"/>
              <w:spacing w:after="0"/>
              <w:rPr>
                <w:sz w:val="20"/>
                <w:szCs w:val="20"/>
                <w:color w:val="auto"/>
              </w:rPr>
            </w:pPr>
            <w:r>
              <w:rPr>
                <w:rFonts w:ascii="Arial" w:cs="Arial" w:eastAsia="Arial" w:hAnsi="Arial"/>
                <w:sz w:val="18"/>
                <w:szCs w:val="18"/>
                <w:i w:val="1"/>
                <w:iCs w:val="1"/>
                <w:color w:val="auto"/>
              </w:rPr>
              <w:t>Inquiries:</w:t>
            </w:r>
          </w:p>
        </w:tc>
      </w:tr>
      <w:tr>
        <w:trPr>
          <w:trHeight w:val="270"/>
        </w:trPr>
        <w:tc>
          <w:tcPr>
            <w:tcW w:w="5180" w:type="dxa"/>
            <w:vAlign w:val="bottom"/>
          </w:tcPr>
          <w:p>
            <w:pPr>
              <w:spacing w:after="0"/>
              <w:rPr>
                <w:sz w:val="23"/>
                <w:szCs w:val="23"/>
                <w:color w:val="auto"/>
              </w:rPr>
            </w:pPr>
          </w:p>
        </w:tc>
        <w:tc>
          <w:tcPr>
            <w:tcW w:w="5620" w:type="dxa"/>
            <w:vAlign w:val="bottom"/>
          </w:tcPr>
          <w:p>
            <w:pPr>
              <w:jc w:val="right"/>
              <w:spacing w:after="0"/>
              <w:rPr>
                <w:sz w:val="20"/>
                <w:szCs w:val="20"/>
                <w:color w:val="auto"/>
              </w:rPr>
            </w:pPr>
            <w:r>
              <w:rPr>
                <w:rFonts w:ascii="Arial" w:cs="Arial" w:eastAsia="Arial" w:hAnsi="Arial"/>
                <w:sz w:val="18"/>
                <w:szCs w:val="18"/>
                <w:color w:val="auto"/>
              </w:rPr>
              <w:t>Leah Andress Brady</w:t>
            </w:r>
          </w:p>
        </w:tc>
      </w:tr>
      <w:tr>
        <w:trPr>
          <w:trHeight w:val="270"/>
        </w:trPr>
        <w:tc>
          <w:tcPr>
            <w:tcW w:w="5180" w:type="dxa"/>
            <w:vAlign w:val="bottom"/>
          </w:tcPr>
          <w:p>
            <w:pPr>
              <w:spacing w:after="0"/>
              <w:rPr>
                <w:sz w:val="23"/>
                <w:szCs w:val="23"/>
                <w:color w:val="auto"/>
              </w:rPr>
            </w:pPr>
          </w:p>
        </w:tc>
        <w:tc>
          <w:tcPr>
            <w:tcW w:w="5620" w:type="dxa"/>
            <w:vAlign w:val="bottom"/>
          </w:tcPr>
          <w:p>
            <w:pPr>
              <w:jc w:val="right"/>
              <w:spacing w:after="0"/>
              <w:rPr>
                <w:sz w:val="20"/>
                <w:szCs w:val="20"/>
                <w:color w:val="auto"/>
              </w:rPr>
            </w:pPr>
            <w:r>
              <w:rPr>
                <w:rFonts w:ascii="Arial" w:cs="Arial" w:eastAsia="Arial" w:hAnsi="Arial"/>
                <w:sz w:val="18"/>
                <w:szCs w:val="18"/>
                <w:color w:val="auto"/>
              </w:rPr>
              <w:t>Investor Relations Senior Manager</w:t>
            </w:r>
          </w:p>
        </w:tc>
      </w:tr>
      <w:tr>
        <w:trPr>
          <w:trHeight w:val="270"/>
        </w:trPr>
        <w:tc>
          <w:tcPr>
            <w:tcW w:w="5180" w:type="dxa"/>
            <w:vAlign w:val="bottom"/>
          </w:tcPr>
          <w:p>
            <w:pPr>
              <w:spacing w:after="0"/>
              <w:rPr>
                <w:sz w:val="23"/>
                <w:szCs w:val="23"/>
                <w:color w:val="auto"/>
              </w:rPr>
            </w:pPr>
          </w:p>
        </w:tc>
        <w:tc>
          <w:tcPr>
            <w:tcW w:w="5620" w:type="dxa"/>
            <w:vAlign w:val="bottom"/>
          </w:tcPr>
          <w:p>
            <w:pPr>
              <w:jc w:val="right"/>
              <w:spacing w:after="0"/>
              <w:rPr>
                <w:sz w:val="20"/>
                <w:szCs w:val="20"/>
                <w:color w:val="auto"/>
              </w:rPr>
            </w:pPr>
            <w:r>
              <w:rPr>
                <w:rFonts w:ascii="Arial" w:cs="Arial" w:eastAsia="Arial" w:hAnsi="Arial"/>
                <w:sz w:val="18"/>
                <w:szCs w:val="18"/>
                <w:color w:val="auto"/>
              </w:rPr>
              <w:t>301.998.8265</w:t>
            </w:r>
          </w:p>
        </w:tc>
      </w:tr>
      <w:tr>
        <w:trPr>
          <w:trHeight w:val="270"/>
        </w:trPr>
        <w:tc>
          <w:tcPr>
            <w:tcW w:w="5180" w:type="dxa"/>
            <w:vAlign w:val="bottom"/>
          </w:tcPr>
          <w:p>
            <w:pPr>
              <w:spacing w:after="0"/>
              <w:rPr>
                <w:sz w:val="23"/>
                <w:szCs w:val="23"/>
                <w:color w:val="auto"/>
              </w:rPr>
            </w:pPr>
          </w:p>
        </w:tc>
        <w:tc>
          <w:tcPr>
            <w:tcW w:w="5620" w:type="dxa"/>
            <w:vAlign w:val="bottom"/>
          </w:tcPr>
          <w:p>
            <w:pPr>
              <w:jc w:val="right"/>
              <w:spacing w:after="0"/>
              <w:rPr>
                <w:sz w:val="20"/>
                <w:szCs w:val="20"/>
                <w:color w:val="auto"/>
              </w:rPr>
            </w:pPr>
            <w:r>
              <w:rPr>
                <w:rFonts w:ascii="Arial" w:cs="Arial" w:eastAsia="Arial" w:hAnsi="Arial"/>
                <w:sz w:val="18"/>
                <w:szCs w:val="18"/>
                <w:i w:val="1"/>
                <w:iCs w:val="1"/>
                <w:color w:val="auto"/>
              </w:rPr>
              <w:t>lbrady@federalrealty.com</w:t>
            </w: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Announces Third Quarter 2020 Operating Results</w:t>
      </w:r>
    </w:p>
    <w:p>
      <w:pPr>
        <w:spacing w:after="0" w:line="281" w:lineRule="exact"/>
        <w:rPr>
          <w:sz w:val="20"/>
          <w:szCs w:val="20"/>
          <w:color w:val="auto"/>
        </w:rPr>
      </w:pPr>
    </w:p>
    <w:p>
      <w:pPr>
        <w:ind w:right="300"/>
        <w:spacing w:after="0" w:line="401" w:lineRule="auto"/>
        <w:rPr>
          <w:sz w:val="20"/>
          <w:szCs w:val="20"/>
          <w:color w:val="auto"/>
        </w:rPr>
      </w:pPr>
      <w:r>
        <w:rPr>
          <w:rFonts w:ascii="Arial" w:cs="Arial" w:eastAsia="Arial" w:hAnsi="Arial"/>
          <w:sz w:val="18"/>
          <w:szCs w:val="18"/>
          <w:color w:val="auto"/>
        </w:rPr>
        <w:t xml:space="preserve">ROCKVILLE, Md. (November 5, 2020) - </w:t>
      </w:r>
      <w:r>
        <w:rPr>
          <w:rFonts w:ascii="Arial" w:cs="Arial" w:eastAsia="Arial" w:hAnsi="Arial"/>
          <w:sz w:val="18"/>
          <w:szCs w:val="18"/>
          <w:u w:val="single" w:color="auto"/>
          <w:color w:val="auto"/>
        </w:rPr>
        <w:t>Federal Realty Investment Trust</w:t>
      </w:r>
      <w:r>
        <w:rPr>
          <w:rFonts w:ascii="Arial" w:cs="Arial" w:eastAsia="Arial" w:hAnsi="Arial"/>
          <w:sz w:val="18"/>
          <w:szCs w:val="18"/>
          <w:color w:val="auto"/>
        </w:rPr>
        <w:t xml:space="preserve"> (NYSE:FRT) today reported operating results for its third quarter ended September 30, 2020.</w:t>
      </w:r>
    </w:p>
    <w:p>
      <w:pPr>
        <w:spacing w:after="0" w:line="280" w:lineRule="exact"/>
        <w:rPr>
          <w:sz w:val="20"/>
          <w:szCs w:val="20"/>
          <w:color w:val="auto"/>
        </w:rPr>
      </w:pPr>
    </w:p>
    <w:p>
      <w:pPr>
        <w:ind w:right="60"/>
        <w:spacing w:after="0" w:line="380"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262626"/>
        </w:rPr>
        <w:t>Progress in many respects was the theme of the third quarter,” said Donald C. Wood, President and Chief Executive Officer. “Improving rent</w:t>
      </w:r>
      <w:r>
        <w:rPr>
          <w:rFonts w:ascii="Arial" w:cs="Arial" w:eastAsia="Arial" w:hAnsi="Arial"/>
          <w:sz w:val="18"/>
          <w:szCs w:val="18"/>
          <w:color w:val="auto"/>
        </w:rPr>
        <w:t xml:space="preserve"> </w:t>
      </w:r>
      <w:r>
        <w:rPr>
          <w:rFonts w:ascii="Arial" w:cs="Arial" w:eastAsia="Arial" w:hAnsi="Arial"/>
          <w:sz w:val="18"/>
          <w:szCs w:val="18"/>
          <w:color w:val="262626"/>
        </w:rPr>
        <w:t>collections, leasing volumes at pre-COVID levels and improved liquidity through our $400 million green bond offering all point to a bright future on the other side of this</w:t>
      </w:r>
      <w:r>
        <w:rPr>
          <w:rFonts w:ascii="Arial" w:cs="Arial" w:eastAsia="Arial" w:hAnsi="Arial"/>
          <w:sz w:val="18"/>
          <w:szCs w:val="18"/>
          <w:color w:val="000000"/>
        </w:rPr>
        <w: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00" w:lineRule="exact"/>
        <w:rPr>
          <w:sz w:val="20"/>
          <w:szCs w:val="20"/>
          <w:color w:val="auto"/>
        </w:rPr>
      </w:pPr>
    </w:p>
    <w:p>
      <w:pPr>
        <w:ind w:right="240"/>
        <w:spacing w:after="0" w:line="380" w:lineRule="auto"/>
        <w:rPr>
          <w:sz w:val="20"/>
          <w:szCs w:val="20"/>
          <w:color w:val="auto"/>
        </w:rPr>
      </w:pPr>
      <w:r>
        <w:rPr>
          <w:rFonts w:ascii="Arial" w:cs="Arial" w:eastAsia="Arial" w:hAnsi="Arial"/>
          <w:sz w:val="18"/>
          <w:szCs w:val="18"/>
          <w:color w:val="auto"/>
        </w:rPr>
        <w:t>Net (loss) income available for common shareholders was ($30.3) million and earnings per diluted share was ($0.41) for third quarter 2020 which includes the $50.7 million net impairment charge relating to The Shops at Sunset Place. This compares to $63.5 million and $0.84, respectively, for third quarter 2019.</w:t>
      </w:r>
    </w:p>
    <w:p>
      <w:pPr>
        <w:spacing w:after="0" w:line="83" w:lineRule="exact"/>
        <w:rPr>
          <w:sz w:val="20"/>
          <w:szCs w:val="20"/>
          <w:color w:val="auto"/>
        </w:rPr>
      </w:pPr>
    </w:p>
    <w:p>
      <w:pPr>
        <w:jc w:val="both"/>
        <w:spacing w:after="0" w:line="380" w:lineRule="auto"/>
        <w:rPr>
          <w:sz w:val="20"/>
          <w:szCs w:val="20"/>
          <w:color w:val="auto"/>
        </w:rPr>
      </w:pPr>
      <w:r>
        <w:rPr>
          <w:rFonts w:ascii="Arial" w:cs="Arial" w:eastAsia="Arial" w:hAnsi="Arial"/>
          <w:sz w:val="18"/>
          <w:szCs w:val="18"/>
          <w:color w:val="auto"/>
        </w:rPr>
        <w:t>In the third quarter 2020, Federal Realty generated funds from operations available for common shareholders (FFO) of $85.0 million, or $1.12 per diluted share. This compares to FFO of $108.0 million, or $1.43 per diluted share, in the third quarter 2019 which included the $11.9 million charge related to the buyout of the Kmart lease at Assembly.</w:t>
      </w:r>
    </w:p>
    <w:p>
      <w:pPr>
        <w:spacing w:after="0" w:line="83" w:lineRule="exact"/>
        <w:rPr>
          <w:sz w:val="20"/>
          <w:szCs w:val="20"/>
          <w:color w:val="auto"/>
        </w:rPr>
      </w:pPr>
    </w:p>
    <w:p>
      <w:pPr>
        <w:jc w:val="both"/>
        <w:spacing w:after="0" w:line="380" w:lineRule="auto"/>
        <w:rPr>
          <w:sz w:val="20"/>
          <w:szCs w:val="20"/>
          <w:color w:val="auto"/>
        </w:rPr>
      </w:pPr>
      <w:r>
        <w:rPr>
          <w:rFonts w:ascii="Arial" w:cs="Arial" w:eastAsia="Arial" w:hAnsi="Arial"/>
          <w:sz w:val="18"/>
          <w:szCs w:val="18"/>
          <w:color w:val="auto"/>
        </w:rPr>
        <w:t>The year-over-year decreases in net income and FFO were attributable to the impacts of the COVID-19 pandemic with the primary driver being collectibility related adjustment impacts during the third quarter totaling $29.4 million, or $0.39 per share, which included a $1.7 million impact to straight-line rent. The decrease in net income was also driven by The Shops at Sunset Place impairment charge.</w:t>
      </w:r>
    </w:p>
    <w:p>
      <w:pPr>
        <w:spacing w:after="0" w:line="83" w:lineRule="exact"/>
        <w:rPr>
          <w:sz w:val="20"/>
          <w:szCs w:val="20"/>
          <w:color w:val="auto"/>
        </w:rPr>
      </w:pPr>
    </w:p>
    <w:p>
      <w:pPr>
        <w:ind w:right="620"/>
        <w:spacing w:after="0" w:line="40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Portfolio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portfolio was 92.2% leased as of September 30, 2020, and the comparable portfolio was 92.0% leased.</w:t>
      </w:r>
    </w:p>
    <w:p>
      <w:pPr>
        <w:spacing w:after="0" w:line="239" w:lineRule="exact"/>
        <w:rPr>
          <w:sz w:val="20"/>
          <w:szCs w:val="20"/>
          <w:color w:val="auto"/>
        </w:rPr>
      </w:pPr>
    </w:p>
    <w:p>
      <w:pPr>
        <w:jc w:val="both"/>
        <w:spacing w:after="0" w:line="370" w:lineRule="auto"/>
        <w:rPr>
          <w:sz w:val="20"/>
          <w:szCs w:val="20"/>
          <w:color w:val="auto"/>
        </w:rPr>
      </w:pPr>
      <w:r>
        <w:rPr>
          <w:rFonts w:ascii="Arial" w:cs="Arial" w:eastAsia="Arial" w:hAnsi="Arial"/>
          <w:sz w:val="18"/>
          <w:szCs w:val="18"/>
          <w:color w:val="262626"/>
        </w:rPr>
        <w:t>During the third quarter 2020, Federal Realty signed 101 leases for 481,105 square feet of retail space. On a comparable space basis (i.e., spaces for which there was a former tenant), Federal Realty leased 471,726 square feet at an average rent of $37.38 per square foot compared to the average contractual rent of $37.74 per square foot for the last year of the prior leases, representing a cash basis rollover growth on those comparable spaces of -1</w:t>
      </w:r>
      <w:r>
        <w:rPr>
          <w:rFonts w:ascii="Arial" w:cs="Arial" w:eastAsia="Arial" w:hAnsi="Arial"/>
          <w:sz w:val="18"/>
          <w:szCs w:val="18"/>
          <w:color w:val="000000"/>
        </w:rPr>
        <w:t>%, 6% on a straight-line basis. Additionally, Federal Realty signed 13 leases for 63,609 square feet</w:t>
      </w:r>
      <w:r>
        <w:rPr>
          <w:rFonts w:ascii="Arial" w:cs="Arial" w:eastAsia="Arial" w:hAnsi="Arial"/>
          <w:sz w:val="18"/>
          <w:szCs w:val="18"/>
          <w:color w:val="262626"/>
        </w:rPr>
        <w:t xml:space="preserve"> </w:t>
      </w:r>
      <w:r>
        <w:rPr>
          <w:rFonts w:ascii="Arial" w:cs="Arial" w:eastAsia="Arial" w:hAnsi="Arial"/>
          <w:sz w:val="18"/>
          <w:szCs w:val="18"/>
          <w:color w:val="000000"/>
        </w:rPr>
        <w:t>of office space during the third quarter 2020.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Operational Update</w:t>
      </w:r>
    </w:p>
    <w:p>
      <w:pPr>
        <w:spacing w:after="0" w:line="241" w:lineRule="exact"/>
        <w:rPr>
          <w:sz w:val="20"/>
          <w:szCs w:val="20"/>
          <w:color w:val="auto"/>
        </w:rPr>
      </w:pPr>
    </w:p>
    <w:p>
      <w:pPr>
        <w:ind w:right="180"/>
        <w:spacing w:after="0" w:line="380" w:lineRule="auto"/>
        <w:rPr>
          <w:sz w:val="20"/>
          <w:szCs w:val="20"/>
          <w:color w:val="auto"/>
        </w:rPr>
      </w:pPr>
      <w:r>
        <w:rPr>
          <w:rFonts w:ascii="Arial" w:cs="Arial" w:eastAsia="Arial" w:hAnsi="Arial"/>
          <w:sz w:val="18"/>
          <w:szCs w:val="18"/>
          <w:color w:val="auto"/>
        </w:rPr>
        <w:t xml:space="preserve">All 104 properties remain open and operating. </w:t>
      </w:r>
      <w:r>
        <w:rPr>
          <w:rFonts w:ascii="Arial" w:cs="Arial" w:eastAsia="Arial" w:hAnsi="Arial"/>
          <w:sz w:val="18"/>
          <w:szCs w:val="18"/>
          <w:color w:val="262626"/>
        </w:rPr>
        <w:t>Approximately</w:t>
      </w:r>
      <w:r>
        <w:rPr>
          <w:rFonts w:ascii="Arial" w:cs="Arial" w:eastAsia="Arial" w:hAnsi="Arial"/>
          <w:sz w:val="18"/>
          <w:szCs w:val="18"/>
          <w:color w:val="auto"/>
        </w:rPr>
        <w:t xml:space="preserve"> 97% of our retail tenants based on annualized base rent are open and operating as of October 30, 2020. Annualized base rent reflects the aggregate, annualized in-place contractual (defined as rents billed on a cash basis without taking the impact of rent abatements into account) minimum rent for all occupied commercial spaces</w:t>
      </w:r>
      <w:r>
        <w:rPr>
          <w:rFonts w:ascii="Arial" w:cs="Arial" w:eastAsia="Arial" w:hAnsi="Arial"/>
          <w:sz w:val="18"/>
          <w:szCs w:val="18"/>
          <w:color w:val="262626"/>
        </w:rPr>
        <w:t>.</w:t>
      </w:r>
    </w:p>
    <w:p>
      <w:pPr>
        <w:spacing w:after="0" w:line="83" w:lineRule="exact"/>
        <w:rPr>
          <w:sz w:val="20"/>
          <w:szCs w:val="20"/>
          <w:color w:val="auto"/>
        </w:rPr>
      </w:pPr>
    </w:p>
    <w:p>
      <w:pPr>
        <w:spacing w:after="0" w:line="401" w:lineRule="auto"/>
        <w:rPr>
          <w:sz w:val="20"/>
          <w:szCs w:val="20"/>
          <w:color w:val="auto"/>
        </w:rPr>
      </w:pPr>
      <w:r>
        <w:rPr>
          <w:rFonts w:ascii="Arial" w:cs="Arial" w:eastAsia="Arial" w:hAnsi="Arial"/>
          <w:sz w:val="18"/>
          <w:szCs w:val="18"/>
          <w:color w:val="auto"/>
        </w:rPr>
        <w:t>As of October 30, 2020, the Company has collected approximately 85% of total third quarter 2020 billed recurring rents and 85% of October 2020.</w:t>
      </w:r>
    </w:p>
    <w:p>
      <w:pPr>
        <w:spacing w:after="0" w:line="64" w:lineRule="exact"/>
        <w:rPr>
          <w:sz w:val="20"/>
          <w:szCs w:val="20"/>
          <w:color w:val="auto"/>
        </w:rPr>
      </w:pPr>
    </w:p>
    <w:p>
      <w:pPr>
        <w:ind w:right="200"/>
        <w:spacing w:after="0" w:line="380" w:lineRule="auto"/>
        <w:rPr>
          <w:sz w:val="20"/>
          <w:szCs w:val="20"/>
          <w:color w:val="auto"/>
        </w:rPr>
      </w:pPr>
      <w:r>
        <w:rPr>
          <w:rFonts w:ascii="Arial" w:cs="Arial" w:eastAsia="Arial" w:hAnsi="Arial"/>
          <w:sz w:val="18"/>
          <w:szCs w:val="18"/>
          <w:color w:val="auto"/>
        </w:rPr>
        <w:t>With $863 million of cash and cash equivalents as of September 30, 2020, Federal Realty has approximately $1.9 billion of liquidity in cash and undrawn availability under its $1.0 billion revolving credit facility. Additionally, subsequent to quarter end, the Company issued $400.0 million of green bonds</w:t>
      </w:r>
      <w:r>
        <w:rPr>
          <w:rFonts w:ascii="Arial" w:cs="Arial" w:eastAsia="Arial" w:hAnsi="Arial"/>
          <w:sz w:val="18"/>
          <w:szCs w:val="18"/>
          <w:color w:val="262626"/>
        </w:rPr>
        <w:t>.</w:t>
      </w:r>
    </w:p>
    <w:p>
      <w:pPr>
        <w:spacing w:after="0" w:line="83" w:lineRule="exact"/>
        <w:rPr>
          <w:sz w:val="20"/>
          <w:szCs w:val="20"/>
          <w:color w:val="auto"/>
        </w:rPr>
      </w:pPr>
    </w:p>
    <w:p>
      <w:pPr>
        <w:spacing w:after="0" w:line="401" w:lineRule="auto"/>
        <w:rPr>
          <w:sz w:val="20"/>
          <w:szCs w:val="20"/>
          <w:color w:val="auto"/>
        </w:rPr>
      </w:pPr>
      <w:r>
        <w:rPr>
          <w:rFonts w:ascii="Arial" w:cs="Arial" w:eastAsia="Arial" w:hAnsi="Arial"/>
          <w:sz w:val="18"/>
          <w:szCs w:val="18"/>
          <w:color w:val="262626"/>
        </w:rPr>
        <w:t xml:space="preserve">Additional information on the impact of the COVID-19 pandemic on the Company’s business to date is available in a </w:t>
      </w:r>
      <w:r>
        <w:rPr>
          <w:rFonts w:ascii="Arial" w:cs="Arial" w:eastAsia="Arial" w:hAnsi="Arial"/>
          <w:sz w:val="18"/>
          <w:szCs w:val="18"/>
          <w:color w:val="000000"/>
        </w:rPr>
        <w:t>presentation</w:t>
      </w:r>
      <w:r>
        <w:rPr>
          <w:rFonts w:ascii="Arial" w:cs="Arial" w:eastAsia="Arial" w:hAnsi="Arial"/>
          <w:sz w:val="18"/>
          <w:szCs w:val="18"/>
          <w:color w:val="262626"/>
        </w:rPr>
        <w:t xml:space="preserve"> posted on the </w:t>
      </w:r>
      <w:r>
        <w:rPr>
          <w:rFonts w:ascii="Arial" w:cs="Arial" w:eastAsia="Arial" w:hAnsi="Arial"/>
          <w:sz w:val="18"/>
          <w:szCs w:val="18"/>
          <w:color w:val="000000"/>
        </w:rPr>
        <w:t>Investor section of Federal Realty’s website.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Regular Quarterly Dividends</w:t>
      </w:r>
    </w:p>
    <w:p>
      <w:pPr>
        <w:spacing w:after="0" w:line="241" w:lineRule="exact"/>
        <w:rPr>
          <w:sz w:val="20"/>
          <w:szCs w:val="20"/>
          <w:color w:val="auto"/>
        </w:rPr>
      </w:pPr>
    </w:p>
    <w:p>
      <w:pPr>
        <w:jc w:val="both"/>
        <w:ind w:right="360"/>
        <w:spacing w:after="0" w:line="380" w:lineRule="auto"/>
        <w:rPr>
          <w:sz w:val="20"/>
          <w:szCs w:val="20"/>
          <w:color w:val="auto"/>
        </w:rPr>
      </w:pPr>
      <w:r>
        <w:rPr>
          <w:rFonts w:ascii="Arial" w:cs="Arial" w:eastAsia="Arial" w:hAnsi="Arial"/>
          <w:sz w:val="18"/>
          <w:szCs w:val="18"/>
          <w:color w:val="262626"/>
        </w:rPr>
        <w:t xml:space="preserve">Federal Realty announced today that its Board of Trustees </w:t>
      </w:r>
      <w:r>
        <w:rPr>
          <w:rFonts w:ascii="Arial" w:cs="Arial" w:eastAsia="Arial" w:hAnsi="Arial"/>
          <w:sz w:val="18"/>
          <w:szCs w:val="18"/>
          <w:color w:val="000000"/>
        </w:rPr>
        <w:t>declared a regular quarterly cash dividend of $1.06 per share, resulting in an</w:t>
      </w:r>
      <w:r>
        <w:rPr>
          <w:rFonts w:ascii="Arial" w:cs="Arial" w:eastAsia="Arial" w:hAnsi="Arial"/>
          <w:sz w:val="18"/>
          <w:szCs w:val="18"/>
          <w:color w:val="262626"/>
        </w:rPr>
        <w:t xml:space="preserve"> </w:t>
      </w:r>
      <w:r>
        <w:rPr>
          <w:rFonts w:ascii="Arial" w:cs="Arial" w:eastAsia="Arial" w:hAnsi="Arial"/>
          <w:sz w:val="18"/>
          <w:szCs w:val="18"/>
          <w:color w:val="000000"/>
        </w:rPr>
        <w:t>indicated annual rate of $4.24 per share. The regular common dividend will be payable on January 15, 2021, to common shareholders of record as of January 4, 2021.</w:t>
      </w:r>
    </w:p>
    <w:p>
      <w:pPr>
        <w:spacing w:after="0" w:line="83" w:lineRule="exact"/>
        <w:rPr>
          <w:sz w:val="20"/>
          <w:szCs w:val="20"/>
          <w:color w:val="auto"/>
        </w:rPr>
      </w:pPr>
    </w:p>
    <w:p>
      <w:pPr>
        <w:jc w:val="both"/>
        <w:ind w:right="160"/>
        <w:spacing w:after="0" w:line="380" w:lineRule="auto"/>
        <w:rPr>
          <w:sz w:val="20"/>
          <w:szCs w:val="20"/>
          <w:color w:val="auto"/>
        </w:rPr>
      </w:pPr>
      <w:r>
        <w:rPr>
          <w:rFonts w:ascii="Arial" w:cs="Arial" w:eastAsia="Arial" w:hAnsi="Arial"/>
          <w:sz w:val="18"/>
          <w:szCs w:val="18"/>
          <w:color w:val="auto"/>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January 15, 2021, to shareholders of record as of January 4, 2021.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3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Summary of Other Quarterly Activities and Recent Developments</w:t>
      </w:r>
    </w:p>
    <w:p>
      <w:pPr>
        <w:spacing w:after="0" w:line="241" w:lineRule="exact"/>
        <w:rPr>
          <w:sz w:val="20"/>
          <w:szCs w:val="20"/>
          <w:color w:val="auto"/>
        </w:rPr>
      </w:pPr>
    </w:p>
    <w:p>
      <w:pPr>
        <w:jc w:val="both"/>
        <w:ind w:right="360"/>
        <w:spacing w:after="0" w:line="380" w:lineRule="auto"/>
        <w:rPr>
          <w:sz w:val="20"/>
          <w:szCs w:val="20"/>
          <w:color w:val="auto"/>
        </w:rPr>
      </w:pPr>
      <w:r>
        <w:rPr>
          <w:rFonts w:ascii="Arial" w:cs="Arial" w:eastAsia="Arial" w:hAnsi="Arial"/>
          <w:sz w:val="18"/>
          <w:szCs w:val="18"/>
          <w:color w:val="auto"/>
        </w:rPr>
        <w:t>October 13, 2020 - Federal Realty closed on its inaugural issuance of green bonds, $400.0 million aggregate principal amount of 1.250% notes at an effective yield of 1.379%, maturing February 15, 2026. The company intends to allocate an amount equal to the net proceeds from this offering to the financing and refinancing of recently completed and future eligible green projects.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41" w:lineRule="exact"/>
        <w:rPr>
          <w:sz w:val="20"/>
          <w:szCs w:val="20"/>
          <w:color w:val="auto"/>
        </w:rPr>
      </w:pPr>
    </w:p>
    <w:p>
      <w:pPr>
        <w:ind w:right="60"/>
        <w:spacing w:after="0" w:line="368" w:lineRule="auto"/>
        <w:rPr>
          <w:sz w:val="20"/>
          <w:szCs w:val="20"/>
          <w:color w:val="auto"/>
        </w:rPr>
      </w:pPr>
      <w:r>
        <w:rPr>
          <w:rFonts w:ascii="Arial" w:cs="Arial" w:eastAsia="Arial" w:hAnsi="Arial"/>
          <w:sz w:val="18"/>
          <w:szCs w:val="18"/>
          <w:color w:val="262626"/>
        </w:rPr>
        <w:t>Federal Realty’s management team will present an in-depth discussion of Federal Realty’s operating performance on its third quarter 2020 earnings conference call, which is scheduled for Friday, November 6, 2020 at 10:00AM ET. To participate, please call 877.407.9208 five to ten minutes prior to the call start time and use the passcode 13705852 (required). The teleconference can also be accessed via a live webcast at www.federalrealty.com in the Investors section. A replay of the webcast will be available on Federal Realty’s website at www.federalrealty.com. A telephonic replay of the conference call will also be available through November 20, 2020 by dialing 844.512.2921; Passcode: 13705852</w:t>
      </w:r>
      <w:r>
        <w:rPr>
          <w:rFonts w:ascii="Arial" w:cs="Arial" w:eastAsia="Arial" w:hAnsi="Arial"/>
          <w:sz w:val="18"/>
          <w:szCs w:val="18"/>
          <w:color w:val="000000"/>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Federal Realty</w:t>
      </w:r>
    </w:p>
    <w:p>
      <w:pPr>
        <w:spacing w:after="0" w:line="241"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Federal Realty’s mission is to deliver long-term, sustainable growth through investing in densely populated, affluent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104 properties include approximately 2,800 tenants, in 24 million square feet, and approximately 2,800 residential units.</w:t>
      </w:r>
    </w:p>
    <w:p>
      <w:pPr>
        <w:spacing w:after="0" w:line="99" w:lineRule="exact"/>
        <w:rPr>
          <w:sz w:val="20"/>
          <w:szCs w:val="20"/>
          <w:color w:val="auto"/>
        </w:rPr>
      </w:pPr>
    </w:p>
    <w:p>
      <w:pPr>
        <w:ind w:right="120"/>
        <w:spacing w:after="0" w:line="380" w:lineRule="auto"/>
        <w:rPr>
          <w:sz w:val="20"/>
          <w:szCs w:val="20"/>
          <w:color w:val="auto"/>
        </w:rPr>
      </w:pPr>
      <w:r>
        <w:rPr>
          <w:rFonts w:ascii="Arial" w:cs="Arial" w:eastAsia="Arial" w:hAnsi="Arial"/>
          <w:sz w:val="18"/>
          <w:szCs w:val="18"/>
          <w:color w:val="auto"/>
        </w:rPr>
        <w:t>Federal Realty has increased its quarterly dividends to its shareholders for 53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198"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2020 and subsequent quarterly reports on Form 10-Q, and include the following:</w:t>
      </w:r>
    </w:p>
    <w:p>
      <w:pPr>
        <w:spacing w:after="0" w:line="15" w:lineRule="exact"/>
        <w:rPr>
          <w:sz w:val="20"/>
          <w:szCs w:val="20"/>
          <w:color w:val="auto"/>
        </w:rPr>
      </w:pPr>
    </w:p>
    <w:p>
      <w:pPr>
        <w:ind w:left="980" w:right="6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ind w:left="980" w:right="200" w:hanging="324"/>
        <w:spacing w:after="0" w:line="251" w:lineRule="auto"/>
        <w:tabs>
          <w:tab w:leader="none" w:pos="98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ind w:left="980" w:right="360" w:hanging="324"/>
        <w:spacing w:after="0" w:line="252" w:lineRule="auto"/>
        <w:tabs>
          <w:tab w:leader="none" w:pos="98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84" w:right="339" w:bottom="1440" w:gutter="0" w:footer="0" w:header="0"/>
        </w:sectPr>
      </w:pPr>
    </w:p>
    <w:bookmarkStart w:id="8" w:name="page9"/>
    <w:bookmarkEnd w:id="8"/>
    <w:p>
      <w:pPr>
        <w:ind w:left="980" w:hanging="324"/>
        <w:spacing w:after="0" w:line="246" w:lineRule="auto"/>
        <w:tabs>
          <w:tab w:leader="none" w:pos="98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ind w:left="980" w:hanging="324"/>
        <w:spacing w:after="0"/>
        <w:tabs>
          <w:tab w:leader="none" w:pos="98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our growth will be limited if we cannot obtain additional capital;</w:t>
      </w:r>
    </w:p>
    <w:p>
      <w:pPr>
        <w:spacing w:after="0" w:line="1" w:lineRule="exact"/>
        <w:rPr>
          <w:rFonts w:ascii="Arial" w:cs="Arial" w:eastAsia="Arial" w:hAnsi="Arial"/>
          <w:sz w:val="14"/>
          <w:szCs w:val="14"/>
          <w:i w:val="1"/>
          <w:iCs w:val="1"/>
          <w:color w:val="auto"/>
        </w:rPr>
      </w:pPr>
    </w:p>
    <w:p>
      <w:pPr>
        <w:ind w:left="980" w:right="320" w:hanging="324"/>
        <w:spacing w:after="0" w:line="241" w:lineRule="auto"/>
        <w:tabs>
          <w:tab w:leader="none" w:pos="98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980" w:hanging="324"/>
        <w:spacing w:after="0" w:line="241" w:lineRule="auto"/>
        <w:tabs>
          <w:tab w:leader="none" w:pos="98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 w:lineRule="exact"/>
        <w:rPr>
          <w:rFonts w:ascii="Arial" w:cs="Arial" w:eastAsia="Arial" w:hAnsi="Arial"/>
          <w:sz w:val="14"/>
          <w:szCs w:val="14"/>
          <w:i w:val="1"/>
          <w:iCs w:val="1"/>
          <w:color w:val="auto"/>
        </w:rPr>
      </w:pPr>
    </w:p>
    <w:p>
      <w:pPr>
        <w:ind w:left="980" w:right="40" w:hanging="324"/>
        <w:spacing w:after="0" w:line="249" w:lineRule="auto"/>
        <w:tabs>
          <w:tab w:leader="none" w:pos="98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6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10, 2020 and subsequent quarterly reports on Form 10-Q.</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44" w:right="339"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218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75"/>
        </w:trPr>
        <w:tc>
          <w:tcPr>
            <w:tcW w:w="5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5"/>
        </w:trPr>
        <w:tc>
          <w:tcPr>
            <w:tcW w:w="5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Rental income</w:t>
            </w:r>
          </w:p>
        </w:tc>
        <w:tc>
          <w:tcPr>
            <w:tcW w:w="7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207,410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233,212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613,687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694,435</w:t>
            </w:r>
          </w:p>
        </w:tc>
        <w:tc>
          <w:tcPr>
            <w:tcW w:w="0" w:type="dxa"/>
            <w:vAlign w:val="bottom"/>
          </w:tcPr>
          <w:p>
            <w:pPr>
              <w:spacing w:after="0"/>
              <w:rPr>
                <w:sz w:val="1"/>
                <w:szCs w:val="1"/>
                <w:color w:val="auto"/>
              </w:rPr>
            </w:pPr>
          </w:p>
        </w:tc>
      </w:tr>
      <w:tr>
        <w:trPr>
          <w:trHeight w:val="243"/>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Mortgage interest income</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2,294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208,197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233,947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615,981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696,639</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4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Rental expenses</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41,832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54,484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122,561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140,182</w:t>
            </w:r>
          </w:p>
        </w:tc>
        <w:tc>
          <w:tcPr>
            <w:tcW w:w="0" w:type="dxa"/>
            <w:vAlign w:val="bottom"/>
          </w:tcPr>
          <w:p>
            <w:pPr>
              <w:spacing w:after="0"/>
              <w:rPr>
                <w:sz w:val="1"/>
                <w:szCs w:val="1"/>
                <w:color w:val="auto"/>
              </w:rPr>
            </w:pPr>
          </w:p>
        </w:tc>
      </w:tr>
      <w:tr>
        <w:trPr>
          <w:trHeight w:val="243"/>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 estate taxes</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30,520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29,030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90,183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81,883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9,308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29,373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32,047</w:t>
            </w:r>
          </w:p>
        </w:tc>
        <w:tc>
          <w:tcPr>
            <w:tcW w:w="0" w:type="dxa"/>
            <w:vAlign w:val="bottom"/>
          </w:tcPr>
          <w:p>
            <w:pPr>
              <w:spacing w:after="0"/>
              <w:rPr>
                <w:sz w:val="1"/>
                <w:szCs w:val="1"/>
                <w:color w:val="auto"/>
              </w:rPr>
            </w:pPr>
          </w:p>
        </w:tc>
      </w:tr>
      <w:tr>
        <w:trPr>
          <w:trHeight w:val="243"/>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65,631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59,648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190,603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178,327</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147,291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154,222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432,720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432,439</w:t>
            </w:r>
          </w:p>
        </w:tc>
        <w:tc>
          <w:tcPr>
            <w:tcW w:w="0" w:type="dxa"/>
            <w:vAlign w:val="bottom"/>
          </w:tcPr>
          <w:p>
            <w:pPr>
              <w:spacing w:after="0"/>
              <w:rPr>
                <w:sz w:val="1"/>
                <w:szCs w:val="1"/>
                <w:color w:val="auto"/>
              </w:rPr>
            </w:pPr>
          </w:p>
        </w:tc>
      </w:tr>
      <w:tr>
        <w:trPr>
          <w:trHeight w:val="318"/>
        </w:trPr>
        <w:tc>
          <w:tcPr>
            <w:tcW w:w="5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Impairment charge</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sale of real estate, net of tax</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11,682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30,490</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5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94,018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137,725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294,690</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5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INCOME/(EXPENSE)</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interest income</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43"/>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(98,746)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(82,567)</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from partnerships</w:t>
            </w:r>
          </w:p>
        </w:tc>
        <w:tc>
          <w:tcPr>
            <w:tcW w:w="4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4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67,106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33,677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211,576</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4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5,334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3,304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THE TRUST</w:t>
            </w:r>
          </w:p>
        </w:tc>
        <w:tc>
          <w:tcPr>
            <w:tcW w:w="4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65,465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36,981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206,511</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4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0" w:type="dxa"/>
            <w:vAlign w:val="bottom"/>
          </w:tcPr>
          <w:p>
            <w:pPr>
              <w:spacing w:after="0"/>
              <w:rPr>
                <w:sz w:val="1"/>
                <w:szCs w:val="1"/>
                <w:color w:val="auto"/>
              </w:rPr>
            </w:pPr>
          </w:p>
        </w:tc>
      </w:tr>
      <w:tr>
        <w:trPr>
          <w:trHeight w:val="297"/>
        </w:trPr>
        <w:tc>
          <w:tcPr>
            <w:tcW w:w="5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w w:val="99"/>
              </w:rPr>
              <w:t>NET (LOSS) INCOME AVAILABLE FOR COMMON SHAREHOLDERS</w:t>
            </w:r>
          </w:p>
        </w:tc>
        <w:tc>
          <w:tcPr>
            <w:tcW w:w="4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63,455</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30,950</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200,480</w:t>
            </w:r>
          </w:p>
        </w:tc>
        <w:tc>
          <w:tcPr>
            <w:tcW w:w="0" w:type="dxa"/>
            <w:vAlign w:val="bottom"/>
          </w:tcPr>
          <w:p>
            <w:pPr>
              <w:spacing w:after="0"/>
              <w:rPr>
                <w:sz w:val="1"/>
                <w:szCs w:val="1"/>
                <w:color w:val="auto"/>
              </w:rPr>
            </w:pPr>
          </w:p>
        </w:tc>
      </w:tr>
      <w:tr>
        <w:trPr>
          <w:trHeight w:val="311"/>
        </w:trPr>
        <w:tc>
          <w:tcPr>
            <w:tcW w:w="55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COMMON SHARE, BASIC AND DILUTED:</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(loss) income available for common shareholders</w:t>
            </w:r>
          </w:p>
        </w:tc>
        <w:tc>
          <w:tcPr>
            <w:tcW w:w="7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4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75,404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74,832</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75,386</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74,584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54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1" w:right="339"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5"/>
        </w:trPr>
        <w:tc>
          <w:tcPr>
            <w:tcW w:w="86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49"/>
        </w:trPr>
        <w:tc>
          <w:tcPr>
            <w:tcW w:w="8660" w:type="dxa"/>
            <w:vAlign w:val="bottom"/>
          </w:tcPr>
          <w:p>
            <w:pPr>
              <w:spacing w:after="0"/>
              <w:rPr>
                <w:sz w:val="12"/>
                <w:szCs w:val="12"/>
                <w:color w:val="auto"/>
              </w:rPr>
            </w:pPr>
          </w:p>
        </w:tc>
        <w:tc>
          <w:tcPr>
            <w:tcW w:w="2580" w:type="dxa"/>
            <w:vAlign w:val="bottom"/>
            <w:gridSpan w:val="5"/>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c>
          <w:tcPr>
            <w:tcW w:w="0" w:type="dxa"/>
            <w:vAlign w:val="bottom"/>
          </w:tcPr>
          <w:p>
            <w:pPr>
              <w:spacing w:after="0"/>
              <w:rPr>
                <w:sz w:val="1"/>
                <w:szCs w:val="1"/>
                <w:color w:val="auto"/>
              </w:rPr>
            </w:pPr>
          </w:p>
        </w:tc>
      </w:tr>
      <w:tr>
        <w:trPr>
          <w:trHeight w:val="190"/>
        </w:trPr>
        <w:tc>
          <w:tcPr>
            <w:tcW w:w="8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data)</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 estate, at cost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(including $1,709,234 and $1,676,866 of consolidated variable interest entities, respectively)</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7,817,819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7,535,983</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Construction-in-progress (including $81,463 and $102,583 of consolidated variable interest entities,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769,668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760,420</w:t>
            </w:r>
          </w:p>
        </w:tc>
        <w:tc>
          <w:tcPr>
            <w:tcW w:w="0" w:type="dxa"/>
            <w:vAlign w:val="bottom"/>
          </w:tcPr>
          <w:p>
            <w:pPr>
              <w:spacing w:after="0"/>
              <w:rPr>
                <w:sz w:val="1"/>
                <w:szCs w:val="1"/>
                <w:color w:val="auto"/>
              </w:rPr>
            </w:pPr>
          </w:p>
        </w:tc>
      </w:tr>
      <w:tr>
        <w:trPr>
          <w:trHeight w:val="243"/>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Assets held for sale</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8,587,487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8,298,132</w:t>
            </w:r>
          </w:p>
        </w:tc>
        <w:tc>
          <w:tcPr>
            <w:tcW w:w="0" w:type="dxa"/>
            <w:vAlign w:val="bottom"/>
          </w:tcPr>
          <w:p>
            <w:pPr>
              <w:spacing w:after="0"/>
              <w:rPr>
                <w:sz w:val="1"/>
                <w:szCs w:val="1"/>
                <w:color w:val="auto"/>
              </w:rPr>
            </w:pPr>
          </w:p>
        </w:tc>
      </w:tr>
      <w:tr>
        <w:trPr>
          <w:trHeight w:val="225"/>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Less accumulated depreciation and amortization (including $314,866 and $296,165 of consolidated variable</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(2,339,664)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(2,215,413)</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6,247,823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6,082,719</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863,279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127,432</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164,882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152,572</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39,905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30,429</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28,604</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92,837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93,774</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Finance lease right of use assets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51,437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52,402</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229,037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227,060</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7,711,293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6,794,992</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6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Mortgages payable, net (including $474,775 and $469,184 of consolidated variable interest entities,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549,445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545,679</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Notes payable,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402,580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3,781</w:t>
            </w:r>
          </w:p>
        </w:tc>
        <w:tc>
          <w:tcPr>
            <w:tcW w:w="0" w:type="dxa"/>
            <w:vAlign w:val="bottom"/>
          </w:tcPr>
          <w:p>
            <w:pPr>
              <w:spacing w:after="0"/>
              <w:rPr>
                <w:sz w:val="1"/>
                <w:szCs w:val="1"/>
                <w:color w:val="auto"/>
              </w:rPr>
            </w:pPr>
          </w:p>
        </w:tc>
      </w:tr>
      <w:tr>
        <w:trPr>
          <w:trHeight w:val="243"/>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3,508,824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2,807,134</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276,396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255,503</w:t>
            </w:r>
          </w:p>
        </w:tc>
        <w:tc>
          <w:tcPr>
            <w:tcW w:w="0" w:type="dxa"/>
            <w:vAlign w:val="bottom"/>
          </w:tcPr>
          <w:p>
            <w:pPr>
              <w:spacing w:after="0"/>
              <w:rPr>
                <w:sz w:val="1"/>
                <w:szCs w:val="1"/>
                <w:color w:val="auto"/>
              </w:rPr>
            </w:pPr>
          </w:p>
        </w:tc>
      </w:tr>
      <w:tr>
        <w:trPr>
          <w:trHeight w:val="243"/>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82,688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81,676</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19,693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21,701</w:t>
            </w:r>
          </w:p>
        </w:tc>
        <w:tc>
          <w:tcPr>
            <w:tcW w:w="0" w:type="dxa"/>
            <w:vAlign w:val="bottom"/>
          </w:tcPr>
          <w:p>
            <w:pPr>
              <w:spacing w:after="0"/>
              <w:rPr>
                <w:sz w:val="1"/>
                <w:szCs w:val="1"/>
                <w:color w:val="auto"/>
              </w:rPr>
            </w:pPr>
          </w:p>
        </w:tc>
      </w:tr>
      <w:tr>
        <w:trPr>
          <w:trHeight w:val="243"/>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72,921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73,628</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72,052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72,062</w:t>
            </w:r>
          </w:p>
        </w:tc>
        <w:tc>
          <w:tcPr>
            <w:tcW w:w="0" w:type="dxa"/>
            <w:vAlign w:val="bottom"/>
          </w:tcPr>
          <w:p>
            <w:pPr>
              <w:spacing w:after="0"/>
              <w:rPr>
                <w:sz w:val="1"/>
                <w:szCs w:val="1"/>
                <w:color w:val="auto"/>
              </w:rPr>
            </w:pPr>
          </w:p>
        </w:tc>
      </w:tr>
      <w:tr>
        <w:trPr>
          <w:trHeight w:val="243"/>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148,889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157,938</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5,133,488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4,019,102</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159,721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139,758</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Preferred shares, authorized 15,000,000 shares, $.01 par:</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6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5.0% Series C Cumulative Redeemable Preferred Shares, (stated at liquidation preference $25,000 per</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share), 6,000 shares issued and outstanding</w:t>
            </w: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6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5.417% Series 1 Cumulative Convertible Preferred Shares, (stated at liquidation preference $25 per share),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6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399,896 shares issued and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9,997</w:t>
            </w:r>
          </w:p>
        </w:tc>
        <w:tc>
          <w:tcPr>
            <w:tcW w:w="0" w:type="dxa"/>
            <w:vAlign w:val="bottom"/>
          </w:tcPr>
          <w:p>
            <w:pPr>
              <w:spacing w:after="0"/>
              <w:rPr>
                <w:sz w:val="1"/>
                <w:szCs w:val="1"/>
                <w:color w:val="auto"/>
              </w:rPr>
            </w:pPr>
          </w:p>
        </w:tc>
      </w:tr>
      <w:tr>
        <w:trPr>
          <w:trHeight w:val="225"/>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Common shares of beneficial interest, $.01 par, 100,000,000 shares authorized, 75,641,074 and 75,540,804</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3,174,066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3,166,522</w:t>
            </w:r>
          </w:p>
        </w:tc>
        <w:tc>
          <w:tcPr>
            <w:tcW w:w="0" w:type="dxa"/>
            <w:vAlign w:val="bottom"/>
          </w:tcPr>
          <w:p>
            <w:pPr>
              <w:spacing w:after="0"/>
              <w:rPr>
                <w:sz w:val="1"/>
                <w:szCs w:val="1"/>
                <w:color w:val="auto"/>
              </w:rPr>
            </w:pPr>
          </w:p>
        </w:tc>
      </w:tr>
      <w:tr>
        <w:trPr>
          <w:trHeight w:val="243"/>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(999,664)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(791,124)</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36"/>
        </w:trPr>
        <w:tc>
          <w:tcPr>
            <w:tcW w:w="8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2,327,859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2,535,341</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90,225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100,791</w:t>
            </w:r>
          </w:p>
        </w:tc>
        <w:tc>
          <w:tcPr>
            <w:tcW w:w="0" w:type="dxa"/>
            <w:vAlign w:val="bottom"/>
          </w:tcPr>
          <w:p>
            <w:pPr>
              <w:spacing w:after="0"/>
              <w:rPr>
                <w:sz w:val="1"/>
                <w:szCs w:val="1"/>
                <w:color w:val="auto"/>
              </w:rPr>
            </w:pPr>
          </w:p>
        </w:tc>
      </w:tr>
      <w:tr>
        <w:trPr>
          <w:trHeight w:val="236"/>
        </w:trPr>
        <w:tc>
          <w:tcPr>
            <w:tcW w:w="8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2,418,084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2,636,132</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7,711,293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6,794,992</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711" w:right="339" w:bottom="389"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711" w:right="339" w:bottom="389"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Funds From Operations / Other Supplemental Information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238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75"/>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23"/>
                <w:szCs w:val="2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50"/>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5"/>
        </w:trPr>
        <w:tc>
          <w:tcPr>
            <w:tcW w:w="20" w:type="dxa"/>
            <w:vAlign w:val="bottom"/>
            <w:shd w:val="clear" w:color="auto" w:fill="CCEEFF"/>
          </w:tcPr>
          <w:p>
            <w:pPr>
              <w:spacing w:after="0"/>
              <w:rPr>
                <w:sz w:val="22"/>
                <w:szCs w:val="22"/>
                <w:color w:val="auto"/>
              </w:rPr>
            </w:pPr>
          </w:p>
        </w:tc>
        <w:tc>
          <w:tcPr>
            <w:tcW w:w="5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Funds from Operations available for common shareholders (FFO) (1) (2)</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52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4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rPr>
              <w:t>(33,623)</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tcPr>
          <w:p>
            <w:pPr>
              <w:jc w:val="right"/>
              <w:ind w:right="111"/>
              <w:spacing w:after="0"/>
              <w:rPr>
                <w:sz w:val="20"/>
                <w:szCs w:val="20"/>
                <w:color w:val="auto"/>
              </w:rPr>
            </w:pPr>
            <w:r>
              <w:rPr>
                <w:rFonts w:ascii="Times New Roman" w:cs="Times New Roman" w:eastAsia="Times New Roman" w:hAnsi="Times New Roman"/>
                <w:sz w:val="18"/>
                <w:szCs w:val="18"/>
                <w:color w:val="auto"/>
              </w:rPr>
              <w:t>67,106</w:t>
            </w: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tcPr>
          <w:p>
            <w:pPr>
              <w:jc w:val="right"/>
              <w:ind w:right="92"/>
              <w:spacing w:after="0"/>
              <w:rPr>
                <w:sz w:val="20"/>
                <w:szCs w:val="20"/>
                <w:color w:val="auto"/>
              </w:rPr>
            </w:pPr>
            <w:r>
              <w:rPr>
                <w:rFonts w:ascii="Times New Roman" w:cs="Times New Roman" w:eastAsia="Times New Roman" w:hAnsi="Times New Roman"/>
                <w:sz w:val="18"/>
                <w:szCs w:val="18"/>
                <w:color w:val="auto"/>
              </w:rPr>
              <w:t>33,677</w:t>
            </w:r>
          </w:p>
        </w:tc>
        <w:tc>
          <w:tcPr>
            <w:tcW w:w="1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tcPr>
          <w:p>
            <w:pPr>
              <w:jc w:val="right"/>
              <w:ind w:right="91"/>
              <w:spacing w:after="0"/>
              <w:rPr>
                <w:sz w:val="20"/>
                <w:szCs w:val="20"/>
                <w:color w:val="auto"/>
              </w:rPr>
            </w:pPr>
            <w:r>
              <w:rPr>
                <w:rFonts w:ascii="Times New Roman" w:cs="Times New Roman" w:eastAsia="Times New Roman" w:hAnsi="Times New Roman"/>
                <w:sz w:val="18"/>
                <w:szCs w:val="18"/>
                <w:color w:val="auto"/>
              </w:rPr>
              <w:t>211,576</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5,334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3,304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(5,065)</w:t>
            </w:r>
          </w:p>
        </w:tc>
      </w:tr>
      <w:tr>
        <w:trPr>
          <w:trHeight w:val="243"/>
        </w:trPr>
        <w:tc>
          <w:tcPr>
            <w:tcW w:w="5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Gain on sale of real estate, net of tax</w:t>
            </w:r>
          </w:p>
        </w:tc>
        <w:tc>
          <w:tcPr>
            <w:tcW w:w="30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(14,293)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(11,682)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(30,490)</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 net (3)</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50,728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50,728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30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58,224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53,441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170,878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160,253</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7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5,853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4,878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15,562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14,165</w:t>
            </w:r>
          </w:p>
        </w:tc>
      </w:tr>
      <w:tr>
        <w:trPr>
          <w:trHeight w:val="237"/>
        </w:trPr>
        <w:tc>
          <w:tcPr>
            <w:tcW w:w="20" w:type="dxa"/>
            <w:vAlign w:val="bottom"/>
          </w:tcPr>
          <w:p>
            <w:pPr>
              <w:spacing w:after="0"/>
              <w:rPr>
                <w:sz w:val="20"/>
                <w:szCs w:val="20"/>
                <w:color w:val="auto"/>
              </w:rPr>
            </w:pPr>
          </w:p>
        </w:tc>
        <w:tc>
          <w:tcPr>
            <w:tcW w:w="568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Funds from operations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86,516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109,491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262,467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350,439</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on preferred shares (4)</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(5,625)</w:t>
            </w:r>
          </w:p>
        </w:tc>
      </w:tr>
      <w:tr>
        <w:trPr>
          <w:trHeight w:val="243"/>
        </w:trPr>
        <w:tc>
          <w:tcPr>
            <w:tcW w:w="5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Income attributable to operating partnership units</w:t>
            </w:r>
          </w:p>
        </w:tc>
        <w:tc>
          <w:tcPr>
            <w:tcW w:w="30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2,048</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7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(1,004)</w:t>
            </w:r>
          </w:p>
        </w:tc>
      </w:tr>
      <w:tr>
        <w:trPr>
          <w:trHeight w:val="297"/>
        </w:trPr>
        <w:tc>
          <w:tcPr>
            <w:tcW w:w="20" w:type="dxa"/>
            <w:vAlign w:val="bottom"/>
            <w:tcBorders>
              <w:bottom w:val="single" w:sz="8" w:color="CCEEFF"/>
            </w:tcBorders>
          </w:tcPr>
          <w:p>
            <w:pPr>
              <w:spacing w:after="0"/>
              <w:rPr>
                <w:sz w:val="24"/>
                <w:szCs w:val="24"/>
                <w:color w:val="auto"/>
              </w:rPr>
            </w:pPr>
          </w:p>
        </w:tc>
        <w:tc>
          <w:tcPr>
            <w:tcW w:w="5680" w:type="dxa"/>
            <w:vAlign w:val="bottom"/>
            <w:tcBorders>
              <w:bottom w:val="single" w:sz="8" w:color="CCEEFF"/>
            </w:tcBorders>
            <w:gridSpan w:val="5"/>
          </w:tcPr>
          <w:p>
            <w:pPr>
              <w:ind w:left="360"/>
              <w:spacing w:after="0"/>
              <w:rPr>
                <w:sz w:val="20"/>
                <w:szCs w:val="20"/>
                <w:color w:val="auto"/>
              </w:rPr>
            </w:pPr>
            <w:r>
              <w:rPr>
                <w:rFonts w:ascii="Times New Roman" w:cs="Times New Roman" w:eastAsia="Times New Roman" w:hAnsi="Times New Roman"/>
                <w:sz w:val="18"/>
                <w:szCs w:val="18"/>
                <w:color w:val="auto"/>
              </w:rPr>
              <w:t>FFO (5)</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85,031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107,960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257,992</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345,858</w:t>
            </w:r>
          </w:p>
        </w:tc>
      </w:tr>
      <w:tr>
        <w:trPr>
          <w:trHeight w:val="251"/>
        </w:trPr>
        <w:tc>
          <w:tcPr>
            <w:tcW w:w="57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diluted (4)</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76,149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75,554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76,133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75,342</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90"/>
        </w:trPr>
        <w:tc>
          <w:tcPr>
            <w:tcW w:w="570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8"/>
                <w:szCs w:val="18"/>
                <w:color w:val="auto"/>
              </w:rPr>
              <w:t>FFO per diluted share (5)</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4.59</w:t>
            </w:r>
          </w:p>
        </w:tc>
      </w:tr>
      <w:tr>
        <w:trPr>
          <w:trHeight w:val="203"/>
        </w:trPr>
        <w:tc>
          <w:tcPr>
            <w:tcW w:w="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5700" w:type="dxa"/>
            <w:vAlign w:val="bottom"/>
            <w:gridSpan w:val="6"/>
          </w:tcPr>
          <w:p>
            <w:pPr>
              <w:ind w:left="20"/>
              <w:spacing w:after="0" w:line="202" w:lineRule="exact"/>
              <w:rPr>
                <w:sz w:val="20"/>
                <w:szCs w:val="20"/>
                <w:color w:val="auto"/>
              </w:rPr>
            </w:pPr>
            <w:r>
              <w:rPr>
                <w:rFonts w:ascii="Times New Roman" w:cs="Times New Roman" w:eastAsia="Times New Roman" w:hAnsi="Times New Roman"/>
                <w:sz w:val="18"/>
                <w:szCs w:val="18"/>
                <w:color w:val="auto"/>
              </w:rPr>
              <w:t>Summary of Capital Expenditures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50"/>
        </w:trPr>
        <w:tc>
          <w:tcPr>
            <w:tcW w:w="57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Non-maintenance 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8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Development, redevelopment and expansions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110,478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125,794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317,796</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272,049</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680" w:type="dxa"/>
            <w:vAlign w:val="bottom"/>
            <w:tcBorders>
              <w:bottom w:val="single" w:sz="8" w:color="CCEEFF"/>
            </w:tcBorders>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Tenant improvements and incentives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15,013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14,746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37,662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40,221</w:t>
            </w:r>
          </w:p>
        </w:tc>
      </w:tr>
      <w:tr>
        <w:trPr>
          <w:trHeight w:val="237"/>
        </w:trPr>
        <w:tc>
          <w:tcPr>
            <w:tcW w:w="5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Total non-maintenance capital expenditures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125,491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140,540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355,458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312,270</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680" w:type="dxa"/>
            <w:vAlign w:val="bottom"/>
            <w:tcBorders>
              <w:bottom w:val="single" w:sz="8" w:color="CCEEFF"/>
            </w:tcBorders>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6,226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8,773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11,101</w:t>
            </w:r>
          </w:p>
        </w:tc>
      </w:tr>
      <w:tr>
        <w:trPr>
          <w:trHeight w:val="297"/>
        </w:trPr>
        <w:tc>
          <w:tcPr>
            <w:tcW w:w="570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128,249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146,766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364,231</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323,371</w:t>
            </w:r>
          </w:p>
        </w:tc>
      </w:tr>
      <w:tr>
        <w:trPr>
          <w:trHeight w:val="203"/>
        </w:trPr>
        <w:tc>
          <w:tcPr>
            <w:tcW w:w="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5700" w:type="dxa"/>
            <w:vAlign w:val="bottom"/>
            <w:gridSpan w:val="6"/>
          </w:tcPr>
          <w:p>
            <w:pPr>
              <w:ind w:left="20"/>
              <w:spacing w:after="0" w:line="202" w:lineRule="exact"/>
              <w:rPr>
                <w:sz w:val="20"/>
                <w:szCs w:val="20"/>
                <w:color w:val="auto"/>
              </w:rPr>
            </w:pPr>
            <w:r>
              <w:rPr>
                <w:rFonts w:ascii="Times New Roman" w:cs="Times New Roman" w:eastAsia="Times New Roman" w:hAnsi="Times New Roman"/>
                <w:sz w:val="18"/>
                <w:szCs w:val="18"/>
                <w:color w:val="auto"/>
              </w:rPr>
              <w:t>Dividends and Payout Ratios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1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50"/>
        </w:trPr>
        <w:tc>
          <w:tcPr>
            <w:tcW w:w="57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Regular common dividends declared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80,170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79,102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238,980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231,657</w:t>
            </w:r>
          </w:p>
        </w:tc>
      </w:tr>
      <w:tr>
        <w:trPr>
          <w:trHeight w:val="243"/>
        </w:trPr>
        <w:tc>
          <w:tcPr>
            <w:tcW w:w="5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Dividend payout ratio as a percentage of FFO</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3"/>
        </w:trPr>
        <w:tc>
          <w:tcPr>
            <w:tcW w:w="5700" w:type="dxa"/>
            <w:vAlign w:val="bottom"/>
            <w:gridSpan w:val="6"/>
          </w:tcPr>
          <w:p>
            <w:pPr>
              <w:ind w:left="20"/>
              <w:spacing w:after="0" w:line="202" w:lineRule="exact"/>
              <w:rPr>
                <w:sz w:val="20"/>
                <w:szCs w:val="20"/>
                <w:color w:val="auto"/>
              </w:rPr>
            </w:pPr>
            <w:r>
              <w:rPr>
                <w:rFonts w:ascii="Times New Roman" w:cs="Times New Roman" w:eastAsia="Times New Roman" w:hAnsi="Times New Roman"/>
                <w:sz w:val="18"/>
                <w:szCs w:val="18"/>
                <w:color w:val="auto"/>
              </w:rPr>
              <w:t>Noncontrolling Interests Supplemental Information (2)</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50"/>
        </w:trPr>
        <w:tc>
          <w:tcPr>
            <w:tcW w:w="57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7,134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9,191</w:t>
            </w:r>
          </w:p>
        </w:tc>
      </w:tr>
      <w:tr>
        <w:trPr>
          <w:trHeight w:val="243"/>
        </w:trPr>
        <w:tc>
          <w:tcPr>
            <w:tcW w:w="5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Impairment charge</w:t>
            </w: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(6,490)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(6,490)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(4,477)</w:t>
            </w:r>
          </w:p>
        </w:tc>
      </w:tr>
      <w:tr>
        <w:trPr>
          <w:trHeight w:val="243"/>
        </w:trPr>
        <w:tc>
          <w:tcPr>
            <w:tcW w:w="5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(1,697)</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57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(5,666)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3,017</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23"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components of "net loss (income) attributable to noncontrolling interests," but excludes "income attributable to operating partnership units."</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Impairment charge relates to The Shops at Sunset Place. Amount is net of the allocation to noncontrolling interests. See page 20 for further discussion.</w:t>
      </w:r>
    </w:p>
    <w:p>
      <w:pPr>
        <w:spacing w:after="0" w:line="5" w:lineRule="exact"/>
        <w:rPr>
          <w:rFonts w:ascii="Times New Roman" w:cs="Times New Roman" w:eastAsia="Times New Roman" w:hAnsi="Times New Roman"/>
          <w:sz w:val="16"/>
          <w:szCs w:val="16"/>
          <w:color w:val="auto"/>
        </w:rPr>
      </w:pPr>
    </w:p>
    <w:p>
      <w:pPr>
        <w:ind w:left="660" w:right="440" w:hanging="652"/>
        <w:spacing w:after="0" w:line="246"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nine months ended September 30, 2019, dividends on our Series 1 preferred stock were not deducted in the calculation of FFO available to common shareholders, as the related shares were dilutive and included in "weighted average common shares, diluted."</w:t>
      </w:r>
    </w:p>
    <w:p>
      <w:pPr>
        <w:ind w:left="660" w:right="40" w:hanging="652"/>
        <w:spacing w:after="0" w:line="251"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Funds from operations available for common shareholders for the three and nine months ended September 30, 2019 includes an $11.9 million charge related to the buyout of the Kmart lease at Assembly Row Marketplace. If this charge was excluded, our FFO, FFO per diluted share, and dividend payout ratio as a percentage of FFO for those periods would have been: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5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75"/>
        </w:trPr>
        <w:tc>
          <w:tcPr>
            <w:tcW w:w="76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gridSpan w:val="3"/>
          </w:tcPr>
          <w:p>
            <w:pPr>
              <w:jc w:val="right"/>
              <w:ind w:right="1081"/>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50"/>
        </w:trPr>
        <w:tc>
          <w:tcPr>
            <w:tcW w:w="7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0" w:type="dxa"/>
            <w:vAlign w:val="bottom"/>
            <w:gridSpan w:val="3"/>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55"/>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FFO</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119,837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357,735</w:t>
            </w:r>
          </w:p>
        </w:tc>
      </w:tr>
      <w:tr>
        <w:trPr>
          <w:trHeight w:val="237"/>
        </w:trPr>
        <w:tc>
          <w:tcPr>
            <w:tcW w:w="7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FFO per diluted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1.59</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4.75</w:t>
            </w:r>
          </w:p>
        </w:tc>
      </w:tr>
      <w:tr>
        <w:trPr>
          <w:trHeight w:val="33"/>
        </w:trPr>
        <w:tc>
          <w:tcPr>
            <w:tcW w:w="7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7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 payout ratio as a percentage of FFO</w:t>
            </w: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66%</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33"/>
        </w:trPr>
        <w:tc>
          <w:tcPr>
            <w:tcW w:w="7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ectPr>
          <w:pgSz w:w="11900" w:h="16838" w:orient="portrait"/>
          <w:cols w:equalWidth="0" w:num="1">
            <w:col w:w="11240"/>
          </w:cols>
          <w:pgMar w:left="320" w:top="927" w:right="339" w:bottom="511"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927" w:right="339" w:bottom="511" w:gutter="0" w:footer="0" w:header="0"/>
          <w:type w:val="continuous"/>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COVID-19 Related Impacts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5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The following provides supplemental information regarding our collectibility related impacts resulting from COVID-19 for the three months ended September 30, 2020. The primary drivers of our collectibility impacts in the quarter are from tenants who we account for on a cash basis or converted to a cash basis of accounting during the quarter, as we did not receive full contractual rent payments, as well as COVID-19 related rent abatements. We change a tenant to a cash basis of accounting when we determine collection of substantially all lease payments during the lease term is not considered probable; revenue is then limited to the lesser of revenue recognized under accrual accounting or cash received. Our full revenue recognition policy with respect to leases can be found in Note 2 of our September 30, 2020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12529"/>
        </w:rPr>
        <w:t>Collectibility Impacts for the Quarter Ended September 30, 2020</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300" w:type="dxa"/>
            <w:vAlign w:val="bottom"/>
          </w:tcPr>
          <w:p>
            <w:pPr>
              <w:spacing w:after="0"/>
              <w:rPr>
                <w:sz w:val="17"/>
                <w:szCs w:val="17"/>
                <w:color w:val="auto"/>
              </w:rPr>
            </w:pPr>
          </w:p>
        </w:tc>
        <w:tc>
          <w:tcPr>
            <w:tcW w:w="16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Accounts Receivable</w:t>
            </w: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Straight-Line Rent</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2"/>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Type</w:t>
            </w:r>
          </w:p>
        </w:tc>
        <w:tc>
          <w:tcPr>
            <w:tcW w:w="32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Impact</w:t>
            </w: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Receivable Impact</w:t>
            </w:r>
          </w:p>
        </w:tc>
        <w:tc>
          <w:tcPr>
            <w:tcW w:w="340" w:type="dxa"/>
            <w:vAlign w:val="bottom"/>
          </w:tcPr>
          <w:p>
            <w:pPr>
              <w:spacing w:after="0"/>
              <w:rPr>
                <w:sz w:val="18"/>
                <w:szCs w:val="18"/>
                <w:color w:val="auto"/>
              </w:rPr>
            </w:pPr>
          </w:p>
        </w:tc>
        <w:tc>
          <w:tcPr>
            <w:tcW w:w="1220" w:type="dxa"/>
            <w:vAlign w:val="bottom"/>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6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Tenants recognized on a cash basis prior to Q3 2020 (1)</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16,342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16,342</w:t>
            </w:r>
          </w:p>
        </w:tc>
      </w:tr>
      <w:tr>
        <w:trPr>
          <w:trHeight w:val="208"/>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our collectibility assumptions in Q3 2020 and COVID-19 related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disputes/abatements (2)</w:t>
            </w:r>
          </w:p>
        </w:tc>
        <w:tc>
          <w:tcPr>
            <w:tcW w:w="32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11,308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1,731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13,039</w:t>
            </w:r>
          </w:p>
        </w:tc>
      </w:tr>
      <w:tr>
        <w:trPr>
          <w:trHeight w:val="29"/>
        </w:trPr>
        <w:tc>
          <w:tcPr>
            <w:tcW w:w="6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collectibility impact</w:t>
            </w: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27,650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1,731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29,381</w:t>
            </w:r>
          </w:p>
        </w:tc>
      </w:tr>
      <w:tr>
        <w:trPr>
          <w:trHeight w:val="29"/>
        </w:trPr>
        <w:tc>
          <w:tcPr>
            <w:tcW w:w="6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61" w:lineRule="exact"/>
        <w:rPr>
          <w:sz w:val="20"/>
          <w:szCs w:val="20"/>
          <w:color w:val="auto"/>
        </w:rPr>
      </w:pPr>
    </w:p>
    <w:p>
      <w:pPr>
        <w:ind w:left="720" w:hanging="678"/>
        <w:spacing w:after="0"/>
        <w:tabs>
          <w:tab w:leader="none" w:pos="7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80% of this impact is from restaurants, fitness, and entertainment tenants.</w:t>
      </w:r>
    </w:p>
    <w:p>
      <w:pPr>
        <w:spacing w:after="0" w:line="61" w:lineRule="exact"/>
        <w:rPr>
          <w:rFonts w:ascii="Times New Roman" w:cs="Times New Roman" w:eastAsia="Times New Roman" w:hAnsi="Times New Roman"/>
          <w:sz w:val="17"/>
          <w:szCs w:val="17"/>
          <w:color w:val="auto"/>
        </w:rPr>
      </w:pPr>
    </w:p>
    <w:p>
      <w:pPr>
        <w:ind w:left="720" w:right="60" w:hanging="678"/>
        <w:spacing w:after="0" w:line="265" w:lineRule="auto"/>
        <w:tabs>
          <w:tab w:leader="none" w:pos="7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balance reflects rent abatements granted as a result of COVID-19, as well as changes in assumptions of collectibility primarily due to the impacts of COVID-19. Approximately 50% of the impact is due to tenants where we do not believe it is probable we will collect the remaining contractual lease payments and/or tenants that have filed for bankruptcy during Q3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Information on Cash Basis Tenants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6"/>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As of September 30, 2020</w:t>
            </w: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7"/>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 Recognized on a</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Cash Basis</w:t>
            </w:r>
          </w:p>
        </w:tc>
        <w:tc>
          <w:tcPr>
            <w:tcW w:w="20" w:type="dxa"/>
            <w:vAlign w:val="bottom"/>
          </w:tcPr>
          <w:p>
            <w:pPr>
              <w:spacing w:after="0"/>
              <w:rPr>
                <w:sz w:val="18"/>
                <w:szCs w:val="18"/>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Active commercial tenant leases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34%</w:t>
            </w:r>
          </w:p>
        </w:tc>
        <w:tc>
          <w:tcPr>
            <w:tcW w:w="20" w:type="dxa"/>
            <w:vAlign w:val="bottom"/>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Annualized base rent from commercial tenants (in millions) (3)</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tcPr>
          <w:p>
            <w:pPr>
              <w:spacing w:after="0"/>
              <w:rPr>
                <w:sz w:val="20"/>
                <w:szCs w:val="20"/>
                <w:color w:val="auto"/>
              </w:rPr>
            </w:pPr>
          </w:p>
        </w:tc>
      </w:tr>
      <w:tr>
        <w:trPr>
          <w:trHeight w:val="392"/>
        </w:trPr>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Components of Accounts Receivable, net</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 June 30, 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As of March 31, 2020</w:t>
            </w: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Billed accounts receivable, net</w:t>
            </w: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26,706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37,149</w:t>
            </w:r>
          </w:p>
        </w:tc>
        <w:tc>
          <w:tcPr>
            <w:tcW w:w="3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11,774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1"/>
        </w:trPr>
        <w:tc>
          <w:tcPr>
            <w:tcW w:w="2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Straight-line rent receivable, net</w:t>
            </w:r>
          </w:p>
        </w:tc>
        <w:tc>
          <w:tcPr>
            <w:tcW w:w="36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102,867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100,673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104,440</w:t>
            </w:r>
          </w:p>
        </w:tc>
        <w:tc>
          <w:tcPr>
            <w:tcW w:w="20" w:type="dxa"/>
            <w:vAlign w:val="bottom"/>
          </w:tcPr>
          <w:p>
            <w:pPr>
              <w:spacing w:after="0"/>
              <w:rPr>
                <w:sz w:val="20"/>
                <w:szCs w:val="20"/>
                <w:color w:val="auto"/>
              </w:rPr>
            </w:pPr>
          </w:p>
        </w:tc>
      </w:tr>
      <w:tr>
        <w:trPr>
          <w:trHeight w:val="29"/>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receivables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35,309</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29,819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37,029</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21"/>
        </w:trPr>
        <w:tc>
          <w:tcPr>
            <w:tcW w:w="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accounts receivable, net</w:t>
            </w:r>
          </w:p>
        </w:tc>
        <w:tc>
          <w:tcPr>
            <w:tcW w:w="36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164,882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167,641</w:t>
            </w:r>
          </w:p>
        </w:tc>
        <w:tc>
          <w:tcPr>
            <w:tcW w:w="100" w:type="dxa"/>
            <w:vAlign w:val="bottom"/>
            <w:tcBorders>
              <w:top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153,243</w:t>
            </w:r>
          </w:p>
        </w:tc>
        <w:tc>
          <w:tcPr>
            <w:tcW w:w="20" w:type="dxa"/>
            <w:vAlign w:val="bottom"/>
            <w:tcBorders>
              <w:top w:val="single" w:sz="8" w:color="auto"/>
            </w:tcBorders>
          </w:tcPr>
          <w:p>
            <w:pPr>
              <w:spacing w:after="0"/>
              <w:rPr>
                <w:sz w:val="19"/>
                <w:szCs w:val="19"/>
                <w:color w:val="auto"/>
              </w:rPr>
            </w:pPr>
          </w:p>
        </w:tc>
      </w:tr>
      <w:tr>
        <w:trPr>
          <w:trHeight w:val="392"/>
        </w:trPr>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Rent Deferrals and Rent Abatements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7"/>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Contractual rent deferred (in millions) (4)</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1"/>
        </w:trPr>
        <w:tc>
          <w:tcPr>
            <w:tcW w:w="2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 of deferred rent agreed to be repaid by December 31, 2021</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20" w:type="dxa"/>
            <w:vAlign w:val="bottom"/>
          </w:tcPr>
          <w:p>
            <w:pPr>
              <w:spacing w:after="0"/>
              <w:rPr>
                <w:sz w:val="20"/>
                <w:szCs w:val="20"/>
                <w:color w:val="auto"/>
              </w:rPr>
            </w:pPr>
          </w:p>
        </w:tc>
      </w:tr>
      <w:tr>
        <w:trPr>
          <w:trHeight w:val="29"/>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1"/>
        </w:trPr>
        <w:tc>
          <w:tcPr>
            <w:tcW w:w="20" w:type="dxa"/>
            <w:vAlign w:val="bottom"/>
            <w:shd w:val="clear" w:color="auto" w:fill="CCEEFF"/>
          </w:tcPr>
          <w:p>
            <w:pPr>
              <w:spacing w:after="0"/>
              <w:rPr>
                <w:sz w:val="20"/>
                <w:szCs w:val="20"/>
                <w:color w:val="auto"/>
              </w:rPr>
            </w:pP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Contractual rent abated (in millions) (5)</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shd w:val="clear" w:color="auto" w:fill="CCEEFF"/>
          </w:tcPr>
          <w:p>
            <w:pPr>
              <w:spacing w:after="0"/>
              <w:rPr>
                <w:sz w:val="20"/>
                <w:szCs w:val="20"/>
                <w:color w:val="auto"/>
              </w:rPr>
            </w:pPr>
          </w:p>
        </w:tc>
      </w:tr>
      <w:tr>
        <w:trPr>
          <w:trHeight w:val="29"/>
        </w:trPr>
        <w:tc>
          <w:tcPr>
            <w:tcW w:w="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61" w:lineRule="exact"/>
        <w:rPr>
          <w:sz w:val="20"/>
          <w:szCs w:val="20"/>
          <w:color w:val="auto"/>
        </w:rPr>
      </w:pPr>
    </w:p>
    <w:p>
      <w:pPr>
        <w:ind w:left="720" w:hanging="685"/>
        <w:spacing w:after="0"/>
        <w:tabs>
          <w:tab w:leader="none" w:pos="7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Glossary of Terms.</w:t>
      </w:r>
    </w:p>
    <w:p>
      <w:pPr>
        <w:spacing w:after="0" w:line="61" w:lineRule="exact"/>
        <w:rPr>
          <w:rFonts w:ascii="Times New Roman" w:cs="Times New Roman" w:eastAsia="Times New Roman" w:hAnsi="Times New Roman"/>
          <w:sz w:val="17"/>
          <w:szCs w:val="17"/>
          <w:color w:val="auto"/>
        </w:rPr>
      </w:pPr>
    </w:p>
    <w:p>
      <w:pPr>
        <w:ind w:left="720" w:right="140" w:hanging="685"/>
        <w:spacing w:after="0" w:line="265" w:lineRule="auto"/>
        <w:tabs>
          <w:tab w:leader="none" w:pos="7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contractual rent for April through September 2020 that has been deferred pursuant to modification agreements signed through October 30, 2020. Accrual basis tenants comprise approximately 64% of the deferred rent for the nine months ended September 30, 2020 for executed agreements in place as of October 30, 2020.</w:t>
      </w:r>
    </w:p>
    <w:p>
      <w:pPr>
        <w:spacing w:after="0" w:line="13" w:lineRule="exact"/>
        <w:rPr>
          <w:rFonts w:ascii="Times New Roman" w:cs="Times New Roman" w:eastAsia="Times New Roman" w:hAnsi="Times New Roman"/>
          <w:sz w:val="17"/>
          <w:szCs w:val="17"/>
          <w:color w:val="auto"/>
        </w:rPr>
      </w:pPr>
    </w:p>
    <w:p>
      <w:pPr>
        <w:ind w:left="720" w:hanging="685"/>
        <w:spacing w:after="0"/>
        <w:tabs>
          <w:tab w:leader="none" w:pos="7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contractual rent for April through September 2020 that has been abated pursuant to modification agreements signed through October 30, 2020.</w:t>
      </w:r>
    </w:p>
    <w:p>
      <w:pPr>
        <w:sectPr>
          <w:pgSz w:w="11900" w:h="16838" w:orient="portrait"/>
          <w:cols w:equalWidth="0" w:num="1">
            <w:col w:w="11240"/>
          </w:cols>
          <w:pgMar w:left="320" w:top="711" w:right="339" w:bottom="1440" w:gutter="0" w:footer="0" w:header="0"/>
        </w:sect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711" w:right="339" w:bottom="1440" w:gutter="0" w:footer="0" w:header="0"/>
          <w:type w:val="continuous"/>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Components of Rental Income (1)</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6"/>
                <w:szCs w:val="16"/>
                <w:color w:val="auto"/>
              </w:rPr>
            </w:pPr>
          </w:p>
        </w:tc>
      </w:tr>
      <w:tr>
        <w:trPr>
          <w:trHeight w:val="275"/>
        </w:trPr>
        <w:tc>
          <w:tcPr>
            <w:tcW w:w="50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23"/>
                <w:szCs w:val="23"/>
                <w:color w:val="auto"/>
              </w:rPr>
            </w:pPr>
          </w:p>
        </w:tc>
      </w:tr>
      <w:tr>
        <w:trPr>
          <w:trHeight w:val="263"/>
        </w:trPr>
        <w:tc>
          <w:tcPr>
            <w:tcW w:w="5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45"/>
        </w:trPr>
        <w:tc>
          <w:tcPr>
            <w:tcW w:w="5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Minimum rents (2)</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158,560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158,275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468,939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471,403</w:t>
            </w:r>
          </w:p>
        </w:tc>
      </w:tr>
      <w:tr>
        <w:trPr>
          <w:trHeight w:val="243"/>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20,134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19,864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61,124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58,601</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reimbursements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44,253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44,026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129,838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128,585</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Percentage rents</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6,681</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10,616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9,833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26,242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32,448</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Collectibility related impact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(76,465)</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rental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207,410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233,212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613,687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694,435</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61" w:lineRule="exact"/>
        <w:rPr>
          <w:sz w:val="20"/>
          <w:szCs w:val="20"/>
          <w:color w:val="auto"/>
        </w:rPr>
      </w:pPr>
    </w:p>
    <w:p>
      <w:pPr>
        <w:ind w:left="660" w:right="260" w:hanging="652"/>
        <w:spacing w:after="0" w:line="265"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spacing w:after="0" w:line="13" w:lineRule="exact"/>
        <w:rPr>
          <w:rFonts w:ascii="Times New Roman" w:cs="Times New Roman" w:eastAsia="Times New Roman" w:hAnsi="Times New Roman"/>
          <w:sz w:val="17"/>
          <w:szCs w:val="17"/>
          <w:color w:val="auto"/>
        </w:rPr>
      </w:pPr>
    </w:p>
    <w:p>
      <w:pPr>
        <w:ind w:left="660" w:right="60" w:hanging="652"/>
        <w:spacing w:after="0" w:line="281"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rent for the three and nine months ended September 30, 2020 includes a $1.7 million and $11.2 million charge, respectively, for the write-off of straight-line receivables related to the impacts of the COVID-19 pandemic (See discussion on page 10). In total, minimum rents include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80" w:type="dxa"/>
            <w:vAlign w:val="bottom"/>
            <w:gridSpan w:val="2"/>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60" w:type="dxa"/>
            <w:vAlign w:val="bottom"/>
          </w:tcPr>
          <w:p>
            <w:pPr>
              <w:spacing w:after="0"/>
              <w:rPr>
                <w:sz w:val="16"/>
                <w:szCs w:val="16"/>
                <w:color w:val="auto"/>
              </w:rPr>
            </w:pPr>
          </w:p>
        </w:tc>
      </w:tr>
      <w:tr>
        <w:trPr>
          <w:trHeight w:val="275"/>
        </w:trPr>
        <w:tc>
          <w:tcPr>
            <w:tcW w:w="5200" w:type="dxa"/>
            <w:vAlign w:val="bottom"/>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2"/>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23"/>
                <w:szCs w:val="23"/>
                <w:color w:val="auto"/>
              </w:rPr>
            </w:pPr>
          </w:p>
        </w:tc>
      </w:tr>
      <w:tr>
        <w:trPr>
          <w:trHeight w:val="264"/>
        </w:trPr>
        <w:tc>
          <w:tcPr>
            <w:tcW w:w="520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r>
      <w:tr>
        <w:trPr>
          <w:trHeight w:val="245"/>
        </w:trPr>
        <w:tc>
          <w:tcPr>
            <w:tcW w:w="5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2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537"/>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Straight-line rents</w:t>
            </w:r>
          </w:p>
        </w:tc>
        <w:tc>
          <w:tcPr>
            <w:tcW w:w="86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2.3</w:t>
            </w:r>
          </w:p>
        </w:tc>
        <w:tc>
          <w:tcPr>
            <w:tcW w:w="10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5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in-place leases</w:t>
            </w:r>
          </w:p>
        </w:tc>
        <w:tc>
          <w:tcPr>
            <w:tcW w:w="860" w:type="dxa"/>
            <w:vAlign w:val="bottom"/>
            <w:tcBorders>
              <w:bottom w:val="single" w:sz="8" w:color="CCEEFF"/>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r>
      <w:tr>
        <w:trPr>
          <w:trHeight w:val="689"/>
        </w:trPr>
        <w:tc>
          <w:tcPr>
            <w:tcW w:w="5200" w:type="dxa"/>
            <w:vAlign w:val="bottom"/>
          </w:tcPr>
          <w:p>
            <w:pPr>
              <w:spacing w:after="0"/>
              <w:rPr>
                <w:sz w:val="24"/>
                <w:szCs w:val="24"/>
                <w:color w:val="auto"/>
              </w:rPr>
            </w:pP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11</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240"/>
          </w:cols>
          <w:pgMar w:left="320" w:top="711" w:right="339"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Comparable Property Information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07" w:lineRule="exact"/>
        <w:rPr>
          <w:sz w:val="20"/>
          <w:szCs w:val="20"/>
          <w:color w:val="auto"/>
        </w:rPr>
      </w:pPr>
    </w:p>
    <w:p>
      <w:pPr>
        <w:ind w:left="40" w:right="40"/>
        <w:spacing w:after="0" w:line="269" w:lineRule="auto"/>
        <w:rPr>
          <w:sz w:val="20"/>
          <w:szCs w:val="20"/>
          <w:color w:val="auto"/>
        </w:rPr>
      </w:pPr>
      <w:r>
        <w:rPr>
          <w:rFonts w:ascii="Times New Roman" w:cs="Times New Roman" w:eastAsia="Times New Roman" w:hAnsi="Times New Roman"/>
          <w:sz w:val="16"/>
          <w:szCs w:val="16"/>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Q3 include: Assembly Row - Phase 2 Retail and Phase 3, Cocowalk, Darien, Pike &amp; Rose Phase 2 Retail and Phase 3, The Shops at Sunset Place, 700 Santana Row, Freedom Plaza, a portion of Graham Park Plaza, and all properties acquired or disposed of from Q3 2019 to Q3 2020. Additionally, in Q3 2019, the $11.9 million charge related to the buyout of the Kmart lease at Assembly Square Marketplace is excluded from Comparable Property property operating income ("Comparable Property POI"). Comparable Property POI is a non-GAAP measure used by management in evaluating the operating performance of our properties period over period. However, given the impacts of COVID-19, management believes this metric is less relevant in the current environment, and is not necessarily indicative of our results.</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Reconciliation of GAAP operating income to Comparable Property POI</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4"/>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20" w:type="dxa"/>
            <w:vAlign w:val="bottom"/>
          </w:tcPr>
          <w:p>
            <w:pPr>
              <w:spacing w:after="0"/>
              <w:rPr>
                <w:sz w:val="16"/>
                <w:szCs w:val="16"/>
                <w:color w:val="auto"/>
              </w:rPr>
            </w:pPr>
          </w:p>
        </w:tc>
      </w:tr>
      <w:tr>
        <w:trPr>
          <w:trHeight w:val="275"/>
        </w:trPr>
        <w:tc>
          <w:tcPr>
            <w:tcW w:w="40" w:type="dxa"/>
            <w:vAlign w:val="bottom"/>
          </w:tcPr>
          <w:p>
            <w:pPr>
              <w:spacing w:after="0"/>
              <w:rPr>
                <w:sz w:val="23"/>
                <w:szCs w:val="23"/>
                <w:color w:val="auto"/>
              </w:rPr>
            </w:pPr>
          </w:p>
        </w:tc>
        <w:tc>
          <w:tcPr>
            <w:tcW w:w="75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23"/>
                <w:szCs w:val="23"/>
                <w:color w:val="auto"/>
              </w:rPr>
            </w:pPr>
          </w:p>
        </w:tc>
        <w:tc>
          <w:tcPr>
            <w:tcW w:w="1220" w:type="dxa"/>
            <w:vAlign w:val="bottom"/>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75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shd w:val="clear" w:color="auto" w:fill="CCEEFF"/>
              </w:rPr>
              <w:t>Operating income</w:t>
            </w: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3,688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94,018</w:t>
            </w:r>
          </w:p>
        </w:tc>
        <w:tc>
          <w:tcPr>
            <w:tcW w:w="1220" w:type="dxa"/>
            <w:vAlign w:val="bottom"/>
            <w:tcBorders>
              <w:bottom w:val="single" w:sz="8" w:color="CCEEFF"/>
            </w:tcBorders>
            <w:shd w:val="clear" w:color="auto" w:fill="CCEEFF"/>
          </w:tcPr>
          <w:p>
            <w:pPr>
              <w:spacing w:after="0"/>
              <w:rPr>
                <w:sz w:val="22"/>
                <w:szCs w:val="22"/>
                <w:color w:val="auto"/>
              </w:rPr>
            </w:pPr>
          </w:p>
        </w:tc>
      </w:tr>
      <w:tr>
        <w:trPr>
          <w:trHeight w:val="241"/>
        </w:trPr>
        <w:tc>
          <w:tcPr>
            <w:tcW w:w="40" w:type="dxa"/>
            <w:vAlign w:val="bottom"/>
          </w:tcPr>
          <w:p>
            <w:pPr>
              <w:spacing w:after="0"/>
              <w:rPr>
                <w:sz w:val="20"/>
                <w:szCs w:val="20"/>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7"/>
                <w:szCs w:val="17"/>
                <w:color w:val="auto"/>
              </w:rPr>
              <w:t>Add:</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9"/>
        </w:trPr>
        <w:tc>
          <w:tcPr>
            <w:tcW w:w="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shd w:val="clear" w:color="auto" w:fill="CCEEFF"/>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65,631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59,648</w:t>
            </w:r>
          </w:p>
        </w:tc>
        <w:tc>
          <w:tcPr>
            <w:tcW w:w="1220" w:type="dxa"/>
            <w:vAlign w:val="bottom"/>
            <w:tcBorders>
              <w:bottom w:val="single" w:sz="8" w:color="CCEEFF"/>
            </w:tcBorders>
            <w:shd w:val="clear" w:color="auto" w:fill="CCEEFF"/>
          </w:tcPr>
          <w:p>
            <w:pPr>
              <w:spacing w:after="0"/>
              <w:rPr>
                <w:sz w:val="21"/>
                <w:szCs w:val="21"/>
                <w:color w:val="auto"/>
              </w:rPr>
            </w:pPr>
          </w:p>
        </w:tc>
      </w:tr>
      <w:tr>
        <w:trPr>
          <w:trHeight w:val="241"/>
        </w:trPr>
        <w:tc>
          <w:tcPr>
            <w:tcW w:w="40" w:type="dxa"/>
            <w:vAlign w:val="bottom"/>
          </w:tcPr>
          <w:p>
            <w:pPr>
              <w:spacing w:after="0"/>
              <w:rPr>
                <w:sz w:val="20"/>
                <w:szCs w:val="20"/>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8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rPr>
              <w:t>9,308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11,060</w:t>
            </w:r>
          </w:p>
        </w:tc>
        <w:tc>
          <w:tcPr>
            <w:tcW w:w="1220" w:type="dxa"/>
            <w:vAlign w:val="bottom"/>
          </w:tcPr>
          <w:p>
            <w:pPr>
              <w:spacing w:after="0"/>
              <w:rPr>
                <w:sz w:val="20"/>
                <w:szCs w:val="20"/>
                <w:color w:val="auto"/>
              </w:rPr>
            </w:pPr>
          </w:p>
        </w:tc>
      </w:tr>
      <w:tr>
        <w:trPr>
          <w:trHeight w:val="29"/>
        </w:trPr>
        <w:tc>
          <w:tcPr>
            <w:tcW w:w="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shd w:val="clear" w:color="auto" w:fill="CCEEFF"/>
              </w:rPr>
              <w:t>Impairment charge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57,218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shd w:val="clear" w:color="auto" w:fill="CCEEFF"/>
          </w:tcPr>
          <w:p>
            <w:pPr>
              <w:spacing w:after="0"/>
              <w:rPr>
                <w:sz w:val="21"/>
                <w:szCs w:val="21"/>
                <w:color w:val="auto"/>
              </w:rPr>
            </w:pPr>
          </w:p>
        </w:tc>
      </w:tr>
      <w:tr>
        <w:trPr>
          <w:trHeight w:val="241"/>
        </w:trPr>
        <w:tc>
          <w:tcPr>
            <w:tcW w:w="40" w:type="dxa"/>
            <w:vAlign w:val="bottom"/>
          </w:tcPr>
          <w:p>
            <w:pPr>
              <w:spacing w:after="0"/>
              <w:rPr>
                <w:sz w:val="20"/>
                <w:szCs w:val="20"/>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7"/>
                <w:szCs w:val="17"/>
                <w:color w:val="auto"/>
              </w:rPr>
              <w:t>Gain on sale of real estate, net of tax</w:t>
            </w:r>
          </w:p>
        </w:tc>
        <w:tc>
          <w:tcPr>
            <w:tcW w:w="28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0"/>
                <w:szCs w:val="20"/>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(14,293)</w:t>
            </w:r>
          </w:p>
        </w:tc>
        <w:tc>
          <w:tcPr>
            <w:tcW w:w="1220" w:type="dxa"/>
            <w:vAlign w:val="bottom"/>
          </w:tcPr>
          <w:p>
            <w:pPr>
              <w:spacing w:after="0"/>
              <w:rPr>
                <w:sz w:val="20"/>
                <w:szCs w:val="20"/>
                <w:color w:val="auto"/>
              </w:rPr>
            </w:pPr>
          </w:p>
        </w:tc>
      </w:tr>
      <w:tr>
        <w:trPr>
          <w:trHeight w:val="29"/>
        </w:trPr>
        <w:tc>
          <w:tcPr>
            <w:tcW w:w="40" w:type="dxa"/>
            <w:vAlign w:val="bottom"/>
            <w:tcBorders>
              <w:bottom w:val="single" w:sz="8" w:color="CCEEFF"/>
            </w:tcBorders>
          </w:tcPr>
          <w:p>
            <w:pPr>
              <w:spacing w:after="0"/>
              <w:rPr>
                <w:sz w:val="2"/>
                <w:szCs w:val="2"/>
                <w:color w:val="auto"/>
              </w:rPr>
            </w:pPr>
          </w:p>
        </w:tc>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operating income (POI)</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135,845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150,433</w:t>
            </w:r>
          </w:p>
        </w:tc>
        <w:tc>
          <w:tcPr>
            <w:tcW w:w="1220" w:type="dxa"/>
            <w:vAlign w:val="bottom"/>
            <w:tcBorders>
              <w:bottom w:val="single" w:sz="8" w:color="CCEEFF"/>
            </w:tcBorders>
            <w:shd w:val="clear" w:color="auto" w:fill="CCEEFF"/>
          </w:tcPr>
          <w:p>
            <w:pPr>
              <w:spacing w:after="0"/>
              <w:rPr>
                <w:sz w:val="20"/>
                <w:szCs w:val="20"/>
                <w:color w:val="auto"/>
              </w:rPr>
            </w:pPr>
          </w:p>
        </w:tc>
      </w:tr>
      <w:tr>
        <w:trPr>
          <w:trHeight w:val="241"/>
        </w:trPr>
        <w:tc>
          <w:tcPr>
            <w:tcW w:w="40" w:type="dxa"/>
            <w:vAlign w:val="bottom"/>
          </w:tcPr>
          <w:p>
            <w:pPr>
              <w:spacing w:after="0"/>
              <w:rPr>
                <w:sz w:val="20"/>
                <w:szCs w:val="20"/>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7"/>
                <w:szCs w:val="17"/>
                <w:color w:val="auto"/>
              </w:rPr>
              <w:t>Less: Non-comparable POI - acquisitions/dispositions</w:t>
            </w:r>
          </w:p>
        </w:tc>
        <w:tc>
          <w:tcPr>
            <w:tcW w:w="2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(3,335)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(1,895)</w:t>
            </w:r>
          </w:p>
        </w:tc>
        <w:tc>
          <w:tcPr>
            <w:tcW w:w="1220" w:type="dxa"/>
            <w:vAlign w:val="bottom"/>
          </w:tcPr>
          <w:p>
            <w:pPr>
              <w:spacing w:after="0"/>
              <w:rPr>
                <w:sz w:val="20"/>
                <w:szCs w:val="20"/>
                <w:color w:val="auto"/>
              </w:rPr>
            </w:pPr>
          </w:p>
        </w:tc>
      </w:tr>
      <w:tr>
        <w:trPr>
          <w:trHeight w:val="29"/>
        </w:trPr>
        <w:tc>
          <w:tcPr>
            <w:tcW w:w="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Non-comparable POI - redevelopment, development &amp; 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(5,865)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6,022</w:t>
            </w:r>
          </w:p>
        </w:tc>
        <w:tc>
          <w:tcPr>
            <w:tcW w:w="1220" w:type="dxa"/>
            <w:vAlign w:val="bottom"/>
            <w:tcBorders>
              <w:bottom w:val="single" w:sz="8" w:color="CCEEFF"/>
            </w:tcBorders>
            <w:shd w:val="clear" w:color="auto" w:fill="CCEEFF"/>
          </w:tcPr>
          <w:p>
            <w:pPr>
              <w:spacing w:after="0"/>
              <w:rPr>
                <w:sz w:val="23"/>
                <w:szCs w:val="23"/>
                <w:color w:val="auto"/>
              </w:rPr>
            </w:pPr>
          </w:p>
        </w:tc>
      </w:tr>
      <w:tr>
        <w:trPr>
          <w:trHeight w:val="221"/>
        </w:trPr>
        <w:tc>
          <w:tcPr>
            <w:tcW w:w="4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7"/>
                <w:szCs w:val="17"/>
                <w:color w:val="auto"/>
              </w:rPr>
              <w:t>Comparable property POI</w:t>
            </w:r>
          </w:p>
        </w:tc>
        <w:tc>
          <w:tcPr>
            <w:tcW w:w="28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7"/>
                <w:szCs w:val="17"/>
                <w:color w:val="auto"/>
              </w:rPr>
              <w:t>126,645</w:t>
            </w:r>
          </w:p>
        </w:tc>
        <w:tc>
          <w:tcPr>
            <w:tcW w:w="120" w:type="dxa"/>
            <w:vAlign w:val="bottom"/>
          </w:tcPr>
          <w:p>
            <w:pPr>
              <w:spacing w:after="0"/>
              <w:rPr>
                <w:sz w:val="19"/>
                <w:szCs w:val="19"/>
                <w:color w:val="auto"/>
              </w:rPr>
            </w:pPr>
          </w:p>
        </w:tc>
        <w:tc>
          <w:tcPr>
            <w:tcW w:w="4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154,560</w:t>
            </w:r>
          </w:p>
        </w:tc>
        <w:tc>
          <w:tcPr>
            <w:tcW w:w="1220" w:type="dxa"/>
            <w:vAlign w:val="bottom"/>
          </w:tcPr>
          <w:p>
            <w:pPr>
              <w:spacing w:after="0"/>
              <w:rPr>
                <w:sz w:val="19"/>
                <w:szCs w:val="19"/>
                <w:color w:val="auto"/>
              </w:rPr>
            </w:pPr>
          </w:p>
        </w:tc>
      </w:tr>
      <w:tr>
        <w:trPr>
          <w:trHeight w:val="378"/>
        </w:trPr>
        <w:tc>
          <w:tcPr>
            <w:tcW w:w="40" w:type="dxa"/>
            <w:vAlign w:val="bottom"/>
          </w:tcPr>
          <w:p>
            <w:pPr>
              <w:spacing w:after="0"/>
              <w:rPr>
                <w:sz w:val="24"/>
                <w:szCs w:val="24"/>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Additional information regarding the components of Comparable Property POI</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9"/>
        </w:trPr>
        <w:tc>
          <w:tcPr>
            <w:tcW w:w="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4"/>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20" w:type="dxa"/>
            <w:vAlign w:val="bottom"/>
          </w:tcPr>
          <w:p>
            <w:pPr>
              <w:spacing w:after="0"/>
              <w:rPr>
                <w:sz w:val="24"/>
                <w:szCs w:val="24"/>
                <w:color w:val="auto"/>
              </w:rPr>
            </w:pPr>
          </w:p>
        </w:tc>
      </w:tr>
      <w:tr>
        <w:trPr>
          <w:trHeight w:val="275"/>
        </w:trPr>
        <w:tc>
          <w:tcPr>
            <w:tcW w:w="40" w:type="dxa"/>
            <w:vAlign w:val="bottom"/>
          </w:tcPr>
          <w:p>
            <w:pPr>
              <w:spacing w:after="0"/>
              <w:rPr>
                <w:sz w:val="23"/>
                <w:szCs w:val="23"/>
                <w:color w:val="auto"/>
              </w:rPr>
            </w:pPr>
          </w:p>
        </w:tc>
        <w:tc>
          <w:tcPr>
            <w:tcW w:w="75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23"/>
                <w:szCs w:val="23"/>
                <w:color w:val="auto"/>
              </w:rPr>
            </w:pPr>
          </w:p>
        </w:tc>
        <w:tc>
          <w:tcPr>
            <w:tcW w:w="1220" w:type="dxa"/>
            <w:vAlign w:val="bottom"/>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75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40" w:type="dxa"/>
            <w:vAlign w:val="bottom"/>
          </w:tcPr>
          <w:p>
            <w:pPr>
              <w:spacing w:after="0"/>
              <w:rPr>
                <w:sz w:val="22"/>
                <w:szCs w:val="22"/>
                <w:color w:val="auto"/>
              </w:rPr>
            </w:pPr>
          </w:p>
        </w:tc>
        <w:tc>
          <w:tcPr>
            <w:tcW w:w="7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shd w:val="clear" w:color="auto" w:fill="CCEEFF"/>
              </w:rPr>
              <w:t>Rental income</w:t>
            </w: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190,964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221,038</w:t>
            </w:r>
          </w:p>
        </w:tc>
        <w:tc>
          <w:tcPr>
            <w:tcW w:w="1220" w:type="dxa"/>
            <w:vAlign w:val="bottom"/>
            <w:tcBorders>
              <w:bottom w:val="single" w:sz="8" w:color="CCEEFF"/>
            </w:tcBorders>
            <w:shd w:val="clear" w:color="auto" w:fill="CCEEFF"/>
          </w:tcPr>
          <w:p>
            <w:pPr>
              <w:spacing w:after="0"/>
              <w:rPr>
                <w:sz w:val="22"/>
                <w:szCs w:val="22"/>
                <w:color w:val="auto"/>
              </w:rPr>
            </w:pPr>
          </w:p>
        </w:tc>
      </w:tr>
      <w:tr>
        <w:trPr>
          <w:trHeight w:val="175"/>
        </w:trPr>
        <w:tc>
          <w:tcPr>
            <w:tcW w:w="4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shd w:val="clear" w:color="auto" w:fill="CCEEFF"/>
              </w:rPr>
              <w:t>Rental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(36,784)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(39,002)</w:t>
            </w:r>
          </w:p>
        </w:tc>
        <w:tc>
          <w:tcPr>
            <w:tcW w:w="1220" w:type="dxa"/>
            <w:vAlign w:val="bottom"/>
            <w:tcBorders>
              <w:bottom w:val="single" w:sz="8" w:color="CCEEFF"/>
            </w:tcBorders>
            <w:shd w:val="clear" w:color="auto" w:fill="CCEEFF"/>
          </w:tcPr>
          <w:p>
            <w:pPr>
              <w:spacing w:after="0"/>
              <w:rPr>
                <w:sz w:val="21"/>
                <w:szCs w:val="21"/>
                <w:color w:val="auto"/>
              </w:rPr>
            </w:pPr>
          </w:p>
        </w:tc>
      </w:tr>
      <w:tr>
        <w:trPr>
          <w:trHeight w:val="241"/>
        </w:trPr>
        <w:tc>
          <w:tcPr>
            <w:tcW w:w="40" w:type="dxa"/>
            <w:vAlign w:val="bottom"/>
          </w:tcPr>
          <w:p>
            <w:pPr>
              <w:spacing w:after="0"/>
              <w:rPr>
                <w:sz w:val="20"/>
                <w:szCs w:val="20"/>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7"/>
                <w:szCs w:val="17"/>
                <w:color w:val="auto"/>
              </w:rPr>
              <w:t>Real estate taxes</w:t>
            </w:r>
          </w:p>
        </w:tc>
        <w:tc>
          <w:tcPr>
            <w:tcW w:w="2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(27,535)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(27,476)</w:t>
            </w:r>
          </w:p>
        </w:tc>
        <w:tc>
          <w:tcPr>
            <w:tcW w:w="1220" w:type="dxa"/>
            <w:vAlign w:val="bottom"/>
          </w:tcPr>
          <w:p>
            <w:pPr>
              <w:spacing w:after="0"/>
              <w:rPr>
                <w:sz w:val="20"/>
                <w:szCs w:val="20"/>
                <w:color w:val="auto"/>
              </w:rPr>
            </w:pPr>
          </w:p>
        </w:tc>
      </w:tr>
      <w:tr>
        <w:trPr>
          <w:trHeight w:val="29"/>
        </w:trPr>
        <w:tc>
          <w:tcPr>
            <w:tcW w:w="40" w:type="dxa"/>
            <w:vAlign w:val="bottom"/>
            <w:tcBorders>
              <w:bottom w:val="single" w:sz="8" w:color="CCEEFF"/>
            </w:tcBorders>
          </w:tcPr>
          <w:p>
            <w:pPr>
              <w:spacing w:after="0"/>
              <w:rPr>
                <w:sz w:val="2"/>
                <w:szCs w:val="2"/>
                <w:color w:val="auto"/>
              </w:rPr>
            </w:pPr>
          </w:p>
        </w:tc>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75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(64,319)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(66,478)</w:t>
            </w:r>
          </w:p>
        </w:tc>
        <w:tc>
          <w:tcPr>
            <w:tcW w:w="1220" w:type="dxa"/>
            <w:vAlign w:val="bottom"/>
            <w:tcBorders>
              <w:bottom w:val="single" w:sz="8" w:color="CCEEFF"/>
            </w:tcBorders>
            <w:shd w:val="clear" w:color="auto" w:fill="CCEEFF"/>
          </w:tcPr>
          <w:p>
            <w:pPr>
              <w:spacing w:after="0"/>
              <w:rPr>
                <w:sz w:val="20"/>
                <w:szCs w:val="20"/>
                <w:color w:val="auto"/>
              </w:rPr>
            </w:pPr>
          </w:p>
        </w:tc>
      </w:tr>
      <w:tr>
        <w:trPr>
          <w:trHeight w:val="189"/>
        </w:trPr>
        <w:tc>
          <w:tcPr>
            <w:tcW w:w="4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shd w:val="clear" w:color="auto" w:fill="CCEEFF"/>
              </w:rPr>
              <w:t>Comparable property POI</w:t>
            </w: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126,645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154,560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r>
      <w:tr>
        <w:trPr>
          <w:trHeight w:val="363"/>
        </w:trPr>
        <w:tc>
          <w:tcPr>
            <w:tcW w:w="40" w:type="dxa"/>
            <w:vAlign w:val="bottom"/>
          </w:tcPr>
          <w:p>
            <w:pPr>
              <w:spacing w:after="0"/>
              <w:rPr>
                <w:sz w:val="24"/>
                <w:szCs w:val="24"/>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Supplemental information:</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
        </w:trPr>
        <w:tc>
          <w:tcPr>
            <w:tcW w:w="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Collectibility related impacts included in rental income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25,473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1,246</w:t>
            </w:r>
          </w:p>
        </w:tc>
        <w:tc>
          <w:tcPr>
            <w:tcW w:w="1220" w:type="dxa"/>
            <w:vAlign w:val="bottom"/>
            <w:tcBorders>
              <w:bottom w:val="single" w:sz="8" w:color="CCEEFF"/>
            </w:tcBorders>
            <w:shd w:val="clear" w:color="auto" w:fill="CCEEFF"/>
          </w:tcPr>
          <w:p>
            <w:pPr>
              <w:spacing w:after="0"/>
              <w:rPr>
                <w:sz w:val="23"/>
                <w:szCs w:val="23"/>
                <w:color w:val="auto"/>
              </w:rPr>
            </w:pPr>
          </w:p>
        </w:tc>
      </w:tr>
      <w:tr>
        <w:trPr>
          <w:trHeight w:val="221"/>
        </w:trPr>
        <w:tc>
          <w:tcPr>
            <w:tcW w:w="4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7"/>
                <w:szCs w:val="17"/>
                <w:color w:val="auto"/>
              </w:rPr>
              <w:t>Comparable property POI excluding collectibility related impacts</w:t>
            </w:r>
          </w:p>
        </w:tc>
        <w:tc>
          <w:tcPr>
            <w:tcW w:w="28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7"/>
                <w:szCs w:val="17"/>
                <w:color w:val="auto"/>
              </w:rPr>
              <w:t>152,118</w:t>
            </w:r>
          </w:p>
        </w:tc>
        <w:tc>
          <w:tcPr>
            <w:tcW w:w="120" w:type="dxa"/>
            <w:vAlign w:val="bottom"/>
          </w:tcPr>
          <w:p>
            <w:pPr>
              <w:spacing w:after="0"/>
              <w:rPr>
                <w:sz w:val="19"/>
                <w:szCs w:val="19"/>
                <w:color w:val="auto"/>
              </w:rPr>
            </w:pPr>
          </w:p>
        </w:tc>
        <w:tc>
          <w:tcPr>
            <w:tcW w:w="4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155,806</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bl>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Comparable Property - Summary of Capital Expenditures (1)</w:t>
      </w:r>
    </w:p>
    <w:p>
      <w:pPr>
        <w:sectPr>
          <w:pgSz w:w="11900" w:h="16838" w:orient="portrait"/>
          <w:cols w:equalWidth="0" w:num="1">
            <w:col w:w="11240"/>
          </w:cols>
          <w:pgMar w:left="320" w:top="71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right="2920"/>
        <w:spacing w:after="0" w:line="364" w:lineRule="auto"/>
        <w:rPr>
          <w:sz w:val="20"/>
          <w:szCs w:val="20"/>
          <w:color w:val="auto"/>
        </w:rPr>
      </w:pPr>
      <w:r>
        <w:rPr>
          <w:rFonts w:ascii="Times New Roman" w:cs="Times New Roman" w:eastAsia="Times New Roman" w:hAnsi="Times New Roman"/>
          <w:sz w:val="17"/>
          <w:szCs w:val="17"/>
          <w:color w:val="auto"/>
          <w:shd w:val="clear" w:color="auto" w:fill="CCEEFF"/>
        </w:rPr>
        <w:t xml:space="preserve">Redevelopment and tenant improvements and incentives </w:t>
      </w:r>
      <w:r>
        <w:rPr>
          <w:rFonts w:ascii="Times New Roman" w:cs="Times New Roman" w:eastAsia="Times New Roman" w:hAnsi="Times New Roman"/>
          <w:sz w:val="17"/>
          <w:szCs w:val="17"/>
          <w:color w:val="auto"/>
        </w:rPr>
        <w:t>Maintenance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Comparable Property - Occupancy Statistics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GLA - comparable commercial properties</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Leased % - comparable commercial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shd w:val="clear" w:color="auto" w:fill="CCEEFF"/>
        </w:rPr>
        <w:t>Occupancy % - comparable commercial properties</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73" w:lineRule="exact"/>
        <w:rPr>
          <w:sz w:val="20"/>
          <w:szCs w:val="20"/>
          <w:color w:val="auto"/>
        </w:rPr>
      </w:pPr>
    </w:p>
    <w:p>
      <w:pPr>
        <w:ind w:left="720" w:hanging="685"/>
        <w:spacing w:after="0"/>
        <w:tabs>
          <w:tab w:leader="none" w:pos="7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page 9 for "Summary of Capital Expenditures" for our entire portfolio.</w:t>
      </w:r>
    </w:p>
    <w:p>
      <w:pPr>
        <w:spacing w:after="0" w:line="72" w:lineRule="exact"/>
        <w:rPr>
          <w:rFonts w:ascii="Times New Roman" w:cs="Times New Roman" w:eastAsia="Times New Roman" w:hAnsi="Times New Roman"/>
          <w:sz w:val="16"/>
          <w:szCs w:val="16"/>
          <w:color w:val="auto"/>
        </w:rPr>
      </w:pPr>
    </w:p>
    <w:p>
      <w:pPr>
        <w:ind w:left="720" w:hanging="685"/>
        <w:spacing w:after="0"/>
        <w:tabs>
          <w:tab w:leader="none" w:pos="7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page 28 for entire portfolio occupancy statistics.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0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15773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5"/>
        </w:trPr>
        <w:tc>
          <w:tcPr>
            <w:tcW w:w="28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21"/>
                <w:szCs w:val="21"/>
                <w:color w:val="auto"/>
              </w:rPr>
            </w:pPr>
          </w:p>
        </w:tc>
      </w:tr>
      <w:tr>
        <w:trPr>
          <w:trHeight w:val="251"/>
        </w:trPr>
        <w:tc>
          <w:tcPr>
            <w:tcW w:w="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rPr>
              <w:t>31,739</w:t>
            </w:r>
          </w:p>
        </w:tc>
        <w:tc>
          <w:tcPr>
            <w:tcW w:w="120" w:type="dxa"/>
            <w:vAlign w:val="bottom"/>
          </w:tcPr>
          <w:p>
            <w:pPr>
              <w:spacing w:after="0"/>
              <w:rPr>
                <w:sz w:val="21"/>
                <w:szCs w:val="21"/>
                <w:color w:val="auto"/>
              </w:rPr>
            </w:pP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30,636</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rPr>
              <w:t>2,678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5,726</w:t>
            </w:r>
          </w:p>
        </w:tc>
      </w:tr>
      <w:tr>
        <w:trPr>
          <w:trHeight w:val="29"/>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1"/>
        </w:trPr>
        <w:tc>
          <w:tcPr>
            <w:tcW w:w="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rPr>
              <w:t>34,417</w:t>
            </w:r>
          </w:p>
        </w:tc>
        <w:tc>
          <w:tcPr>
            <w:tcW w:w="120" w:type="dxa"/>
            <w:vAlign w:val="bottom"/>
          </w:tcPr>
          <w:p>
            <w:pPr>
              <w:spacing w:after="0"/>
              <w:rPr>
                <w:sz w:val="19"/>
                <w:szCs w:val="19"/>
                <w:color w:val="auto"/>
              </w:rPr>
            </w:pP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36,362</w:t>
            </w:r>
          </w:p>
        </w:tc>
      </w:tr>
    </w:tbl>
    <w:p>
      <w:pPr>
        <w:spacing w:after="0" w:line="200" w:lineRule="exact"/>
        <w:rPr>
          <w:sz w:val="20"/>
          <w:szCs w:val="20"/>
          <w:color w:val="auto"/>
        </w:rPr>
      </w:pPr>
    </w:p>
    <w:p>
      <w:pPr>
        <w:spacing w:after="0" w:line="290"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At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15773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03" w:lineRule="exact"/>
        <w:rPr>
          <w:sz w:val="20"/>
          <w:szCs w:val="20"/>
          <w:color w:val="auto"/>
        </w:rPr>
      </w:pPr>
    </w:p>
    <w:p>
      <w:pPr>
        <w:ind w:left="460"/>
        <w:spacing w:after="0"/>
        <w:tabs>
          <w:tab w:leader="none" w:pos="172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58" w:lineRule="exact"/>
        <w:rPr>
          <w:sz w:val="20"/>
          <w:szCs w:val="20"/>
          <w:color w:val="auto"/>
        </w:rPr>
      </w:pPr>
    </w:p>
    <w:p>
      <w:pPr>
        <w:ind w:left="260"/>
        <w:spacing w:after="0"/>
        <w:tabs>
          <w:tab w:leader="none" w:pos="1520" w:val="left"/>
        </w:tabs>
        <w:rPr>
          <w:sz w:val="20"/>
          <w:szCs w:val="20"/>
          <w:color w:val="auto"/>
        </w:rPr>
      </w:pPr>
      <w:r>
        <w:rPr>
          <w:rFonts w:ascii="Times New Roman" w:cs="Times New Roman" w:eastAsia="Times New Roman" w:hAnsi="Times New Roman"/>
          <w:sz w:val="17"/>
          <w:szCs w:val="17"/>
          <w:color w:val="auto"/>
        </w:rPr>
        <w:t>22,118,000</w:t>
      </w:r>
      <w:r>
        <w:rPr>
          <w:sz w:val="20"/>
          <w:szCs w:val="20"/>
          <w:color w:val="auto"/>
        </w:rPr>
        <w:tab/>
      </w:r>
      <w:r>
        <w:rPr>
          <w:rFonts w:ascii="Times New Roman" w:cs="Times New Roman" w:eastAsia="Times New Roman" w:hAnsi="Times New Roman"/>
          <w:sz w:val="17"/>
          <w:szCs w:val="17"/>
          <w:color w:val="auto"/>
        </w:rPr>
        <w:t>22,328,000</w:t>
      </w:r>
    </w:p>
    <w:p>
      <w:pPr>
        <w:spacing w:after="0" w:line="75" w:lineRule="exact"/>
        <w:rPr>
          <w:sz w:val="20"/>
          <w:szCs w:val="20"/>
          <w:color w:val="auto"/>
        </w:rPr>
      </w:pPr>
    </w:p>
    <w:p>
      <w:pPr>
        <w:ind w:left="720"/>
        <w:spacing w:after="0"/>
        <w:tabs>
          <w:tab w:leader="none" w:pos="2000" w:val="left"/>
        </w:tabs>
        <w:rPr>
          <w:sz w:val="20"/>
          <w:szCs w:val="20"/>
          <w:color w:val="auto"/>
        </w:rPr>
      </w:pPr>
      <w:r>
        <w:rPr>
          <w:rFonts w:ascii="Times New Roman" w:cs="Times New Roman" w:eastAsia="Times New Roman" w:hAnsi="Times New Roman"/>
          <w:sz w:val="17"/>
          <w:szCs w:val="17"/>
          <w:color w:val="auto"/>
        </w:rPr>
        <w:t>92.0%</w:t>
      </w:r>
      <w:r>
        <w:rPr>
          <w:sz w:val="20"/>
          <w:szCs w:val="20"/>
          <w:color w:val="auto"/>
        </w:rPr>
        <w:tab/>
      </w:r>
      <w:r>
        <w:rPr>
          <w:rFonts w:ascii="Times New Roman" w:cs="Times New Roman" w:eastAsia="Times New Roman" w:hAnsi="Times New Roman"/>
          <w:sz w:val="17"/>
          <w:szCs w:val="17"/>
          <w:color w:val="auto"/>
        </w:rPr>
        <w:t>94.9%</w:t>
      </w:r>
    </w:p>
    <w:p>
      <w:pPr>
        <w:spacing w:after="0" w:line="75" w:lineRule="exact"/>
        <w:rPr>
          <w:sz w:val="20"/>
          <w:szCs w:val="20"/>
          <w:color w:val="auto"/>
        </w:rPr>
      </w:pPr>
    </w:p>
    <w:p>
      <w:pPr>
        <w:ind w:left="720"/>
        <w:spacing w:after="0"/>
        <w:tabs>
          <w:tab w:leader="none" w:pos="2000" w:val="left"/>
        </w:tabs>
        <w:rPr>
          <w:sz w:val="20"/>
          <w:szCs w:val="20"/>
          <w:color w:val="auto"/>
        </w:rPr>
      </w:pPr>
      <w:r>
        <w:rPr>
          <w:rFonts w:ascii="Times New Roman" w:cs="Times New Roman" w:eastAsia="Times New Roman" w:hAnsi="Times New Roman"/>
          <w:sz w:val="17"/>
          <w:szCs w:val="17"/>
          <w:color w:val="auto"/>
        </w:rPr>
        <w:t>90.6%</w:t>
      </w:r>
      <w:r>
        <w:rPr>
          <w:sz w:val="20"/>
          <w:szCs w:val="20"/>
          <w:color w:val="auto"/>
        </w:rPr>
        <w:tab/>
      </w:r>
      <w:r>
        <w:rPr>
          <w:rFonts w:ascii="Times New Roman" w:cs="Times New Roman" w:eastAsia="Times New Roman" w:hAnsi="Times New Roman"/>
          <w:sz w:val="17"/>
          <w:szCs w:val="17"/>
          <w:color w:val="auto"/>
        </w:rPr>
        <w:t>93.5%</w:t>
      </w:r>
    </w:p>
    <w:p>
      <w:pPr>
        <w:sectPr>
          <w:pgSz w:w="11900" w:h="16838" w:orient="portrait"/>
          <w:cols w:equalWidth="0" w:num="2">
            <w:col w:w="6820" w:space="720"/>
            <w:col w:w="3700"/>
          </w:cols>
          <w:pgMar w:left="320" w:top="711" w:right="339" w:bottom="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019"/>
          </w:cols>
          <w:pgMar w:left="1440" w:top="337"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r>
      <w:tr>
        <w:trPr>
          <w:trHeight w:val="263"/>
        </w:trPr>
        <w:tc>
          <w:tcPr>
            <w:tcW w:w="8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50"/>
        </w:trPr>
        <w:tc>
          <w:tcPr>
            <w:tcW w:w="8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8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55"/>
        </w:trPr>
        <w:tc>
          <w:tcPr>
            <w:tcW w:w="8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 Data</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shares outstanding and operating partnership units (1)</w:t>
            </w:r>
          </w:p>
        </w:tc>
        <w:tc>
          <w:tcPr>
            <w:tcW w:w="30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76,386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76,122</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 price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73.44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136.14</w:t>
            </w:r>
          </w:p>
        </w:tc>
      </w:tr>
      <w:tr>
        <w:trPr>
          <w:trHeight w:val="237"/>
        </w:trPr>
        <w:tc>
          <w:tcPr>
            <w:tcW w:w="8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Common equity market capitalization including operating partnership units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5,609,788</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10,363,249</w:t>
            </w:r>
          </w:p>
        </w:tc>
      </w:tr>
      <w:tr>
        <w:trPr>
          <w:trHeight w:val="27"/>
        </w:trPr>
        <w:tc>
          <w:tcPr>
            <w:tcW w:w="8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8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Series C preferred shares outstanding</w:t>
            </w:r>
          </w:p>
        </w:tc>
        <w:tc>
          <w:tcPr>
            <w:tcW w:w="30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Liquidation price per Series C preferred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25,000</w:t>
            </w:r>
          </w:p>
        </w:tc>
      </w:tr>
      <w:tr>
        <w:trPr>
          <w:trHeight w:val="237"/>
        </w:trPr>
        <w:tc>
          <w:tcPr>
            <w:tcW w:w="8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Series C preferred equity market capitalization</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150,000</w:t>
            </w:r>
          </w:p>
        </w:tc>
      </w:tr>
      <w:tr>
        <w:trPr>
          <w:trHeight w:val="27"/>
        </w:trPr>
        <w:tc>
          <w:tcPr>
            <w:tcW w:w="8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8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Series 1 preferred shares outstanding (2)</w:t>
            </w:r>
          </w:p>
        </w:tc>
        <w:tc>
          <w:tcPr>
            <w:tcW w:w="30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400</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Liquidation price per Series 1 preferred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25.00</w:t>
            </w:r>
          </w:p>
        </w:tc>
      </w:tr>
      <w:tr>
        <w:trPr>
          <w:trHeight w:val="237"/>
        </w:trPr>
        <w:tc>
          <w:tcPr>
            <w:tcW w:w="8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Series 1 preferred equity market capitalization</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10,000</w:t>
            </w:r>
          </w:p>
        </w:tc>
      </w:tr>
      <w:tr>
        <w:trPr>
          <w:trHeight w:val="27"/>
        </w:trPr>
        <w:tc>
          <w:tcPr>
            <w:tcW w:w="8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8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market capitalization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5,769,788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10,523,249</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8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4,460,849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3,276,911</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(863,279)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(162,543)</w:t>
            </w:r>
          </w:p>
        </w:tc>
      </w:tr>
      <w:tr>
        <w:trPr>
          <w:trHeight w:val="237"/>
        </w:trPr>
        <w:tc>
          <w:tcPr>
            <w:tcW w:w="8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net debt (3)</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3,597,570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3,114,368</w:t>
            </w:r>
          </w:p>
        </w:tc>
      </w:tr>
      <w:tr>
        <w:trPr>
          <w:trHeight w:val="27"/>
        </w:trPr>
        <w:tc>
          <w:tcPr>
            <w:tcW w:w="8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8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303"/>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market capitalization</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9,367,358</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13,637,617</w:t>
            </w:r>
          </w:p>
        </w:tc>
      </w:tr>
      <w:tr>
        <w:trPr>
          <w:trHeight w:val="271"/>
        </w:trPr>
        <w:tc>
          <w:tcPr>
            <w:tcW w:w="80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net debt to market capitalization at market price per common share</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3"/>
        </w:trPr>
        <w:tc>
          <w:tcPr>
            <w:tcW w:w="8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net debt to market capitalization at a constant common share price of $136.14</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744,617 and 626,619 operating partnership units outstanding at September 30, 2020 and 2019, respectively.</w:t>
      </w:r>
    </w:p>
    <w:p>
      <w:pPr>
        <w:spacing w:after="0" w:line="5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issued March 8, 2007, are unregistered.</w:t>
      </w:r>
    </w:p>
    <w:p>
      <w:pPr>
        <w:spacing w:after="0" w:line="59" w:lineRule="exact"/>
        <w:rPr>
          <w:rFonts w:ascii="Times New Roman" w:cs="Times New Roman" w:eastAsia="Times New Roman" w:hAnsi="Times New Roman"/>
          <w:sz w:val="16"/>
          <w:szCs w:val="16"/>
          <w:color w:val="auto"/>
        </w:rPr>
      </w:pPr>
    </w:p>
    <w:p>
      <w:pPr>
        <w:ind w:left="660" w:right="40" w:hanging="652"/>
        <w:spacing w:after="0" w:line="280"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net debt includes mortgages payable, notes payable, senior notes and debentures, net of premiums/discounts and debt issuance costs and net of cash and cash equivalents from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711" w:right="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Summary of Outstanding Debt</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Stated maturity date</w:t>
            </w:r>
          </w:p>
        </w:tc>
        <w:tc>
          <w:tcPr>
            <w:tcW w:w="120" w:type="dxa"/>
            <w:vAlign w:val="bottom"/>
            <w:vMerge w:val="restart"/>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Stated interest rate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vMerge w:val="restart"/>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effective rate (8)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Mortgages Payable (1)</w:t>
            </w:r>
          </w:p>
        </w:tc>
        <w:tc>
          <w:tcPr>
            <w:tcW w:w="2720" w:type="dxa"/>
            <w:vAlign w:val="bottom"/>
            <w:tcBorders>
              <w:bottom w:val="single" w:sz="8" w:color="CCEEFF"/>
            </w:tcBorders>
            <w:gridSpan w:val="3"/>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Times New Roman" w:cs="Times New Roman" w:eastAsia="Times New Roman" w:hAnsi="Times New Roman"/>
                <w:sz w:val="16"/>
                <w:szCs w:val="16"/>
                <w:i w:val="1"/>
                <w:iCs w:val="1"/>
                <w:color w:val="auto"/>
              </w:rPr>
              <w:t>Secured fixed rate</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The Shops at Sunset Place (2)</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9/1/2020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60,593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29th Place</w:t>
            </w:r>
          </w:p>
        </w:tc>
        <w:tc>
          <w:tcPr>
            <w:tcW w:w="16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1/31/2021</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3,690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Sylmar Towne Center</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6/6/2021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16,338</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Plaza Del Sol</w:t>
            </w:r>
          </w:p>
        </w:tc>
        <w:tc>
          <w:tcPr>
            <w:tcW w:w="16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12/1/2021</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8,089</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The AVENUE at White Marsh</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1/1/2022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52,705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Montrose Crossing</w:t>
            </w:r>
          </w:p>
        </w:tc>
        <w:tc>
          <w:tcPr>
            <w:tcW w:w="16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1/10/2022</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66,077</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Azalea</w:t>
            </w:r>
          </w:p>
        </w:tc>
        <w:tc>
          <w:tcPr>
            <w:tcW w:w="1620" w:type="dxa"/>
            <w:vAlign w:val="bottom"/>
            <w:tcBorders>
              <w:bottom w:val="single" w:sz="8" w:color="CCEEFF"/>
            </w:tcBorders>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w w:val="98"/>
              </w:rPr>
              <w:t>11/1/2025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Bell Gardens</w:t>
            </w:r>
          </w:p>
        </w:tc>
        <w:tc>
          <w:tcPr>
            <w:tcW w:w="16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8/1/2026</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12,476</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Plaza El Segundo</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6/5/2027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The Grove at Shrewsbury (East)</w:t>
            </w:r>
          </w:p>
        </w:tc>
        <w:tc>
          <w:tcPr>
            <w:tcW w:w="16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9/1/2027</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43,600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Brook 35</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7/1/2029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Hoboken (24 Buildings) (3)</w:t>
            </w:r>
          </w:p>
        </w:tc>
        <w:tc>
          <w:tcPr>
            <w:tcW w:w="16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12/15/2029</w:t>
            </w:r>
          </w:p>
        </w:tc>
        <w:tc>
          <w:tcPr>
            <w:tcW w:w="120" w:type="dxa"/>
            <w:vAlign w:val="bottom"/>
          </w:tcPr>
          <w:p>
            <w:pPr>
              <w:spacing w:after="0"/>
              <w:rPr>
                <w:sz w:val="20"/>
                <w:szCs w:val="20"/>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LIBOR + 1.95%</w:t>
            </w: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56,450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Various Hoboken (14 Buildings)</w:t>
            </w:r>
          </w:p>
        </w:tc>
        <w:tc>
          <w:tcPr>
            <w:tcW w:w="17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color w:val="auto"/>
                <w:w w:val="99"/>
              </w:rPr>
              <w:t>Various through 2029</w:t>
            </w: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Various (4)</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32,921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Chelsea</w:t>
            </w:r>
          </w:p>
        </w:tc>
        <w:tc>
          <w:tcPr>
            <w:tcW w:w="16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1/15/2031</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5,327</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Hoboken (1 Building) (5)</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7/1/2042</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16,641</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5"/>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551,407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00" w:type="dxa"/>
            <w:vAlign w:val="bottom"/>
            <w:tcBorders>
              <w:bottom w:val="single" w:sz="8" w:color="CCEEFF"/>
            </w:tcBorders>
            <w:gridSpan w:val="5"/>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unamortized premium and debt issuance costs</w:t>
            </w: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5"/>
          </w:tcPr>
          <w:p>
            <w:pPr>
              <w:ind w:left="700"/>
              <w:spacing w:after="0"/>
              <w:rPr>
                <w:sz w:val="20"/>
                <w:szCs w:val="20"/>
                <w:color w:val="auto"/>
              </w:rPr>
            </w:pPr>
            <w:r>
              <w:rPr>
                <w:rFonts w:ascii="Times New Roman" w:cs="Times New Roman" w:eastAsia="Times New Roman" w:hAnsi="Times New Roman"/>
                <w:sz w:val="16"/>
                <w:szCs w:val="16"/>
                <w:color w:val="auto"/>
              </w:rPr>
              <w:t>Total mortgages payable, net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549,445</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4.20%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Notes payable</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Term loan</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5/6/2021</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LIBOR + 1.35%</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Revolving credit facility (6)</w:t>
            </w:r>
          </w:p>
        </w:tc>
        <w:tc>
          <w:tcPr>
            <w:tcW w:w="16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1/19/2024</w:t>
            </w: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LIBOR + 0.775%</w:t>
            </w:r>
          </w:p>
        </w:tc>
        <w:tc>
          <w:tcPr>
            <w:tcW w:w="1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Various</w:t>
            </w:r>
          </w:p>
        </w:tc>
        <w:tc>
          <w:tcPr>
            <w:tcW w:w="17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color w:val="auto"/>
                <w:w w:val="99"/>
              </w:rPr>
              <w:t>Various through 2028</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3,393</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5"/>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403,393</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00" w:type="dxa"/>
            <w:vAlign w:val="bottom"/>
            <w:tcBorders>
              <w:bottom w:val="single" w:sz="8" w:color="CCEEFF"/>
            </w:tcBorders>
            <w:gridSpan w:val="5"/>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unamortized debt issuance costs</w:t>
            </w: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5"/>
          </w:tcPr>
          <w:p>
            <w:pPr>
              <w:ind w:left="700"/>
              <w:spacing w:after="0"/>
              <w:rPr>
                <w:sz w:val="20"/>
                <w:szCs w:val="20"/>
                <w:color w:val="auto"/>
              </w:rPr>
            </w:pPr>
            <w:r>
              <w:rPr>
                <w:rFonts w:ascii="Times New Roman" w:cs="Times New Roman" w:eastAsia="Times New Roman" w:hAnsi="Times New Roman"/>
                <w:sz w:val="16"/>
                <w:szCs w:val="16"/>
                <w:color w:val="auto"/>
              </w:rPr>
              <w:t>Total notes payable, net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402,580</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2.00%</w:t>
            </w:r>
          </w:p>
        </w:tc>
        <w:tc>
          <w:tcPr>
            <w:tcW w:w="4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6"/>
              </w:rPr>
              <w:t>(9)</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Senior notes and debentures</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2.55% notes</w:t>
            </w:r>
          </w:p>
        </w:tc>
        <w:tc>
          <w:tcPr>
            <w:tcW w:w="16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1/15/2021</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3.00% notes</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8/1/2022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2.75% notes</w:t>
            </w:r>
          </w:p>
        </w:tc>
        <w:tc>
          <w:tcPr>
            <w:tcW w:w="16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6/1/2023</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275,000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3.95% notes</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1/15/2024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7.48% debentures</w:t>
            </w:r>
          </w:p>
        </w:tc>
        <w:tc>
          <w:tcPr>
            <w:tcW w:w="16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8/15/2026</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29,200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3.25% notes</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7/15/2027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475,000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6.82% medium term notes</w:t>
            </w:r>
          </w:p>
        </w:tc>
        <w:tc>
          <w:tcPr>
            <w:tcW w:w="16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8/1/2027</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3.20% notes</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6/15/2029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3.50% notes</w:t>
            </w:r>
          </w:p>
        </w:tc>
        <w:tc>
          <w:tcPr>
            <w:tcW w:w="16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6/1/2030</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4.50% notes</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12/1/2044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550,000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3.625% notes</w:t>
            </w:r>
          </w:p>
        </w:tc>
        <w:tc>
          <w:tcPr>
            <w:tcW w:w="16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8/1/2046</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00" w:type="dxa"/>
            <w:vAlign w:val="bottom"/>
            <w:tcBorders>
              <w:bottom w:val="single" w:sz="8" w:color="CCEEFF"/>
            </w:tcBorders>
            <w:gridSpan w:val="5"/>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3,519,200</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900"/>
              <w:spacing w:after="0"/>
              <w:rPr>
                <w:sz w:val="20"/>
                <w:szCs w:val="20"/>
                <w:color w:val="auto"/>
              </w:rPr>
            </w:pPr>
            <w:r>
              <w:rPr>
                <w:rFonts w:ascii="Times New Roman" w:cs="Times New Roman" w:eastAsia="Times New Roman" w:hAnsi="Times New Roman"/>
                <w:sz w:val="16"/>
                <w:szCs w:val="16"/>
                <w:color w:val="auto"/>
              </w:rPr>
              <w:t>Net unamortized discount and debt issuance costs</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(10,376)</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Total senior notes and debentures, net</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3,508,824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3.64%</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2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debt, net</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4,460,849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6"/>
              </w:rPr>
              <w:t>(7)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fixed rate debt, net</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4,061,605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3.71%</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Total variable rate debt, net</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399,244</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9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1.92%</w:t>
            </w:r>
          </w:p>
        </w:tc>
        <w:tc>
          <w:tcPr>
            <w:tcW w:w="4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6"/>
              </w:rPr>
              <w:t>(9)</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debt, net</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4,460,849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3.55%</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6"/>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20"/>
          </w:cols>
          <w:pgMar w:left="340" w:top="718" w:right="339" w:bottom="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40" w:top="718" w:right="339" w:bottom="0" w:gutter="0" w:footer="0" w:header="0"/>
          <w:type w:val="continuous"/>
        </w:sectPr>
      </w:pPr>
    </w:p>
    <w:bookmarkStart w:id="18" w:name="page19"/>
    <w:bookmarkEnd w:id="1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96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Trailing Twelve</w:t>
            </w:r>
          </w:p>
        </w:tc>
      </w:tr>
      <w:tr>
        <w:trPr>
          <w:trHeight w:val="275"/>
        </w:trPr>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Months Ended</w:t>
            </w:r>
          </w:p>
        </w:tc>
      </w:tr>
      <w:tr>
        <w:trPr>
          <w:trHeight w:val="263"/>
        </w:trPr>
        <w:tc>
          <w:tcPr>
            <w:tcW w:w="4740" w:type="dxa"/>
            <w:vAlign w:val="bottom"/>
            <w:gridSpan w:val="3"/>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201"/>
        </w:trPr>
        <w:tc>
          <w:tcPr>
            <w:tcW w:w="40" w:type="dxa"/>
            <w:vAlign w:val="bottom"/>
          </w:tcPr>
          <w:p>
            <w:pPr>
              <w:spacing w:after="0"/>
              <w:rPr>
                <w:sz w:val="17"/>
                <w:szCs w:val="17"/>
                <w:color w:val="auto"/>
              </w:rPr>
            </w:pPr>
          </w:p>
        </w:tc>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Operational Statistics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3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16"/>
        </w:trPr>
        <w:tc>
          <w:tcPr>
            <w:tcW w:w="40" w:type="dxa"/>
            <w:vAlign w:val="bottom"/>
            <w:shd w:val="clear" w:color="auto" w:fill="CCEEFF"/>
          </w:tcPr>
          <w:p>
            <w:pPr>
              <w:spacing w:after="0"/>
              <w:rPr>
                <w:sz w:val="18"/>
                <w:szCs w:val="18"/>
                <w:color w:val="auto"/>
              </w:rPr>
            </w:pPr>
          </w:p>
        </w:tc>
        <w:tc>
          <w:tcPr>
            <w:tcW w:w="5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Ratio of EBITDAre to combined fixed charges and preferred</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54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 dividends (10)</w:t>
            </w:r>
          </w:p>
        </w:tc>
        <w:tc>
          <w:tcPr>
            <w:tcW w:w="12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2.79x</w:t>
            </w:r>
          </w:p>
        </w:tc>
        <w:tc>
          <w:tcPr>
            <w:tcW w:w="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3.93x</w:t>
            </w:r>
          </w:p>
        </w:tc>
        <w:tc>
          <w:tcPr>
            <w:tcW w:w="162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2.94x</w:t>
            </w:r>
          </w:p>
        </w:tc>
        <w:tc>
          <w:tcPr>
            <w:tcW w:w="8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4.15x</w:t>
            </w:r>
          </w:p>
        </w:tc>
        <w:tc>
          <w:tcPr>
            <w:tcW w:w="156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3.22x</w:t>
            </w:r>
          </w:p>
        </w:tc>
      </w:tr>
      <w:tr>
        <w:trPr>
          <w:trHeight w:val="237"/>
        </w:trPr>
        <w:tc>
          <w:tcPr>
            <w:tcW w:w="40" w:type="dxa"/>
            <w:vAlign w:val="bottom"/>
          </w:tcPr>
          <w:p>
            <w:pPr>
              <w:spacing w:after="0"/>
              <w:rPr>
                <w:sz w:val="20"/>
                <w:szCs w:val="20"/>
                <w:color w:val="auto"/>
              </w:rPr>
            </w:pPr>
          </w:p>
        </w:tc>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Excluding lease buyout charge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5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Ratio of EBITDAre to combined fixed charges and preferred</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0"/>
        </w:trPr>
        <w:tc>
          <w:tcPr>
            <w:tcW w:w="40" w:type="dxa"/>
            <w:vAlign w:val="bottom"/>
            <w:shd w:val="clear" w:color="auto" w:fill="CCEEFF"/>
          </w:tcPr>
          <w:p>
            <w:pPr>
              <w:spacing w:after="0"/>
              <w:rPr>
                <w:sz w:val="18"/>
                <w:szCs w:val="18"/>
                <w:color w:val="auto"/>
              </w:rPr>
            </w:pPr>
          </w:p>
        </w:tc>
        <w:tc>
          <w:tcPr>
            <w:tcW w:w="5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 dividends (10) (11)</w:t>
            </w:r>
          </w:p>
        </w:tc>
        <w:tc>
          <w:tcPr>
            <w:tcW w:w="1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2.79x</w:t>
            </w:r>
          </w:p>
        </w:tc>
        <w:tc>
          <w:tcPr>
            <w:tcW w:w="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4.26x</w:t>
            </w:r>
          </w:p>
        </w:tc>
        <w:tc>
          <w:tcPr>
            <w:tcW w:w="16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2.94x</w:t>
            </w: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4.26x</w:t>
            </w: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3.22x</w:t>
            </w:r>
          </w:p>
        </w:tc>
      </w:tr>
      <w:tr>
        <w:trPr>
          <w:trHeight w:val="33"/>
        </w:trPr>
        <w:tc>
          <w:tcPr>
            <w:tcW w:w="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55" w:lineRule="exact"/>
        <w:rPr>
          <w:sz w:val="20"/>
          <w:szCs w:val="20"/>
          <w:color w:val="auto"/>
        </w:rPr>
      </w:pPr>
    </w:p>
    <w:p>
      <w:pPr>
        <w:ind w:left="660" w:right="460" w:hanging="652"/>
        <w:spacing w:after="0" w:line="281"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payable does not include our share of the debt on our unconsolidated real estate partnerships. At September 30, 2020, our share was approximately $53.7 million. At September 30, 2020, our noncontrolling interests share of mortgages payable was $59.3 million.</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1, 2020, this non-recourse mortgage loan matured, and was not repaid. See page 20 for further discussion.</w:t>
      </w:r>
    </w:p>
    <w:p>
      <w:pPr>
        <w:spacing w:after="0" w:line="55"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two interest rate swap agreements that fix the interest rate on the mortgage loan at 3.67%.</w:t>
      </w:r>
    </w:p>
    <w:p>
      <w:pPr>
        <w:spacing w:after="0" w:line="55"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on these mortgages range from 3.91% to 5.00%.</w:t>
      </w:r>
    </w:p>
    <w:p>
      <w:pPr>
        <w:spacing w:after="0" w:line="55" w:lineRule="exact"/>
        <w:rPr>
          <w:rFonts w:ascii="Times New Roman" w:cs="Times New Roman" w:eastAsia="Times New Roman" w:hAnsi="Times New Roman"/>
          <w:sz w:val="14"/>
          <w:szCs w:val="14"/>
          <w:color w:val="auto"/>
        </w:rPr>
      </w:pPr>
    </w:p>
    <w:p>
      <w:pPr>
        <w:ind w:left="660" w:hanging="652"/>
        <w:spacing w:after="0" w:line="281"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loan has a fixed interest rate; however, the rate resets every five years until maturity. The current rate is fixed until July 1, 2022, and the loan is prepayable at par anytime after this date.</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September 30, 2020, there were no borrowings on our revolving credit facility.</w:t>
      </w:r>
    </w:p>
    <w:p>
      <w:pPr>
        <w:spacing w:after="0" w:line="55"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remaining term on our mortgages payable, notes payable, and senior notes and debentures is 8 years.</w:t>
      </w:r>
    </w:p>
    <w:p>
      <w:pPr>
        <w:spacing w:after="0" w:line="55" w:lineRule="exact"/>
        <w:rPr>
          <w:rFonts w:ascii="Times New Roman" w:cs="Times New Roman" w:eastAsia="Times New Roman" w:hAnsi="Times New Roman"/>
          <w:sz w:val="14"/>
          <w:szCs w:val="14"/>
          <w:color w:val="auto"/>
        </w:rPr>
      </w:pPr>
    </w:p>
    <w:p>
      <w:pPr>
        <w:ind w:left="660" w:right="520" w:hanging="652"/>
        <w:spacing w:after="0" w:line="281"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effective interest rate includes the amortization of any debt issuance costs and discounts and premiums, if applicable, except as described in Note 9. The weighted average effective interest rate includes interest at the non-default rate for The Shops at Sunset Place mortgage loan. See Note 2 above.</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effective interest rate excludes $0.6 million in quarterly financing fees and quarterly debt fee amortization on our revolving credit facility.</w:t>
      </w:r>
    </w:p>
    <w:p>
      <w:pPr>
        <w:spacing w:after="0" w:line="55" w:lineRule="exact"/>
        <w:rPr>
          <w:rFonts w:ascii="Times New Roman" w:cs="Times New Roman" w:eastAsia="Times New Roman" w:hAnsi="Times New Roman"/>
          <w:sz w:val="14"/>
          <w:szCs w:val="14"/>
          <w:color w:val="auto"/>
        </w:rPr>
      </w:pPr>
    </w:p>
    <w:p>
      <w:pPr>
        <w:ind w:left="660" w:right="200" w:hanging="652"/>
        <w:spacing w:after="0" w:line="281"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charges consist of interest on borrowed funds and finance leases (including capitalized interest), amortization of debt discount/premium and debt costs, and the portion of rent expense representing an interest factor. EBITDAre is reconciled to net income in the Glossary of Terms.</w:t>
      </w:r>
    </w:p>
    <w:p>
      <w:pPr>
        <w:spacing w:after="0" w:line="1" w:lineRule="exact"/>
        <w:rPr>
          <w:rFonts w:ascii="Times New Roman" w:cs="Times New Roman" w:eastAsia="Times New Roman" w:hAnsi="Times New Roman"/>
          <w:sz w:val="14"/>
          <w:szCs w:val="14"/>
          <w:color w:val="auto"/>
        </w:rPr>
      </w:pPr>
    </w:p>
    <w:p>
      <w:pPr>
        <w:ind w:left="660" w:right="80" w:hanging="652"/>
        <w:spacing w:after="0" w:line="282"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of EBITDAre to combined fixed charges and preferred share dividends for the three and nine months ended September 30, 2019 excludes the $11.9 million charge related to the buyout of the Kmart lease at Assembly Square Marketplace.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776" w:right="339"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Cumulative</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4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rPr>
              <w:t>Scheduled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Percent of Debt</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 of Debt</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460" w:type="dxa"/>
            <w:vAlign w:val="bottom"/>
          </w:tcPr>
          <w:p>
            <w:pPr>
              <w:spacing w:after="0"/>
              <w:rPr>
                <w:sz w:val="17"/>
                <w:szCs w:val="17"/>
                <w:color w:val="auto"/>
              </w:rPr>
            </w:pPr>
          </w:p>
        </w:tc>
      </w:tr>
      <w:tr>
        <w:trPr>
          <w:trHeight w:val="212"/>
        </w:trPr>
        <w:tc>
          <w:tcPr>
            <w:tcW w:w="14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60" w:type="dxa"/>
            <w:vAlign w:val="bottom"/>
          </w:tcPr>
          <w:p>
            <w:pPr>
              <w:spacing w:after="0"/>
              <w:rPr>
                <w:sz w:val="18"/>
                <w:szCs w:val="18"/>
                <w:color w:val="auto"/>
              </w:rPr>
            </w:pPr>
          </w:p>
        </w:tc>
        <w:tc>
          <w:tcPr>
            <w:tcW w:w="1700" w:type="dxa"/>
            <w:vAlign w:val="bottom"/>
            <w:gridSpan w:val="2"/>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Maturities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Maturing</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Maturing</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(4)</w:t>
            </w:r>
          </w:p>
        </w:tc>
        <w:tc>
          <w:tcPr>
            <w:tcW w:w="460" w:type="dxa"/>
            <w:vAlign w:val="bottom"/>
          </w:tcPr>
          <w:p>
            <w:pPr>
              <w:spacing w:after="0"/>
              <w:rPr>
                <w:sz w:val="18"/>
                <w:szCs w:val="18"/>
                <w:color w:val="auto"/>
              </w:rPr>
            </w:pPr>
          </w:p>
        </w:tc>
      </w:tr>
      <w:tr>
        <w:trPr>
          <w:trHeight w:val="33"/>
        </w:trPr>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8"/>
        </w:trPr>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55"/>
        </w:trPr>
        <w:tc>
          <w:tcPr>
            <w:tcW w:w="1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1,287</w:t>
            </w:r>
          </w:p>
        </w:tc>
        <w:tc>
          <w:tcPr>
            <w:tcW w:w="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60,593</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6"/>
              </w:rPr>
              <w:t>(1)</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61,880</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r>
      <w:tr>
        <w:trPr>
          <w:trHeight w:val="243"/>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4,890</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677,546</w:t>
            </w:r>
          </w:p>
        </w:tc>
        <w:tc>
          <w:tcPr>
            <w:tcW w:w="5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6"/>
              </w:rPr>
              <w:t>(2)</w:t>
            </w: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682,436</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tcPr>
          <w:p>
            <w:pPr>
              <w:spacing w:after="0"/>
              <w:rPr>
                <w:sz w:val="21"/>
                <w:szCs w:val="21"/>
                <w:color w:val="auto"/>
              </w:rPr>
            </w:pPr>
          </w:p>
        </w:tc>
      </w:tr>
      <w:tr>
        <w:trPr>
          <w:trHeight w:val="27"/>
        </w:trPr>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4,139</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366,323</w:t>
            </w: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370,462</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4,324</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275,000</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279,324</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tcPr>
          <w:p>
            <w:pPr>
              <w:spacing w:after="0"/>
              <w:rPr>
                <w:sz w:val="21"/>
                <w:szCs w:val="21"/>
                <w:color w:val="auto"/>
              </w:rPr>
            </w:pPr>
          </w:p>
        </w:tc>
      </w:tr>
      <w:tr>
        <w:trPr>
          <w:trHeight w:val="27"/>
        </w:trPr>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4,353</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600,000</w:t>
            </w: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604,353</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w:t>
            </w:r>
          </w:p>
        </w:tc>
      </w:tr>
      <w:tr>
        <w:trPr>
          <w:trHeight w:val="243"/>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3,996</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44,298</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48,294</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60" w:type="dxa"/>
            <w:vAlign w:val="bottom"/>
          </w:tcPr>
          <w:p>
            <w:pPr>
              <w:spacing w:after="0"/>
              <w:rPr>
                <w:sz w:val="21"/>
                <w:szCs w:val="21"/>
                <w:color w:val="auto"/>
              </w:rPr>
            </w:pPr>
          </w:p>
        </w:tc>
      </w:tr>
      <w:tr>
        <w:trPr>
          <w:trHeight w:val="27"/>
        </w:trPr>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3,456</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52,450</w:t>
            </w: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55,906</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3,061</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690,570</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693,631</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60" w:type="dxa"/>
            <w:vAlign w:val="bottom"/>
          </w:tcPr>
          <w:p>
            <w:pPr>
              <w:spacing w:after="0"/>
              <w:rPr>
                <w:sz w:val="21"/>
                <w:szCs w:val="21"/>
                <w:color w:val="auto"/>
              </w:rPr>
            </w:pPr>
          </w:p>
        </w:tc>
      </w:tr>
      <w:tr>
        <w:trPr>
          <w:trHeight w:val="27"/>
        </w:trPr>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2,934</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2,934</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2,770</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458,099</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460,869</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60" w:type="dxa"/>
            <w:vAlign w:val="bottom"/>
          </w:tcPr>
          <w:p>
            <w:pPr>
              <w:spacing w:after="0"/>
              <w:rPr>
                <w:sz w:val="21"/>
                <w:szCs w:val="21"/>
                <w:color w:val="auto"/>
              </w:rPr>
            </w:pPr>
          </w:p>
        </w:tc>
      </w:tr>
      <w:tr>
        <w:trPr>
          <w:trHeight w:val="27"/>
        </w:trPr>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8,012</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1,205,899</w:t>
            </w: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1,213,911</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0"/>
        </w:trPr>
        <w:tc>
          <w:tcPr>
            <w:tcW w:w="1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1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43,222</w:t>
            </w:r>
          </w:p>
        </w:tc>
        <w:tc>
          <w:tcPr>
            <w:tcW w:w="5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4,430,778</w:t>
            </w:r>
          </w:p>
        </w:tc>
        <w:tc>
          <w:tcPr>
            <w:tcW w:w="5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4,474,000  </w:t>
            </w:r>
            <w:r>
              <w:rPr>
                <w:rFonts w:ascii="Times New Roman" w:cs="Times New Roman" w:eastAsia="Times New Roman" w:hAnsi="Times New Roman"/>
                <w:sz w:val="16"/>
                <w:szCs w:val="16"/>
                <w:color w:val="auto"/>
              </w:rPr>
              <w:t>(3)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8255</wp:posOffset>
            </wp:positionV>
            <wp:extent cx="42519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-116205</wp:posOffset>
            </wp:positionV>
            <wp:extent cx="4251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39" w:lineRule="exact"/>
        <w:rPr>
          <w:sz w:val="20"/>
          <w:szCs w:val="20"/>
          <w:color w:val="auto"/>
        </w:rPr>
      </w:pPr>
    </w:p>
    <w:p>
      <w:pPr>
        <w:ind w:left="660" w:right="240" w:hanging="652"/>
        <w:spacing w:after="0" w:line="280"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includes the principal balance of The Shops at Sunset Place non-recourse mortgage loan, which matured on September 1, 2020. The weighted average rate includes interest at the non-default rate. See page 20 for further discussion.</w:t>
      </w:r>
    </w:p>
    <w:p>
      <w:pPr>
        <w:spacing w:after="0" w:line="2" w:lineRule="exact"/>
        <w:rPr>
          <w:rFonts w:ascii="Times New Roman" w:cs="Times New Roman" w:eastAsia="Times New Roman" w:hAnsi="Times New Roman"/>
          <w:sz w:val="16"/>
          <w:szCs w:val="16"/>
          <w:color w:val="auto"/>
        </w:rPr>
      </w:pPr>
    </w:p>
    <w:p>
      <w:pPr>
        <w:ind w:left="660" w:hanging="652"/>
        <w:spacing w:after="0" w:line="280"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6, 2020, we entered into a $400.0 million unsecured term loan, which matures on May 6, 2021. We have the option to extend the loan maturity one year to May 6, 2022.</w:t>
      </w:r>
    </w:p>
    <w:p>
      <w:pPr>
        <w:spacing w:after="0" w:line="2" w:lineRule="exact"/>
        <w:rPr>
          <w:rFonts w:ascii="Times New Roman" w:cs="Times New Roman" w:eastAsia="Times New Roman" w:hAnsi="Times New Roman"/>
          <w:sz w:val="16"/>
          <w:szCs w:val="16"/>
          <w:color w:val="auto"/>
        </w:rPr>
      </w:pPr>
    </w:p>
    <w:p>
      <w:pPr>
        <w:ind w:left="660" w:right="140" w:hanging="652"/>
        <w:spacing w:after="0" w:line="280"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debt maturities differ from the total reported on the consolidated balance sheet due to the unamortized net premium/discount and debt issuance costs on certain mortgage loans, notes payable, and senior notes as of September 30, 2020.</w:t>
      </w:r>
    </w:p>
    <w:p>
      <w:pPr>
        <w:spacing w:after="0" w:line="2"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reflects the weighted average interest rate on debt maturing in the respective year.</w:t>
      </w:r>
    </w:p>
    <w:p>
      <w:pPr>
        <w:spacing w:after="0" w:line="59" w:lineRule="exact"/>
        <w:rPr>
          <w:rFonts w:ascii="Times New Roman" w:cs="Times New Roman" w:eastAsia="Times New Roman" w:hAnsi="Times New Roman"/>
          <w:sz w:val="16"/>
          <w:szCs w:val="16"/>
          <w:color w:val="auto"/>
        </w:rPr>
      </w:pPr>
    </w:p>
    <w:p>
      <w:pPr>
        <w:ind w:left="660" w:right="400" w:hanging="652"/>
        <w:spacing w:after="0" w:line="280"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excludes $0.6 million in quarterly financing fees and quarterly debt fee amortization on our revolving credit facility, which had no balance outstanding at September 30, 2020. Our revolving credit facility matures on January 19, 2024, plus two six month extensions at our option.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711" w:right="339"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2020</w:t>
      </w: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The following redevelopment opportunities have received or will shortly receive all necessary approvals to proceed and are actively being worked on by the Trust.</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(1)</w:t>
      </w: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Impacts of COVID-19 Pandemic:</w:t>
      </w:r>
    </w:p>
    <w:p>
      <w:pPr>
        <w:spacing w:after="0" w:line="75" w:lineRule="exact"/>
        <w:rPr>
          <w:sz w:val="20"/>
          <w:szCs w:val="20"/>
          <w:color w:val="auto"/>
        </w:rPr>
      </w:pPr>
    </w:p>
    <w:p>
      <w:pPr>
        <w:ind w:left="40" w:right="380"/>
        <w:spacing w:after="0" w:line="298" w:lineRule="auto"/>
        <w:rPr>
          <w:sz w:val="20"/>
          <w:szCs w:val="20"/>
          <w:color w:val="auto"/>
        </w:rPr>
      </w:pPr>
      <w:r>
        <w:rPr>
          <w:rFonts w:ascii="Times New Roman" w:cs="Times New Roman" w:eastAsia="Times New Roman" w:hAnsi="Times New Roman"/>
          <w:sz w:val="16"/>
          <w:szCs w:val="16"/>
          <w:color w:val="auto"/>
        </w:rPr>
        <w:t>Information provided below reflects management’s best estimate based on current available information, however the completion of construction, final costs, return on investment, and timing of stabilization may be impacted by COVID-19.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8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 to</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Anticipated</w:t>
            </w:r>
          </w:p>
        </w:tc>
        <w:tc>
          <w:tcPr>
            <w:tcW w:w="0" w:type="dxa"/>
            <w:vAlign w:val="bottom"/>
          </w:tcPr>
          <w:p>
            <w:pPr>
              <w:spacing w:after="0"/>
              <w:rPr>
                <w:sz w:val="1"/>
                <w:szCs w:val="1"/>
                <w:color w:val="auto"/>
              </w:rPr>
            </w:pPr>
          </w:p>
        </w:tc>
      </w:tr>
      <w:tr>
        <w:trPr>
          <w:trHeight w:val="148"/>
        </w:trPr>
        <w:tc>
          <w:tcPr>
            <w:tcW w:w="15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4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840" w:type="dxa"/>
            <w:vAlign w:val="bottom"/>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8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Stabilization</w:t>
            </w:r>
          </w:p>
        </w:tc>
        <w:tc>
          <w:tcPr>
            <w:tcW w:w="0" w:type="dxa"/>
            <w:vAlign w:val="bottom"/>
          </w:tcPr>
          <w:p>
            <w:pPr>
              <w:spacing w:after="0"/>
              <w:rPr>
                <w:sz w:val="1"/>
                <w:szCs w:val="1"/>
                <w:color w:val="auto"/>
              </w:rPr>
            </w:pPr>
          </w:p>
        </w:tc>
      </w:tr>
      <w:tr>
        <w:trPr>
          <w:trHeight w:val="195"/>
        </w:trPr>
        <w:tc>
          <w:tcPr>
            <w:tcW w:w="154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48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ROI (2)</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 (1)</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millions)</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1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The Commons at Darien</w:t>
            </w:r>
          </w:p>
        </w:tc>
        <w:tc>
          <w:tcPr>
            <w:tcW w:w="1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Darien, CT</w:t>
            </w:r>
          </w:p>
        </w:tc>
        <w:tc>
          <w:tcPr>
            <w:tcW w:w="4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Demolition of a 45,000 square foot anchor space to construct 75,000 square feet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$110 - $120</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0" w:type="dxa"/>
            <w:vAlign w:val="bottom"/>
          </w:tcPr>
          <w:p>
            <w:pPr>
              <w:spacing w:after="0"/>
              <w:rPr>
                <w:sz w:val="1"/>
                <w:szCs w:val="1"/>
                <w:color w:val="auto"/>
              </w:rPr>
            </w:pPr>
          </w:p>
        </w:tc>
      </w:tr>
      <w:tr>
        <w:trPr>
          <w:trHeight w:val="193"/>
        </w:trPr>
        <w:tc>
          <w:tcPr>
            <w:tcW w:w="1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new retail space, 122 rental apartments, and 720 parking spaces</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5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Cocowalk</w:t>
            </w:r>
          </w:p>
        </w:tc>
        <w:tc>
          <w:tcPr>
            <w:tcW w:w="1400" w:type="dxa"/>
            <w:vAlign w:val="bottom"/>
            <w:shd w:val="clear" w:color="auto" w:fill="CCEEFF"/>
          </w:tcPr>
          <w:p>
            <w:pPr>
              <w:ind w:left="80"/>
              <w:spacing w:after="0" w:line="158" w:lineRule="exact"/>
              <w:rPr>
                <w:sz w:val="20"/>
                <w:szCs w:val="20"/>
                <w:color w:val="auto"/>
              </w:rPr>
            </w:pPr>
            <w:r>
              <w:rPr>
                <w:rFonts w:ascii="Times New Roman" w:cs="Times New Roman" w:eastAsia="Times New Roman" w:hAnsi="Times New Roman"/>
                <w:sz w:val="14"/>
                <w:szCs w:val="14"/>
                <w:color w:val="auto"/>
              </w:rPr>
              <w:t>Coconut Grove, FL</w:t>
            </w:r>
          </w:p>
        </w:tc>
        <w:tc>
          <w:tcPr>
            <w:tcW w:w="484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4"/>
                <w:szCs w:val="14"/>
                <w:color w:val="auto"/>
              </w:rPr>
              <w:t>Entire shopping center redevelopment to include: demolition of three story east</w:t>
            </w:r>
          </w:p>
        </w:tc>
        <w:tc>
          <w:tcPr>
            <w:tcW w:w="840" w:type="dxa"/>
            <w:vAlign w:val="bottom"/>
            <w:shd w:val="clear" w:color="auto" w:fill="CCEEFF"/>
          </w:tcPr>
          <w:p>
            <w:pPr>
              <w:jc w:val="right"/>
              <w:ind w:right="108"/>
              <w:spacing w:after="0" w:line="158" w:lineRule="exact"/>
              <w:rPr>
                <w:sz w:val="20"/>
                <w:szCs w:val="20"/>
                <w:color w:val="auto"/>
              </w:rPr>
            </w:pPr>
            <w:r>
              <w:rPr>
                <w:rFonts w:ascii="Times New Roman" w:cs="Times New Roman" w:eastAsia="Times New Roman" w:hAnsi="Times New Roman"/>
                <w:sz w:val="14"/>
                <w:szCs w:val="14"/>
                <w:color w:val="auto"/>
              </w:rPr>
              <w:t>6%-7%</w:t>
            </w:r>
          </w:p>
        </w:tc>
        <w:tc>
          <w:tcPr>
            <w:tcW w:w="8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$85 - $90</w:t>
            </w:r>
          </w:p>
        </w:tc>
        <w:tc>
          <w:tcPr>
            <w:tcW w:w="7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$69</w:t>
            </w:r>
          </w:p>
        </w:tc>
        <w:tc>
          <w:tcPr>
            <w:tcW w:w="100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w w:val="99"/>
              </w:rPr>
              <w:t>2021</w:t>
            </w:r>
          </w:p>
        </w:tc>
        <w:tc>
          <w:tcPr>
            <w:tcW w:w="0" w:type="dxa"/>
            <w:vAlign w:val="bottom"/>
          </w:tcPr>
          <w:p>
            <w:pPr>
              <w:spacing w:after="0"/>
              <w:rPr>
                <w:sz w:val="1"/>
                <w:szCs w:val="1"/>
                <w:color w:val="auto"/>
              </w:rPr>
            </w:pPr>
          </w:p>
        </w:tc>
      </w:tr>
      <w:tr>
        <w:trPr>
          <w:trHeight w:val="148"/>
        </w:trPr>
        <w:tc>
          <w:tcPr>
            <w:tcW w:w="15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48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wing of the property and construction of a 106,000 square foot 5-story</w:t>
            </w:r>
          </w:p>
        </w:tc>
        <w:tc>
          <w:tcPr>
            <w:tcW w:w="8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48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office/retail building with 24,000 square feet of retail; complete renovation of</w:t>
            </w:r>
          </w:p>
        </w:tc>
        <w:tc>
          <w:tcPr>
            <w:tcW w:w="8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the west wing.</w:t>
            </w: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5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Freedom Plaza (5)</w:t>
            </w:r>
          </w:p>
        </w:tc>
        <w:tc>
          <w:tcPr>
            <w:tcW w:w="1400" w:type="dxa"/>
            <w:vAlign w:val="bottom"/>
          </w:tcPr>
          <w:p>
            <w:pPr>
              <w:ind w:left="80"/>
              <w:spacing w:after="0" w:line="153" w:lineRule="exact"/>
              <w:rPr>
                <w:sz w:val="20"/>
                <w:szCs w:val="20"/>
                <w:color w:val="auto"/>
              </w:rPr>
            </w:pPr>
            <w:r>
              <w:rPr>
                <w:rFonts w:ascii="Times New Roman" w:cs="Times New Roman" w:eastAsia="Times New Roman" w:hAnsi="Times New Roman"/>
                <w:sz w:val="14"/>
                <w:szCs w:val="14"/>
                <w:color w:val="auto"/>
              </w:rPr>
              <w:t>Los Angeles, CA</w:t>
            </w:r>
          </w:p>
        </w:tc>
        <w:tc>
          <w:tcPr>
            <w:tcW w:w="484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Development of a new 113,000 square foot single-story grocery anchored</w:t>
            </w:r>
          </w:p>
        </w:tc>
        <w:tc>
          <w:tcPr>
            <w:tcW w:w="8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7%</w:t>
            </w:r>
          </w:p>
        </w:tc>
        <w:tc>
          <w:tcPr>
            <w:tcW w:w="8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$38 - $42</w:t>
            </w:r>
          </w:p>
        </w:tc>
        <w:tc>
          <w:tcPr>
            <w:tcW w:w="7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$33</w:t>
            </w:r>
          </w:p>
        </w:tc>
        <w:tc>
          <w:tcPr>
            <w:tcW w:w="10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2021</w:t>
            </w:r>
          </w:p>
        </w:tc>
        <w:tc>
          <w:tcPr>
            <w:tcW w:w="0" w:type="dxa"/>
            <w:vAlign w:val="bottom"/>
          </w:tcPr>
          <w:p>
            <w:pPr>
              <w:spacing w:after="0"/>
              <w:rPr>
                <w:sz w:val="1"/>
                <w:szCs w:val="1"/>
                <w:color w:val="auto"/>
              </w:rPr>
            </w:pPr>
          </w:p>
        </w:tc>
      </w:tr>
      <w:tr>
        <w:trPr>
          <w:trHeight w:val="193"/>
        </w:trPr>
        <w:tc>
          <w:tcPr>
            <w:tcW w:w="1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neighborhood shopping center</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5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Bala Cynwyd</w:t>
            </w:r>
          </w:p>
        </w:tc>
        <w:tc>
          <w:tcPr>
            <w:tcW w:w="1400" w:type="dxa"/>
            <w:vAlign w:val="bottom"/>
            <w:shd w:val="clear" w:color="auto" w:fill="CCEEFF"/>
          </w:tcPr>
          <w:p>
            <w:pPr>
              <w:ind w:left="80"/>
              <w:spacing w:after="0" w:line="158" w:lineRule="exact"/>
              <w:rPr>
                <w:sz w:val="20"/>
                <w:szCs w:val="20"/>
                <w:color w:val="auto"/>
              </w:rPr>
            </w:pPr>
            <w:r>
              <w:rPr>
                <w:rFonts w:ascii="Times New Roman" w:cs="Times New Roman" w:eastAsia="Times New Roman" w:hAnsi="Times New Roman"/>
                <w:sz w:val="14"/>
                <w:szCs w:val="14"/>
                <w:color w:val="auto"/>
              </w:rPr>
              <w:t>Bala Cynwyd, PA</w:t>
            </w:r>
          </w:p>
        </w:tc>
        <w:tc>
          <w:tcPr>
            <w:tcW w:w="484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4"/>
                <w:szCs w:val="14"/>
                <w:color w:val="auto"/>
              </w:rPr>
              <w:t>New 87 unit residential apartment building to be constructed on underutilized</w:t>
            </w:r>
          </w:p>
        </w:tc>
        <w:tc>
          <w:tcPr>
            <w:tcW w:w="84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6%</w:t>
            </w:r>
          </w:p>
        </w:tc>
        <w:tc>
          <w:tcPr>
            <w:tcW w:w="8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$23</w:t>
            </w:r>
          </w:p>
        </w:tc>
        <w:tc>
          <w:tcPr>
            <w:tcW w:w="7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$22</w:t>
            </w:r>
          </w:p>
        </w:tc>
        <w:tc>
          <w:tcPr>
            <w:tcW w:w="100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w w:val="99"/>
              </w:rPr>
              <w:t>2021</w:t>
            </w: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land behind our existing shopping center</w:t>
            </w: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5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7021 Hollywood Blvd</w:t>
            </w:r>
          </w:p>
        </w:tc>
        <w:tc>
          <w:tcPr>
            <w:tcW w:w="1400" w:type="dxa"/>
            <w:vAlign w:val="bottom"/>
          </w:tcPr>
          <w:p>
            <w:pPr>
              <w:ind w:left="80"/>
              <w:spacing w:after="0" w:line="153" w:lineRule="exact"/>
              <w:rPr>
                <w:sz w:val="20"/>
                <w:szCs w:val="20"/>
                <w:color w:val="auto"/>
              </w:rPr>
            </w:pPr>
            <w:r>
              <w:rPr>
                <w:rFonts w:ascii="Times New Roman" w:cs="Times New Roman" w:eastAsia="Times New Roman" w:hAnsi="Times New Roman"/>
                <w:sz w:val="14"/>
                <w:szCs w:val="14"/>
                <w:color w:val="auto"/>
              </w:rPr>
              <w:t>Los Angeles, CA</w:t>
            </w:r>
          </w:p>
        </w:tc>
        <w:tc>
          <w:tcPr>
            <w:tcW w:w="484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Renovation of the center and three vacant spaces to accommodate a new 39,000</w:t>
            </w:r>
          </w:p>
        </w:tc>
        <w:tc>
          <w:tcPr>
            <w:tcW w:w="8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9%</w:t>
            </w:r>
          </w:p>
        </w:tc>
        <w:tc>
          <w:tcPr>
            <w:tcW w:w="8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$19</w:t>
            </w:r>
          </w:p>
        </w:tc>
        <w:tc>
          <w:tcPr>
            <w:tcW w:w="7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$15</w:t>
            </w:r>
          </w:p>
        </w:tc>
        <w:tc>
          <w:tcPr>
            <w:tcW w:w="10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2021</w:t>
            </w:r>
          </w:p>
        </w:tc>
        <w:tc>
          <w:tcPr>
            <w:tcW w:w="0" w:type="dxa"/>
            <w:vAlign w:val="bottom"/>
          </w:tcPr>
          <w:p>
            <w:pPr>
              <w:spacing w:after="0"/>
              <w:rPr>
                <w:sz w:val="1"/>
                <w:szCs w:val="1"/>
                <w:color w:val="auto"/>
              </w:rPr>
            </w:pPr>
          </w:p>
        </w:tc>
      </w:tr>
      <w:tr>
        <w:trPr>
          <w:trHeight w:val="193"/>
        </w:trPr>
        <w:tc>
          <w:tcPr>
            <w:tcW w:w="1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square foot anchor tenant</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5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Melville Mall</w:t>
            </w:r>
          </w:p>
        </w:tc>
        <w:tc>
          <w:tcPr>
            <w:tcW w:w="1400" w:type="dxa"/>
            <w:vAlign w:val="bottom"/>
            <w:shd w:val="clear" w:color="auto" w:fill="CCEEFF"/>
          </w:tcPr>
          <w:p>
            <w:pPr>
              <w:ind w:left="80"/>
              <w:spacing w:after="0" w:line="158" w:lineRule="exact"/>
              <w:rPr>
                <w:sz w:val="20"/>
                <w:szCs w:val="20"/>
                <w:color w:val="auto"/>
              </w:rPr>
            </w:pPr>
            <w:r>
              <w:rPr>
                <w:rFonts w:ascii="Times New Roman" w:cs="Times New Roman" w:eastAsia="Times New Roman" w:hAnsi="Times New Roman"/>
                <w:sz w:val="14"/>
                <w:szCs w:val="14"/>
                <w:color w:val="auto"/>
              </w:rPr>
              <w:t>Huntington, NY</w:t>
            </w:r>
          </w:p>
        </w:tc>
        <w:tc>
          <w:tcPr>
            <w:tcW w:w="484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4"/>
                <w:szCs w:val="14"/>
                <w:color w:val="auto"/>
              </w:rPr>
              <w:t>Development of a new 15,000 square foot pad site consisting of two multi-</w:t>
            </w:r>
          </w:p>
        </w:tc>
        <w:tc>
          <w:tcPr>
            <w:tcW w:w="84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8%</w:t>
            </w:r>
          </w:p>
        </w:tc>
        <w:tc>
          <w:tcPr>
            <w:tcW w:w="8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$11</w:t>
            </w:r>
          </w:p>
        </w:tc>
        <w:tc>
          <w:tcPr>
            <w:tcW w:w="7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$9</w:t>
            </w:r>
          </w:p>
        </w:tc>
        <w:tc>
          <w:tcPr>
            <w:tcW w:w="100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w w:val="99"/>
              </w:rPr>
              <w:t>2021</w:t>
            </w: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tenant retail buildings</w:t>
            </w: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5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Lawrence Park</w:t>
            </w:r>
          </w:p>
        </w:tc>
        <w:tc>
          <w:tcPr>
            <w:tcW w:w="1400" w:type="dxa"/>
            <w:vAlign w:val="bottom"/>
          </w:tcPr>
          <w:p>
            <w:pPr>
              <w:ind w:left="80"/>
              <w:spacing w:after="0" w:line="153" w:lineRule="exact"/>
              <w:rPr>
                <w:sz w:val="20"/>
                <w:szCs w:val="20"/>
                <w:color w:val="auto"/>
              </w:rPr>
            </w:pPr>
            <w:r>
              <w:rPr>
                <w:rFonts w:ascii="Times New Roman" w:cs="Times New Roman" w:eastAsia="Times New Roman" w:hAnsi="Times New Roman"/>
                <w:sz w:val="14"/>
                <w:szCs w:val="14"/>
                <w:color w:val="auto"/>
              </w:rPr>
              <w:t>Broomall, PA</w:t>
            </w:r>
          </w:p>
        </w:tc>
        <w:tc>
          <w:tcPr>
            <w:tcW w:w="484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Full shopping center redevelopment to include expansion of Main Line Health</w:t>
            </w:r>
          </w:p>
        </w:tc>
        <w:tc>
          <w:tcPr>
            <w:tcW w:w="8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w:t>
            </w:r>
          </w:p>
        </w:tc>
        <w:tc>
          <w:tcPr>
            <w:tcW w:w="8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$10</w:t>
            </w:r>
          </w:p>
        </w:tc>
        <w:tc>
          <w:tcPr>
            <w:tcW w:w="7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w:t>
            </w:r>
          </w:p>
        </w:tc>
        <w:tc>
          <w:tcPr>
            <w:tcW w:w="10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2021</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8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into vacant lower level space, creation of 17,800 square feet of small shop space</w:t>
            </w: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8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converted from vacated anchor space, and a façade renovation for the entire</w:t>
            </w: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center</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Wildwood</w:t>
            </w:r>
          </w:p>
        </w:tc>
        <w:tc>
          <w:tcPr>
            <w:tcW w:w="1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Bethesda, MD</w:t>
            </w:r>
          </w:p>
        </w:tc>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4,900 square foot south end building expansion and site improvements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Stabilized</w:t>
            </w:r>
          </w:p>
        </w:tc>
        <w:tc>
          <w:tcPr>
            <w:tcW w:w="0" w:type="dxa"/>
            <w:vAlign w:val="bottom"/>
          </w:tcPr>
          <w:p>
            <w:pPr>
              <w:spacing w:after="0"/>
              <w:rPr>
                <w:sz w:val="1"/>
                <w:szCs w:val="1"/>
                <w:color w:val="auto"/>
              </w:rPr>
            </w:pPr>
          </w:p>
        </w:tc>
      </w:tr>
      <w:tr>
        <w:trPr>
          <w:trHeight w:val="198"/>
        </w:trPr>
        <w:tc>
          <w:tcPr>
            <w:tcW w:w="1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Flourtown</w:t>
            </w:r>
          </w:p>
        </w:tc>
        <w:tc>
          <w:tcPr>
            <w:tcW w:w="1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Flourtown, PA</w:t>
            </w:r>
          </w:p>
        </w:tc>
        <w:tc>
          <w:tcPr>
            <w:tcW w:w="4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Development of a new 4,550 square foot two-tenant pad building</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0" w:type="dxa"/>
            <w:vAlign w:val="bottom"/>
          </w:tcPr>
          <w:p>
            <w:pPr>
              <w:spacing w:after="0"/>
              <w:rPr>
                <w:sz w:val="1"/>
                <w:szCs w:val="1"/>
                <w:color w:val="auto"/>
              </w:rPr>
            </w:pPr>
          </w:p>
        </w:tc>
      </w:tr>
      <w:tr>
        <w:trPr>
          <w:trHeight w:val="208"/>
        </w:trPr>
        <w:tc>
          <w:tcPr>
            <w:tcW w:w="1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Sylmar Towne Center</w:t>
            </w:r>
          </w:p>
        </w:tc>
        <w:tc>
          <w:tcPr>
            <w:tcW w:w="1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Sylmar, CA</w:t>
            </w:r>
          </w:p>
        </w:tc>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Development of a new 3,800 square foot two-tenant pad building</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0" w:type="dxa"/>
            <w:vAlign w:val="bottom"/>
          </w:tcPr>
          <w:p>
            <w:pPr>
              <w:spacing w:after="0"/>
              <w:rPr>
                <w:sz w:val="1"/>
                <w:szCs w:val="1"/>
                <w:color w:val="auto"/>
              </w:rPr>
            </w:pPr>
          </w:p>
        </w:tc>
      </w:tr>
      <w:tr>
        <w:trPr>
          <w:trHeight w:val="203"/>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Active Redevelopment projects (4)</w:t>
            </w:r>
          </w:p>
        </w:tc>
        <w:tc>
          <w:tcPr>
            <w:tcW w:w="48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$307 - $326</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$177</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84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17" w:lineRule="exact"/>
        <w:rPr>
          <w:sz w:val="20"/>
          <w:szCs w:val="20"/>
          <w:color w:val="auto"/>
        </w:rPr>
      </w:pPr>
    </w:p>
    <w:p>
      <w:pPr>
        <w:jc w:val="both"/>
        <w:ind w:left="660" w:right="220" w:hanging="652"/>
        <w:spacing w:after="0" w:line="241"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hanging="652"/>
        <w:spacing w:after="0" w:line="241"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Stabilization is generally the year in which 90% physical occupancy of the redeveloped space is achieved. Economic stabilization may occur at a later point in time.</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subtotals and totals reflect cost weighted-average ROIs.</w:t>
      </w:r>
    </w:p>
    <w:p>
      <w:pPr>
        <w:spacing w:after="0" w:line="1" w:lineRule="exact"/>
        <w:rPr>
          <w:rFonts w:ascii="Times New Roman" w:cs="Times New Roman" w:eastAsia="Times New Roman" w:hAnsi="Times New Roman"/>
          <w:sz w:val="14"/>
          <w:szCs w:val="14"/>
          <w:color w:val="auto"/>
        </w:rPr>
      </w:pPr>
    </w:p>
    <w:p>
      <w:pPr>
        <w:ind w:left="660" w:right="180" w:hanging="652"/>
        <w:spacing w:after="0" w:line="258"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 formerly known as Jordan Downs Plaza. Cost to date and projected cost are net of the proceeds we will receive from our New Market Tax Credit structure. See Note 3 of our December 31, 2019 Form 10-K for additional information. Stabilization has been impacted by the COVID-19 pandemic.</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731" w:right="339"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Assembly Row, Pike &amp; Rose, and Santana Row</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2020</w:t>
      </w:r>
    </w:p>
    <w:p>
      <w:pPr>
        <w:spacing w:after="0" w:line="3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Impacts of COVID-19 Pandemic:</w:t>
      </w:r>
    </w:p>
    <w:p>
      <w:pPr>
        <w:spacing w:after="0" w:line="75" w:lineRule="exact"/>
        <w:rPr>
          <w:sz w:val="20"/>
          <w:szCs w:val="20"/>
          <w:color w:val="auto"/>
        </w:rPr>
      </w:pPr>
    </w:p>
    <w:p>
      <w:pPr>
        <w:ind w:left="40" w:right="360"/>
        <w:spacing w:after="0" w:line="298" w:lineRule="auto"/>
        <w:rPr>
          <w:sz w:val="20"/>
          <w:szCs w:val="20"/>
          <w:color w:val="auto"/>
        </w:rPr>
      </w:pPr>
      <w:r>
        <w:rPr>
          <w:rFonts w:ascii="Times New Roman" w:cs="Times New Roman" w:eastAsia="Times New Roman" w:hAnsi="Times New Roman"/>
          <w:sz w:val="16"/>
          <w:szCs w:val="16"/>
          <w:color w:val="auto"/>
        </w:rPr>
        <w:t>Information provided below reflects management’s best estimate based on current available information, however the completion of construction, final costs, return on investment, and timing of stabilization may be impacted by COVID-19.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8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84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Costs to</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Property (1)</w:t>
            </w:r>
          </w:p>
        </w:tc>
        <w:tc>
          <w:tcPr>
            <w:tcW w:w="3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80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ROI (2)</w:t>
            </w:r>
          </w:p>
        </w:tc>
        <w:tc>
          <w:tcPr>
            <w:tcW w:w="84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Cost (3)</w:t>
            </w:r>
          </w:p>
        </w:tc>
        <w:tc>
          <w:tcPr>
            <w:tcW w:w="68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Date</w:t>
            </w:r>
          </w:p>
        </w:tc>
        <w:tc>
          <w:tcPr>
            <w:tcW w:w="2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1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Opening Timeframe</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w:t>
            </w:r>
          </w:p>
        </w:tc>
        <w:tc>
          <w:tcPr>
            <w:tcW w:w="680" w:type="dxa"/>
            <w:vAlign w:val="bottom"/>
          </w:tcPr>
          <w:p>
            <w:pPr>
              <w:jc w:val="center"/>
              <w:ind w:left="29"/>
              <w:spacing w:after="0"/>
              <w:rPr>
                <w:sz w:val="20"/>
                <w:szCs w:val="20"/>
                <w:color w:val="auto"/>
              </w:rPr>
            </w:pPr>
            <w:r>
              <w:rPr>
                <w:rFonts w:ascii="Times New Roman" w:cs="Times New Roman" w:eastAsia="Times New Roman" w:hAnsi="Times New Roman"/>
                <w:sz w:val="13"/>
                <w:szCs w:val="13"/>
                <w:color w:val="auto"/>
                <w:w w:val="96"/>
              </w:rPr>
              <w:t>(in</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millions)</w:t>
            </w:r>
          </w:p>
        </w:tc>
        <w:tc>
          <w:tcPr>
            <w:tcW w:w="680" w:type="dxa"/>
            <w:vAlign w:val="bottom"/>
          </w:tcPr>
          <w:p>
            <w:pPr>
              <w:jc w:val="center"/>
              <w:ind w:left="29"/>
              <w:spacing w:after="0"/>
              <w:rPr>
                <w:sz w:val="20"/>
                <w:szCs w:val="20"/>
                <w:color w:val="auto"/>
              </w:rPr>
            </w:pPr>
            <w:r>
              <w:rPr>
                <w:rFonts w:ascii="Times New Roman" w:cs="Times New Roman" w:eastAsia="Times New Roman" w:hAnsi="Times New Roman"/>
                <w:sz w:val="13"/>
                <w:szCs w:val="13"/>
                <w:color w:val="auto"/>
              </w:rPr>
              <w:t>millions)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Assembly Row, </w:t>
            </w:r>
            <w:r>
              <w:rPr>
                <w:rFonts w:ascii="Times New Roman" w:cs="Times New Roman" w:eastAsia="Times New Roman" w:hAnsi="Times New Roman"/>
                <w:sz w:val="14"/>
                <w:szCs w:val="14"/>
                <w:b w:val="1"/>
                <w:bCs w:val="1"/>
                <w:i w:val="1"/>
                <w:iCs w:val="1"/>
                <w:color w:val="auto"/>
              </w:rPr>
              <w:t>Somerville, MA</w:t>
            </w:r>
          </w:p>
        </w:tc>
        <w:tc>
          <w:tcPr>
            <w:tcW w:w="1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shd w:val="clear" w:color="auto" w:fill="CCEEFF"/>
              </w:rPr>
              <w:t>Phase III</w:t>
            </w:r>
          </w:p>
        </w:tc>
        <w:tc>
          <w:tcPr>
            <w:tcW w:w="22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- 277,000 SF of office</w:t>
            </w:r>
          </w:p>
        </w:tc>
        <w:tc>
          <w:tcPr>
            <w:tcW w:w="800" w:type="dxa"/>
            <w:vAlign w:val="bottom"/>
            <w:shd w:val="clear" w:color="auto" w:fill="CCEEFF"/>
          </w:tcPr>
          <w:p>
            <w:pPr>
              <w:jc w:val="center"/>
              <w:ind w:left="68"/>
              <w:spacing w:after="0" w:line="153" w:lineRule="exact"/>
              <w:rPr>
                <w:sz w:val="20"/>
                <w:szCs w:val="20"/>
                <w:color w:val="auto"/>
              </w:rPr>
            </w:pPr>
            <w:r>
              <w:rPr>
                <w:rFonts w:ascii="Times New Roman" w:cs="Times New Roman" w:eastAsia="Times New Roman" w:hAnsi="Times New Roman"/>
                <w:sz w:val="14"/>
                <w:szCs w:val="14"/>
                <w:color w:val="auto"/>
                <w:w w:val="96"/>
              </w:rPr>
              <w:t>6%</w:t>
            </w:r>
          </w:p>
        </w:tc>
        <w:tc>
          <w:tcPr>
            <w:tcW w:w="840" w:type="dxa"/>
            <w:vAlign w:val="bottom"/>
            <w:shd w:val="clear" w:color="auto" w:fill="CCEEFF"/>
          </w:tcPr>
          <w:p>
            <w:pPr>
              <w:jc w:val="center"/>
              <w:ind w:left="9"/>
              <w:spacing w:after="0" w:line="153" w:lineRule="exact"/>
              <w:rPr>
                <w:sz w:val="20"/>
                <w:szCs w:val="20"/>
                <w:color w:val="auto"/>
              </w:rPr>
            </w:pPr>
            <w:r>
              <w:rPr>
                <w:rFonts w:ascii="Times New Roman" w:cs="Times New Roman" w:eastAsia="Times New Roman" w:hAnsi="Times New Roman"/>
                <w:sz w:val="14"/>
                <w:szCs w:val="14"/>
                <w:color w:val="auto"/>
                <w:w w:val="99"/>
                <w:shd w:val="clear" w:color="auto" w:fill="CCEEFF"/>
              </w:rPr>
              <w:t>$465 -</w:t>
            </w:r>
          </w:p>
        </w:tc>
        <w:tc>
          <w:tcPr>
            <w:tcW w:w="680" w:type="dxa"/>
            <w:vAlign w:val="bottom"/>
            <w:shd w:val="clear" w:color="auto" w:fill="CCEEFF"/>
          </w:tcPr>
          <w:p>
            <w:pPr>
              <w:jc w:val="center"/>
              <w:ind w:left="9"/>
              <w:spacing w:after="0" w:line="153" w:lineRule="exact"/>
              <w:rPr>
                <w:sz w:val="20"/>
                <w:szCs w:val="20"/>
                <w:color w:val="auto"/>
              </w:rPr>
            </w:pPr>
            <w:r>
              <w:rPr>
                <w:rFonts w:ascii="Times New Roman" w:cs="Times New Roman" w:eastAsia="Times New Roman" w:hAnsi="Times New Roman"/>
                <w:sz w:val="14"/>
                <w:szCs w:val="14"/>
                <w:color w:val="auto"/>
                <w:w w:val="99"/>
                <w:shd w:val="clear" w:color="auto" w:fill="CCEEFF"/>
              </w:rPr>
              <w:t>$311</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120" w:type="dxa"/>
            <w:vAlign w:val="bottom"/>
            <w:gridSpan w:val="4"/>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shd w:val="clear" w:color="auto" w:fill="CCEEFF"/>
              </w:rPr>
              <w:t>150,000 square feet of office space pre-leased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- 500 residential units</w:t>
            </w: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jc w:val="center"/>
              <w:ind w:left="9"/>
              <w:spacing w:after="0" w:line="149" w:lineRule="exact"/>
              <w:rPr>
                <w:sz w:val="20"/>
                <w:szCs w:val="20"/>
                <w:color w:val="auto"/>
              </w:rPr>
            </w:pPr>
            <w:r>
              <w:rPr>
                <w:rFonts w:ascii="Times New Roman" w:cs="Times New Roman" w:eastAsia="Times New Roman" w:hAnsi="Times New Roman"/>
                <w:sz w:val="14"/>
                <w:szCs w:val="14"/>
                <w:color w:val="auto"/>
                <w:w w:val="95"/>
                <w:shd w:val="clear" w:color="auto" w:fill="CCEEFF"/>
              </w:rPr>
              <w:t>485</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- 56,000 SF of retail</w:t>
            </w:r>
          </w:p>
        </w:tc>
        <w:tc>
          <w:tcPr>
            <w:tcW w:w="8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shd w:val="clear" w:color="auto" w:fill="CCEEFF"/>
              </w:rPr>
              <w:t>Opening projected to begin in 2021</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3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60" w:type="dxa"/>
            <w:vAlign w:val="bottom"/>
            <w:gridSpan w:val="2"/>
            <w:vMerge w:val="continue"/>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90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Future Phases</w:t>
            </w:r>
          </w:p>
        </w:tc>
        <w:tc>
          <w:tcPr>
            <w:tcW w:w="34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- 1.5M SF of commercial</w:t>
            </w:r>
          </w:p>
        </w:tc>
        <w:tc>
          <w:tcPr>
            <w:tcW w:w="800" w:type="dxa"/>
            <w:vAlign w:val="bottom"/>
          </w:tcPr>
          <w:p>
            <w:pPr>
              <w:jc w:val="center"/>
              <w:ind w:left="68"/>
              <w:spacing w:after="0" w:line="153" w:lineRule="exact"/>
              <w:rPr>
                <w:sz w:val="20"/>
                <w:szCs w:val="20"/>
                <w:color w:val="auto"/>
              </w:rPr>
            </w:pPr>
            <w:r>
              <w:rPr>
                <w:rFonts w:ascii="Times New Roman" w:cs="Times New Roman" w:eastAsia="Times New Roman" w:hAnsi="Times New Roman"/>
                <w:sz w:val="14"/>
                <w:szCs w:val="14"/>
                <w:color w:val="auto"/>
              </w:rPr>
              <w:t>TBD</w:t>
            </w:r>
          </w:p>
        </w:tc>
        <w:tc>
          <w:tcPr>
            <w:tcW w:w="840" w:type="dxa"/>
            <w:vAlign w:val="bottom"/>
          </w:tcPr>
          <w:p>
            <w:pPr>
              <w:jc w:val="center"/>
              <w:ind w:left="9"/>
              <w:spacing w:after="0" w:line="153" w:lineRule="exact"/>
              <w:rPr>
                <w:sz w:val="20"/>
                <w:szCs w:val="20"/>
                <w:color w:val="auto"/>
              </w:rPr>
            </w:pPr>
            <w:r>
              <w:rPr>
                <w:rFonts w:ascii="Times New Roman" w:cs="Times New Roman" w:eastAsia="Times New Roman" w:hAnsi="Times New Roman"/>
                <w:sz w:val="14"/>
                <w:szCs w:val="14"/>
                <w:color w:val="auto"/>
                <w:w w:val="99"/>
              </w:rPr>
              <w:t>TBD</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- 329 residential units</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9"/>
        </w:trPr>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3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5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Pike &amp; Rose, </w:t>
            </w:r>
            <w:r>
              <w:rPr>
                <w:rFonts w:ascii="Times New Roman" w:cs="Times New Roman" w:eastAsia="Times New Roman" w:hAnsi="Times New Roman"/>
                <w:sz w:val="14"/>
                <w:szCs w:val="14"/>
                <w:b w:val="1"/>
                <w:bCs w:val="1"/>
                <w:i w:val="1"/>
                <w:iCs w:val="1"/>
                <w:color w:val="auto"/>
              </w:rPr>
              <w:t>North Bethesda, MD</w:t>
            </w:r>
          </w:p>
        </w:tc>
        <w:tc>
          <w:tcPr>
            <w:tcW w:w="8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68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330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8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90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Phase III</w:t>
            </w:r>
          </w:p>
        </w:tc>
        <w:tc>
          <w:tcPr>
            <w:tcW w:w="34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- 212,000 SF of office</w:t>
            </w:r>
          </w:p>
        </w:tc>
        <w:tc>
          <w:tcPr>
            <w:tcW w:w="800" w:type="dxa"/>
            <w:vAlign w:val="bottom"/>
          </w:tcPr>
          <w:p>
            <w:pPr>
              <w:jc w:val="center"/>
              <w:ind w:left="68"/>
              <w:spacing w:after="0" w:line="153" w:lineRule="exact"/>
              <w:rPr>
                <w:sz w:val="20"/>
                <w:szCs w:val="20"/>
                <w:color w:val="auto"/>
              </w:rPr>
            </w:pPr>
            <w:r>
              <w:rPr>
                <w:rFonts w:ascii="Times New Roman" w:cs="Times New Roman" w:eastAsia="Times New Roman" w:hAnsi="Times New Roman"/>
                <w:sz w:val="14"/>
                <w:szCs w:val="14"/>
                <w:color w:val="auto"/>
                <w:w w:val="98"/>
              </w:rPr>
              <w:t>6-7%</w:t>
            </w:r>
          </w:p>
        </w:tc>
        <w:tc>
          <w:tcPr>
            <w:tcW w:w="840" w:type="dxa"/>
            <w:vAlign w:val="bottom"/>
          </w:tcPr>
          <w:p>
            <w:pPr>
              <w:jc w:val="center"/>
              <w:ind w:left="9"/>
              <w:spacing w:after="0" w:line="153" w:lineRule="exact"/>
              <w:rPr>
                <w:sz w:val="20"/>
                <w:szCs w:val="20"/>
                <w:color w:val="auto"/>
              </w:rPr>
            </w:pPr>
            <w:r>
              <w:rPr>
                <w:rFonts w:ascii="Times New Roman" w:cs="Times New Roman" w:eastAsia="Times New Roman" w:hAnsi="Times New Roman"/>
                <w:sz w:val="14"/>
                <w:szCs w:val="14"/>
                <w:color w:val="auto"/>
                <w:w w:val="99"/>
              </w:rPr>
              <w:t>$128 -</w:t>
            </w:r>
          </w:p>
        </w:tc>
        <w:tc>
          <w:tcPr>
            <w:tcW w:w="680" w:type="dxa"/>
            <w:vAlign w:val="bottom"/>
          </w:tcPr>
          <w:p>
            <w:pPr>
              <w:jc w:val="center"/>
              <w:ind w:left="29"/>
              <w:spacing w:after="0" w:line="153" w:lineRule="exact"/>
              <w:rPr>
                <w:sz w:val="20"/>
                <w:szCs w:val="20"/>
                <w:color w:val="auto"/>
              </w:rPr>
            </w:pPr>
            <w:r>
              <w:rPr>
                <w:rFonts w:ascii="Times New Roman" w:cs="Times New Roman" w:eastAsia="Times New Roman" w:hAnsi="Times New Roman"/>
                <w:sz w:val="14"/>
                <w:szCs w:val="14"/>
                <w:color w:val="auto"/>
              </w:rPr>
              <w:t>$94</w:t>
            </w:r>
          </w:p>
        </w:tc>
        <w:tc>
          <w:tcPr>
            <w:tcW w:w="2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3"/>
                <w:szCs w:val="13"/>
                <w:color w:val="auto"/>
              </w:rPr>
            </w:pPr>
          </w:p>
        </w:tc>
        <w:tc>
          <w:tcPr>
            <w:tcW w:w="3120" w:type="dxa"/>
            <w:vAlign w:val="bottom"/>
            <w:gridSpan w:val="4"/>
          </w:tcPr>
          <w:p>
            <w:pPr>
              <w:ind w:left="20"/>
              <w:spacing w:after="0" w:line="153" w:lineRule="exact"/>
              <w:rPr>
                <w:sz w:val="20"/>
                <w:szCs w:val="20"/>
                <w:color w:val="auto"/>
              </w:rPr>
            </w:pPr>
            <w:r>
              <w:rPr>
                <w:rFonts w:ascii="Times New Roman" w:cs="Times New Roman" w:eastAsia="Times New Roman" w:hAnsi="Times New Roman"/>
                <w:sz w:val="14"/>
                <w:szCs w:val="14"/>
                <w:color w:val="auto"/>
              </w:rPr>
              <w:t>Opening began in Q3 2020</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- 4,000 SF of retail</w:t>
            </w:r>
          </w:p>
        </w:tc>
        <w:tc>
          <w:tcPr>
            <w:tcW w:w="8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135</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shd w:val="clear" w:color="auto" w:fill="CCEEFF"/>
              </w:rPr>
              <w:t>Future Phases</w:t>
            </w:r>
          </w:p>
        </w:tc>
        <w:tc>
          <w:tcPr>
            <w:tcW w:w="22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- 740,000 SF of commercial</w:t>
            </w:r>
          </w:p>
        </w:tc>
        <w:tc>
          <w:tcPr>
            <w:tcW w:w="800" w:type="dxa"/>
            <w:vAlign w:val="bottom"/>
            <w:shd w:val="clear" w:color="auto" w:fill="CCEEFF"/>
          </w:tcPr>
          <w:p>
            <w:pPr>
              <w:jc w:val="center"/>
              <w:ind w:left="68"/>
              <w:spacing w:after="0" w:line="158" w:lineRule="exact"/>
              <w:rPr>
                <w:sz w:val="20"/>
                <w:szCs w:val="20"/>
                <w:color w:val="auto"/>
              </w:rPr>
            </w:pPr>
            <w:r>
              <w:rPr>
                <w:rFonts w:ascii="Times New Roman" w:cs="Times New Roman" w:eastAsia="Times New Roman" w:hAnsi="Times New Roman"/>
                <w:sz w:val="14"/>
                <w:szCs w:val="14"/>
                <w:color w:val="auto"/>
                <w:shd w:val="clear" w:color="auto" w:fill="CCEEFF"/>
              </w:rPr>
              <w:t>TBD</w:t>
            </w:r>
          </w:p>
        </w:tc>
        <w:tc>
          <w:tcPr>
            <w:tcW w:w="840" w:type="dxa"/>
            <w:vAlign w:val="bottom"/>
            <w:shd w:val="clear" w:color="auto" w:fill="CCEEFF"/>
          </w:tcPr>
          <w:p>
            <w:pPr>
              <w:jc w:val="center"/>
              <w:ind w:left="9"/>
              <w:spacing w:after="0" w:line="158" w:lineRule="exact"/>
              <w:rPr>
                <w:sz w:val="20"/>
                <w:szCs w:val="20"/>
                <w:color w:val="auto"/>
              </w:rPr>
            </w:pPr>
            <w:r>
              <w:rPr>
                <w:rFonts w:ascii="Times New Roman" w:cs="Times New Roman" w:eastAsia="Times New Roman" w:hAnsi="Times New Roman"/>
                <w:sz w:val="14"/>
                <w:szCs w:val="14"/>
                <w:color w:val="auto"/>
                <w:w w:val="99"/>
                <w:shd w:val="clear" w:color="auto" w:fill="CCEEFF"/>
              </w:rPr>
              <w:t>TBD</w:t>
            </w: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- 741 residential units</w:t>
            </w:r>
          </w:p>
        </w:tc>
        <w:tc>
          <w:tcPr>
            <w:tcW w:w="8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Santana Row, </w:t>
            </w:r>
            <w:r>
              <w:rPr>
                <w:rFonts w:ascii="Times New Roman" w:cs="Times New Roman" w:eastAsia="Times New Roman" w:hAnsi="Times New Roman"/>
                <w:sz w:val="14"/>
                <w:szCs w:val="14"/>
                <w:b w:val="1"/>
                <w:bCs w:val="1"/>
                <w:i w:val="1"/>
                <w:iCs w:val="1"/>
                <w:color w:val="auto"/>
              </w:rPr>
              <w:t>San Jose, CA</w:t>
            </w:r>
          </w:p>
        </w:tc>
        <w:tc>
          <w:tcPr>
            <w:tcW w:w="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shd w:val="clear" w:color="auto" w:fill="CCEEFF"/>
              </w:rPr>
              <w:t>700 Santana Row</w:t>
            </w:r>
          </w:p>
        </w:tc>
        <w:tc>
          <w:tcPr>
            <w:tcW w:w="22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- 301,000 SF of office</w:t>
            </w:r>
          </w:p>
        </w:tc>
        <w:tc>
          <w:tcPr>
            <w:tcW w:w="800" w:type="dxa"/>
            <w:vAlign w:val="bottom"/>
            <w:shd w:val="clear" w:color="auto" w:fill="CCEEFF"/>
          </w:tcPr>
          <w:p>
            <w:pPr>
              <w:jc w:val="center"/>
              <w:ind w:left="68"/>
              <w:spacing w:after="0" w:line="153" w:lineRule="exact"/>
              <w:rPr>
                <w:sz w:val="20"/>
                <w:szCs w:val="20"/>
                <w:color w:val="auto"/>
              </w:rPr>
            </w:pPr>
            <w:r>
              <w:rPr>
                <w:rFonts w:ascii="Times New Roman" w:cs="Times New Roman" w:eastAsia="Times New Roman" w:hAnsi="Times New Roman"/>
                <w:sz w:val="14"/>
                <w:szCs w:val="14"/>
                <w:color w:val="auto"/>
                <w:w w:val="98"/>
              </w:rPr>
              <w:t>7-8%</w:t>
            </w:r>
          </w:p>
        </w:tc>
        <w:tc>
          <w:tcPr>
            <w:tcW w:w="840" w:type="dxa"/>
            <w:vAlign w:val="bottom"/>
            <w:shd w:val="clear" w:color="auto" w:fill="CCEEFF"/>
          </w:tcPr>
          <w:p>
            <w:pPr>
              <w:jc w:val="center"/>
              <w:ind w:left="9"/>
              <w:spacing w:after="0" w:line="153" w:lineRule="exact"/>
              <w:rPr>
                <w:sz w:val="20"/>
                <w:szCs w:val="20"/>
                <w:color w:val="auto"/>
              </w:rPr>
            </w:pPr>
            <w:r>
              <w:rPr>
                <w:rFonts w:ascii="Times New Roman" w:cs="Times New Roman" w:eastAsia="Times New Roman" w:hAnsi="Times New Roman"/>
                <w:sz w:val="14"/>
                <w:szCs w:val="14"/>
                <w:color w:val="auto"/>
                <w:w w:val="99"/>
                <w:shd w:val="clear" w:color="auto" w:fill="CCEEFF"/>
              </w:rPr>
              <w:t>$210 -</w:t>
            </w:r>
          </w:p>
        </w:tc>
        <w:tc>
          <w:tcPr>
            <w:tcW w:w="680" w:type="dxa"/>
            <w:vAlign w:val="bottom"/>
            <w:shd w:val="clear" w:color="auto" w:fill="CCEEFF"/>
          </w:tcPr>
          <w:p>
            <w:pPr>
              <w:jc w:val="center"/>
              <w:ind w:left="29"/>
              <w:spacing w:after="0" w:line="153" w:lineRule="exact"/>
              <w:rPr>
                <w:sz w:val="20"/>
                <w:szCs w:val="20"/>
                <w:color w:val="auto"/>
              </w:rPr>
            </w:pPr>
            <w:r>
              <w:rPr>
                <w:rFonts w:ascii="Times New Roman" w:cs="Times New Roman" w:eastAsia="Times New Roman" w:hAnsi="Times New Roman"/>
                <w:sz w:val="14"/>
                <w:szCs w:val="14"/>
                <w:color w:val="auto"/>
              </w:rPr>
              <w:t>$201</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shd w:val="clear" w:color="auto" w:fill="CCEEFF"/>
              </w:rPr>
              <w:t>Office delivered in Q1 2020</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- 20,000 SF of retail &amp; 1,300 parking spaces</w:t>
            </w: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jc w:val="center"/>
              <w:ind w:left="9"/>
              <w:spacing w:after="0" w:line="149" w:lineRule="exact"/>
              <w:rPr>
                <w:sz w:val="20"/>
                <w:szCs w:val="20"/>
                <w:color w:val="auto"/>
              </w:rPr>
            </w:pPr>
            <w:r>
              <w:rPr>
                <w:rFonts w:ascii="Times New Roman" w:cs="Times New Roman" w:eastAsia="Times New Roman" w:hAnsi="Times New Roman"/>
                <w:sz w:val="14"/>
                <w:szCs w:val="14"/>
                <w:color w:val="auto"/>
                <w:w w:val="95"/>
                <w:shd w:val="clear" w:color="auto" w:fill="CCEEFF"/>
              </w:rPr>
              <w:t>215</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 Redevelopment of Santana Row Park including the</w:t>
            </w: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shd w:val="clear" w:color="auto" w:fill="CCEEFF"/>
              </w:rPr>
              <w:t>11,000 square feet of retail has opened</w:t>
            </w: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4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installation of a new retail pavilion</w:t>
            </w:r>
          </w:p>
        </w:tc>
        <w:tc>
          <w:tcPr>
            <w:tcW w:w="8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40" w:type="dxa"/>
            <w:vAlign w:val="bottom"/>
            <w:gridSpan w:val="3"/>
            <w:vMerge w:val="continue"/>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4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460" w:type="dxa"/>
            <w:vAlign w:val="bottom"/>
            <w:gridSpan w:val="2"/>
            <w:vMerge w:val="continue"/>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shd w:val="clear" w:color="auto" w:fill="CCEEFF"/>
              </w:rPr>
              <w:t>Project stabilized</w:t>
            </w:r>
          </w:p>
        </w:tc>
        <w:tc>
          <w:tcPr>
            <w:tcW w:w="10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2100" w:type="dxa"/>
            <w:vAlign w:val="bottom"/>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90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Santana West - Phase I</w:t>
            </w:r>
          </w:p>
        </w:tc>
        <w:tc>
          <w:tcPr>
            <w:tcW w:w="34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- 376,000 SF of office</w:t>
            </w:r>
          </w:p>
        </w:tc>
        <w:tc>
          <w:tcPr>
            <w:tcW w:w="800" w:type="dxa"/>
            <w:vAlign w:val="bottom"/>
          </w:tcPr>
          <w:p>
            <w:pPr>
              <w:jc w:val="center"/>
              <w:ind w:left="68"/>
              <w:spacing w:after="0" w:line="153" w:lineRule="exact"/>
              <w:rPr>
                <w:sz w:val="20"/>
                <w:szCs w:val="20"/>
                <w:color w:val="auto"/>
              </w:rPr>
            </w:pPr>
            <w:r>
              <w:rPr>
                <w:rFonts w:ascii="Times New Roman" w:cs="Times New Roman" w:eastAsia="Times New Roman" w:hAnsi="Times New Roman"/>
                <w:sz w:val="14"/>
                <w:szCs w:val="14"/>
                <w:color w:val="auto"/>
                <w:w w:val="96"/>
              </w:rPr>
              <w:t>7%</w:t>
            </w:r>
          </w:p>
        </w:tc>
        <w:tc>
          <w:tcPr>
            <w:tcW w:w="840" w:type="dxa"/>
            <w:vAlign w:val="bottom"/>
          </w:tcPr>
          <w:p>
            <w:pPr>
              <w:jc w:val="center"/>
              <w:ind w:left="9"/>
              <w:spacing w:after="0" w:line="153" w:lineRule="exact"/>
              <w:rPr>
                <w:sz w:val="20"/>
                <w:szCs w:val="20"/>
                <w:color w:val="auto"/>
              </w:rPr>
            </w:pPr>
            <w:r>
              <w:rPr>
                <w:rFonts w:ascii="Times New Roman" w:cs="Times New Roman" w:eastAsia="Times New Roman" w:hAnsi="Times New Roman"/>
                <w:sz w:val="14"/>
                <w:szCs w:val="14"/>
                <w:color w:val="auto"/>
                <w:w w:val="99"/>
              </w:rPr>
              <w:t>$250 -</w:t>
            </w:r>
          </w:p>
        </w:tc>
        <w:tc>
          <w:tcPr>
            <w:tcW w:w="680" w:type="dxa"/>
            <w:vAlign w:val="bottom"/>
          </w:tcPr>
          <w:p>
            <w:pPr>
              <w:jc w:val="center"/>
              <w:ind w:left="29"/>
              <w:spacing w:after="0" w:line="153" w:lineRule="exact"/>
              <w:rPr>
                <w:sz w:val="20"/>
                <w:szCs w:val="20"/>
                <w:color w:val="auto"/>
              </w:rPr>
            </w:pPr>
            <w:r>
              <w:rPr>
                <w:rFonts w:ascii="Times New Roman" w:cs="Times New Roman" w:eastAsia="Times New Roman" w:hAnsi="Times New Roman"/>
                <w:sz w:val="14"/>
                <w:szCs w:val="14"/>
                <w:color w:val="auto"/>
              </w:rPr>
              <w:t>$106</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20" w:type="dxa"/>
            <w:vAlign w:val="bottom"/>
            <w:gridSpan w:val="4"/>
          </w:tcPr>
          <w:p>
            <w:pPr>
              <w:ind w:left="20"/>
              <w:spacing w:after="0" w:line="153" w:lineRule="exact"/>
              <w:rPr>
                <w:sz w:val="20"/>
                <w:szCs w:val="20"/>
                <w:color w:val="auto"/>
              </w:rPr>
            </w:pPr>
            <w:r>
              <w:rPr>
                <w:rFonts w:ascii="Times New Roman" w:cs="Times New Roman" w:eastAsia="Times New Roman" w:hAnsi="Times New Roman"/>
                <w:sz w:val="14"/>
                <w:szCs w:val="14"/>
                <w:color w:val="auto"/>
              </w:rPr>
              <w:t>Opening projected to begin in 2022</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- 1,750 parking spaces</w:t>
            </w:r>
          </w:p>
        </w:tc>
        <w:tc>
          <w:tcPr>
            <w:tcW w:w="8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270</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shd w:val="clear" w:color="auto" w:fill="CCEEFF"/>
              </w:rPr>
              <w:t>Future Phases</w:t>
            </w:r>
          </w:p>
        </w:tc>
        <w:tc>
          <w:tcPr>
            <w:tcW w:w="22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-321,000 SF of commercial</w:t>
            </w:r>
          </w:p>
        </w:tc>
        <w:tc>
          <w:tcPr>
            <w:tcW w:w="800" w:type="dxa"/>
            <w:vAlign w:val="bottom"/>
            <w:shd w:val="clear" w:color="auto" w:fill="CCEEFF"/>
          </w:tcPr>
          <w:p>
            <w:pPr>
              <w:jc w:val="center"/>
              <w:ind w:left="68"/>
              <w:spacing w:after="0" w:line="158" w:lineRule="exact"/>
              <w:rPr>
                <w:sz w:val="20"/>
                <w:szCs w:val="20"/>
                <w:color w:val="auto"/>
              </w:rPr>
            </w:pPr>
            <w:r>
              <w:rPr>
                <w:rFonts w:ascii="Times New Roman" w:cs="Times New Roman" w:eastAsia="Times New Roman" w:hAnsi="Times New Roman"/>
                <w:sz w:val="14"/>
                <w:szCs w:val="14"/>
                <w:color w:val="auto"/>
                <w:shd w:val="clear" w:color="auto" w:fill="CCEEFF"/>
              </w:rPr>
              <w:t>TBD</w:t>
            </w:r>
          </w:p>
        </w:tc>
        <w:tc>
          <w:tcPr>
            <w:tcW w:w="840" w:type="dxa"/>
            <w:vAlign w:val="bottom"/>
            <w:shd w:val="clear" w:color="auto" w:fill="CCEEFF"/>
          </w:tcPr>
          <w:p>
            <w:pPr>
              <w:jc w:val="center"/>
              <w:ind w:left="9"/>
              <w:spacing w:after="0" w:line="158" w:lineRule="exact"/>
              <w:rPr>
                <w:sz w:val="20"/>
                <w:szCs w:val="20"/>
                <w:color w:val="auto"/>
              </w:rPr>
            </w:pPr>
            <w:r>
              <w:rPr>
                <w:rFonts w:ascii="Times New Roman" w:cs="Times New Roman" w:eastAsia="Times New Roman" w:hAnsi="Times New Roman"/>
                <w:sz w:val="14"/>
                <w:szCs w:val="14"/>
                <w:color w:val="auto"/>
                <w:w w:val="99"/>
                <w:shd w:val="clear" w:color="auto" w:fill="CCEEFF"/>
              </w:rPr>
              <w:t>TBD</w:t>
            </w: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-395 residential units</w:t>
            </w: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-604,000 SF of commercial across from Santana Row</w:t>
            </w:r>
          </w:p>
        </w:tc>
        <w:tc>
          <w:tcPr>
            <w:tcW w:w="8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190" w:lineRule="exact"/>
        <w:rPr>
          <w:sz w:val="20"/>
          <w:szCs w:val="20"/>
          <w:color w:val="auto"/>
        </w:rPr>
      </w:pPr>
    </w:p>
    <w:p>
      <w:pPr>
        <w:ind w:left="500" w:right="200" w:hanging="465"/>
        <w:spacing w:after="0" w:line="261" w:lineRule="auto"/>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opening dates, total cost, and projected return on investment (ROI)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ind w:left="500" w:hanging="465"/>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ROI for development projects reflects the unleveraged Property Operating Income (POI) generated by the development and is calculated as POI divided by cost.</w:t>
      </w:r>
    </w:p>
    <w:p>
      <w:pPr>
        <w:spacing w:after="0" w:line="41"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costs for Assembly Row and Pike &amp; Rose include an allocation of infrastructure costs for the entire project. Phase I of Santana West includes an allocation of infrastructure for</w:t>
      </w:r>
    </w:p>
    <w:p>
      <w:pPr>
        <w:spacing w:after="0" w:line="3" w:lineRule="exact"/>
        <w:rPr>
          <w:rFonts w:ascii="Times New Roman" w:cs="Times New Roman" w:eastAsia="Times New Roman" w:hAnsi="Times New Roman"/>
          <w:sz w:val="14"/>
          <w:szCs w:val="14"/>
          <w:color w:val="auto"/>
        </w:rPr>
      </w:pPr>
    </w:p>
    <w:p>
      <w:pPr>
        <w:ind w:left="500" w:hanging="465"/>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Santana West site.</w:t>
      </w:r>
    </w:p>
    <w:p>
      <w:pPr>
        <w:spacing w:after="0" w:line="25" w:lineRule="exact"/>
        <w:rPr>
          <w:rFonts w:ascii="Times New Roman" w:cs="Times New Roman" w:eastAsia="Times New Roman" w:hAnsi="Times New Roman"/>
          <w:sz w:val="14"/>
          <w:szCs w:val="14"/>
          <w:color w:val="auto"/>
        </w:rPr>
      </w:pPr>
    </w:p>
    <w:p>
      <w:pPr>
        <w:ind w:left="500" w:right="100" w:hanging="465"/>
        <w:spacing w:after="0" w:line="261" w:lineRule="auto"/>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Realty Investment Trust is leasing 45,000 square feet of office space at a market rent in Pike &amp; Rose Phase III, which delivered in August 2020. Revenue related to this rent will be eliminated in the consolidated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731" w:right="359"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2020</w:t>
      </w:r>
    </w:p>
    <w:p>
      <w:pPr>
        <w:spacing w:after="0" w:line="368" w:lineRule="exact"/>
        <w:rPr>
          <w:sz w:val="20"/>
          <w:szCs w:val="20"/>
          <w:color w:val="auto"/>
        </w:rPr>
      </w:pPr>
    </w:p>
    <w:p>
      <w:pPr>
        <w:ind w:left="40" w:right="180"/>
        <w:spacing w:after="0" w:line="277" w:lineRule="auto"/>
        <w:rPr>
          <w:sz w:val="20"/>
          <w:szCs w:val="20"/>
          <w:color w:val="auto"/>
        </w:rPr>
      </w:pPr>
      <w:r>
        <w:rPr>
          <w:rFonts w:ascii="Times New Roman" w:cs="Times New Roman" w:eastAsia="Times New Roman" w:hAnsi="Times New Roman"/>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14" w:lineRule="exact"/>
        <w:rPr>
          <w:sz w:val="20"/>
          <w:szCs w:val="20"/>
          <w:color w:val="auto"/>
        </w:rPr>
      </w:pPr>
    </w:p>
    <w:p>
      <w:pPr>
        <w:ind w:left="40" w:right="800"/>
        <w:spacing w:after="0" w:line="292" w:lineRule="auto"/>
        <w:rPr>
          <w:sz w:val="20"/>
          <w:szCs w:val="20"/>
          <w:color w:val="auto"/>
        </w:rPr>
      </w:pPr>
      <w:r>
        <w:rPr>
          <w:rFonts w:ascii="Times New Roman" w:cs="Times New Roman" w:eastAsia="Times New Roman" w:hAnsi="Times New Roman"/>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tbl>
      <w:tblPr>
        <w:tblLayout w:type="fixed"/>
        <w:tblInd w:w="0" w:type="dxa"/>
        <w:tblCellMar>
          <w:top w:w="0" w:type="dxa"/>
          <w:left w:w="0" w:type="dxa"/>
          <w:bottom w:w="0" w:type="dxa"/>
          <w:right w:w="0" w:type="dxa"/>
        </w:tblCellMar>
      </w:tblPr>
      <w:tr>
        <w:trPr>
          <w:trHeight w:val="250"/>
        </w:trPr>
        <w:tc>
          <w:tcPr>
            <w:tcW w:w="26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b w:val="1"/>
                <w:bCs w:val="1"/>
                <w:color w:val="auto"/>
              </w:rPr>
              <w:t>Escondido Promenade</w:t>
            </w:r>
          </w:p>
        </w:tc>
        <w:tc>
          <w:tcPr>
            <w:tcW w:w="21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Escondido, CA</w:t>
            </w:r>
          </w:p>
        </w:tc>
        <w:tc>
          <w:tcPr>
            <w:tcW w:w="27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Mercer Mall</w:t>
            </w:r>
          </w:p>
        </w:tc>
        <w:tc>
          <w:tcPr>
            <w:tcW w:w="37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Lawrenceville, NJ</w:t>
            </w:r>
          </w:p>
        </w:tc>
      </w:tr>
      <w:tr>
        <w:trPr>
          <w:trHeight w:val="237"/>
        </w:trPr>
        <w:tc>
          <w:tcPr>
            <w:tcW w:w="268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Federal Plaza</w:t>
            </w:r>
          </w:p>
        </w:tc>
        <w:tc>
          <w:tcPr>
            <w:tcW w:w="21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Rockville, MD</w:t>
            </w:r>
          </w:p>
        </w:tc>
        <w:tc>
          <w:tcPr>
            <w:tcW w:w="272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Pan Am</w:t>
            </w:r>
          </w:p>
        </w:tc>
        <w:tc>
          <w:tcPr>
            <w:tcW w:w="37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Fairfax, VA</w:t>
            </w:r>
          </w:p>
        </w:tc>
      </w:tr>
      <w:tr>
        <w:trPr>
          <w:trHeight w:val="33"/>
        </w:trPr>
        <w:tc>
          <w:tcPr>
            <w:tcW w:w="26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37"/>
        </w:trPr>
        <w:tc>
          <w:tcPr>
            <w:tcW w:w="26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b w:val="1"/>
                <w:bCs w:val="1"/>
                <w:color w:val="auto"/>
              </w:rPr>
              <w:t>Fresh Meadows</w:t>
            </w:r>
          </w:p>
        </w:tc>
        <w:tc>
          <w:tcPr>
            <w:tcW w:w="2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Queens, NY</w:t>
            </w:r>
          </w:p>
        </w:tc>
        <w:tc>
          <w:tcPr>
            <w:tcW w:w="27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Sylmar Towne Center</w:t>
            </w:r>
          </w:p>
        </w:tc>
        <w:tc>
          <w:tcPr>
            <w:tcW w:w="37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Sylmar, CA</w:t>
            </w:r>
          </w:p>
        </w:tc>
      </w:tr>
      <w:tr>
        <w:trPr>
          <w:trHeight w:val="33"/>
        </w:trPr>
        <w:tc>
          <w:tcPr>
            <w:tcW w:w="268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61" w:lineRule="exact"/>
        <w:rPr>
          <w:sz w:val="20"/>
          <w:szCs w:val="20"/>
          <w:color w:val="auto"/>
        </w:rPr>
      </w:pPr>
    </w:p>
    <w:p>
      <w:pPr>
        <w:ind w:left="40" w:right="340"/>
        <w:spacing w:after="0" w:line="301" w:lineRule="auto"/>
        <w:rPr>
          <w:sz w:val="20"/>
          <w:szCs w:val="20"/>
          <w:color w:val="auto"/>
        </w:rPr>
      </w:pPr>
      <w:r>
        <w:rPr>
          <w:rFonts w:ascii="Times New Roman" w:cs="Times New Roman" w:eastAsia="Times New Roman" w:hAnsi="Times New Roman"/>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6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Barracks Road</w:t>
            </w:r>
          </w:p>
        </w:tc>
        <w:tc>
          <w:tcPr>
            <w:tcW w:w="2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Charlottesville, VA</w:t>
            </w:r>
          </w:p>
        </w:tc>
        <w:tc>
          <w:tcPr>
            <w:tcW w:w="270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Huntington</w:t>
            </w:r>
          </w:p>
        </w:tc>
        <w:tc>
          <w:tcPr>
            <w:tcW w:w="3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Huntington, NY</w:t>
            </w:r>
          </w:p>
        </w:tc>
      </w:tr>
      <w:tr>
        <w:trPr>
          <w:trHeight w:val="33"/>
        </w:trPr>
        <w:tc>
          <w:tcPr>
            <w:tcW w:w="26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b w:val="1"/>
                <w:bCs w:val="1"/>
                <w:color w:val="auto"/>
              </w:rPr>
              <w:t>Bethesda Row</w:t>
            </w:r>
          </w:p>
        </w:tc>
        <w:tc>
          <w:tcPr>
            <w:tcW w:w="22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Bethesda, MD</w:t>
            </w:r>
          </w:p>
        </w:tc>
        <w:tc>
          <w:tcPr>
            <w:tcW w:w="2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Plaza El Segundo</w:t>
            </w:r>
          </w:p>
        </w:tc>
        <w:tc>
          <w:tcPr>
            <w:tcW w:w="36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El Segundo, CA</w:t>
            </w:r>
          </w:p>
        </w:tc>
      </w:tr>
      <w:tr>
        <w:trPr>
          <w:trHeight w:val="237"/>
        </w:trPr>
        <w:tc>
          <w:tcPr>
            <w:tcW w:w="266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Dedham Plaza</w:t>
            </w:r>
          </w:p>
        </w:tc>
        <w:tc>
          <w:tcPr>
            <w:tcW w:w="2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Dedham, MA</w:t>
            </w:r>
          </w:p>
        </w:tc>
        <w:tc>
          <w:tcPr>
            <w:tcW w:w="270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Riverpoint Center</w:t>
            </w:r>
          </w:p>
        </w:tc>
        <w:tc>
          <w:tcPr>
            <w:tcW w:w="3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Chicago, IL</w:t>
            </w:r>
          </w:p>
        </w:tc>
      </w:tr>
      <w:tr>
        <w:trPr>
          <w:trHeight w:val="33"/>
        </w:trPr>
        <w:tc>
          <w:tcPr>
            <w:tcW w:w="26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b w:val="1"/>
                <w:bCs w:val="1"/>
                <w:color w:val="auto"/>
              </w:rPr>
              <w:t>Fairfax Junction</w:t>
            </w:r>
          </w:p>
        </w:tc>
        <w:tc>
          <w:tcPr>
            <w:tcW w:w="22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Fairfax, VA</w:t>
            </w:r>
          </w:p>
        </w:tc>
        <w:tc>
          <w:tcPr>
            <w:tcW w:w="2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Third Street Promenade</w:t>
            </w:r>
          </w:p>
        </w:tc>
        <w:tc>
          <w:tcPr>
            <w:tcW w:w="36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Santa Monica, CA</w:t>
            </w:r>
          </w:p>
        </w:tc>
      </w:tr>
      <w:tr>
        <w:trPr>
          <w:trHeight w:val="237"/>
        </w:trPr>
        <w:tc>
          <w:tcPr>
            <w:tcW w:w="266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Fourth Street</w:t>
            </w:r>
          </w:p>
        </w:tc>
        <w:tc>
          <w:tcPr>
            <w:tcW w:w="2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Berkeley, CA</w:t>
            </w:r>
          </w:p>
        </w:tc>
        <w:tc>
          <w:tcPr>
            <w:tcW w:w="270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Wildwood</w:t>
            </w:r>
          </w:p>
        </w:tc>
        <w:tc>
          <w:tcPr>
            <w:tcW w:w="3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Bethesda, MD</w:t>
            </w:r>
          </w:p>
        </w:tc>
      </w:tr>
      <w:tr>
        <w:trPr>
          <w:trHeight w:val="33"/>
        </w:trPr>
        <w:tc>
          <w:tcPr>
            <w:tcW w:w="26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b w:val="1"/>
                <w:bCs w:val="1"/>
                <w:color w:val="auto"/>
              </w:rPr>
              <w:t>Fresh Meadows</w:t>
            </w:r>
          </w:p>
        </w:tc>
        <w:tc>
          <w:tcPr>
            <w:tcW w:w="22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Queens, NY</w:t>
            </w:r>
          </w:p>
        </w:tc>
        <w:tc>
          <w:tcPr>
            <w:tcW w:w="2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Willow Grove</w:t>
            </w:r>
          </w:p>
        </w:tc>
        <w:tc>
          <w:tcPr>
            <w:tcW w:w="36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Willow Grove, PA</w:t>
            </w:r>
          </w:p>
        </w:tc>
      </w:tr>
      <w:tr>
        <w:trPr>
          <w:trHeight w:val="237"/>
        </w:trPr>
        <w:tc>
          <w:tcPr>
            <w:tcW w:w="266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Hastings Ranch Plaza</w:t>
            </w:r>
          </w:p>
        </w:tc>
        <w:tc>
          <w:tcPr>
            <w:tcW w:w="2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Pasadena, CA</w:t>
            </w:r>
          </w:p>
        </w:tc>
        <w:tc>
          <w:tcPr>
            <w:tcW w:w="27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3"/>
        </w:trPr>
        <w:tc>
          <w:tcPr>
            <w:tcW w:w="26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84"/>
        </w:trPr>
        <w:tc>
          <w:tcPr>
            <w:tcW w:w="266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3600" w:type="dxa"/>
            <w:vAlign w:val="bottom"/>
            <w:shd w:val="clear" w:color="auto" w:fill="CCEEFF"/>
          </w:tcPr>
          <w:p>
            <w:pPr>
              <w:spacing w:after="0"/>
              <w:rPr>
                <w:sz w:val="24"/>
                <w:szCs w:val="24"/>
                <w:color w:val="auto"/>
              </w:rPr>
            </w:pPr>
          </w:p>
        </w:tc>
      </w:tr>
    </w:tbl>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Residential Opportunities - Opportunity to add residential units to existing retail and mixed-use properties.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Barracks Road</w:t>
            </w:r>
          </w:p>
        </w:tc>
        <w:tc>
          <w:tcPr>
            <w:tcW w:w="1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Charlottesville, VA</w:t>
            </w:r>
          </w:p>
        </w:tc>
        <w:tc>
          <w:tcPr>
            <w:tcW w:w="2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Graham Park Plaza</w:t>
            </w:r>
          </w:p>
        </w:tc>
        <w:tc>
          <w:tcPr>
            <w:tcW w:w="3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Falls Church, VA</w:t>
            </w: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Bala Cynwyd</w:t>
            </w:r>
          </w:p>
        </w:tc>
        <w:tc>
          <w:tcPr>
            <w:tcW w:w="1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Bala Cynwyd, PA</w:t>
            </w:r>
          </w:p>
        </w:tc>
        <w:tc>
          <w:tcPr>
            <w:tcW w:w="298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Village at Shirlington</w:t>
            </w:r>
          </w:p>
        </w:tc>
        <w:tc>
          <w:tcPr>
            <w:tcW w:w="3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Arlington, VA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19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560" w:type="dxa"/>
            <w:vAlign w:val="bottom"/>
            <w:gridSpan w:val="2"/>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298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r>
      <w:tr>
        <w:trPr>
          <w:trHeight w:val="223"/>
        </w:trPr>
        <w:tc>
          <w:tcPr>
            <w:tcW w:w="40" w:type="dxa"/>
            <w:vAlign w:val="bottom"/>
          </w:tcPr>
          <w:p>
            <w:pPr>
              <w:spacing w:after="0"/>
              <w:rPr>
                <w:sz w:val="19"/>
                <w:szCs w:val="19"/>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Longer Term Mixed-Use Opportunities</w:t>
            </w:r>
          </w:p>
        </w:tc>
        <w:tc>
          <w:tcPr>
            <w:tcW w:w="19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Assembly Row (1)</w:t>
            </w:r>
          </w:p>
        </w:tc>
        <w:tc>
          <w:tcPr>
            <w:tcW w:w="1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Somerville, MA</w:t>
            </w:r>
          </w:p>
        </w:tc>
        <w:tc>
          <w:tcPr>
            <w:tcW w:w="2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Pike &amp; Rose (2)</w:t>
            </w:r>
          </w:p>
        </w:tc>
        <w:tc>
          <w:tcPr>
            <w:tcW w:w="3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North Bethesda, MD</w:t>
            </w: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Bala Cynwyd</w:t>
            </w:r>
          </w:p>
        </w:tc>
        <w:tc>
          <w:tcPr>
            <w:tcW w:w="1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Bala Cynwyd, PA</w:t>
            </w:r>
          </w:p>
        </w:tc>
        <w:tc>
          <w:tcPr>
            <w:tcW w:w="298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Santana Row (3)</w:t>
            </w:r>
          </w:p>
        </w:tc>
        <w:tc>
          <w:tcPr>
            <w:tcW w:w="3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San Jose, CA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Pike 7 Plaza</w:t>
            </w:r>
          </w:p>
        </w:tc>
        <w:tc>
          <w:tcPr>
            <w:tcW w:w="1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Vienna, VA</w:t>
            </w:r>
          </w:p>
        </w:tc>
        <w:tc>
          <w:tcPr>
            <w:tcW w:w="2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Santana Row - Santana West (3)</w:t>
            </w:r>
          </w:p>
        </w:tc>
        <w:tc>
          <w:tcPr>
            <w:tcW w:w="3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San Jose, CA</w:t>
            </w: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3320" w:type="dxa"/>
            <w:vAlign w:val="bottom"/>
          </w:tcPr>
          <w:p>
            <w:pPr>
              <w:spacing w:after="0"/>
              <w:rPr>
                <w:sz w:val="23"/>
                <w:szCs w:val="2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98"/>
              </w:rPr>
              <w:t>Notes:</w:t>
            </w: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r>
      <w:tr>
        <w:trPr>
          <w:trHeight w:val="153"/>
        </w:trPr>
        <w:tc>
          <w:tcPr>
            <w:tcW w:w="42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3"/>
                <w:szCs w:val="13"/>
                <w:color w:val="auto"/>
              </w:rPr>
            </w:pPr>
          </w:p>
        </w:tc>
        <w:tc>
          <w:tcPr>
            <w:tcW w:w="2480" w:type="dxa"/>
            <w:vAlign w:val="bottom"/>
          </w:tcPr>
          <w:p>
            <w:pPr>
              <w:ind w:left="100"/>
              <w:spacing w:after="0" w:line="153" w:lineRule="exact"/>
              <w:rPr>
                <w:sz w:val="20"/>
                <w:szCs w:val="20"/>
                <w:color w:val="auto"/>
              </w:rPr>
            </w:pPr>
            <w:r>
              <w:rPr>
                <w:rFonts w:ascii="Times New Roman" w:cs="Times New Roman" w:eastAsia="Times New Roman" w:hAnsi="Times New Roman"/>
                <w:sz w:val="14"/>
                <w:szCs w:val="14"/>
                <w:color w:val="auto"/>
              </w:rPr>
              <w:t>Assembly Row</w:t>
            </w:r>
          </w:p>
        </w:tc>
        <w:tc>
          <w:tcPr>
            <w:tcW w:w="8260" w:type="dxa"/>
            <w:vAlign w:val="bottom"/>
            <w:gridSpan w:val="3"/>
          </w:tcPr>
          <w:p>
            <w:pPr>
              <w:ind w:left="220"/>
              <w:spacing w:after="0" w:line="153" w:lineRule="exact"/>
              <w:rPr>
                <w:sz w:val="20"/>
                <w:szCs w:val="20"/>
                <w:color w:val="auto"/>
              </w:rPr>
            </w:pPr>
            <w:r>
              <w:rPr>
                <w:rFonts w:ascii="Times New Roman" w:cs="Times New Roman" w:eastAsia="Times New Roman" w:hAnsi="Times New Roman"/>
                <w:sz w:val="14"/>
                <w:szCs w:val="14"/>
                <w:color w:val="auto"/>
              </w:rPr>
              <w:t>Remaining entitlements after Phase III include approximately 1.5 million square feet of commercial-use buildings and 329 residential</w:t>
            </w:r>
          </w:p>
        </w:tc>
      </w:tr>
      <w:tr>
        <w:trPr>
          <w:trHeight w:val="193"/>
        </w:trPr>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units.</w:t>
            </w:r>
          </w:p>
        </w:tc>
        <w:tc>
          <w:tcPr>
            <w:tcW w:w="2980" w:type="dxa"/>
            <w:vAlign w:val="bottom"/>
          </w:tcPr>
          <w:p>
            <w:pPr>
              <w:spacing w:after="0"/>
              <w:rPr>
                <w:sz w:val="16"/>
                <w:szCs w:val="16"/>
                <w:color w:val="auto"/>
              </w:rPr>
            </w:pPr>
          </w:p>
        </w:tc>
        <w:tc>
          <w:tcPr>
            <w:tcW w:w="3320" w:type="dxa"/>
            <w:vAlign w:val="bottom"/>
          </w:tcPr>
          <w:p>
            <w:pPr>
              <w:spacing w:after="0"/>
              <w:rPr>
                <w:sz w:val="16"/>
                <w:szCs w:val="16"/>
                <w:color w:val="auto"/>
              </w:rPr>
            </w:pPr>
          </w:p>
        </w:tc>
      </w:tr>
      <w:tr>
        <w:trPr>
          <w:trHeight w:val="208"/>
        </w:trPr>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Pike &amp; Rose</w:t>
            </w:r>
          </w:p>
        </w:tc>
        <w:tc>
          <w:tcPr>
            <w:tcW w:w="82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Remaining entitlements after Phase III include approximately 740,000 square feet of commercial-use buildings, and 741 residential units.</w:t>
            </w:r>
          </w:p>
        </w:tc>
      </w:tr>
      <w:tr>
        <w:trPr>
          <w:trHeight w:val="153"/>
        </w:trPr>
        <w:tc>
          <w:tcPr>
            <w:tcW w:w="42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3"/>
                <w:szCs w:val="13"/>
                <w:color w:val="auto"/>
              </w:rPr>
            </w:pPr>
          </w:p>
        </w:tc>
        <w:tc>
          <w:tcPr>
            <w:tcW w:w="2480" w:type="dxa"/>
            <w:vAlign w:val="bottom"/>
          </w:tcPr>
          <w:p>
            <w:pPr>
              <w:ind w:left="100"/>
              <w:spacing w:after="0" w:line="153" w:lineRule="exact"/>
              <w:rPr>
                <w:sz w:val="20"/>
                <w:szCs w:val="20"/>
                <w:color w:val="auto"/>
              </w:rPr>
            </w:pPr>
            <w:r>
              <w:rPr>
                <w:rFonts w:ascii="Times New Roman" w:cs="Times New Roman" w:eastAsia="Times New Roman" w:hAnsi="Times New Roman"/>
                <w:sz w:val="14"/>
                <w:szCs w:val="14"/>
                <w:color w:val="auto"/>
              </w:rPr>
              <w:t>Santana Row</w:t>
            </w:r>
          </w:p>
        </w:tc>
        <w:tc>
          <w:tcPr>
            <w:tcW w:w="8260" w:type="dxa"/>
            <w:vAlign w:val="bottom"/>
            <w:gridSpan w:val="3"/>
          </w:tcPr>
          <w:p>
            <w:pPr>
              <w:ind w:left="220"/>
              <w:spacing w:after="0" w:line="153" w:lineRule="exact"/>
              <w:rPr>
                <w:sz w:val="20"/>
                <w:szCs w:val="20"/>
                <w:color w:val="auto"/>
              </w:rPr>
            </w:pPr>
            <w:r>
              <w:rPr>
                <w:rFonts w:ascii="Times New Roman" w:cs="Times New Roman" w:eastAsia="Times New Roman" w:hAnsi="Times New Roman"/>
                <w:sz w:val="14"/>
                <w:szCs w:val="14"/>
                <w:color w:val="auto"/>
              </w:rPr>
              <w:t>Remaining entitlements include approximately 321,000 square feet of commercial space and 395 residential units, as well as</w:t>
            </w:r>
          </w:p>
        </w:tc>
      </w:tr>
      <w:tr>
        <w:trPr>
          <w:trHeight w:val="188"/>
        </w:trPr>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82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approximately 604,000 square feet of commercial space on land we control across from Santana Row.</w:t>
            </w:r>
          </w:p>
        </w:tc>
      </w:tr>
      <w:tr>
        <w:trPr>
          <w:trHeight w:val="44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9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19</w:t>
            </w:r>
          </w:p>
        </w:tc>
        <w:tc>
          <w:tcPr>
            <w:tcW w:w="3320" w:type="dxa"/>
            <w:vAlign w:val="bottom"/>
          </w:tcPr>
          <w:p>
            <w:pPr>
              <w:spacing w:after="0"/>
              <w:rPr>
                <w:sz w:val="24"/>
                <w:szCs w:val="24"/>
                <w:color w:val="auto"/>
              </w:rPr>
            </w:pPr>
          </w:p>
        </w:tc>
      </w:tr>
    </w:tbl>
    <w:p>
      <w:pPr>
        <w:sectPr>
          <w:pgSz w:w="11900" w:h="16838" w:orient="portrait"/>
          <w:cols w:equalWidth="0" w:num="1">
            <w:col w:w="11240"/>
          </w:cols>
          <w:pgMar w:left="320" w:top="718" w:right="339"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Significant Property Acquisitions, Disposition, and Impairment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Acquisitions</w:t>
      </w: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2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22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City/State</w:t>
            </w: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GLA</w:t>
            </w:r>
          </w:p>
        </w:tc>
        <w:tc>
          <w:tcPr>
            <w:tcW w:w="20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186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Principal Tenants</w:t>
            </w:r>
          </w:p>
        </w:tc>
        <w:tc>
          <w:tcPr>
            <w:tcW w:w="640" w:type="dxa"/>
            <w:vAlign w:val="bottom"/>
          </w:tcPr>
          <w:p>
            <w:pPr>
              <w:spacing w:after="0"/>
              <w:rPr>
                <w:sz w:val="18"/>
                <w:szCs w:val="18"/>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8"/>
        </w:trPr>
        <w:tc>
          <w:tcPr>
            <w:tcW w:w="14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(in square feet)</w:t>
            </w:r>
          </w:p>
        </w:tc>
        <w:tc>
          <w:tcPr>
            <w:tcW w:w="200" w:type="dxa"/>
            <w:vAlign w:val="bottom"/>
          </w:tcPr>
          <w:p>
            <w:pPr>
              <w:spacing w:after="0"/>
              <w:rPr>
                <w:sz w:val="22"/>
                <w:szCs w:val="22"/>
                <w:color w:val="auto"/>
              </w:rPr>
            </w:pPr>
          </w:p>
        </w:tc>
        <w:tc>
          <w:tcPr>
            <w:tcW w:w="12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42"/>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10, 2020</w:t>
            </w:r>
          </w:p>
        </w:tc>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Westfair Shopping Center</w:t>
            </w:r>
          </w:p>
        </w:tc>
        <w:tc>
          <w:tcPr>
            <w:tcW w:w="22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Fairfax, Virginia</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8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Guitar Center</w:t>
            </w:r>
          </w:p>
        </w:tc>
        <w:tc>
          <w:tcPr>
            <w:tcW w:w="6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r>
      <w:tr>
        <w:trPr>
          <w:trHeight w:val="241"/>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12, 2020</w:t>
            </w:r>
          </w:p>
        </w:tc>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Hoboken (2 buildings)</w:t>
            </w:r>
          </w:p>
        </w:tc>
        <w:tc>
          <w:tcPr>
            <w:tcW w:w="22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Hoboken, New Jersey</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860" w:type="dxa"/>
            <w:vAlign w:val="bottom"/>
          </w:tcPr>
          <w:p>
            <w:pPr>
              <w:spacing w:after="0"/>
              <w:rPr>
                <w:sz w:val="20"/>
                <w:szCs w:val="20"/>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w:t>
            </w:r>
          </w:p>
        </w:tc>
      </w:tr>
      <w:tr>
        <w:trPr>
          <w:trHeight w:val="29"/>
        </w:trPr>
        <w:tc>
          <w:tcPr>
            <w:tcW w:w="1480" w:type="dxa"/>
            <w:vAlign w:val="bottom"/>
            <w:tcBorders>
              <w:bottom w:val="single" w:sz="8" w:color="auto"/>
            </w:tcBorders>
          </w:tcPr>
          <w:p>
            <w:pPr>
              <w:spacing w:after="0"/>
              <w:rPr>
                <w:sz w:val="2"/>
                <w:szCs w:val="2"/>
                <w:color w:val="auto"/>
              </w:rPr>
            </w:pPr>
          </w:p>
        </w:tc>
        <w:tc>
          <w:tcPr>
            <w:tcW w:w="2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40" w:type="dxa"/>
            <w:vAlign w:val="bottom"/>
          </w:tcPr>
          <w:p>
            <w:pPr>
              <w:spacing w:after="0"/>
              <w:rPr>
                <w:sz w:val="2"/>
                <w:szCs w:val="2"/>
                <w:color w:val="auto"/>
              </w:rPr>
            </w:pPr>
          </w:p>
        </w:tc>
      </w:tr>
    </w:tbl>
    <w:p>
      <w:pPr>
        <w:spacing w:after="0" w:line="140" w:lineRule="exact"/>
        <w:rPr>
          <w:sz w:val="20"/>
          <w:szCs w:val="20"/>
          <w:color w:val="auto"/>
        </w:rPr>
      </w:pPr>
    </w:p>
    <w:p>
      <w:pPr>
        <w:ind w:left="260" w:right="340" w:hanging="252"/>
        <w:spacing w:after="0" w:line="259" w:lineRule="auto"/>
        <w:tabs>
          <w:tab w:leader="none" w:pos="25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acquisition was primarily funded by 163,322 downREIT operating partnership units. This property is adjacent to, and is operated as part of our Fairfax Junction property.</w:t>
      </w:r>
    </w:p>
    <w:p>
      <w:pPr>
        <w:spacing w:after="0" w:line="1" w:lineRule="exact"/>
        <w:rPr>
          <w:rFonts w:ascii="Times New Roman" w:cs="Times New Roman" w:eastAsia="Times New Roman" w:hAnsi="Times New Roman"/>
          <w:sz w:val="17"/>
          <w:szCs w:val="17"/>
          <w:color w:val="auto"/>
        </w:rPr>
      </w:pPr>
    </w:p>
    <w:p>
      <w:pPr>
        <w:ind w:left="260" w:right="80" w:hanging="252"/>
        <w:spacing w:after="0" w:line="254" w:lineRule="auto"/>
        <w:tabs>
          <w:tab w:leader="none" w:pos="25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acquisition is in addition to the 37 buildings previously acquired, and was completed through the joint venture that was formed in 2019, for which we own a 90% interest. The purchase price includes the assumption of $8.9 million of mortgage debt. These buildings include 6 residential units in addition to the commercial GLA listed above.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Disposition</w:t>
      </w: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2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1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City/State</w:t>
            </w:r>
          </w:p>
        </w:tc>
        <w:tc>
          <w:tcPr>
            <w:tcW w:w="1400" w:type="dxa"/>
            <w:vAlign w:val="bottom"/>
          </w:tcPr>
          <w:p>
            <w:pPr>
              <w:jc w:val="center"/>
              <w:ind w:left="181"/>
              <w:spacing w:after="0"/>
              <w:rPr>
                <w:sz w:val="20"/>
                <w:szCs w:val="20"/>
                <w:color w:val="auto"/>
              </w:rPr>
            </w:pPr>
            <w:r>
              <w:rPr>
                <w:rFonts w:ascii="Times New Roman" w:cs="Times New Roman" w:eastAsia="Times New Roman" w:hAnsi="Times New Roman"/>
                <w:sz w:val="16"/>
                <w:szCs w:val="16"/>
                <w:b w:val="1"/>
                <w:bCs w:val="1"/>
                <w:color w:val="auto"/>
              </w:rPr>
              <w:t>GLA (3)</w:t>
            </w:r>
          </w:p>
        </w:tc>
        <w:tc>
          <w:tcPr>
            <w:tcW w:w="28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Sales Price</w:t>
            </w:r>
          </w:p>
        </w:tc>
      </w:tr>
      <w:tr>
        <w:trPr>
          <w:trHeight w:val="33"/>
        </w:trPr>
        <w:tc>
          <w:tcPr>
            <w:tcW w:w="15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58"/>
        </w:trPr>
        <w:tc>
          <w:tcPr>
            <w:tcW w:w="15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40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(in square feet)</w:t>
            </w:r>
          </w:p>
        </w:tc>
        <w:tc>
          <w:tcPr>
            <w:tcW w:w="280" w:type="dxa"/>
            <w:vAlign w:val="bottom"/>
          </w:tcPr>
          <w:p>
            <w:pPr>
              <w:spacing w:after="0"/>
              <w:rPr>
                <w:sz w:val="22"/>
                <w:szCs w:val="22"/>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5"/>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21, 2020</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Colorado Blvd (1 building)</w:t>
            </w:r>
          </w:p>
        </w:tc>
        <w:tc>
          <w:tcPr>
            <w:tcW w:w="2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Pasadena, California</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580" w:type="dxa"/>
            <w:vAlign w:val="bottom"/>
            <w:tcBorders>
              <w:bottom w:val="single" w:sz="8" w:color="CCEEFF"/>
            </w:tcBorders>
            <w:shd w:val="clear" w:color="auto" w:fill="CCEEFF"/>
          </w:tcPr>
          <w:p>
            <w:pPr>
              <w:jc w:val="right"/>
              <w:ind w:right="2381"/>
              <w:spacing w:after="0"/>
              <w:rPr>
                <w:sz w:val="20"/>
                <w:szCs w:val="20"/>
                <w:color w:val="auto"/>
              </w:rPr>
            </w:pPr>
            <w:r>
              <w:rPr>
                <w:rFonts w:ascii="Times New Roman" w:cs="Times New Roman" w:eastAsia="Times New Roman" w:hAnsi="Times New Roman"/>
                <w:sz w:val="17"/>
                <w:szCs w:val="17"/>
                <w:color w:val="auto"/>
              </w:rPr>
              <w:t>16.1</w:t>
            </w:r>
          </w:p>
        </w:tc>
      </w:tr>
      <w:tr>
        <w:trPr>
          <w:trHeight w:val="20"/>
        </w:trPr>
        <w:tc>
          <w:tcPr>
            <w:tcW w:w="1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This building included 12 residential units in addition to the commercial GLA listed above.</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Shops at Sunset Place Mortgage Loan Default and Impairment</w:t>
      </w:r>
    </w:p>
    <w:p>
      <w:pPr>
        <w:spacing w:after="0" w:line="9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7"/>
          <w:szCs w:val="17"/>
          <w:color w:val="auto"/>
        </w:rPr>
        <w:t>On September 1, 2020, the $60.6 million non-recourse mortgage loan on The Shops at Sunset Place matured. The mortgage was not repaid and thus the lender declared the loan in default. We are an approximately 90% owner in the partnership that owns the property, and we consolidate the partnership as we are the primary beneficiary of this VIE. While we continue to evaluate our long-term plans for the property, taking into account current market conditions and prospective development and redevelopment returns, as well as the impact of COVID-19 on the revenue prospects for the property, we currently believe it is unlikely we will move forward with the planned redevelopment or repay the mortgage loan at the current balance, and thus, do not expect we will be long-term holders of this asset. While we continue to engage in negotiations with the lender, we expect our exit from the property would either be achieved through a short term extension of the loan and an orderly sales process commencing in 2021, or potentially, the lender taking control of the asset. Given these current expectations, we have recorded an impairment charge of $57.2 million during the three months ended September 30, 2020. The net impact, after allocation to noncontrolling interests, is $50.7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711" w:right="339"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Mortgage/Finance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spacing w:after="0"/>
              <w:rPr>
                <w:sz w:val="12"/>
                <w:szCs w:val="12"/>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82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Estate at</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Leased</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Residential</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Grocery</w:t>
            </w:r>
          </w:p>
        </w:tc>
        <w:tc>
          <w:tcPr>
            <w:tcW w:w="2060" w:type="dxa"/>
            <w:vAlign w:val="bottom"/>
          </w:tcPr>
          <w:p>
            <w:pPr>
              <w:spacing w:after="0"/>
              <w:rPr>
                <w:sz w:val="11"/>
                <w:szCs w:val="11"/>
                <w:color w:val="auto"/>
              </w:rPr>
            </w:pPr>
          </w:p>
        </w:tc>
      </w:tr>
      <w:tr>
        <w:trPr>
          <w:trHeight w:val="176"/>
        </w:trPr>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Name</w:t>
            </w:r>
          </w:p>
        </w:tc>
        <w:tc>
          <w:tcPr>
            <w:tcW w:w="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Cost (1)</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4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(3)</w:t>
            </w:r>
          </w:p>
        </w:tc>
        <w:tc>
          <w:tcPr>
            <w:tcW w:w="6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2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w:t>
            </w: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spacing w:after="0"/>
              <w:rPr>
                <w:sz w:val="11"/>
                <w:szCs w:val="11"/>
                <w:color w:val="auto"/>
              </w:rPr>
            </w:pPr>
          </w:p>
        </w:tc>
      </w:tr>
      <w:tr>
        <w:trPr>
          <w:trHeight w:val="140"/>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thousands)</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58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Washington Metropolitan Area</w:t>
            </w: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060" w:type="dxa"/>
            <w:vAlign w:val="bottom"/>
            <w:tcBorders>
              <w:top w:val="single" w:sz="8" w:color="CCEEFF"/>
            </w:tcBorders>
            <w:shd w:val="clear" w:color="auto" w:fill="CCEEFF"/>
          </w:tcPr>
          <w:p>
            <w:pPr>
              <w:spacing w:after="0"/>
              <w:rPr>
                <w:sz w:val="8"/>
                <w:szCs w:val="8"/>
                <w:color w:val="auto"/>
              </w:rPr>
            </w:pPr>
          </w:p>
        </w:tc>
      </w:tr>
      <w:tr>
        <w:trPr>
          <w:trHeight w:val="144"/>
        </w:trPr>
        <w:tc>
          <w:tcPr>
            <w:tcW w:w="40" w:type="dxa"/>
            <w:vAlign w:val="bottom"/>
          </w:tcPr>
          <w:p>
            <w:pPr>
              <w:spacing w:after="0"/>
              <w:rPr>
                <w:sz w:val="12"/>
                <w:szCs w:val="12"/>
                <w:color w:val="auto"/>
              </w:rPr>
            </w:pPr>
          </w:p>
        </w:tc>
        <w:tc>
          <w:tcPr>
            <w:tcW w:w="9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Barcroft Plaza</w:t>
            </w:r>
          </w:p>
        </w:tc>
        <w:tc>
          <w:tcPr>
            <w:tcW w:w="300" w:type="dxa"/>
            <w:vAlign w:val="bottom"/>
          </w:tcPr>
          <w:p>
            <w:pPr>
              <w:spacing w:after="0"/>
              <w:rPr>
                <w:sz w:val="12"/>
                <w:szCs w:val="12"/>
                <w:color w:val="auto"/>
              </w:rPr>
            </w:pPr>
          </w:p>
        </w:tc>
        <w:tc>
          <w:tcPr>
            <w:tcW w:w="23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  49,436</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113,000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92%</w:t>
            </w:r>
          </w:p>
        </w:tc>
        <w:tc>
          <w:tcPr>
            <w:tcW w:w="68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46,000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Harris Teeter</w:t>
            </w:r>
          </w:p>
        </w:tc>
        <w:tc>
          <w:tcPr>
            <w:tcW w:w="2060" w:type="dxa"/>
            <w:vAlign w:val="bottom"/>
          </w:tcPr>
          <w:p>
            <w:pPr>
              <w:spacing w:after="0"/>
              <w:rPr>
                <w:sz w:val="12"/>
                <w:szCs w:val="12"/>
                <w:color w:val="auto"/>
              </w:rPr>
            </w:pPr>
          </w:p>
        </w:tc>
      </w:tr>
      <w:tr>
        <w:trPr>
          <w:trHeight w:val="172"/>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2"/>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Bethesda Row</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242,134</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526,000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6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180</w:t>
            </w: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40,000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Giant Food</w:t>
            </w: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Apple / Equinox / Anthropologie /</w:t>
            </w:r>
          </w:p>
        </w:tc>
      </w:tr>
      <w:tr>
        <w:trPr>
          <w:trHeight w:val="180"/>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Multiple Restaurants</w:t>
            </w:r>
          </w:p>
        </w:tc>
      </w:tr>
      <w:tr>
        <w:trPr>
          <w:trHeight w:val="144"/>
        </w:trPr>
        <w:tc>
          <w:tcPr>
            <w:tcW w:w="40" w:type="dxa"/>
            <w:vAlign w:val="bottom"/>
          </w:tcPr>
          <w:p>
            <w:pPr>
              <w:spacing w:after="0"/>
              <w:rPr>
                <w:sz w:val="12"/>
                <w:szCs w:val="12"/>
                <w:color w:val="auto"/>
              </w:rPr>
            </w:pPr>
          </w:p>
        </w:tc>
        <w:tc>
          <w:tcPr>
            <w:tcW w:w="9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Congressional</w:t>
            </w:r>
          </w:p>
        </w:tc>
        <w:tc>
          <w:tcPr>
            <w:tcW w:w="30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(4)</w:t>
            </w:r>
          </w:p>
        </w:tc>
        <w:tc>
          <w:tcPr>
            <w:tcW w:w="23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106,037</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323,000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86%</w:t>
            </w:r>
          </w:p>
        </w:tc>
        <w:tc>
          <w:tcPr>
            <w:tcW w:w="68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194</w:t>
            </w: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25,000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The Fresh</w:t>
            </w: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w w:val="99"/>
              </w:rPr>
              <w:t>Buy Buy Baby / Container Store / Ulta</w:t>
            </w:r>
          </w:p>
        </w:tc>
      </w:tr>
      <w:tr>
        <w:trPr>
          <w:trHeight w:val="172"/>
        </w:trPr>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Plaza</w:t>
            </w: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Market</w:t>
            </w:r>
          </w:p>
        </w:tc>
        <w:tc>
          <w:tcPr>
            <w:tcW w:w="2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Barnes &amp; Noble</w:t>
            </w:r>
          </w:p>
        </w:tc>
      </w:tr>
      <w:tr>
        <w:trPr>
          <w:trHeight w:val="152"/>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Courthouse</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7,050</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37,000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r>
        <w:trPr>
          <w:trHeight w:val="180"/>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Center</w:t>
            </w: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9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Fairfax Junction</w:t>
            </w:r>
          </w:p>
        </w:tc>
        <w:tc>
          <w:tcPr>
            <w:tcW w:w="30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(5)</w:t>
            </w:r>
          </w:p>
        </w:tc>
        <w:tc>
          <w:tcPr>
            <w:tcW w:w="23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41,038</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124,000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99%</w:t>
            </w:r>
          </w:p>
        </w:tc>
        <w:tc>
          <w:tcPr>
            <w:tcW w:w="68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23,000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Aldi</w:t>
            </w: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CVS / Planet Fitness</w:t>
            </w:r>
          </w:p>
        </w:tc>
      </w:tr>
      <w:tr>
        <w:trPr>
          <w:trHeight w:val="172"/>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2"/>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Falls</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15,425</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144,000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51,000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Giant Food</w:t>
            </w: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CVS / Staples</w:t>
            </w:r>
          </w:p>
        </w:tc>
      </w:tr>
      <w:tr>
        <w:trPr>
          <w:trHeight w:val="135"/>
        </w:trPr>
        <w:tc>
          <w:tcPr>
            <w:tcW w:w="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Plaza/Falls</w:t>
            </w:r>
          </w:p>
        </w:tc>
        <w:tc>
          <w:tcPr>
            <w:tcW w:w="30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r>
      <w:tr>
        <w:trPr>
          <w:trHeight w:val="180"/>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Plaza-East</w:t>
            </w: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9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Federal Plaza</w:t>
            </w:r>
          </w:p>
        </w:tc>
        <w:tc>
          <w:tcPr>
            <w:tcW w:w="300" w:type="dxa"/>
            <w:vAlign w:val="bottom"/>
          </w:tcPr>
          <w:p>
            <w:pPr>
              <w:spacing w:after="0"/>
              <w:rPr>
                <w:sz w:val="12"/>
                <w:szCs w:val="12"/>
                <w:color w:val="auto"/>
              </w:rPr>
            </w:pPr>
          </w:p>
        </w:tc>
        <w:tc>
          <w:tcPr>
            <w:tcW w:w="23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70,373</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249,000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92%</w:t>
            </w:r>
          </w:p>
        </w:tc>
        <w:tc>
          <w:tcPr>
            <w:tcW w:w="68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14,000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Trader Joe's</w:t>
            </w: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TJ Maxx / Micro Center / Ross Dress</w:t>
            </w:r>
          </w:p>
        </w:tc>
      </w:tr>
      <w:tr>
        <w:trPr>
          <w:trHeight w:val="172"/>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For Less</w:t>
            </w:r>
          </w:p>
        </w:tc>
      </w:tr>
      <w:tr>
        <w:trPr>
          <w:trHeight w:val="152"/>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Friendship</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38,161</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119,000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Marshalls / Nordstrom Rack / DSW /</w:t>
            </w:r>
          </w:p>
        </w:tc>
      </w:tr>
      <w:tr>
        <w:trPr>
          <w:trHeight w:val="180"/>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Center</w:t>
            </w: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Maggiano's</w:t>
            </w:r>
          </w:p>
        </w:tc>
      </w:tr>
      <w:tr>
        <w:trPr>
          <w:trHeight w:val="144"/>
        </w:trPr>
        <w:tc>
          <w:tcPr>
            <w:tcW w:w="40" w:type="dxa"/>
            <w:vAlign w:val="bottom"/>
          </w:tcPr>
          <w:p>
            <w:pPr>
              <w:spacing w:after="0"/>
              <w:rPr>
                <w:sz w:val="12"/>
                <w:szCs w:val="12"/>
                <w:color w:val="auto"/>
              </w:rPr>
            </w:pPr>
          </w:p>
        </w:tc>
        <w:tc>
          <w:tcPr>
            <w:tcW w:w="9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Gaithersburg</w:t>
            </w:r>
          </w:p>
        </w:tc>
        <w:tc>
          <w:tcPr>
            <w:tcW w:w="300" w:type="dxa"/>
            <w:vAlign w:val="bottom"/>
          </w:tcPr>
          <w:p>
            <w:pPr>
              <w:spacing w:after="0"/>
              <w:rPr>
                <w:sz w:val="12"/>
                <w:szCs w:val="12"/>
                <w:color w:val="auto"/>
              </w:rPr>
            </w:pPr>
          </w:p>
        </w:tc>
        <w:tc>
          <w:tcPr>
            <w:tcW w:w="23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29,388</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208,000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87%</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Bed, Bath &amp; Beyond / Ross Dress For</w:t>
            </w:r>
          </w:p>
        </w:tc>
      </w:tr>
      <w:tr>
        <w:trPr>
          <w:trHeight w:val="135"/>
        </w:trPr>
        <w:tc>
          <w:tcPr>
            <w:tcW w:w="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Square</w:t>
            </w:r>
          </w:p>
        </w:tc>
        <w:tc>
          <w:tcPr>
            <w:tcW w:w="300" w:type="dxa"/>
            <w:vAlign w:val="bottom"/>
          </w:tcPr>
          <w:p>
            <w:pPr>
              <w:spacing w:after="0"/>
              <w:rPr>
                <w:sz w:val="11"/>
                <w:szCs w:val="11"/>
                <w:color w:val="auto"/>
              </w:rPr>
            </w:pPr>
          </w:p>
        </w:tc>
        <w:tc>
          <w:tcPr>
            <w:tcW w:w="23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Less / Ashley Furniture HomeStore /</w:t>
            </w:r>
          </w:p>
        </w:tc>
      </w:tr>
      <w:tr>
        <w:trPr>
          <w:trHeight w:val="172"/>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CVS</w:t>
            </w:r>
          </w:p>
        </w:tc>
      </w:tr>
      <w:tr>
        <w:trPr>
          <w:trHeight w:val="152"/>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Graham Park</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36,788</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132,000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58,000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Giant Food</w:t>
            </w:r>
          </w:p>
        </w:tc>
        <w:tc>
          <w:tcPr>
            <w:tcW w:w="2060" w:type="dxa"/>
            <w:vAlign w:val="bottom"/>
            <w:shd w:val="clear" w:color="auto" w:fill="CCEEFF"/>
          </w:tcPr>
          <w:p>
            <w:pPr>
              <w:spacing w:after="0"/>
              <w:rPr>
                <w:sz w:val="13"/>
                <w:szCs w:val="13"/>
                <w:color w:val="auto"/>
              </w:rPr>
            </w:pPr>
          </w:p>
        </w:tc>
      </w:tr>
      <w:tr>
        <w:trPr>
          <w:trHeight w:val="180"/>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Plaza</w:t>
            </w: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9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Idylwood Plaza</w:t>
            </w:r>
          </w:p>
        </w:tc>
        <w:tc>
          <w:tcPr>
            <w:tcW w:w="300" w:type="dxa"/>
            <w:vAlign w:val="bottom"/>
          </w:tcPr>
          <w:p>
            <w:pPr>
              <w:spacing w:after="0"/>
              <w:rPr>
                <w:sz w:val="12"/>
                <w:szCs w:val="12"/>
                <w:color w:val="auto"/>
              </w:rPr>
            </w:pPr>
          </w:p>
        </w:tc>
        <w:tc>
          <w:tcPr>
            <w:tcW w:w="23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17,246</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73,000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68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30,000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Whole Foods</w:t>
            </w:r>
          </w:p>
        </w:tc>
        <w:tc>
          <w:tcPr>
            <w:tcW w:w="2060" w:type="dxa"/>
            <w:vAlign w:val="bottom"/>
          </w:tcPr>
          <w:p>
            <w:pPr>
              <w:spacing w:after="0"/>
              <w:rPr>
                <w:sz w:val="12"/>
                <w:szCs w:val="12"/>
                <w:color w:val="auto"/>
              </w:rPr>
            </w:pPr>
          </w:p>
        </w:tc>
      </w:tr>
      <w:tr>
        <w:trPr>
          <w:trHeight w:val="172"/>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2"/>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Laurel</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60,139</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360,000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61,000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Giant Food</w:t>
            </w: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Marshalls / L.A. Fitness</w:t>
            </w:r>
          </w:p>
        </w:tc>
      </w:tr>
      <w:tr>
        <w:trPr>
          <w:trHeight w:val="180"/>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9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Leesburg Plaza</w:t>
            </w:r>
          </w:p>
        </w:tc>
        <w:tc>
          <w:tcPr>
            <w:tcW w:w="300" w:type="dxa"/>
            <w:vAlign w:val="bottom"/>
          </w:tcPr>
          <w:p>
            <w:pPr>
              <w:spacing w:after="0"/>
              <w:rPr>
                <w:sz w:val="12"/>
                <w:szCs w:val="12"/>
                <w:color w:val="auto"/>
              </w:rPr>
            </w:pPr>
          </w:p>
        </w:tc>
        <w:tc>
          <w:tcPr>
            <w:tcW w:w="23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37,276</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236,000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83%</w:t>
            </w:r>
          </w:p>
        </w:tc>
        <w:tc>
          <w:tcPr>
            <w:tcW w:w="68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55,000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Giant Food</w:t>
            </w: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Petsmart / Office Depot</w:t>
            </w:r>
          </w:p>
        </w:tc>
      </w:tr>
      <w:tr>
        <w:trPr>
          <w:trHeight w:val="172"/>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2"/>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Montrose</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162,560</w:t>
            </w:r>
          </w:p>
        </w:tc>
        <w:tc>
          <w:tcPr>
            <w:tcW w:w="10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66,077</w:t>
            </w: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370,000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73,000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Giant Food</w:t>
            </w: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Marshalls / Home Depot Design</w:t>
            </w:r>
          </w:p>
        </w:tc>
      </w:tr>
      <w:tr>
        <w:trPr>
          <w:trHeight w:val="135"/>
        </w:trPr>
        <w:tc>
          <w:tcPr>
            <w:tcW w:w="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Crossing</w:t>
            </w:r>
          </w:p>
        </w:tc>
        <w:tc>
          <w:tcPr>
            <w:tcW w:w="30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60" w:type="dxa"/>
            <w:vAlign w:val="bottom"/>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Center / Old Navy / Bob's Discount</w:t>
            </w:r>
          </w:p>
        </w:tc>
      </w:tr>
      <w:tr>
        <w:trPr>
          <w:trHeight w:val="180"/>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Furniture</w:t>
            </w:r>
          </w:p>
        </w:tc>
      </w:tr>
      <w:tr>
        <w:trPr>
          <w:trHeight w:val="144"/>
        </w:trPr>
        <w:tc>
          <w:tcPr>
            <w:tcW w:w="40" w:type="dxa"/>
            <w:vAlign w:val="bottom"/>
          </w:tcPr>
          <w:p>
            <w:pPr>
              <w:spacing w:after="0"/>
              <w:rPr>
                <w:sz w:val="12"/>
                <w:szCs w:val="12"/>
                <w:color w:val="auto"/>
              </w:rPr>
            </w:pPr>
          </w:p>
        </w:tc>
        <w:tc>
          <w:tcPr>
            <w:tcW w:w="9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Mount</w:t>
            </w:r>
          </w:p>
        </w:tc>
        <w:tc>
          <w:tcPr>
            <w:tcW w:w="30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(5)</w:t>
            </w:r>
          </w:p>
        </w:tc>
        <w:tc>
          <w:tcPr>
            <w:tcW w:w="23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86,398</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565,000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96%</w:t>
            </w:r>
          </w:p>
        </w:tc>
        <w:tc>
          <w:tcPr>
            <w:tcW w:w="68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62,000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Shoppers</w:t>
            </w: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TJ Maxx / Home Depot / Bed, Bath &amp;</w:t>
            </w:r>
          </w:p>
        </w:tc>
      </w:tr>
      <w:tr>
        <w:trPr>
          <w:trHeight w:val="135"/>
        </w:trPr>
        <w:tc>
          <w:tcPr>
            <w:tcW w:w="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Vernon/South</w:t>
            </w:r>
          </w:p>
        </w:tc>
        <w:tc>
          <w:tcPr>
            <w:tcW w:w="300" w:type="dxa"/>
            <w:vAlign w:val="bottom"/>
          </w:tcPr>
          <w:p>
            <w:pPr>
              <w:spacing w:after="0"/>
              <w:rPr>
                <w:sz w:val="11"/>
                <w:szCs w:val="11"/>
                <w:color w:val="auto"/>
              </w:rPr>
            </w:pPr>
          </w:p>
        </w:tc>
        <w:tc>
          <w:tcPr>
            <w:tcW w:w="23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Food</w:t>
            </w:r>
          </w:p>
        </w:tc>
        <w:tc>
          <w:tcPr>
            <w:tcW w:w="20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Beyond / Results Fitness</w:t>
            </w:r>
          </w:p>
        </w:tc>
      </w:tr>
      <w:tr>
        <w:trPr>
          <w:trHeight w:val="135"/>
        </w:trPr>
        <w:tc>
          <w:tcPr>
            <w:tcW w:w="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Valley/7770</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Warehouse</w:t>
            </w:r>
          </w:p>
        </w:tc>
        <w:tc>
          <w:tcPr>
            <w:tcW w:w="2060" w:type="dxa"/>
            <w:vAlign w:val="bottom"/>
          </w:tcPr>
          <w:p>
            <w:pPr>
              <w:spacing w:after="0"/>
              <w:rPr>
                <w:sz w:val="11"/>
                <w:szCs w:val="11"/>
                <w:color w:val="auto"/>
              </w:rPr>
            </w:pPr>
          </w:p>
        </w:tc>
      </w:tr>
      <w:tr>
        <w:trPr>
          <w:trHeight w:val="172"/>
        </w:trPr>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Richmond Hwy</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2"/>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Old Keene Mill</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13,017</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91,000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24,000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Whole Foods</w:t>
            </w: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Walgreens / Planet Fitness</w:t>
            </w:r>
          </w:p>
        </w:tc>
      </w:tr>
      <w:tr>
        <w:trPr>
          <w:trHeight w:val="180"/>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9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Pan Am</w:t>
            </w:r>
          </w:p>
        </w:tc>
        <w:tc>
          <w:tcPr>
            <w:tcW w:w="300" w:type="dxa"/>
            <w:vAlign w:val="bottom"/>
          </w:tcPr>
          <w:p>
            <w:pPr>
              <w:spacing w:after="0"/>
              <w:rPr>
                <w:sz w:val="12"/>
                <w:szCs w:val="12"/>
                <w:color w:val="auto"/>
              </w:rPr>
            </w:pPr>
          </w:p>
        </w:tc>
        <w:tc>
          <w:tcPr>
            <w:tcW w:w="23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30,006</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228,000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98%</w:t>
            </w:r>
          </w:p>
        </w:tc>
        <w:tc>
          <w:tcPr>
            <w:tcW w:w="68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65,000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Safeway</w:t>
            </w: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Micro Center / CVS / Michaels</w:t>
            </w:r>
          </w:p>
        </w:tc>
      </w:tr>
      <w:tr>
        <w:trPr>
          <w:trHeight w:val="172"/>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2"/>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Pentagon Row</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105,135</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297,000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45,000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Harris Teeter</w:t>
            </w: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7"/>
              </w:rPr>
              <w:t>TJ Maxx / Bed, Bath &amp; Beyond / DSW</w:t>
            </w:r>
          </w:p>
        </w:tc>
      </w:tr>
      <w:tr>
        <w:trPr>
          <w:trHeight w:val="180"/>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9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Pike &amp; Rose</w:t>
            </w:r>
          </w:p>
        </w:tc>
        <w:tc>
          <w:tcPr>
            <w:tcW w:w="30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(6)</w:t>
            </w:r>
          </w:p>
        </w:tc>
        <w:tc>
          <w:tcPr>
            <w:tcW w:w="23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645,983</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525,000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96%</w:t>
            </w:r>
          </w:p>
        </w:tc>
        <w:tc>
          <w:tcPr>
            <w:tcW w:w="68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765</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iPic Theater / Porsche / Uniqlo / REI /</w:t>
            </w:r>
          </w:p>
        </w:tc>
      </w:tr>
      <w:tr>
        <w:trPr>
          <w:trHeight w:val="172"/>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Pinstripes / Multiple Restaurants</w:t>
            </w:r>
          </w:p>
        </w:tc>
      </w:tr>
      <w:tr>
        <w:trPr>
          <w:trHeight w:val="152"/>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Pike 7 Plaza</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49,443</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172,000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TJ Maxx / DSW / Crunch Fitness /</w:t>
            </w:r>
          </w:p>
        </w:tc>
      </w:tr>
      <w:tr>
        <w:trPr>
          <w:trHeight w:val="180"/>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Staples</w:t>
            </w:r>
          </w:p>
        </w:tc>
      </w:tr>
      <w:tr>
        <w:trPr>
          <w:trHeight w:val="144"/>
        </w:trPr>
        <w:tc>
          <w:tcPr>
            <w:tcW w:w="40" w:type="dxa"/>
            <w:vAlign w:val="bottom"/>
          </w:tcPr>
          <w:p>
            <w:pPr>
              <w:spacing w:after="0"/>
              <w:rPr>
                <w:sz w:val="12"/>
                <w:szCs w:val="12"/>
                <w:color w:val="auto"/>
              </w:rPr>
            </w:pPr>
          </w:p>
        </w:tc>
        <w:tc>
          <w:tcPr>
            <w:tcW w:w="9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Plaza del</w:t>
            </w:r>
          </w:p>
        </w:tc>
        <w:tc>
          <w:tcPr>
            <w:tcW w:w="300" w:type="dxa"/>
            <w:vAlign w:val="bottom"/>
          </w:tcPr>
          <w:p>
            <w:pPr>
              <w:spacing w:after="0"/>
              <w:rPr>
                <w:sz w:val="12"/>
                <w:szCs w:val="12"/>
                <w:color w:val="auto"/>
              </w:rPr>
            </w:pPr>
          </w:p>
        </w:tc>
        <w:tc>
          <w:tcPr>
            <w:tcW w:w="23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46,797</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116,000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97%</w:t>
            </w:r>
          </w:p>
        </w:tc>
        <w:tc>
          <w:tcPr>
            <w:tcW w:w="68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18,000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Aldi</w:t>
            </w: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CVS / L.A. Fitness</w:t>
            </w:r>
          </w:p>
        </w:tc>
      </w:tr>
      <w:tr>
        <w:trPr>
          <w:trHeight w:val="172"/>
        </w:trPr>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Mercado</w:t>
            </w: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2"/>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Quince Orchard</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40,877</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267,000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19,000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Aldi</w:t>
            </w: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HomeGoods / L.A. Fitness / Staples</w:t>
            </w:r>
          </w:p>
        </w:tc>
      </w:tr>
      <w:tr>
        <w:trPr>
          <w:trHeight w:val="180"/>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9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Rockville Town</w:t>
            </w:r>
          </w:p>
        </w:tc>
        <w:tc>
          <w:tcPr>
            <w:tcW w:w="30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(7)</w:t>
            </w:r>
          </w:p>
        </w:tc>
        <w:tc>
          <w:tcPr>
            <w:tcW w:w="23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49,602</w:t>
            </w:r>
          </w:p>
        </w:tc>
        <w:tc>
          <w:tcPr>
            <w:tcW w:w="104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4,398</w:t>
            </w: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187,000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73%</w:t>
            </w:r>
          </w:p>
        </w:tc>
        <w:tc>
          <w:tcPr>
            <w:tcW w:w="68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25,000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Dawson's</w:t>
            </w: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CVS / Gold's Gym / Multiple</w:t>
            </w:r>
          </w:p>
        </w:tc>
      </w:tr>
      <w:tr>
        <w:trPr>
          <w:trHeight w:val="172"/>
        </w:trPr>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Square</w:t>
            </w: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Market</w:t>
            </w:r>
          </w:p>
        </w:tc>
        <w:tc>
          <w:tcPr>
            <w:tcW w:w="2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Restaurants</w:t>
            </w:r>
          </w:p>
        </w:tc>
      </w:tr>
      <w:tr>
        <w:trPr>
          <w:trHeight w:val="152"/>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Rollingwood</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11,509</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6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282</w:t>
            </w: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r>
        <w:trPr>
          <w:trHeight w:val="180"/>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Apartments</w:t>
            </w: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9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Sam's Park &amp;</w:t>
            </w:r>
          </w:p>
        </w:tc>
        <w:tc>
          <w:tcPr>
            <w:tcW w:w="300" w:type="dxa"/>
            <w:vAlign w:val="bottom"/>
          </w:tcPr>
          <w:p>
            <w:pPr>
              <w:spacing w:after="0"/>
              <w:rPr>
                <w:sz w:val="12"/>
                <w:szCs w:val="12"/>
                <w:color w:val="auto"/>
              </w:rPr>
            </w:pPr>
          </w:p>
        </w:tc>
        <w:tc>
          <w:tcPr>
            <w:tcW w:w="23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15,014</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51,000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Target</w:t>
            </w:r>
          </w:p>
        </w:tc>
      </w:tr>
      <w:tr>
        <w:trPr>
          <w:trHeight w:val="172"/>
        </w:trPr>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Shop</w:t>
            </w: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2"/>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Tower</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22,715</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111,000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26,000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L.A. Mart</w:t>
            </w: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Talbots / Total Wine &amp; More</w:t>
            </w:r>
          </w:p>
        </w:tc>
      </w:tr>
      <w:tr>
        <w:trPr>
          <w:trHeight w:val="135"/>
        </w:trPr>
        <w:tc>
          <w:tcPr>
            <w:tcW w:w="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Shopping</w:t>
            </w:r>
          </w:p>
        </w:tc>
        <w:tc>
          <w:tcPr>
            <w:tcW w:w="30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r>
      <w:tr>
        <w:trPr>
          <w:trHeight w:val="180"/>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Center</w:t>
            </w: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9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Tyson's Station</w:t>
            </w:r>
          </w:p>
        </w:tc>
        <w:tc>
          <w:tcPr>
            <w:tcW w:w="300" w:type="dxa"/>
            <w:vAlign w:val="bottom"/>
          </w:tcPr>
          <w:p>
            <w:pPr>
              <w:spacing w:after="0"/>
              <w:rPr>
                <w:sz w:val="12"/>
                <w:szCs w:val="12"/>
                <w:color w:val="auto"/>
              </w:rPr>
            </w:pPr>
          </w:p>
        </w:tc>
        <w:tc>
          <w:tcPr>
            <w:tcW w:w="23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5,623</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50,000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86%</w:t>
            </w:r>
          </w:p>
        </w:tc>
        <w:tc>
          <w:tcPr>
            <w:tcW w:w="68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11,000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Trader Joe's</w:t>
            </w:r>
          </w:p>
        </w:tc>
        <w:tc>
          <w:tcPr>
            <w:tcW w:w="2060" w:type="dxa"/>
            <w:vAlign w:val="bottom"/>
          </w:tcPr>
          <w:p>
            <w:pPr>
              <w:spacing w:after="0"/>
              <w:rPr>
                <w:sz w:val="12"/>
                <w:szCs w:val="12"/>
                <w:color w:val="auto"/>
              </w:rPr>
            </w:pPr>
          </w:p>
        </w:tc>
      </w:tr>
      <w:tr>
        <w:trPr>
          <w:trHeight w:val="172"/>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2"/>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Village at</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(7)</w:t>
            </w: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69,929</w:t>
            </w:r>
          </w:p>
        </w:tc>
        <w:tc>
          <w:tcPr>
            <w:tcW w:w="10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6,816</w:t>
            </w: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262,000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28,000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Harris Teeter</w:t>
            </w: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AMC / Carlyle Grand Café</w:t>
            </w:r>
          </w:p>
        </w:tc>
      </w:tr>
      <w:tr>
        <w:trPr>
          <w:trHeight w:val="180"/>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Shirlington</w:t>
            </w: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9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Wildwood</w:t>
            </w:r>
          </w:p>
        </w:tc>
        <w:tc>
          <w:tcPr>
            <w:tcW w:w="300" w:type="dxa"/>
            <w:vAlign w:val="bottom"/>
          </w:tcPr>
          <w:p>
            <w:pPr>
              <w:spacing w:after="0"/>
              <w:rPr>
                <w:sz w:val="12"/>
                <w:szCs w:val="12"/>
                <w:color w:val="auto"/>
              </w:rPr>
            </w:pPr>
          </w:p>
        </w:tc>
        <w:tc>
          <w:tcPr>
            <w:tcW w:w="23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7"/>
              </w:rPr>
              <w:t>Washington-Arlington-Alexandria, DC-VA-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27,123</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88,000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96%</w:t>
            </w:r>
          </w:p>
        </w:tc>
        <w:tc>
          <w:tcPr>
            <w:tcW w:w="68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20,000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Balducci's</w:t>
            </w: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CVS / Flower Child</w:t>
            </w:r>
          </w:p>
        </w:tc>
      </w:tr>
      <w:tr>
        <w:trPr>
          <w:trHeight w:val="135"/>
        </w:trPr>
        <w:tc>
          <w:tcPr>
            <w:tcW w:w="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Shopping</w:t>
            </w:r>
          </w:p>
        </w:tc>
        <w:tc>
          <w:tcPr>
            <w:tcW w:w="300" w:type="dxa"/>
            <w:vAlign w:val="bottom"/>
          </w:tcPr>
          <w:p>
            <w:pPr>
              <w:spacing w:after="0"/>
              <w:rPr>
                <w:sz w:val="11"/>
                <w:szCs w:val="11"/>
                <w:color w:val="auto"/>
              </w:rPr>
            </w:pPr>
          </w:p>
        </w:tc>
        <w:tc>
          <w:tcPr>
            <w:tcW w:w="23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spacing w:after="0"/>
              <w:rPr>
                <w:sz w:val="11"/>
                <w:szCs w:val="11"/>
                <w:color w:val="auto"/>
              </w:rPr>
            </w:pPr>
          </w:p>
        </w:tc>
      </w:tr>
      <w:tr>
        <w:trPr>
          <w:trHeight w:val="174"/>
        </w:trPr>
        <w:tc>
          <w:tcPr>
            <w:tcW w:w="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Center</w:t>
            </w:r>
          </w:p>
        </w:tc>
        <w:tc>
          <w:tcPr>
            <w:tcW w:w="3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spacing w:after="0"/>
              <w:rPr>
                <w:sz w:val="15"/>
                <w:szCs w:val="15"/>
                <w:color w:val="auto"/>
              </w:rPr>
            </w:pPr>
          </w:p>
        </w:tc>
      </w:tr>
      <w:tr>
        <w:trPr>
          <w:trHeight w:val="173"/>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Washington Metropolitan Area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w w:val="99"/>
              </w:rPr>
              <w:t>2,132,222</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433</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6,024,000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6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149"/>
        </w:trPr>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California</w:t>
            </w: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101"/>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060" w:type="dxa"/>
            <w:vAlign w:val="bottom"/>
            <w:tcBorders>
              <w:top w:val="single" w:sz="8" w:color="CCEEFF"/>
            </w:tcBorders>
            <w:shd w:val="clear" w:color="auto" w:fill="CCEEFF"/>
          </w:tcPr>
          <w:p>
            <w:pPr>
              <w:spacing w:after="0"/>
              <w:rPr>
                <w:sz w:val="8"/>
                <w:szCs w:val="8"/>
                <w:color w:val="auto"/>
              </w:rPr>
            </w:pPr>
          </w:p>
        </w:tc>
      </w:tr>
      <w:tr>
        <w:trPr>
          <w:trHeight w:val="144"/>
        </w:trPr>
        <w:tc>
          <w:tcPr>
            <w:tcW w:w="40" w:type="dxa"/>
            <w:vAlign w:val="bottom"/>
          </w:tcPr>
          <w:p>
            <w:pPr>
              <w:spacing w:after="0"/>
              <w:rPr>
                <w:sz w:val="12"/>
                <w:szCs w:val="12"/>
                <w:color w:val="auto"/>
              </w:rPr>
            </w:pPr>
          </w:p>
        </w:tc>
        <w:tc>
          <w:tcPr>
            <w:tcW w:w="9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Azalea</w:t>
            </w:r>
          </w:p>
        </w:tc>
        <w:tc>
          <w:tcPr>
            <w:tcW w:w="2680" w:type="dxa"/>
            <w:vAlign w:val="bottom"/>
            <w:gridSpan w:val="3"/>
          </w:tcPr>
          <w:p>
            <w:pPr>
              <w:ind w:left="80"/>
              <w:spacing w:after="0" w:line="144" w:lineRule="exact"/>
              <w:rPr>
                <w:sz w:val="20"/>
                <w:szCs w:val="20"/>
                <w:color w:val="auto"/>
              </w:rPr>
            </w:pPr>
            <w:r>
              <w:rPr>
                <w:rFonts w:ascii="Times New Roman" w:cs="Times New Roman" w:eastAsia="Times New Roman" w:hAnsi="Times New Roman"/>
                <w:sz w:val="13"/>
                <w:szCs w:val="13"/>
                <w:color w:val="auto"/>
              </w:rPr>
              <w:t>(4)   Los Angeles-Long Beach-Anaheim, CA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107,322</w:t>
            </w:r>
          </w:p>
        </w:tc>
        <w:tc>
          <w:tcPr>
            <w:tcW w:w="104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40,000</w:t>
            </w: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223,000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99%</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w w:val="97"/>
              </w:rPr>
              <w:t>Marshalls / Ross Dress for Less / Ulta /</w:t>
            </w:r>
          </w:p>
        </w:tc>
      </w:tr>
      <w:tr>
        <w:trPr>
          <w:trHeight w:val="164"/>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Michaels</w:t>
            </w:r>
          </w:p>
        </w:tc>
      </w:tr>
    </w:tbl>
    <w:p>
      <w:pPr>
        <w:spacing w:after="0" w:line="200" w:lineRule="exact"/>
        <w:rPr>
          <w:sz w:val="20"/>
          <w:szCs w:val="20"/>
          <w:color w:val="auto"/>
        </w:rPr>
      </w:pPr>
    </w:p>
    <w:p>
      <w:pPr>
        <w:sectPr>
          <w:pgSz w:w="11900" w:h="16838" w:orient="portrait"/>
          <w:cols w:equalWidth="0" w:num="1">
            <w:col w:w="11240"/>
          </w:cols>
          <w:pgMar w:left="320" w:top="718" w:right="339" w:bottom="1440" w:gutter="0" w:footer="0" w:header="0"/>
        </w:sectPr>
      </w:pP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718" w:right="339" w:bottom="1440" w:gutter="0" w:footer="0" w:header="0"/>
          <w:type w:val="continuous"/>
        </w:sectPr>
      </w:pPr>
    </w:p>
    <w:bookmarkStart w:id="26" w:name="page27"/>
    <w:bookmarkEnd w:id="26"/>
    <w:p>
      <w:pPr>
        <w:ind w:left="4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Mortgage/Finance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spacing w:after="0"/>
              <w:rPr>
                <w:sz w:val="12"/>
                <w:szCs w:val="12"/>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84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Estate at</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Leased</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Residential</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8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Grocery</w:t>
            </w:r>
          </w:p>
        </w:tc>
        <w:tc>
          <w:tcPr>
            <w:tcW w:w="2040" w:type="dxa"/>
            <w:vAlign w:val="bottom"/>
          </w:tcPr>
          <w:p>
            <w:pPr>
              <w:spacing w:after="0"/>
              <w:rPr>
                <w:sz w:val="11"/>
                <w:szCs w:val="11"/>
                <w:color w:val="auto"/>
              </w:rPr>
            </w:pPr>
          </w:p>
        </w:tc>
      </w:tr>
      <w:tr>
        <w:trPr>
          <w:trHeight w:val="176"/>
        </w:trPr>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Name</w:t>
            </w: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Cost (1)</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4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(3)</w:t>
            </w:r>
          </w:p>
        </w:tc>
        <w:tc>
          <w:tcPr>
            <w:tcW w:w="6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r>
      <w:tr>
        <w:trPr>
          <w:trHeight w:val="135"/>
        </w:trPr>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w:t>
            </w: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40" w:type="dxa"/>
            <w:vAlign w:val="bottom"/>
          </w:tcPr>
          <w:p>
            <w:pPr>
              <w:spacing w:after="0"/>
              <w:rPr>
                <w:sz w:val="11"/>
                <w:szCs w:val="11"/>
                <w:color w:val="auto"/>
              </w:rPr>
            </w:pPr>
          </w:p>
        </w:tc>
      </w:tr>
      <w:tr>
        <w:trPr>
          <w:trHeight w:val="140"/>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thousands)</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22"/>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44"/>
        </w:trPr>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Bell Gardens</w:t>
            </w:r>
          </w:p>
        </w:tc>
        <w:tc>
          <w:tcPr>
            <w:tcW w:w="42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auto"/>
                <w:w w:val="92"/>
              </w:rPr>
              <w:t>(4)</w:t>
            </w:r>
          </w:p>
        </w:tc>
        <w:tc>
          <w:tcPr>
            <w:tcW w:w="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111,034</w:t>
            </w:r>
          </w:p>
        </w:tc>
        <w:tc>
          <w:tcPr>
            <w:tcW w:w="1040" w:type="dxa"/>
            <w:vAlign w:val="bottom"/>
            <w:shd w:val="clear" w:color="auto" w:fill="CCEEFF"/>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12,476</w:t>
            </w:r>
          </w:p>
        </w:tc>
        <w:tc>
          <w:tcPr>
            <w:tcW w:w="44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330,000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92%</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67,000</w:t>
            </w:r>
          </w:p>
        </w:tc>
        <w:tc>
          <w:tcPr>
            <w:tcW w:w="84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Food 4 Less</w:t>
            </w:r>
          </w:p>
        </w:tc>
        <w:tc>
          <w:tcPr>
            <w:tcW w:w="20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w w:val="97"/>
              </w:rPr>
              <w:t>Marshalls / Ross Dress for Less / Bob's</w:t>
            </w:r>
          </w:p>
        </w:tc>
      </w:tr>
      <w:tr>
        <w:trPr>
          <w:trHeight w:val="180"/>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Discount Furniture</w:t>
            </w:r>
          </w:p>
        </w:tc>
      </w:tr>
      <w:tr>
        <w:trPr>
          <w:trHeight w:val="173"/>
        </w:trPr>
        <w:tc>
          <w:tcPr>
            <w:tcW w:w="4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Colorado Blvd</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13,343</w:t>
            </w:r>
          </w:p>
        </w:tc>
        <w:tc>
          <w:tcPr>
            <w:tcW w:w="104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42,000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Banana Republic / True Food Kitchen</w:t>
            </w:r>
          </w:p>
        </w:tc>
      </w:tr>
      <w:tr>
        <w:trPr>
          <w:trHeight w:val="97"/>
        </w:trPr>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40" w:type="dxa"/>
            <w:vAlign w:val="bottom"/>
          </w:tcPr>
          <w:p>
            <w:pPr>
              <w:spacing w:after="0"/>
              <w:rPr>
                <w:sz w:val="8"/>
                <w:szCs w:val="8"/>
                <w:color w:val="auto"/>
              </w:rPr>
            </w:pPr>
          </w:p>
        </w:tc>
      </w:tr>
      <w:tr>
        <w:trPr>
          <w:trHeight w:val="144"/>
        </w:trPr>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Crow Canyon</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San Francisco-Oakland-Hayward, CA</w:t>
            </w:r>
          </w:p>
        </w:tc>
        <w:tc>
          <w:tcPr>
            <w:tcW w:w="660" w:type="dxa"/>
            <w:vAlign w:val="bottom"/>
            <w:shd w:val="clear" w:color="auto" w:fill="CCEEFF"/>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90,731</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245,000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87%</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32,000</w:t>
            </w:r>
          </w:p>
        </w:tc>
        <w:tc>
          <w:tcPr>
            <w:tcW w:w="84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Sprouts</w:t>
            </w:r>
          </w:p>
        </w:tc>
        <w:tc>
          <w:tcPr>
            <w:tcW w:w="20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Total Wine &amp; More / Rite Aid</w:t>
            </w:r>
          </w:p>
        </w:tc>
      </w:tr>
      <w:tr>
        <w:trPr>
          <w:trHeight w:val="180"/>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Commons</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8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East Bay</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San Francisco-Oakland-Hayward, CA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178,957</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440,000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99%</w:t>
            </w:r>
          </w:p>
        </w:tc>
        <w:tc>
          <w:tcPr>
            <w:tcW w:w="68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59,000</w:t>
            </w:r>
          </w:p>
        </w:tc>
        <w:tc>
          <w:tcPr>
            <w:tcW w:w="84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Pak-N-Save</w:t>
            </w:r>
          </w:p>
        </w:tc>
        <w:tc>
          <w:tcPr>
            <w:tcW w:w="20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Home Depot / Target / Nordstrom</w:t>
            </w:r>
          </w:p>
        </w:tc>
      </w:tr>
      <w:tr>
        <w:trPr>
          <w:trHeight w:val="17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Bridge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Rack</w:t>
            </w:r>
          </w:p>
        </w:tc>
      </w:tr>
      <w:tr>
        <w:trPr>
          <w:trHeight w:val="152"/>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Escondido</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Diego-Carlsbad, CA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53,397</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298,000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TJ Maxx / Dick’s Sporting Goods /</w:t>
            </w:r>
          </w:p>
        </w:tc>
      </w:tr>
      <w:tr>
        <w:trPr>
          <w:trHeight w:val="135"/>
        </w:trPr>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Promenade</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Ross Dress For Less / Bob's Discount</w:t>
            </w:r>
          </w:p>
        </w:tc>
      </w:tr>
      <w:tr>
        <w:trPr>
          <w:trHeight w:val="180"/>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Furniture</w:t>
            </w:r>
          </w:p>
        </w:tc>
      </w:tr>
      <w:tr>
        <w:trPr>
          <w:trHeight w:val="173"/>
        </w:trPr>
        <w:tc>
          <w:tcPr>
            <w:tcW w:w="4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Fourth Street</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 Francisco-Oakland-Hayward, CA</w:t>
            </w:r>
          </w:p>
        </w:tc>
        <w:tc>
          <w:tcPr>
            <w:tcW w:w="6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26,530</w:t>
            </w:r>
          </w:p>
        </w:tc>
        <w:tc>
          <w:tcPr>
            <w:tcW w:w="104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71,000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CB2 / Ingram Book Group</w:t>
            </w:r>
          </w:p>
        </w:tc>
      </w:tr>
      <w:tr>
        <w:trPr>
          <w:trHeight w:val="97"/>
        </w:trPr>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40" w:type="dxa"/>
            <w:vAlign w:val="bottom"/>
          </w:tcPr>
          <w:p>
            <w:pPr>
              <w:spacing w:after="0"/>
              <w:rPr>
                <w:sz w:val="8"/>
                <w:szCs w:val="8"/>
                <w:color w:val="auto"/>
              </w:rPr>
            </w:pPr>
          </w:p>
        </w:tc>
      </w:tr>
      <w:tr>
        <w:trPr>
          <w:trHeight w:val="144"/>
        </w:trPr>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Freedom Plaza</w:t>
            </w:r>
          </w:p>
        </w:tc>
        <w:tc>
          <w:tcPr>
            <w:tcW w:w="42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auto"/>
              </w:rPr>
              <w:t>(4) (6)</w:t>
            </w:r>
          </w:p>
        </w:tc>
        <w:tc>
          <w:tcPr>
            <w:tcW w:w="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40,464</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95,000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31,000</w:t>
            </w:r>
          </w:p>
        </w:tc>
        <w:tc>
          <w:tcPr>
            <w:tcW w:w="84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w w:val="99"/>
              </w:rPr>
              <w:t>Smart &amp; Final</w:t>
            </w:r>
          </w:p>
        </w:tc>
        <w:tc>
          <w:tcPr>
            <w:tcW w:w="20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Nike / Blink Fitness / Ross Dress for</w:t>
            </w:r>
          </w:p>
        </w:tc>
      </w:tr>
      <w:tr>
        <w:trPr>
          <w:trHeight w:val="180"/>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w:t>
            </w:r>
          </w:p>
        </w:tc>
      </w:tr>
      <w:tr>
        <w:trPr>
          <w:trHeight w:val="144"/>
        </w:trPr>
        <w:tc>
          <w:tcPr>
            <w:tcW w:w="40" w:type="dxa"/>
            <w:vAlign w:val="bottom"/>
          </w:tcPr>
          <w:p>
            <w:pPr>
              <w:spacing w:after="0"/>
              <w:rPr>
                <w:sz w:val="12"/>
                <w:szCs w:val="12"/>
                <w:color w:val="auto"/>
              </w:rPr>
            </w:pPr>
          </w:p>
        </w:tc>
        <w:tc>
          <w:tcPr>
            <w:tcW w:w="8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w w:val="99"/>
              </w:rPr>
              <w:t>Hastings Ranch</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25,278</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273,000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w w:val="99"/>
              </w:rPr>
              <w:t>Marshalls / HomeGoods / CVS / Sears</w:t>
            </w:r>
          </w:p>
        </w:tc>
      </w:tr>
      <w:tr>
        <w:trPr>
          <w:trHeight w:val="17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Plaza</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52"/>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Hollywood</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61,267</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181,000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Target / Marshalls / L.A. Fitness / La</w:t>
            </w:r>
          </w:p>
        </w:tc>
      </w:tr>
      <w:tr>
        <w:trPr>
          <w:trHeight w:val="180"/>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Blvd</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 Land</w:t>
            </w:r>
          </w:p>
        </w:tc>
      </w:tr>
      <w:tr>
        <w:trPr>
          <w:trHeight w:val="173"/>
        </w:trPr>
        <w:tc>
          <w:tcPr>
            <w:tcW w:w="4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Kings Court</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(5)</w:t>
            </w:r>
          </w:p>
        </w:tc>
        <w:tc>
          <w:tcPr>
            <w:tcW w:w="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 Jose-Sunnyvale-Santa Clara, CA</w:t>
            </w:r>
          </w:p>
        </w:tc>
        <w:tc>
          <w:tcPr>
            <w:tcW w:w="6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11,608</w:t>
            </w:r>
          </w:p>
        </w:tc>
        <w:tc>
          <w:tcPr>
            <w:tcW w:w="104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81,000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4"/>
              </w:rPr>
              <w:t>31,000</w:t>
            </w: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Lunardi's</w:t>
            </w:r>
          </w:p>
        </w:tc>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CVS</w:t>
            </w:r>
          </w:p>
        </w:tc>
      </w:tr>
      <w:tr>
        <w:trPr>
          <w:trHeight w:val="97"/>
        </w:trPr>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40" w:type="dxa"/>
            <w:vAlign w:val="bottom"/>
          </w:tcPr>
          <w:p>
            <w:pPr>
              <w:spacing w:after="0"/>
              <w:rPr>
                <w:sz w:val="8"/>
                <w:szCs w:val="8"/>
                <w:color w:val="auto"/>
              </w:rPr>
            </w:pPr>
          </w:p>
        </w:tc>
      </w:tr>
      <w:tr>
        <w:trPr>
          <w:trHeight w:val="144"/>
        </w:trPr>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Old Town</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San Jose-Sunnyvale-Santa Clara, CA</w:t>
            </w:r>
          </w:p>
        </w:tc>
        <w:tc>
          <w:tcPr>
            <w:tcW w:w="660" w:type="dxa"/>
            <w:vAlign w:val="bottom"/>
            <w:shd w:val="clear" w:color="auto" w:fill="CCEEFF"/>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37,438</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98,000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84%</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Anthropologie / Banana Republic /</w:t>
            </w:r>
          </w:p>
        </w:tc>
      </w:tr>
      <w:tr>
        <w:trPr>
          <w:trHeight w:val="180"/>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Center</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Gap</w:t>
            </w:r>
          </w:p>
        </w:tc>
      </w:tr>
      <w:tr>
        <w:trPr>
          <w:trHeight w:val="144"/>
        </w:trPr>
        <w:tc>
          <w:tcPr>
            <w:tcW w:w="40" w:type="dxa"/>
            <w:vAlign w:val="bottom"/>
          </w:tcPr>
          <w:p>
            <w:pPr>
              <w:spacing w:after="0"/>
              <w:rPr>
                <w:sz w:val="12"/>
                <w:szCs w:val="12"/>
                <w:color w:val="auto"/>
              </w:rPr>
            </w:pPr>
          </w:p>
        </w:tc>
        <w:tc>
          <w:tcPr>
            <w:tcW w:w="8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Olivo at</w:t>
            </w:r>
          </w:p>
        </w:tc>
        <w:tc>
          <w:tcPr>
            <w:tcW w:w="4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2"/>
              </w:rPr>
              <w:t>(4)</w:t>
            </w:r>
          </w:p>
        </w:tc>
        <w:tc>
          <w:tcPr>
            <w:tcW w:w="20" w:type="dxa"/>
            <w:vAlign w:val="bottom"/>
          </w:tcPr>
          <w:p>
            <w:pPr>
              <w:spacing w:after="0"/>
              <w:rPr>
                <w:sz w:val="12"/>
                <w:szCs w:val="12"/>
                <w:color w:val="auto"/>
              </w:rPr>
            </w:pPr>
          </w:p>
        </w:tc>
        <w:tc>
          <w:tcPr>
            <w:tcW w:w="2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81,308</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155,000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94%</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Target / 24 Hour Fitness / Ross Dress</w:t>
            </w:r>
          </w:p>
        </w:tc>
      </w:tr>
      <w:tr>
        <w:trPr>
          <w:trHeight w:val="17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Mission Hills</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 Less</w:t>
            </w:r>
          </w:p>
        </w:tc>
      </w:tr>
      <w:tr>
        <w:trPr>
          <w:trHeight w:val="181"/>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Plaza Del Sol</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17,910</w:t>
            </w:r>
          </w:p>
        </w:tc>
        <w:tc>
          <w:tcPr>
            <w:tcW w:w="10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8,089</w:t>
            </w: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48,000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Marshalls</w:t>
            </w:r>
          </w:p>
        </w:tc>
      </w:tr>
      <w:tr>
        <w:trPr>
          <w:trHeight w:val="97"/>
        </w:trPr>
        <w:tc>
          <w:tcPr>
            <w:tcW w:w="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40" w:type="dxa"/>
            <w:vAlign w:val="bottom"/>
            <w:shd w:val="clear" w:color="auto" w:fill="CCEEFF"/>
          </w:tcPr>
          <w:p>
            <w:pPr>
              <w:spacing w:after="0"/>
              <w:rPr>
                <w:sz w:val="8"/>
                <w:szCs w:val="8"/>
                <w:color w:val="auto"/>
              </w:rPr>
            </w:pPr>
          </w:p>
        </w:tc>
      </w:tr>
      <w:tr>
        <w:trPr>
          <w:trHeight w:val="144"/>
        </w:trPr>
        <w:tc>
          <w:tcPr>
            <w:tcW w:w="40" w:type="dxa"/>
            <w:vAlign w:val="bottom"/>
          </w:tcPr>
          <w:p>
            <w:pPr>
              <w:spacing w:after="0"/>
              <w:rPr>
                <w:sz w:val="12"/>
                <w:szCs w:val="12"/>
                <w:color w:val="auto"/>
              </w:rPr>
            </w:pPr>
          </w:p>
        </w:tc>
        <w:tc>
          <w:tcPr>
            <w:tcW w:w="8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Plaza El</w:t>
            </w:r>
          </w:p>
        </w:tc>
        <w:tc>
          <w:tcPr>
            <w:tcW w:w="4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2"/>
              </w:rPr>
              <w:t>(4)</w:t>
            </w:r>
          </w:p>
        </w:tc>
        <w:tc>
          <w:tcPr>
            <w:tcW w:w="20" w:type="dxa"/>
            <w:vAlign w:val="bottom"/>
          </w:tcPr>
          <w:p>
            <w:pPr>
              <w:spacing w:after="0"/>
              <w:rPr>
                <w:sz w:val="12"/>
                <w:szCs w:val="12"/>
                <w:color w:val="auto"/>
              </w:rPr>
            </w:pPr>
          </w:p>
        </w:tc>
        <w:tc>
          <w:tcPr>
            <w:tcW w:w="2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295,974</w:t>
            </w:r>
          </w:p>
        </w:tc>
        <w:tc>
          <w:tcPr>
            <w:tcW w:w="104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125,000</w:t>
            </w: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500,000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90%</w:t>
            </w:r>
          </w:p>
        </w:tc>
        <w:tc>
          <w:tcPr>
            <w:tcW w:w="68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66,000</w:t>
            </w:r>
          </w:p>
        </w:tc>
        <w:tc>
          <w:tcPr>
            <w:tcW w:w="84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Whole Foods</w:t>
            </w:r>
          </w:p>
        </w:tc>
        <w:tc>
          <w:tcPr>
            <w:tcW w:w="20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w w:val="97"/>
              </w:rPr>
              <w:t>Nordstrom Rack / HomeGoods / Dick's</w:t>
            </w:r>
          </w:p>
        </w:tc>
      </w:tr>
      <w:tr>
        <w:trPr>
          <w:trHeight w:val="135"/>
        </w:trPr>
        <w:tc>
          <w:tcPr>
            <w:tcW w:w="4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Segundo / The</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w w:val="99"/>
              </w:rPr>
              <w:t>Sporting Goods / Multiple Restaurants</w:t>
            </w:r>
          </w:p>
        </w:tc>
      </w:tr>
      <w:tr>
        <w:trPr>
          <w:trHeight w:val="17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Point</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52"/>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San Antonio</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(5)</w:t>
            </w: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Jose-Sunnyvale-Santa Clara, CA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46,409</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211,000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11,000</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Trader Joe's</w:t>
            </w: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Walmart / 24 Hour Fitness</w:t>
            </w:r>
          </w:p>
        </w:tc>
      </w:tr>
      <w:tr>
        <w:trPr>
          <w:trHeight w:val="180"/>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Center</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8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Santana Row</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San Jose-Sunnyvale-Santa Clara, CA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w w:val="99"/>
              </w:rPr>
              <w:t>1,120,797</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1,197,000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95%</w:t>
            </w:r>
          </w:p>
        </w:tc>
        <w:tc>
          <w:tcPr>
            <w:tcW w:w="68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662</w:t>
            </w: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Crate &amp; Barrel / H&amp;M / Best Buy /</w:t>
            </w:r>
          </w:p>
        </w:tc>
      </w:tr>
      <w:tr>
        <w:trPr>
          <w:trHeight w:val="172"/>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Multiple Restaurants</w:t>
            </w:r>
          </w:p>
        </w:tc>
      </w:tr>
      <w:tr>
        <w:trPr>
          <w:trHeight w:val="152"/>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Sylmar Towne</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44,970</w:t>
            </w:r>
          </w:p>
        </w:tc>
        <w:tc>
          <w:tcPr>
            <w:tcW w:w="10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16,338</w:t>
            </w: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148,000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43,000</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Food 4 Less</w:t>
            </w: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CVS</w:t>
            </w:r>
          </w:p>
        </w:tc>
      </w:tr>
      <w:tr>
        <w:trPr>
          <w:trHeight w:val="180"/>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Center</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8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Third Street</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79,662</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209,000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64%</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adidas / Old Navy / J. Crew</w:t>
            </w:r>
          </w:p>
        </w:tc>
      </w:tr>
      <w:tr>
        <w:trPr>
          <w:trHeight w:val="17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Promenade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52"/>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Westgate</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Jose-Sunnyvale-Santa Clara, CA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158,046</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648,000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Target / Nordstrom Rack / Nike</w:t>
            </w:r>
          </w:p>
        </w:tc>
      </w:tr>
      <w:tr>
        <w:trPr>
          <w:trHeight w:val="180"/>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Center</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Factory / TJ Maxx</w:t>
            </w:r>
          </w:p>
        </w:tc>
      </w:tr>
      <w:tr>
        <w:trPr>
          <w:trHeight w:val="166"/>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California</w:t>
            </w:r>
          </w:p>
        </w:tc>
        <w:tc>
          <w:tcPr>
            <w:tcW w:w="6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w w:val="99"/>
              </w:rPr>
              <w:t>2,602,445</w:t>
            </w:r>
          </w:p>
        </w:tc>
        <w:tc>
          <w:tcPr>
            <w:tcW w:w="104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364</w:t>
            </w:r>
          </w:p>
        </w:tc>
        <w:tc>
          <w:tcPr>
            <w:tcW w:w="10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5,493,000</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12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4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r>
      <w:tr>
        <w:trPr>
          <w:trHeight w:val="148"/>
        </w:trPr>
        <w:tc>
          <w:tcPr>
            <w:tcW w:w="40" w:type="dxa"/>
            <w:vAlign w:val="bottom"/>
          </w:tcPr>
          <w:p>
            <w:pPr>
              <w:spacing w:after="0"/>
              <w:rPr>
                <w:sz w:val="12"/>
                <w:szCs w:val="12"/>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w w:val="97"/>
              </w:rPr>
              <w:t>NY Metro/New Jersey</w:t>
            </w:r>
          </w:p>
        </w:tc>
        <w:tc>
          <w:tcPr>
            <w:tcW w:w="2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40" w:type="dxa"/>
            <w:vAlign w:val="bottom"/>
          </w:tcPr>
          <w:p>
            <w:pPr>
              <w:spacing w:after="0"/>
              <w:rPr>
                <w:sz w:val="8"/>
                <w:szCs w:val="8"/>
                <w:color w:val="auto"/>
              </w:rPr>
            </w:pPr>
          </w:p>
        </w:tc>
      </w:tr>
      <w:tr>
        <w:trPr>
          <w:trHeight w:val="144"/>
        </w:trPr>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Brick Plaza</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w w:val="99"/>
              </w:rPr>
              <w:t>New York-Newark-Jersey City, NY-NJ-PA</w:t>
            </w:r>
          </w:p>
        </w:tc>
        <w:tc>
          <w:tcPr>
            <w:tcW w:w="660" w:type="dxa"/>
            <w:vAlign w:val="bottom"/>
            <w:shd w:val="clear" w:color="auto" w:fill="CCEEFF"/>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100,552</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408,000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93%</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14,000</w:t>
            </w:r>
          </w:p>
        </w:tc>
        <w:tc>
          <w:tcPr>
            <w:tcW w:w="84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Trader Joe's</w:t>
            </w:r>
          </w:p>
        </w:tc>
        <w:tc>
          <w:tcPr>
            <w:tcW w:w="20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AMC / HomeGoods / Ulta / L.A.</w:t>
            </w:r>
          </w:p>
        </w:tc>
      </w:tr>
      <w:tr>
        <w:trPr>
          <w:trHeight w:val="180"/>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Fitness</w:t>
            </w:r>
          </w:p>
        </w:tc>
      </w:tr>
      <w:tr>
        <w:trPr>
          <w:trHeight w:val="144"/>
        </w:trPr>
        <w:tc>
          <w:tcPr>
            <w:tcW w:w="40" w:type="dxa"/>
            <w:vAlign w:val="bottom"/>
          </w:tcPr>
          <w:p>
            <w:pPr>
              <w:spacing w:after="0"/>
              <w:rPr>
                <w:sz w:val="12"/>
                <w:szCs w:val="12"/>
                <w:color w:val="auto"/>
              </w:rPr>
            </w:pPr>
          </w:p>
        </w:tc>
        <w:tc>
          <w:tcPr>
            <w:tcW w:w="8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Brook 35</w:t>
            </w:r>
          </w:p>
        </w:tc>
        <w:tc>
          <w:tcPr>
            <w:tcW w:w="4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(4) (5)</w:t>
            </w:r>
          </w:p>
        </w:tc>
        <w:tc>
          <w:tcPr>
            <w:tcW w:w="20" w:type="dxa"/>
            <w:vAlign w:val="bottom"/>
          </w:tcPr>
          <w:p>
            <w:pPr>
              <w:spacing w:after="0"/>
              <w:rPr>
                <w:sz w:val="12"/>
                <w:szCs w:val="12"/>
                <w:color w:val="auto"/>
              </w:rPr>
            </w:pPr>
          </w:p>
        </w:tc>
        <w:tc>
          <w:tcPr>
            <w:tcW w:w="2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w w:val="99"/>
              </w:rPr>
              <w:t>New York-Newark-Jersey City, NY-NJ-PA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48,446</w:t>
            </w:r>
          </w:p>
        </w:tc>
        <w:tc>
          <w:tcPr>
            <w:tcW w:w="104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11,500</w:t>
            </w: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99,000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89%</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Banana Republic / Gap / Williams-</w:t>
            </w:r>
          </w:p>
        </w:tc>
      </w:tr>
      <w:tr>
        <w:trPr>
          <w:trHeight w:val="172"/>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Sonoma</w:t>
            </w:r>
          </w:p>
        </w:tc>
      </w:tr>
      <w:tr>
        <w:trPr>
          <w:trHeight w:val="181"/>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9"/>
              </w:rPr>
              <w:t>Fresh Meadows</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New York-Newark-Jersey City, NY-NJ-PA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93,583</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409,000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15,000</w:t>
            </w:r>
          </w:p>
        </w:tc>
        <w:tc>
          <w:tcPr>
            <w:tcW w:w="2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Island of Gold AMC / Kohl's / Michaels</w:t>
            </w:r>
          </w:p>
        </w:tc>
      </w:tr>
      <w:tr>
        <w:trPr>
          <w:trHeight w:val="97"/>
        </w:trPr>
        <w:tc>
          <w:tcPr>
            <w:tcW w:w="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40" w:type="dxa"/>
            <w:vAlign w:val="bottom"/>
            <w:shd w:val="clear" w:color="auto" w:fill="CCEEFF"/>
          </w:tcPr>
          <w:p>
            <w:pPr>
              <w:spacing w:after="0"/>
              <w:rPr>
                <w:sz w:val="8"/>
                <w:szCs w:val="8"/>
                <w:color w:val="auto"/>
              </w:rPr>
            </w:pPr>
          </w:p>
        </w:tc>
      </w:tr>
      <w:tr>
        <w:trPr>
          <w:trHeight w:val="144"/>
        </w:trPr>
        <w:tc>
          <w:tcPr>
            <w:tcW w:w="40" w:type="dxa"/>
            <w:vAlign w:val="bottom"/>
          </w:tcPr>
          <w:p>
            <w:pPr>
              <w:spacing w:after="0"/>
              <w:rPr>
                <w:sz w:val="12"/>
                <w:szCs w:val="12"/>
                <w:color w:val="auto"/>
              </w:rPr>
            </w:pPr>
          </w:p>
        </w:tc>
        <w:tc>
          <w:tcPr>
            <w:tcW w:w="8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Georgetowne</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w w:val="99"/>
              </w:rPr>
              <w:t>New York-Newark-Jersey City, NY-NJ-PA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82,569</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147,000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88%</w:t>
            </w:r>
          </w:p>
        </w:tc>
        <w:tc>
          <w:tcPr>
            <w:tcW w:w="68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43,000</w:t>
            </w:r>
          </w:p>
        </w:tc>
        <w:tc>
          <w:tcPr>
            <w:tcW w:w="84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Foodway</w:t>
            </w:r>
          </w:p>
        </w:tc>
        <w:tc>
          <w:tcPr>
            <w:tcW w:w="20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Five Below / IHOP</w:t>
            </w:r>
          </w:p>
        </w:tc>
      </w:tr>
      <w:tr>
        <w:trPr>
          <w:trHeight w:val="135"/>
        </w:trPr>
        <w:tc>
          <w:tcPr>
            <w:tcW w:w="4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Shopping</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40" w:type="dxa"/>
            <w:vAlign w:val="bottom"/>
          </w:tcPr>
          <w:p>
            <w:pPr>
              <w:spacing w:after="0"/>
              <w:rPr>
                <w:sz w:val="11"/>
                <w:szCs w:val="11"/>
                <w:color w:val="auto"/>
              </w:rPr>
            </w:pPr>
          </w:p>
        </w:tc>
      </w:tr>
      <w:tr>
        <w:trPr>
          <w:trHeight w:val="17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Center</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52"/>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Greenlawn</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New York-Newark-Jersey City, NY-NJ-PA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31,945</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102,000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46,000</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Greenlawn</w:t>
            </w: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Tuesday Morning</w:t>
            </w:r>
          </w:p>
        </w:tc>
      </w:tr>
      <w:tr>
        <w:trPr>
          <w:trHeight w:val="180"/>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Plaza</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Farms</w:t>
            </w:r>
          </w:p>
        </w:tc>
        <w:tc>
          <w:tcPr>
            <w:tcW w:w="204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8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Greenwich</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Bridgeport-Stamford-Norwalk, CT</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23,748</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35,000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Saks Fifth Avenue</w:t>
            </w:r>
          </w:p>
        </w:tc>
      </w:tr>
      <w:tr>
        <w:trPr>
          <w:trHeight w:val="17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Avenue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81"/>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Hauppauge</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New York-Newark-Jersey City, NY-NJ-PA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30,037</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133,000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61,000</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Shop Rite</w:t>
            </w:r>
          </w:p>
        </w:tc>
        <w:tc>
          <w:tcPr>
            <w:tcW w:w="204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40" w:type="dxa"/>
            <w:vAlign w:val="bottom"/>
            <w:shd w:val="clear" w:color="auto" w:fill="CCEEFF"/>
          </w:tcPr>
          <w:p>
            <w:pPr>
              <w:spacing w:after="0"/>
              <w:rPr>
                <w:sz w:val="8"/>
                <w:szCs w:val="8"/>
                <w:color w:val="auto"/>
              </w:rPr>
            </w:pPr>
          </w:p>
        </w:tc>
      </w:tr>
      <w:tr>
        <w:trPr>
          <w:trHeight w:val="144"/>
        </w:trPr>
        <w:tc>
          <w:tcPr>
            <w:tcW w:w="40" w:type="dxa"/>
            <w:vAlign w:val="bottom"/>
          </w:tcPr>
          <w:p>
            <w:pPr>
              <w:spacing w:after="0"/>
              <w:rPr>
                <w:sz w:val="12"/>
                <w:szCs w:val="12"/>
                <w:color w:val="auto"/>
              </w:rPr>
            </w:pPr>
          </w:p>
        </w:tc>
        <w:tc>
          <w:tcPr>
            <w:tcW w:w="8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Hoboken</w:t>
            </w:r>
          </w:p>
        </w:tc>
        <w:tc>
          <w:tcPr>
            <w:tcW w:w="4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(4) (8)</w:t>
            </w:r>
          </w:p>
        </w:tc>
        <w:tc>
          <w:tcPr>
            <w:tcW w:w="20" w:type="dxa"/>
            <w:vAlign w:val="bottom"/>
          </w:tcPr>
          <w:p>
            <w:pPr>
              <w:spacing w:after="0"/>
              <w:rPr>
                <w:sz w:val="12"/>
                <w:szCs w:val="12"/>
                <w:color w:val="auto"/>
              </w:rPr>
            </w:pPr>
          </w:p>
        </w:tc>
        <w:tc>
          <w:tcPr>
            <w:tcW w:w="2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w w:val="99"/>
              </w:rPr>
              <w:t>New York-Newark-Jersey City, NY-NJ-PA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215,653</w:t>
            </w:r>
          </w:p>
        </w:tc>
        <w:tc>
          <w:tcPr>
            <w:tcW w:w="104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106,012</w:t>
            </w: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171,000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93%</w:t>
            </w:r>
          </w:p>
        </w:tc>
        <w:tc>
          <w:tcPr>
            <w:tcW w:w="68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129</w:t>
            </w: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CVS / New York Sports Club /</w:t>
            </w:r>
          </w:p>
        </w:tc>
      </w:tr>
      <w:tr>
        <w:trPr>
          <w:trHeight w:val="172"/>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Sephora / Multiple Restaurants</w:t>
            </w:r>
          </w:p>
        </w:tc>
      </w:tr>
      <w:tr>
        <w:trPr>
          <w:trHeight w:val="152"/>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Huntington</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New York-Newark-Jersey City, NY-NJ-PA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47,230</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265,000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Nordstrom Rack / Buy Buy Baby /</w:t>
            </w:r>
          </w:p>
        </w:tc>
      </w:tr>
      <w:tr>
        <w:trPr>
          <w:trHeight w:val="180"/>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Michaels / Ulta</w:t>
            </w:r>
          </w:p>
        </w:tc>
      </w:tr>
      <w:tr>
        <w:trPr>
          <w:trHeight w:val="144"/>
        </w:trPr>
        <w:tc>
          <w:tcPr>
            <w:tcW w:w="40" w:type="dxa"/>
            <w:vAlign w:val="bottom"/>
          </w:tcPr>
          <w:p>
            <w:pPr>
              <w:spacing w:after="0"/>
              <w:rPr>
                <w:sz w:val="12"/>
                <w:szCs w:val="12"/>
                <w:color w:val="auto"/>
              </w:rPr>
            </w:pPr>
          </w:p>
        </w:tc>
        <w:tc>
          <w:tcPr>
            <w:tcW w:w="8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Huntington</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w w:val="99"/>
              </w:rPr>
              <w:t>New York-Newark-Jersey City, NY-NJ-PA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13,570</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74,000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83%</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Barnes &amp; Noble</w:t>
            </w:r>
          </w:p>
        </w:tc>
      </w:tr>
      <w:tr>
        <w:trPr>
          <w:trHeight w:val="17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Square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52"/>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Melville Mall</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New York-Newark-Jersey City, NY-NJ-PA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103,541</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239,000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53,000</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Uncle</w:t>
            </w: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Marshalls / Dick's Sporting Goods /</w:t>
            </w:r>
          </w:p>
        </w:tc>
      </w:tr>
      <w:tr>
        <w:trPr>
          <w:trHeight w:val="135"/>
        </w:trPr>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Giuseppe's</w:t>
            </w:r>
          </w:p>
        </w:tc>
        <w:tc>
          <w:tcPr>
            <w:tcW w:w="20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Field &amp; Stream / Macy's Backstage</w:t>
            </w:r>
          </w:p>
        </w:tc>
      </w:tr>
      <w:tr>
        <w:trPr>
          <w:trHeight w:val="180"/>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Marketplace</w:t>
            </w:r>
          </w:p>
        </w:tc>
        <w:tc>
          <w:tcPr>
            <w:tcW w:w="2040" w:type="dxa"/>
            <w:vAlign w:val="bottom"/>
            <w:shd w:val="clear" w:color="auto" w:fill="CCEEFF"/>
          </w:tcPr>
          <w:p>
            <w:pPr>
              <w:spacing w:after="0"/>
              <w:rPr>
                <w:sz w:val="15"/>
                <w:szCs w:val="15"/>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718" w:right="339"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Mortgage/Finance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spacing w:after="0"/>
              <w:rPr>
                <w:sz w:val="12"/>
                <w:szCs w:val="12"/>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82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840" w:type="dxa"/>
            <w:vAlign w:val="bottom"/>
            <w:gridSpan w:val="4"/>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Estate at</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Leased</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Residential</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Grocery</w:t>
            </w:r>
          </w:p>
        </w:tc>
        <w:tc>
          <w:tcPr>
            <w:tcW w:w="2060" w:type="dxa"/>
            <w:vAlign w:val="bottom"/>
          </w:tcPr>
          <w:p>
            <w:pPr>
              <w:spacing w:after="0"/>
              <w:rPr>
                <w:sz w:val="11"/>
                <w:szCs w:val="11"/>
                <w:color w:val="auto"/>
              </w:rPr>
            </w:pPr>
          </w:p>
        </w:tc>
      </w:tr>
      <w:tr>
        <w:trPr>
          <w:trHeight w:val="176"/>
        </w:trPr>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Name</w:t>
            </w:r>
          </w:p>
        </w:tc>
        <w:tc>
          <w:tcPr>
            <w:tcW w:w="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Cost (1)</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4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(3)</w:t>
            </w:r>
          </w:p>
        </w:tc>
        <w:tc>
          <w:tcPr>
            <w:tcW w:w="6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2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w:t>
            </w: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spacing w:after="0"/>
              <w:rPr>
                <w:sz w:val="11"/>
                <w:szCs w:val="11"/>
                <w:color w:val="auto"/>
              </w:rPr>
            </w:pPr>
          </w:p>
        </w:tc>
      </w:tr>
      <w:tr>
        <w:trPr>
          <w:trHeight w:val="140"/>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thousands)</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66"/>
        </w:trPr>
        <w:tc>
          <w:tcPr>
            <w:tcW w:w="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Mercer Mall</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(7)</w:t>
            </w: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Trenton, NJ</w:t>
            </w:r>
          </w:p>
        </w:tc>
        <w:tc>
          <w:tcPr>
            <w:tcW w:w="6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128,300</w:t>
            </w:r>
          </w:p>
        </w:tc>
        <w:tc>
          <w:tcPr>
            <w:tcW w:w="104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55,323</w:t>
            </w:r>
          </w:p>
        </w:tc>
        <w:tc>
          <w:tcPr>
            <w:tcW w:w="4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551,000</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68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4"/>
              </w:rPr>
              <w:t>75,000</w:t>
            </w: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Shop Rite</w:t>
            </w:r>
          </w:p>
        </w:tc>
        <w:tc>
          <w:tcPr>
            <w:tcW w:w="20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8"/>
              </w:rPr>
              <w:t>Ross Dress For Less / Nordstrom Rack</w:t>
            </w:r>
          </w:p>
        </w:tc>
      </w:tr>
      <w:tr>
        <w:trPr>
          <w:trHeight w:val="172"/>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Bed, Bath &amp; Beyond / REI</w:t>
            </w:r>
          </w:p>
        </w:tc>
      </w:tr>
      <w:tr>
        <w:trPr>
          <w:trHeight w:val="152"/>
        </w:trPr>
        <w:tc>
          <w:tcPr>
            <w:tcW w:w="40" w:type="dxa"/>
            <w:vAlign w:val="bottom"/>
            <w:shd w:val="clear" w:color="auto" w:fill="CCEEFF"/>
          </w:tcPr>
          <w:p>
            <w:pPr>
              <w:spacing w:after="0"/>
              <w:rPr>
                <w:sz w:val="13"/>
                <w:szCs w:val="13"/>
                <w:color w:val="auto"/>
              </w:rPr>
            </w:pPr>
          </w:p>
        </w:tc>
        <w:tc>
          <w:tcPr>
            <w:tcW w:w="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The Commons</w:t>
            </w:r>
          </w:p>
        </w:tc>
        <w:tc>
          <w:tcPr>
            <w:tcW w:w="420" w:type="dxa"/>
            <w:vAlign w:val="bottom"/>
            <w:shd w:val="clear" w:color="auto" w:fill="CCEEFF"/>
          </w:tcPr>
          <w:p>
            <w:pPr>
              <w:spacing w:after="0"/>
              <w:rPr>
                <w:sz w:val="13"/>
                <w:szCs w:val="13"/>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Bridgeport-Stamford-Norwalk, CT</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69,342</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58,000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6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Equinox / Walgreens</w:t>
            </w:r>
          </w:p>
        </w:tc>
      </w:tr>
      <w:tr>
        <w:trPr>
          <w:trHeight w:val="180"/>
        </w:trPr>
        <w:tc>
          <w:tcPr>
            <w:tcW w:w="40" w:type="dxa"/>
            <w:vAlign w:val="bottom"/>
            <w:shd w:val="clear" w:color="auto" w:fill="CCEEFF"/>
          </w:tcPr>
          <w:p>
            <w:pPr>
              <w:spacing w:after="0"/>
              <w:rPr>
                <w:sz w:val="15"/>
                <w:szCs w:val="15"/>
                <w:color w:val="auto"/>
              </w:rPr>
            </w:pPr>
          </w:p>
        </w:tc>
        <w:tc>
          <w:tcPr>
            <w:tcW w:w="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at Darien</w:t>
            </w: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840" w:type="dxa"/>
            <w:vAlign w:val="bottom"/>
            <w:gridSpan w:val="4"/>
          </w:tcPr>
          <w:p>
            <w:pPr>
              <w:spacing w:after="0" w:line="144" w:lineRule="exact"/>
              <w:rPr>
                <w:sz w:val="20"/>
                <w:szCs w:val="20"/>
                <w:color w:val="auto"/>
              </w:rPr>
            </w:pPr>
            <w:r>
              <w:rPr>
                <w:rFonts w:ascii="Times New Roman" w:cs="Times New Roman" w:eastAsia="Times New Roman" w:hAnsi="Times New Roman"/>
                <w:sz w:val="13"/>
                <w:szCs w:val="13"/>
                <w:color w:val="auto"/>
              </w:rPr>
              <w:t>The Grove at</w:t>
            </w:r>
          </w:p>
        </w:tc>
        <w:tc>
          <w:tcPr>
            <w:tcW w:w="4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(4) (5)</w:t>
            </w:r>
          </w:p>
        </w:tc>
        <w:tc>
          <w:tcPr>
            <w:tcW w:w="232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w w:val="99"/>
              </w:rPr>
              <w:t>New York-Newark-Jersey City, NY-NJ-PA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127,102</w:t>
            </w:r>
          </w:p>
        </w:tc>
        <w:tc>
          <w:tcPr>
            <w:tcW w:w="104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43,600</w:t>
            </w: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193,000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95%</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Lululemon / Anthropologie / Pottery</w:t>
            </w:r>
          </w:p>
        </w:tc>
      </w:tr>
      <w:tr>
        <w:trPr>
          <w:trHeight w:val="172"/>
        </w:trPr>
        <w:tc>
          <w:tcPr>
            <w:tcW w:w="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Shrewsbury</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Barn / Williams-Sonoma</w:t>
            </w:r>
          </w:p>
        </w:tc>
      </w:tr>
      <w:tr>
        <w:trPr>
          <w:trHeight w:val="181"/>
        </w:trPr>
        <w:tc>
          <w:tcPr>
            <w:tcW w:w="40" w:type="dxa"/>
            <w:vAlign w:val="bottom"/>
            <w:shd w:val="clear" w:color="auto" w:fill="CCEEFF"/>
          </w:tcPr>
          <w:p>
            <w:pPr>
              <w:spacing w:after="0"/>
              <w:rPr>
                <w:sz w:val="15"/>
                <w:szCs w:val="15"/>
                <w:color w:val="auto"/>
              </w:rPr>
            </w:pPr>
          </w:p>
        </w:tc>
        <w:tc>
          <w:tcPr>
            <w:tcW w:w="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Troy</w:t>
            </w:r>
          </w:p>
        </w:tc>
        <w:tc>
          <w:tcPr>
            <w:tcW w:w="4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9"/>
              </w:rPr>
              <w:t>New York-Newark-Jersey City, NY-NJ-PA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40,999</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211,000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Target / L.A. Fitness / Michaels</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Total NY Metro/New Jersey</w:t>
            </w:r>
          </w:p>
        </w:tc>
        <w:tc>
          <w:tcPr>
            <w:tcW w:w="6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w w:val="99"/>
              </w:rPr>
              <w:t>1,156,617</w:t>
            </w:r>
          </w:p>
        </w:tc>
        <w:tc>
          <w:tcPr>
            <w:tcW w:w="104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3,095,000</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83"/>
        </w:trPr>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gridSpan w:val="3"/>
          </w:tcPr>
          <w:p>
            <w:pPr>
              <w:spacing w:after="0"/>
              <w:rPr>
                <w:sz w:val="7"/>
                <w:szCs w:val="7"/>
                <w:color w:val="auto"/>
              </w:rPr>
            </w:pPr>
          </w:p>
        </w:tc>
        <w:tc>
          <w:tcPr>
            <w:tcW w:w="1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60" w:type="dxa"/>
            <w:vAlign w:val="bottom"/>
          </w:tcPr>
          <w:p>
            <w:pPr>
              <w:spacing w:after="0"/>
              <w:rPr>
                <w:sz w:val="7"/>
                <w:szCs w:val="7"/>
                <w:color w:val="auto"/>
              </w:rPr>
            </w:pPr>
          </w:p>
        </w:tc>
      </w:tr>
      <w:tr>
        <w:trPr>
          <w:trHeight w:val="135"/>
        </w:trPr>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r>
      <w:tr>
        <w:trPr>
          <w:trHeight w:val="148"/>
        </w:trPr>
        <w:tc>
          <w:tcPr>
            <w:tcW w:w="40" w:type="dxa"/>
            <w:vAlign w:val="bottom"/>
          </w:tcPr>
          <w:p>
            <w:pPr>
              <w:spacing w:after="0"/>
              <w:rPr>
                <w:sz w:val="12"/>
                <w:szCs w:val="12"/>
                <w:color w:val="auto"/>
              </w:rPr>
            </w:pPr>
          </w:p>
        </w:tc>
        <w:tc>
          <w:tcPr>
            <w:tcW w:w="358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Philadelphia Metropolitan Area</w:t>
            </w: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60" w:type="dxa"/>
            <w:vAlign w:val="bottom"/>
          </w:tcPr>
          <w:p>
            <w:pPr>
              <w:spacing w:after="0"/>
              <w:rPr>
                <w:sz w:val="8"/>
                <w:szCs w:val="8"/>
                <w:color w:val="auto"/>
              </w:rPr>
            </w:pPr>
          </w:p>
        </w:tc>
      </w:tr>
      <w:tr>
        <w:trPr>
          <w:trHeight w:val="144"/>
        </w:trPr>
        <w:tc>
          <w:tcPr>
            <w:tcW w:w="40" w:type="dxa"/>
            <w:vAlign w:val="bottom"/>
            <w:shd w:val="clear" w:color="auto" w:fill="CCEEFF"/>
          </w:tcPr>
          <w:p>
            <w:pPr>
              <w:spacing w:after="0"/>
              <w:rPr>
                <w:sz w:val="12"/>
                <w:szCs w:val="12"/>
                <w:color w:val="auto"/>
              </w:rPr>
            </w:pPr>
          </w:p>
        </w:tc>
        <w:tc>
          <w:tcPr>
            <w:tcW w:w="840" w:type="dxa"/>
            <w:vAlign w:val="bottom"/>
            <w:gridSpan w:val="4"/>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Andorra</w:t>
            </w:r>
          </w:p>
        </w:tc>
        <w:tc>
          <w:tcPr>
            <w:tcW w:w="4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w w:val="99"/>
              </w:rPr>
              <w:t>Philadelphia-Camden-Wilmington, PA-NJ-</w:t>
            </w:r>
          </w:p>
        </w:tc>
        <w:tc>
          <w:tcPr>
            <w:tcW w:w="660" w:type="dxa"/>
            <w:vAlign w:val="bottom"/>
            <w:shd w:val="clear" w:color="auto" w:fill="CCEEFF"/>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29,717</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270,000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88%</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24,000</w:t>
            </w:r>
          </w:p>
        </w:tc>
        <w:tc>
          <w:tcPr>
            <w:tcW w:w="82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Acme</w:t>
            </w:r>
          </w:p>
        </w:tc>
        <w:tc>
          <w:tcPr>
            <w:tcW w:w="206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Kohl's / L.A. Fitness</w:t>
            </w:r>
          </w:p>
        </w:tc>
      </w:tr>
      <w:tr>
        <w:trPr>
          <w:trHeight w:val="180"/>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Markets</w:t>
            </w:r>
          </w:p>
        </w:tc>
        <w:tc>
          <w:tcPr>
            <w:tcW w:w="206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840" w:type="dxa"/>
            <w:vAlign w:val="bottom"/>
            <w:gridSpan w:val="4"/>
          </w:tcPr>
          <w:p>
            <w:pPr>
              <w:spacing w:after="0" w:line="144" w:lineRule="exact"/>
              <w:rPr>
                <w:sz w:val="20"/>
                <w:szCs w:val="20"/>
                <w:color w:val="auto"/>
              </w:rPr>
            </w:pPr>
            <w:r>
              <w:rPr>
                <w:rFonts w:ascii="Times New Roman" w:cs="Times New Roman" w:eastAsia="Times New Roman" w:hAnsi="Times New Roman"/>
                <w:sz w:val="13"/>
                <w:szCs w:val="13"/>
                <w:color w:val="auto"/>
              </w:rPr>
              <w:t>Bala Cynwyd</w:t>
            </w:r>
          </w:p>
        </w:tc>
        <w:tc>
          <w:tcPr>
            <w:tcW w:w="420" w:type="dxa"/>
            <w:vAlign w:val="bottom"/>
          </w:tcPr>
          <w:p>
            <w:pPr>
              <w:spacing w:after="0"/>
              <w:rPr>
                <w:sz w:val="12"/>
                <w:szCs w:val="12"/>
                <w:color w:val="auto"/>
              </w:rPr>
            </w:pPr>
          </w:p>
        </w:tc>
        <w:tc>
          <w:tcPr>
            <w:tcW w:w="232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w w:val="99"/>
              </w:rPr>
              <w:t>Philadelphia-Camden-Wilmington, PA-NJ-</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65,158</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294,000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98%</w:t>
            </w:r>
          </w:p>
        </w:tc>
        <w:tc>
          <w:tcPr>
            <w:tcW w:w="68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70</w:t>
            </w: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45,000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Acme</w:t>
            </w: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Lord &amp; Taylor / Michaels / L.A.</w:t>
            </w:r>
          </w:p>
        </w:tc>
      </w:tr>
      <w:tr>
        <w:trPr>
          <w:trHeight w:val="172"/>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Markets</w:t>
            </w:r>
          </w:p>
        </w:tc>
        <w:tc>
          <w:tcPr>
            <w:tcW w:w="2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Fitness</w:t>
            </w:r>
          </w:p>
        </w:tc>
      </w:tr>
      <w:tr>
        <w:trPr>
          <w:trHeight w:val="152"/>
        </w:trPr>
        <w:tc>
          <w:tcPr>
            <w:tcW w:w="40" w:type="dxa"/>
            <w:vAlign w:val="bottom"/>
            <w:shd w:val="clear" w:color="auto" w:fill="CCEEFF"/>
          </w:tcPr>
          <w:p>
            <w:pPr>
              <w:spacing w:after="0"/>
              <w:rPr>
                <w:sz w:val="13"/>
                <w:szCs w:val="13"/>
                <w:color w:val="auto"/>
              </w:rPr>
            </w:pPr>
          </w:p>
        </w:tc>
        <w:tc>
          <w:tcPr>
            <w:tcW w:w="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Ellisburg</w:t>
            </w:r>
          </w:p>
        </w:tc>
        <w:tc>
          <w:tcPr>
            <w:tcW w:w="420" w:type="dxa"/>
            <w:vAlign w:val="bottom"/>
            <w:shd w:val="clear" w:color="auto" w:fill="CCEEFF"/>
          </w:tcPr>
          <w:p>
            <w:pPr>
              <w:spacing w:after="0"/>
              <w:rPr>
                <w:sz w:val="13"/>
                <w:szCs w:val="13"/>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9"/>
              </w:rPr>
              <w:t>Philadelphia-Camden-Wilmington, PA-NJ-</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35,054</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261,000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47,000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Whole Foods</w:t>
            </w: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Buy Buy Baby / Stein Mart</w:t>
            </w:r>
          </w:p>
        </w:tc>
      </w:tr>
      <w:tr>
        <w:trPr>
          <w:trHeight w:val="180"/>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840" w:type="dxa"/>
            <w:vAlign w:val="bottom"/>
            <w:gridSpan w:val="4"/>
          </w:tcPr>
          <w:p>
            <w:pPr>
              <w:spacing w:after="0" w:line="144" w:lineRule="exact"/>
              <w:rPr>
                <w:sz w:val="20"/>
                <w:szCs w:val="20"/>
                <w:color w:val="auto"/>
              </w:rPr>
            </w:pPr>
            <w:r>
              <w:rPr>
                <w:rFonts w:ascii="Times New Roman" w:cs="Times New Roman" w:eastAsia="Times New Roman" w:hAnsi="Times New Roman"/>
                <w:sz w:val="13"/>
                <w:szCs w:val="13"/>
                <w:color w:val="auto"/>
              </w:rPr>
              <w:t>Flourtown</w:t>
            </w:r>
          </w:p>
        </w:tc>
        <w:tc>
          <w:tcPr>
            <w:tcW w:w="420" w:type="dxa"/>
            <w:vAlign w:val="bottom"/>
          </w:tcPr>
          <w:p>
            <w:pPr>
              <w:spacing w:after="0"/>
              <w:rPr>
                <w:sz w:val="12"/>
                <w:szCs w:val="12"/>
                <w:color w:val="auto"/>
              </w:rPr>
            </w:pPr>
          </w:p>
        </w:tc>
        <w:tc>
          <w:tcPr>
            <w:tcW w:w="232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w w:val="99"/>
              </w:rPr>
              <w:t>Philadelphia-Camden-Wilmington, PA-NJ-</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17,150</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156,000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98%</w:t>
            </w:r>
          </w:p>
        </w:tc>
        <w:tc>
          <w:tcPr>
            <w:tcW w:w="68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75,000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Giant Food</w:t>
            </w: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Movie Tavern</w:t>
            </w:r>
          </w:p>
        </w:tc>
      </w:tr>
      <w:tr>
        <w:trPr>
          <w:trHeight w:val="172"/>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2"/>
        </w:trPr>
        <w:tc>
          <w:tcPr>
            <w:tcW w:w="40" w:type="dxa"/>
            <w:vAlign w:val="bottom"/>
            <w:shd w:val="clear" w:color="auto" w:fill="CCEEFF"/>
          </w:tcPr>
          <w:p>
            <w:pPr>
              <w:spacing w:after="0"/>
              <w:rPr>
                <w:sz w:val="13"/>
                <w:szCs w:val="13"/>
                <w:color w:val="auto"/>
              </w:rPr>
            </w:pPr>
          </w:p>
        </w:tc>
        <w:tc>
          <w:tcPr>
            <w:tcW w:w="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Langhorne</w:t>
            </w:r>
          </w:p>
        </w:tc>
        <w:tc>
          <w:tcPr>
            <w:tcW w:w="420" w:type="dxa"/>
            <w:vAlign w:val="bottom"/>
            <w:shd w:val="clear" w:color="auto" w:fill="CCEEFF"/>
          </w:tcPr>
          <w:p>
            <w:pPr>
              <w:spacing w:after="0"/>
              <w:rPr>
                <w:sz w:val="13"/>
                <w:szCs w:val="13"/>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9"/>
              </w:rPr>
              <w:t>Philadelphia-Camden-Wilmington, PA-NJ-</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22,723</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223,000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55,000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Redner's</w:t>
            </w: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Marshalls / Planet Fitness</w:t>
            </w:r>
          </w:p>
        </w:tc>
      </w:tr>
      <w:tr>
        <w:trPr>
          <w:trHeight w:val="135"/>
        </w:trPr>
        <w:tc>
          <w:tcPr>
            <w:tcW w:w="40" w:type="dxa"/>
            <w:vAlign w:val="bottom"/>
            <w:shd w:val="clear" w:color="auto" w:fill="CCEEFF"/>
          </w:tcPr>
          <w:p>
            <w:pPr>
              <w:spacing w:after="0"/>
              <w:rPr>
                <w:sz w:val="11"/>
                <w:szCs w:val="11"/>
                <w:color w:val="auto"/>
              </w:rPr>
            </w:pPr>
          </w:p>
        </w:tc>
        <w:tc>
          <w:tcPr>
            <w:tcW w:w="840" w:type="dxa"/>
            <w:vAlign w:val="bottom"/>
            <w:gridSpan w:val="4"/>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Square</w:t>
            </w:r>
          </w:p>
        </w:tc>
        <w:tc>
          <w:tcPr>
            <w:tcW w:w="420" w:type="dxa"/>
            <w:vAlign w:val="bottom"/>
            <w:shd w:val="clear" w:color="auto" w:fill="CCEEFF"/>
          </w:tcPr>
          <w:p>
            <w:pPr>
              <w:spacing w:after="0"/>
              <w:rPr>
                <w:sz w:val="11"/>
                <w:szCs w:val="11"/>
                <w:color w:val="auto"/>
              </w:rPr>
            </w:pPr>
          </w:p>
        </w:tc>
        <w:tc>
          <w:tcPr>
            <w:tcW w:w="232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DE-MD</w:t>
            </w: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Warehouse</w:t>
            </w:r>
          </w:p>
        </w:tc>
        <w:tc>
          <w:tcPr>
            <w:tcW w:w="2060" w:type="dxa"/>
            <w:vAlign w:val="bottom"/>
            <w:shd w:val="clear" w:color="auto" w:fill="CCEEFF"/>
          </w:tcPr>
          <w:p>
            <w:pPr>
              <w:spacing w:after="0"/>
              <w:rPr>
                <w:sz w:val="11"/>
                <w:szCs w:val="11"/>
                <w:color w:val="auto"/>
              </w:rPr>
            </w:pPr>
          </w:p>
        </w:tc>
      </w:tr>
      <w:tr>
        <w:trPr>
          <w:trHeight w:val="180"/>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Markets</w:t>
            </w:r>
          </w:p>
        </w:tc>
        <w:tc>
          <w:tcPr>
            <w:tcW w:w="206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840" w:type="dxa"/>
            <w:vAlign w:val="bottom"/>
            <w:gridSpan w:val="4"/>
          </w:tcPr>
          <w:p>
            <w:pPr>
              <w:spacing w:after="0" w:line="144" w:lineRule="exact"/>
              <w:rPr>
                <w:sz w:val="20"/>
                <w:szCs w:val="20"/>
                <w:color w:val="auto"/>
              </w:rPr>
            </w:pPr>
            <w:r>
              <w:rPr>
                <w:rFonts w:ascii="Times New Roman" w:cs="Times New Roman" w:eastAsia="Times New Roman" w:hAnsi="Times New Roman"/>
                <w:sz w:val="13"/>
                <w:szCs w:val="13"/>
                <w:color w:val="auto"/>
              </w:rPr>
              <w:t>Lawrence Park</w:t>
            </w:r>
          </w:p>
        </w:tc>
        <w:tc>
          <w:tcPr>
            <w:tcW w:w="420" w:type="dxa"/>
            <w:vAlign w:val="bottom"/>
          </w:tcPr>
          <w:p>
            <w:pPr>
              <w:spacing w:after="0"/>
              <w:rPr>
                <w:sz w:val="12"/>
                <w:szCs w:val="12"/>
                <w:color w:val="auto"/>
              </w:rPr>
            </w:pPr>
          </w:p>
        </w:tc>
        <w:tc>
          <w:tcPr>
            <w:tcW w:w="232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w w:val="99"/>
              </w:rPr>
              <w:t>Philadelphia-Camden-Wilmington, PA-NJ-</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38,496</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363,000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98%</w:t>
            </w:r>
          </w:p>
        </w:tc>
        <w:tc>
          <w:tcPr>
            <w:tcW w:w="68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53,000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Acme</w:t>
            </w: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TJ Maxx / HomeGoods / Barnes &amp;</w:t>
            </w:r>
          </w:p>
        </w:tc>
      </w:tr>
      <w:tr>
        <w:trPr>
          <w:trHeight w:val="172"/>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Markets</w:t>
            </w:r>
          </w:p>
        </w:tc>
        <w:tc>
          <w:tcPr>
            <w:tcW w:w="2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Noble</w:t>
            </w:r>
          </w:p>
        </w:tc>
      </w:tr>
      <w:tr>
        <w:trPr>
          <w:trHeight w:val="152"/>
        </w:trPr>
        <w:tc>
          <w:tcPr>
            <w:tcW w:w="40" w:type="dxa"/>
            <w:vAlign w:val="bottom"/>
            <w:shd w:val="clear" w:color="auto" w:fill="CCEEFF"/>
          </w:tcPr>
          <w:p>
            <w:pPr>
              <w:spacing w:after="0"/>
              <w:rPr>
                <w:sz w:val="13"/>
                <w:szCs w:val="13"/>
                <w:color w:val="auto"/>
              </w:rPr>
            </w:pPr>
          </w:p>
        </w:tc>
        <w:tc>
          <w:tcPr>
            <w:tcW w:w="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Northeast</w:t>
            </w:r>
          </w:p>
        </w:tc>
        <w:tc>
          <w:tcPr>
            <w:tcW w:w="420" w:type="dxa"/>
            <w:vAlign w:val="bottom"/>
            <w:shd w:val="clear" w:color="auto" w:fill="CCEEFF"/>
          </w:tcPr>
          <w:p>
            <w:pPr>
              <w:spacing w:after="0"/>
              <w:rPr>
                <w:sz w:val="13"/>
                <w:szCs w:val="13"/>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9"/>
              </w:rPr>
              <w:t>Philadelphia-Camden-Wilmington, PA-NJ-</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33,200</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227,000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Marshalls / Ulta</w:t>
            </w:r>
          </w:p>
        </w:tc>
      </w:tr>
      <w:tr>
        <w:trPr>
          <w:trHeight w:val="180"/>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840" w:type="dxa"/>
            <w:vAlign w:val="bottom"/>
            <w:gridSpan w:val="4"/>
          </w:tcPr>
          <w:p>
            <w:pPr>
              <w:spacing w:after="0" w:line="144" w:lineRule="exact"/>
              <w:rPr>
                <w:sz w:val="20"/>
                <w:szCs w:val="20"/>
                <w:color w:val="auto"/>
              </w:rPr>
            </w:pPr>
            <w:r>
              <w:rPr>
                <w:rFonts w:ascii="Times New Roman" w:cs="Times New Roman" w:eastAsia="Times New Roman" w:hAnsi="Times New Roman"/>
                <w:sz w:val="13"/>
                <w:szCs w:val="13"/>
                <w:color w:val="auto"/>
                <w:w w:val="99"/>
              </w:rPr>
              <w:t>Town Center of</w:t>
            </w:r>
          </w:p>
        </w:tc>
        <w:tc>
          <w:tcPr>
            <w:tcW w:w="420" w:type="dxa"/>
            <w:vAlign w:val="bottom"/>
          </w:tcPr>
          <w:p>
            <w:pPr>
              <w:spacing w:after="0"/>
              <w:rPr>
                <w:sz w:val="12"/>
                <w:szCs w:val="12"/>
                <w:color w:val="auto"/>
              </w:rPr>
            </w:pPr>
          </w:p>
        </w:tc>
        <w:tc>
          <w:tcPr>
            <w:tcW w:w="232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w w:val="99"/>
              </w:rPr>
              <w:t>Philadelphia-Camden-Wilmington, PA-NJ-</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16,421</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125,000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87%</w:t>
            </w:r>
          </w:p>
        </w:tc>
        <w:tc>
          <w:tcPr>
            <w:tcW w:w="68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36,000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Giant Food</w:t>
            </w: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Rite Aid / Dollar Tree</w:t>
            </w:r>
          </w:p>
        </w:tc>
      </w:tr>
      <w:tr>
        <w:trPr>
          <w:trHeight w:val="172"/>
        </w:trPr>
        <w:tc>
          <w:tcPr>
            <w:tcW w:w="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New Britain</w:t>
            </w:r>
          </w:p>
        </w:tc>
        <w:tc>
          <w:tcPr>
            <w:tcW w:w="420" w:type="dxa"/>
            <w:vAlign w:val="bottom"/>
          </w:tcPr>
          <w:p>
            <w:pPr>
              <w:spacing w:after="0"/>
              <w:rPr>
                <w:sz w:val="14"/>
                <w:szCs w:val="14"/>
                <w:color w:val="auto"/>
              </w:rPr>
            </w:pP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2"/>
        </w:trPr>
        <w:tc>
          <w:tcPr>
            <w:tcW w:w="40" w:type="dxa"/>
            <w:vAlign w:val="bottom"/>
            <w:shd w:val="clear" w:color="auto" w:fill="CCEEFF"/>
          </w:tcPr>
          <w:p>
            <w:pPr>
              <w:spacing w:after="0"/>
              <w:rPr>
                <w:sz w:val="13"/>
                <w:szCs w:val="13"/>
                <w:color w:val="auto"/>
              </w:rPr>
            </w:pPr>
          </w:p>
        </w:tc>
        <w:tc>
          <w:tcPr>
            <w:tcW w:w="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Willow Grove</w:t>
            </w:r>
          </w:p>
        </w:tc>
        <w:tc>
          <w:tcPr>
            <w:tcW w:w="420" w:type="dxa"/>
            <w:vAlign w:val="bottom"/>
            <w:shd w:val="clear" w:color="auto" w:fill="CCEEFF"/>
          </w:tcPr>
          <w:p>
            <w:pPr>
              <w:spacing w:after="0"/>
              <w:rPr>
                <w:sz w:val="13"/>
                <w:szCs w:val="13"/>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9"/>
              </w:rPr>
              <w:t>Philadelphia-Camden-Wilmington, PA-NJ-</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29,261</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183,000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Marshalls / HomeGoods / Barnes &amp;</w:t>
            </w:r>
          </w:p>
        </w:tc>
      </w:tr>
      <w:tr>
        <w:trPr>
          <w:trHeight w:val="180"/>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Noble</w:t>
            </w:r>
          </w:p>
        </w:tc>
      </w:tr>
      <w:tr>
        <w:trPr>
          <w:trHeight w:val="144"/>
        </w:trPr>
        <w:tc>
          <w:tcPr>
            <w:tcW w:w="40" w:type="dxa"/>
            <w:vAlign w:val="bottom"/>
          </w:tcPr>
          <w:p>
            <w:pPr>
              <w:spacing w:after="0"/>
              <w:rPr>
                <w:sz w:val="12"/>
                <w:szCs w:val="12"/>
                <w:color w:val="auto"/>
              </w:rPr>
            </w:pPr>
          </w:p>
        </w:tc>
        <w:tc>
          <w:tcPr>
            <w:tcW w:w="840" w:type="dxa"/>
            <w:vAlign w:val="bottom"/>
            <w:gridSpan w:val="4"/>
          </w:tcPr>
          <w:p>
            <w:pPr>
              <w:spacing w:after="0" w:line="144" w:lineRule="exact"/>
              <w:rPr>
                <w:sz w:val="20"/>
                <w:szCs w:val="20"/>
                <w:color w:val="auto"/>
              </w:rPr>
            </w:pPr>
            <w:r>
              <w:rPr>
                <w:rFonts w:ascii="Times New Roman" w:cs="Times New Roman" w:eastAsia="Times New Roman" w:hAnsi="Times New Roman"/>
                <w:sz w:val="13"/>
                <w:szCs w:val="13"/>
                <w:color w:val="auto"/>
              </w:rPr>
              <w:t>Wynnewood</w:t>
            </w:r>
          </w:p>
        </w:tc>
        <w:tc>
          <w:tcPr>
            <w:tcW w:w="420" w:type="dxa"/>
            <w:vAlign w:val="bottom"/>
          </w:tcPr>
          <w:p>
            <w:pPr>
              <w:spacing w:after="0"/>
              <w:rPr>
                <w:sz w:val="12"/>
                <w:szCs w:val="12"/>
                <w:color w:val="auto"/>
              </w:rPr>
            </w:pPr>
          </w:p>
        </w:tc>
        <w:tc>
          <w:tcPr>
            <w:tcW w:w="232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w w:val="99"/>
              </w:rPr>
              <w:t>Philadelphia-Camden-Wilmington, PA-NJ-</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42,624</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249,000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96%</w:t>
            </w:r>
          </w:p>
        </w:tc>
        <w:tc>
          <w:tcPr>
            <w:tcW w:w="68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9</w:t>
            </w: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98,000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Giant Food</w:t>
            </w: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Bed, Bath &amp; Beyond / Old Navy /</w:t>
            </w:r>
          </w:p>
        </w:tc>
      </w:tr>
      <w:tr>
        <w:trPr>
          <w:trHeight w:val="174"/>
        </w:trPr>
        <w:tc>
          <w:tcPr>
            <w:tcW w:w="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DSW</w:t>
            </w:r>
          </w:p>
        </w:tc>
      </w:tr>
      <w:tr>
        <w:trPr>
          <w:trHeight w:val="173"/>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Total Philadelphia Metropolitan Area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329,804</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2,351,000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60" w:type="dxa"/>
            <w:vAlign w:val="bottom"/>
            <w:shd w:val="clear" w:color="auto" w:fill="CCEEFF"/>
          </w:tcPr>
          <w:p>
            <w:pPr>
              <w:spacing w:after="0"/>
              <w:rPr>
                <w:sz w:val="7"/>
                <w:szCs w:val="7"/>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spacing w:after="0"/>
              <w:rPr>
                <w:sz w:val="11"/>
                <w:szCs w:val="11"/>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New England</w:t>
            </w: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18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060" w:type="dxa"/>
            <w:vAlign w:val="bottom"/>
            <w:tcBorders>
              <w:top w:val="single" w:sz="8" w:color="CCEEFF"/>
            </w:tcBorders>
            <w:shd w:val="clear" w:color="auto" w:fill="CCEEFF"/>
          </w:tcPr>
          <w:p>
            <w:pPr>
              <w:spacing w:after="0"/>
              <w:rPr>
                <w:sz w:val="8"/>
                <w:szCs w:val="8"/>
                <w:color w:val="auto"/>
              </w:rPr>
            </w:pPr>
          </w:p>
        </w:tc>
      </w:tr>
      <w:tr>
        <w:trPr>
          <w:trHeight w:val="144"/>
        </w:trPr>
        <w:tc>
          <w:tcPr>
            <w:tcW w:w="40" w:type="dxa"/>
            <w:vAlign w:val="bottom"/>
          </w:tcPr>
          <w:p>
            <w:pPr>
              <w:spacing w:after="0"/>
              <w:rPr>
                <w:sz w:val="12"/>
                <w:szCs w:val="12"/>
                <w:color w:val="auto"/>
              </w:rPr>
            </w:pPr>
          </w:p>
        </w:tc>
        <w:tc>
          <w:tcPr>
            <w:tcW w:w="840" w:type="dxa"/>
            <w:vAlign w:val="bottom"/>
            <w:gridSpan w:val="4"/>
          </w:tcPr>
          <w:p>
            <w:pPr>
              <w:spacing w:after="0" w:line="144" w:lineRule="exact"/>
              <w:rPr>
                <w:sz w:val="20"/>
                <w:szCs w:val="20"/>
                <w:color w:val="auto"/>
              </w:rPr>
            </w:pPr>
            <w:r>
              <w:rPr>
                <w:rFonts w:ascii="Times New Roman" w:cs="Times New Roman" w:eastAsia="Times New Roman" w:hAnsi="Times New Roman"/>
                <w:sz w:val="13"/>
                <w:szCs w:val="13"/>
                <w:color w:val="auto"/>
              </w:rPr>
              <w:t>Assembly Row</w:t>
            </w:r>
          </w:p>
        </w:tc>
        <w:tc>
          <w:tcPr>
            <w:tcW w:w="4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2"/>
              </w:rPr>
              <w:t>(6)</w:t>
            </w:r>
          </w:p>
        </w:tc>
        <w:tc>
          <w:tcPr>
            <w:tcW w:w="232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921,179</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807,000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96%</w:t>
            </w:r>
          </w:p>
        </w:tc>
        <w:tc>
          <w:tcPr>
            <w:tcW w:w="68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447</w:t>
            </w: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18,000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Trader Joe's</w:t>
            </w: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TJ Maxx / AMC / LEGOLAND</w:t>
            </w:r>
          </w:p>
        </w:tc>
      </w:tr>
      <w:tr>
        <w:trPr>
          <w:trHeight w:val="135"/>
        </w:trPr>
        <w:tc>
          <w:tcPr>
            <w:tcW w:w="4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color w:val="auto"/>
              </w:rPr>
              <w:t>/ Assembly</w:t>
            </w: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Discovery Center / Multiple</w:t>
            </w:r>
          </w:p>
        </w:tc>
      </w:tr>
      <w:tr>
        <w:trPr>
          <w:trHeight w:val="135"/>
        </w:trPr>
        <w:tc>
          <w:tcPr>
            <w:tcW w:w="4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color w:val="auto"/>
              </w:rPr>
              <w:t>Square</w:t>
            </w: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Restaurants</w:t>
            </w:r>
          </w:p>
        </w:tc>
      </w:tr>
      <w:tr>
        <w:trPr>
          <w:trHeight w:val="172"/>
        </w:trPr>
        <w:tc>
          <w:tcPr>
            <w:tcW w:w="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Marketplace</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81"/>
        </w:trPr>
        <w:tc>
          <w:tcPr>
            <w:tcW w:w="40" w:type="dxa"/>
            <w:vAlign w:val="bottom"/>
            <w:shd w:val="clear" w:color="auto" w:fill="CCEEFF"/>
          </w:tcPr>
          <w:p>
            <w:pPr>
              <w:spacing w:after="0"/>
              <w:rPr>
                <w:sz w:val="15"/>
                <w:szCs w:val="15"/>
                <w:color w:val="auto"/>
              </w:rPr>
            </w:pPr>
          </w:p>
        </w:tc>
        <w:tc>
          <w:tcPr>
            <w:tcW w:w="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Campus Plaza</w:t>
            </w:r>
          </w:p>
        </w:tc>
        <w:tc>
          <w:tcPr>
            <w:tcW w:w="4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30,447</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114,000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46,000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Roche Bros.</w:t>
            </w: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Burlington</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r>
      <w:tr>
        <w:trPr>
          <w:trHeight w:val="144"/>
        </w:trPr>
        <w:tc>
          <w:tcPr>
            <w:tcW w:w="40" w:type="dxa"/>
            <w:vAlign w:val="bottom"/>
          </w:tcPr>
          <w:p>
            <w:pPr>
              <w:spacing w:after="0"/>
              <w:rPr>
                <w:sz w:val="12"/>
                <w:szCs w:val="12"/>
                <w:color w:val="auto"/>
              </w:rPr>
            </w:pPr>
          </w:p>
        </w:tc>
        <w:tc>
          <w:tcPr>
            <w:tcW w:w="840" w:type="dxa"/>
            <w:vAlign w:val="bottom"/>
            <w:gridSpan w:val="4"/>
          </w:tcPr>
          <w:p>
            <w:pPr>
              <w:spacing w:after="0" w:line="144" w:lineRule="exact"/>
              <w:rPr>
                <w:sz w:val="20"/>
                <w:szCs w:val="20"/>
                <w:color w:val="auto"/>
              </w:rPr>
            </w:pPr>
            <w:r>
              <w:rPr>
                <w:rFonts w:ascii="Times New Roman" w:cs="Times New Roman" w:eastAsia="Times New Roman" w:hAnsi="Times New Roman"/>
                <w:sz w:val="13"/>
                <w:szCs w:val="13"/>
                <w:color w:val="auto"/>
              </w:rPr>
              <w:t>Chelsea</w:t>
            </w:r>
          </w:p>
        </w:tc>
        <w:tc>
          <w:tcPr>
            <w:tcW w:w="420" w:type="dxa"/>
            <w:vAlign w:val="bottom"/>
          </w:tcPr>
          <w:p>
            <w:pPr>
              <w:spacing w:after="0"/>
              <w:rPr>
                <w:sz w:val="12"/>
                <w:szCs w:val="12"/>
                <w:color w:val="auto"/>
              </w:rPr>
            </w:pPr>
          </w:p>
        </w:tc>
        <w:tc>
          <w:tcPr>
            <w:tcW w:w="232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30,535</w:t>
            </w:r>
          </w:p>
        </w:tc>
        <w:tc>
          <w:tcPr>
            <w:tcW w:w="104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5,327</w:t>
            </w: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222,000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93%</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Home Depot / Planet Fitness</w:t>
            </w:r>
          </w:p>
        </w:tc>
      </w:tr>
      <w:tr>
        <w:trPr>
          <w:trHeight w:val="172"/>
        </w:trPr>
        <w:tc>
          <w:tcPr>
            <w:tcW w:w="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Commons</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81"/>
        </w:trPr>
        <w:tc>
          <w:tcPr>
            <w:tcW w:w="40" w:type="dxa"/>
            <w:vAlign w:val="bottom"/>
            <w:shd w:val="clear" w:color="auto" w:fill="CCEEFF"/>
          </w:tcPr>
          <w:p>
            <w:pPr>
              <w:spacing w:after="0"/>
              <w:rPr>
                <w:sz w:val="15"/>
                <w:szCs w:val="15"/>
                <w:color w:val="auto"/>
              </w:rPr>
            </w:pPr>
          </w:p>
        </w:tc>
        <w:tc>
          <w:tcPr>
            <w:tcW w:w="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Dedham Plaza</w:t>
            </w:r>
          </w:p>
        </w:tc>
        <w:tc>
          <w:tcPr>
            <w:tcW w:w="4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47,288</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245,000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80,000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Star Market</w:t>
            </w: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Planet Fitness</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Linden Square</w:t>
            </w:r>
          </w:p>
        </w:tc>
        <w:tc>
          <w:tcPr>
            <w:tcW w:w="420" w:type="dxa"/>
            <w:vAlign w:val="bottom"/>
          </w:tcPr>
          <w:p>
            <w:pPr>
              <w:spacing w:after="0"/>
              <w:rPr>
                <w:sz w:val="15"/>
                <w:szCs w:val="15"/>
                <w:color w:val="auto"/>
              </w:rPr>
            </w:pP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150,095</w:t>
            </w:r>
          </w:p>
        </w:tc>
        <w:tc>
          <w:tcPr>
            <w:tcW w:w="104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220,000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w:t>
            </w:r>
          </w:p>
        </w:tc>
        <w:tc>
          <w:tcPr>
            <w:tcW w:w="5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4"/>
              </w:rPr>
              <w:t>50,000</w:t>
            </w: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Roche Bros.</w:t>
            </w:r>
          </w:p>
        </w:tc>
        <w:tc>
          <w:tcPr>
            <w:tcW w:w="2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CVS</w:t>
            </w:r>
          </w:p>
        </w:tc>
      </w:tr>
      <w:tr>
        <w:trPr>
          <w:trHeight w:val="97"/>
        </w:trPr>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60" w:type="dxa"/>
            <w:vAlign w:val="bottom"/>
          </w:tcPr>
          <w:p>
            <w:pPr>
              <w:spacing w:after="0"/>
              <w:rPr>
                <w:sz w:val="8"/>
                <w:szCs w:val="8"/>
                <w:color w:val="auto"/>
              </w:rPr>
            </w:pPr>
          </w:p>
        </w:tc>
      </w:tr>
      <w:tr>
        <w:trPr>
          <w:trHeight w:val="144"/>
        </w:trPr>
        <w:tc>
          <w:tcPr>
            <w:tcW w:w="40" w:type="dxa"/>
            <w:vAlign w:val="bottom"/>
            <w:shd w:val="clear" w:color="auto" w:fill="CCEEFF"/>
          </w:tcPr>
          <w:p>
            <w:pPr>
              <w:spacing w:after="0"/>
              <w:rPr>
                <w:sz w:val="12"/>
                <w:szCs w:val="12"/>
                <w:color w:val="auto"/>
              </w:rPr>
            </w:pPr>
          </w:p>
        </w:tc>
        <w:tc>
          <w:tcPr>
            <w:tcW w:w="840" w:type="dxa"/>
            <w:vAlign w:val="bottom"/>
            <w:gridSpan w:val="4"/>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North</w:t>
            </w:r>
          </w:p>
        </w:tc>
        <w:tc>
          <w:tcPr>
            <w:tcW w:w="4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Providence-Warwick, RI-MA</w:t>
            </w:r>
          </w:p>
        </w:tc>
        <w:tc>
          <w:tcPr>
            <w:tcW w:w="660" w:type="dxa"/>
            <w:vAlign w:val="bottom"/>
            <w:shd w:val="clear" w:color="auto" w:fill="CCEEFF"/>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9,369</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48,000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48,000</w:t>
            </w:r>
          </w:p>
        </w:tc>
        <w:tc>
          <w:tcPr>
            <w:tcW w:w="82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Stop &amp; Shop</w:t>
            </w:r>
          </w:p>
        </w:tc>
        <w:tc>
          <w:tcPr>
            <w:tcW w:w="2060" w:type="dxa"/>
            <w:vAlign w:val="bottom"/>
            <w:shd w:val="clear" w:color="auto" w:fill="CCEEFF"/>
          </w:tcPr>
          <w:p>
            <w:pPr>
              <w:spacing w:after="0"/>
              <w:rPr>
                <w:sz w:val="12"/>
                <w:szCs w:val="12"/>
                <w:color w:val="auto"/>
              </w:rPr>
            </w:pPr>
          </w:p>
        </w:tc>
      </w:tr>
      <w:tr>
        <w:trPr>
          <w:trHeight w:val="180"/>
        </w:trPr>
        <w:tc>
          <w:tcPr>
            <w:tcW w:w="40" w:type="dxa"/>
            <w:vAlign w:val="bottom"/>
            <w:shd w:val="clear" w:color="auto" w:fill="CCEEFF"/>
          </w:tcPr>
          <w:p>
            <w:pPr>
              <w:spacing w:after="0"/>
              <w:rPr>
                <w:sz w:val="15"/>
                <w:szCs w:val="15"/>
                <w:color w:val="auto"/>
              </w:rPr>
            </w:pPr>
          </w:p>
        </w:tc>
        <w:tc>
          <w:tcPr>
            <w:tcW w:w="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Dartmouth</w:t>
            </w: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840" w:type="dxa"/>
            <w:vAlign w:val="bottom"/>
            <w:gridSpan w:val="4"/>
          </w:tcPr>
          <w:p>
            <w:pPr>
              <w:spacing w:after="0" w:line="144" w:lineRule="exact"/>
              <w:rPr>
                <w:sz w:val="20"/>
                <w:szCs w:val="20"/>
                <w:color w:val="auto"/>
              </w:rPr>
            </w:pPr>
            <w:r>
              <w:rPr>
                <w:rFonts w:ascii="Times New Roman" w:cs="Times New Roman" w:eastAsia="Times New Roman" w:hAnsi="Times New Roman"/>
                <w:sz w:val="13"/>
                <w:szCs w:val="13"/>
                <w:color w:val="auto"/>
              </w:rPr>
              <w:t>Queen Anne</w:t>
            </w:r>
          </w:p>
        </w:tc>
        <w:tc>
          <w:tcPr>
            <w:tcW w:w="420" w:type="dxa"/>
            <w:vAlign w:val="bottom"/>
          </w:tcPr>
          <w:p>
            <w:pPr>
              <w:spacing w:after="0"/>
              <w:rPr>
                <w:sz w:val="12"/>
                <w:szCs w:val="12"/>
                <w:color w:val="auto"/>
              </w:rPr>
            </w:pPr>
          </w:p>
        </w:tc>
        <w:tc>
          <w:tcPr>
            <w:tcW w:w="232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18,356</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149,000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95%</w:t>
            </w:r>
          </w:p>
        </w:tc>
        <w:tc>
          <w:tcPr>
            <w:tcW w:w="68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50,000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Big Y Foods</w:t>
            </w: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TJ Maxx / HomeGoods</w:t>
            </w:r>
          </w:p>
        </w:tc>
      </w:tr>
      <w:tr>
        <w:trPr>
          <w:trHeight w:val="172"/>
        </w:trPr>
        <w:tc>
          <w:tcPr>
            <w:tcW w:w="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Plaza</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2"/>
        </w:trPr>
        <w:tc>
          <w:tcPr>
            <w:tcW w:w="40" w:type="dxa"/>
            <w:vAlign w:val="bottom"/>
            <w:shd w:val="clear" w:color="auto" w:fill="CCEEFF"/>
          </w:tcPr>
          <w:p>
            <w:pPr>
              <w:spacing w:after="0"/>
              <w:rPr>
                <w:sz w:val="13"/>
                <w:szCs w:val="13"/>
                <w:color w:val="auto"/>
              </w:rPr>
            </w:pPr>
          </w:p>
        </w:tc>
        <w:tc>
          <w:tcPr>
            <w:tcW w:w="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Saugus Plaza</w:t>
            </w:r>
          </w:p>
        </w:tc>
        <w:tc>
          <w:tcPr>
            <w:tcW w:w="420" w:type="dxa"/>
            <w:vAlign w:val="bottom"/>
            <w:shd w:val="clear" w:color="auto" w:fill="CCEEFF"/>
          </w:tcPr>
          <w:p>
            <w:pPr>
              <w:spacing w:after="0"/>
              <w:rPr>
                <w:sz w:val="13"/>
                <w:szCs w:val="13"/>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17,253</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166,000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55,000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Super Stop &amp;</w:t>
            </w: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Floor &amp; Décor</w:t>
            </w:r>
          </w:p>
        </w:tc>
      </w:tr>
      <w:tr>
        <w:trPr>
          <w:trHeight w:val="180"/>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Shop</w:t>
            </w:r>
          </w:p>
        </w:tc>
        <w:tc>
          <w:tcPr>
            <w:tcW w:w="2060" w:type="dxa"/>
            <w:vAlign w:val="bottom"/>
            <w:shd w:val="clear" w:color="auto" w:fill="CCEEFF"/>
          </w:tcPr>
          <w:p>
            <w:pPr>
              <w:spacing w:after="0"/>
              <w:rPr>
                <w:sz w:val="15"/>
                <w:szCs w:val="15"/>
                <w:color w:val="auto"/>
              </w:rPr>
            </w:pPr>
          </w:p>
        </w:tc>
      </w:tr>
      <w:tr>
        <w:trPr>
          <w:trHeight w:val="166"/>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Total New England</w:t>
            </w:r>
          </w:p>
        </w:tc>
        <w:tc>
          <w:tcPr>
            <w:tcW w:w="6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w w:val="99"/>
              </w:rPr>
              <w:t>1,224,522</w:t>
            </w:r>
          </w:p>
        </w:tc>
        <w:tc>
          <w:tcPr>
            <w:tcW w:w="104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1,971,000</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6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r>
      <w:tr>
        <w:trPr>
          <w:trHeight w:val="148"/>
        </w:trPr>
        <w:tc>
          <w:tcPr>
            <w:tcW w:w="40" w:type="dxa"/>
            <w:vAlign w:val="bottom"/>
          </w:tcPr>
          <w:p>
            <w:pPr>
              <w:spacing w:after="0"/>
              <w:rPr>
                <w:sz w:val="12"/>
                <w:szCs w:val="12"/>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w w:val="98"/>
              </w:rPr>
              <w:t>South Florida</w:t>
            </w: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60" w:type="dxa"/>
            <w:vAlign w:val="bottom"/>
          </w:tcPr>
          <w:p>
            <w:pPr>
              <w:spacing w:after="0"/>
              <w:rPr>
                <w:sz w:val="8"/>
                <w:szCs w:val="8"/>
                <w:color w:val="auto"/>
              </w:rPr>
            </w:pPr>
          </w:p>
        </w:tc>
      </w:tr>
      <w:tr>
        <w:trPr>
          <w:trHeight w:val="144"/>
        </w:trPr>
        <w:tc>
          <w:tcPr>
            <w:tcW w:w="40" w:type="dxa"/>
            <w:vAlign w:val="bottom"/>
            <w:shd w:val="clear" w:color="auto" w:fill="CCEEFF"/>
          </w:tcPr>
          <w:p>
            <w:pPr>
              <w:spacing w:after="0"/>
              <w:rPr>
                <w:sz w:val="12"/>
                <w:szCs w:val="12"/>
                <w:color w:val="auto"/>
              </w:rPr>
            </w:pPr>
          </w:p>
        </w:tc>
        <w:tc>
          <w:tcPr>
            <w:tcW w:w="840" w:type="dxa"/>
            <w:vAlign w:val="bottom"/>
            <w:gridSpan w:val="4"/>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Cocowalk</w:t>
            </w:r>
          </w:p>
        </w:tc>
        <w:tc>
          <w:tcPr>
            <w:tcW w:w="42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auto"/>
              </w:rPr>
              <w:t>(4) (9)</w:t>
            </w:r>
          </w:p>
        </w:tc>
        <w:tc>
          <w:tcPr>
            <w:tcW w:w="232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Miami-Fort Lauderdale-West Palm Beach,</w:t>
            </w:r>
          </w:p>
        </w:tc>
        <w:tc>
          <w:tcPr>
            <w:tcW w:w="660" w:type="dxa"/>
            <w:vAlign w:val="bottom"/>
            <w:shd w:val="clear" w:color="auto" w:fill="CCEEFF"/>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175,846</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168,000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84%</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6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Cinepolis Theaters / Youfit Health</w:t>
            </w:r>
          </w:p>
        </w:tc>
      </w:tr>
      <w:tr>
        <w:trPr>
          <w:trHeight w:val="180"/>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FL</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Club</w:t>
            </w:r>
          </w:p>
        </w:tc>
      </w:tr>
      <w:tr>
        <w:trPr>
          <w:trHeight w:val="144"/>
        </w:trPr>
        <w:tc>
          <w:tcPr>
            <w:tcW w:w="40" w:type="dxa"/>
            <w:vAlign w:val="bottom"/>
          </w:tcPr>
          <w:p>
            <w:pPr>
              <w:spacing w:after="0"/>
              <w:rPr>
                <w:sz w:val="12"/>
                <w:szCs w:val="12"/>
                <w:color w:val="auto"/>
              </w:rPr>
            </w:pPr>
          </w:p>
        </w:tc>
        <w:tc>
          <w:tcPr>
            <w:tcW w:w="840" w:type="dxa"/>
            <w:vAlign w:val="bottom"/>
            <w:gridSpan w:val="4"/>
          </w:tcPr>
          <w:p>
            <w:pPr>
              <w:spacing w:after="0" w:line="144" w:lineRule="exact"/>
              <w:rPr>
                <w:sz w:val="20"/>
                <w:szCs w:val="20"/>
                <w:color w:val="auto"/>
              </w:rPr>
            </w:pPr>
            <w:r>
              <w:rPr>
                <w:rFonts w:ascii="Times New Roman" w:cs="Times New Roman" w:eastAsia="Times New Roman" w:hAnsi="Times New Roman"/>
                <w:sz w:val="13"/>
                <w:szCs w:val="13"/>
                <w:color w:val="auto"/>
              </w:rPr>
              <w:t>Del Mar</w:t>
            </w:r>
          </w:p>
        </w:tc>
        <w:tc>
          <w:tcPr>
            <w:tcW w:w="420" w:type="dxa"/>
            <w:vAlign w:val="bottom"/>
          </w:tcPr>
          <w:p>
            <w:pPr>
              <w:spacing w:after="0"/>
              <w:rPr>
                <w:sz w:val="12"/>
                <w:szCs w:val="12"/>
                <w:color w:val="auto"/>
              </w:rPr>
            </w:pPr>
          </w:p>
        </w:tc>
        <w:tc>
          <w:tcPr>
            <w:tcW w:w="232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Miami-Fort Lauderdale-West Palm Beach,</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73,668</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187,000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88%</w:t>
            </w:r>
          </w:p>
        </w:tc>
        <w:tc>
          <w:tcPr>
            <w:tcW w:w="68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44,000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Winn Dixie</w:t>
            </w: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CVS / L.A. Fitness</w:t>
            </w:r>
          </w:p>
        </w:tc>
      </w:tr>
      <w:tr>
        <w:trPr>
          <w:trHeight w:val="172"/>
        </w:trPr>
        <w:tc>
          <w:tcPr>
            <w:tcW w:w="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Village</w:t>
            </w:r>
          </w:p>
        </w:tc>
        <w:tc>
          <w:tcPr>
            <w:tcW w:w="420" w:type="dxa"/>
            <w:vAlign w:val="bottom"/>
          </w:tcPr>
          <w:p>
            <w:pPr>
              <w:spacing w:after="0"/>
              <w:rPr>
                <w:sz w:val="14"/>
                <w:szCs w:val="14"/>
                <w:color w:val="auto"/>
              </w:rPr>
            </w:pP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FL</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2"/>
        </w:trPr>
        <w:tc>
          <w:tcPr>
            <w:tcW w:w="40" w:type="dxa"/>
            <w:vAlign w:val="bottom"/>
            <w:shd w:val="clear" w:color="auto" w:fill="CCEEFF"/>
          </w:tcPr>
          <w:p>
            <w:pPr>
              <w:spacing w:after="0"/>
              <w:rPr>
                <w:sz w:val="13"/>
                <w:szCs w:val="13"/>
                <w:color w:val="auto"/>
              </w:rPr>
            </w:pPr>
          </w:p>
        </w:tc>
        <w:tc>
          <w:tcPr>
            <w:tcW w:w="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The Shops at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Miami-Fort Lauderdale-West Palm Beach,</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56,736</w:t>
            </w:r>
          </w:p>
        </w:tc>
        <w:tc>
          <w:tcPr>
            <w:tcW w:w="10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60,593</w:t>
            </w: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516,000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AMC / L.A. Fitness / Barnes &amp; Noble</w:t>
            </w:r>
          </w:p>
        </w:tc>
      </w:tr>
      <w:tr>
        <w:trPr>
          <w:trHeight w:val="180"/>
        </w:trPr>
        <w:tc>
          <w:tcPr>
            <w:tcW w:w="40" w:type="dxa"/>
            <w:vAlign w:val="bottom"/>
            <w:shd w:val="clear" w:color="auto" w:fill="CCEEFF"/>
          </w:tcPr>
          <w:p>
            <w:pPr>
              <w:spacing w:after="0"/>
              <w:rPr>
                <w:sz w:val="15"/>
                <w:szCs w:val="15"/>
                <w:color w:val="auto"/>
              </w:rPr>
            </w:pPr>
          </w:p>
        </w:tc>
        <w:tc>
          <w:tcPr>
            <w:tcW w:w="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Sunset Place</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FL</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Restoration Hardware Outlet</w:t>
            </w:r>
          </w:p>
        </w:tc>
      </w:tr>
      <w:tr>
        <w:trPr>
          <w:trHeight w:val="144"/>
        </w:trPr>
        <w:tc>
          <w:tcPr>
            <w:tcW w:w="40" w:type="dxa"/>
            <w:vAlign w:val="bottom"/>
          </w:tcPr>
          <w:p>
            <w:pPr>
              <w:spacing w:after="0"/>
              <w:rPr>
                <w:sz w:val="12"/>
                <w:szCs w:val="12"/>
                <w:color w:val="auto"/>
              </w:rPr>
            </w:pPr>
          </w:p>
        </w:tc>
        <w:tc>
          <w:tcPr>
            <w:tcW w:w="840" w:type="dxa"/>
            <w:vAlign w:val="bottom"/>
            <w:gridSpan w:val="4"/>
          </w:tcPr>
          <w:p>
            <w:pPr>
              <w:spacing w:after="0" w:line="144" w:lineRule="exact"/>
              <w:rPr>
                <w:sz w:val="20"/>
                <w:szCs w:val="20"/>
                <w:color w:val="auto"/>
              </w:rPr>
            </w:pPr>
            <w:r>
              <w:rPr>
                <w:rFonts w:ascii="Times New Roman" w:cs="Times New Roman" w:eastAsia="Times New Roman" w:hAnsi="Times New Roman"/>
                <w:sz w:val="13"/>
                <w:szCs w:val="13"/>
                <w:color w:val="auto"/>
              </w:rPr>
              <w:t>Tower Shops</w:t>
            </w:r>
          </w:p>
        </w:tc>
        <w:tc>
          <w:tcPr>
            <w:tcW w:w="420" w:type="dxa"/>
            <w:vAlign w:val="bottom"/>
          </w:tcPr>
          <w:p>
            <w:pPr>
              <w:spacing w:after="0"/>
              <w:rPr>
                <w:sz w:val="12"/>
                <w:szCs w:val="12"/>
                <w:color w:val="auto"/>
              </w:rPr>
            </w:pPr>
          </w:p>
        </w:tc>
        <w:tc>
          <w:tcPr>
            <w:tcW w:w="232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Miami-Fort Lauderdale-West Palm Beach,</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98,284</w:t>
            </w:r>
          </w:p>
        </w:tc>
        <w:tc>
          <w:tcPr>
            <w:tcW w:w="104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2"/>
                <w:szCs w:val="12"/>
                <w:color w:val="auto"/>
              </w:rPr>
            </w:pPr>
          </w:p>
        </w:tc>
        <w:tc>
          <w:tcPr>
            <w:tcW w:w="6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425,000</w:t>
            </w:r>
          </w:p>
        </w:tc>
        <w:tc>
          <w:tcPr>
            <w:tcW w:w="1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95%</w:t>
            </w:r>
          </w:p>
        </w:tc>
        <w:tc>
          <w:tcPr>
            <w:tcW w:w="68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12,000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Trader Joe's</w:t>
            </w:r>
          </w:p>
        </w:tc>
        <w:tc>
          <w:tcPr>
            <w:tcW w:w="20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TJ Maxx / Ross Dress For Less / Best</w:t>
            </w:r>
          </w:p>
        </w:tc>
      </w:tr>
      <w:tr>
        <w:trPr>
          <w:trHeight w:val="174"/>
        </w:trPr>
        <w:tc>
          <w:tcPr>
            <w:tcW w:w="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3"/>
                <w:szCs w:val="13"/>
                <w:color w:val="auto"/>
              </w:rPr>
              <w:t>FL</w:t>
            </w: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Buy / Ulta</w:t>
            </w:r>
          </w:p>
        </w:tc>
      </w:tr>
      <w:tr>
        <w:trPr>
          <w:trHeight w:val="173"/>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Total South Florida</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404,534</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1,296,000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6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149"/>
        </w:trPr>
        <w:tc>
          <w:tcPr>
            <w:tcW w:w="40" w:type="dxa"/>
            <w:vAlign w:val="bottom"/>
            <w:shd w:val="clear" w:color="auto" w:fill="CCEEFF"/>
          </w:tcPr>
          <w:p>
            <w:pPr>
              <w:spacing w:after="0"/>
              <w:rPr>
                <w:sz w:val="12"/>
                <w:szCs w:val="12"/>
                <w:color w:val="auto"/>
              </w:rPr>
            </w:pPr>
          </w:p>
        </w:tc>
        <w:tc>
          <w:tcPr>
            <w:tcW w:w="8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Baltimore</w:t>
            </w: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101"/>
        </w:trPr>
        <w:tc>
          <w:tcPr>
            <w:tcW w:w="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18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060" w:type="dxa"/>
            <w:vAlign w:val="bottom"/>
            <w:tcBorders>
              <w:top w:val="single" w:sz="8" w:color="CCEEFF"/>
            </w:tcBorders>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Governor Plaza</w:t>
            </w:r>
          </w:p>
        </w:tc>
        <w:tc>
          <w:tcPr>
            <w:tcW w:w="420" w:type="dxa"/>
            <w:vAlign w:val="bottom"/>
          </w:tcPr>
          <w:p>
            <w:pPr>
              <w:spacing w:after="0"/>
              <w:rPr>
                <w:sz w:val="15"/>
                <w:szCs w:val="15"/>
                <w:color w:val="auto"/>
              </w:rPr>
            </w:pP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Baltimore-Columbia-Towson, MD</w:t>
            </w:r>
          </w:p>
        </w:tc>
        <w:tc>
          <w:tcPr>
            <w:tcW w:w="6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26,905</w:t>
            </w:r>
          </w:p>
        </w:tc>
        <w:tc>
          <w:tcPr>
            <w:tcW w:w="104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242,000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4"/>
              </w:rPr>
              <w:t>16,500</w:t>
            </w: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Aldi</w:t>
            </w:r>
          </w:p>
        </w:tc>
        <w:tc>
          <w:tcPr>
            <w:tcW w:w="2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Dick's Sporting Goods</w:t>
            </w:r>
          </w:p>
        </w:tc>
      </w:tr>
    </w:tbl>
    <w:p>
      <w:pPr>
        <w:spacing w:after="0" w:line="200" w:lineRule="exact"/>
        <w:rPr>
          <w:sz w:val="20"/>
          <w:szCs w:val="20"/>
          <w:color w:val="auto"/>
        </w:rPr>
      </w:pPr>
    </w:p>
    <w:p>
      <w:pPr>
        <w:sectPr>
          <w:pgSz w:w="11900" w:h="16838" w:orient="portrait"/>
          <w:cols w:equalWidth="0" w:num="1">
            <w:col w:w="11240"/>
          </w:cols>
          <w:pgMar w:left="320" w:top="718" w:right="339" w:bottom="1440" w:gutter="0" w:footer="0" w:header="0"/>
        </w:sectPr>
      </w:pP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718" w:right="339" w:bottom="1440" w:gutter="0" w:footer="0" w:header="0"/>
          <w:type w:val="continuous"/>
        </w:sectPr>
      </w:pPr>
    </w:p>
    <w:bookmarkStart w:id="28" w:name="page29"/>
    <w:bookmarkEnd w:id="28"/>
    <w:p>
      <w:pPr>
        <w:ind w:left="4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Mortgage/Finance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spacing w:after="0"/>
              <w:rPr>
                <w:sz w:val="12"/>
                <w:szCs w:val="12"/>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82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860" w:type="dxa"/>
            <w:vAlign w:val="bottom"/>
            <w:gridSpan w:val="3"/>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3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Real Estate</w:t>
            </w:r>
          </w:p>
        </w:tc>
        <w:tc>
          <w:tcPr>
            <w:tcW w:w="10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Leased</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Residential</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8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Grocery</w:t>
            </w:r>
          </w:p>
        </w:tc>
        <w:tc>
          <w:tcPr>
            <w:tcW w:w="2000" w:type="dxa"/>
            <w:vAlign w:val="bottom"/>
          </w:tcPr>
          <w:p>
            <w:pPr>
              <w:spacing w:after="0"/>
              <w:rPr>
                <w:sz w:val="11"/>
                <w:szCs w:val="11"/>
                <w:color w:val="auto"/>
              </w:rPr>
            </w:pPr>
          </w:p>
        </w:tc>
      </w:tr>
      <w:tr>
        <w:trPr>
          <w:trHeight w:val="176"/>
        </w:trPr>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rPr>
              <w:t>Name</w:t>
            </w:r>
          </w:p>
        </w:tc>
        <w:tc>
          <w:tcPr>
            <w:tcW w:w="3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 (1)</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(2)</w:t>
            </w:r>
          </w:p>
        </w:tc>
        <w:tc>
          <w:tcPr>
            <w:tcW w:w="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8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4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(3)</w:t>
            </w:r>
          </w:p>
        </w:tc>
        <w:tc>
          <w:tcPr>
            <w:tcW w:w="6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2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r>
      <w:tr>
        <w:trPr>
          <w:trHeight w:val="248"/>
        </w:trPr>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160" w:type="dxa"/>
            <w:vAlign w:val="bottom"/>
          </w:tcPr>
          <w:p>
            <w:pPr>
              <w:spacing w:after="0"/>
              <w:rPr>
                <w:sz w:val="21"/>
                <w:szCs w:val="21"/>
                <w:color w:val="auto"/>
              </w:rPr>
            </w:pPr>
          </w:p>
        </w:tc>
        <w:tc>
          <w:tcPr>
            <w:tcW w:w="880" w:type="dxa"/>
            <w:vAlign w:val="bottom"/>
          </w:tcPr>
          <w:p>
            <w:pPr>
              <w:jc w:val="center"/>
              <w:ind w:right="79"/>
              <w:spacing w:after="0"/>
              <w:rPr>
                <w:sz w:val="20"/>
                <w:szCs w:val="20"/>
                <w:color w:val="auto"/>
              </w:rPr>
            </w:pPr>
            <w:r>
              <w:rPr>
                <w:rFonts w:ascii="Times New Roman" w:cs="Times New Roman" w:eastAsia="Times New Roman" w:hAnsi="Times New Roman"/>
                <w:sz w:val="11"/>
                <w:szCs w:val="11"/>
                <w:color w:val="auto"/>
                <w:w w:val="98"/>
              </w:rPr>
              <w:t>(in thousands)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2"/>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44"/>
        </w:trPr>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Perring Plaza</w:t>
            </w:r>
          </w:p>
        </w:tc>
        <w:tc>
          <w:tcPr>
            <w:tcW w:w="320" w:type="dxa"/>
            <w:vAlign w:val="bottom"/>
            <w:shd w:val="clear" w:color="auto" w:fill="CCEEFF"/>
          </w:tcPr>
          <w:p>
            <w:pPr>
              <w:spacing w:after="0"/>
              <w:rPr>
                <w:sz w:val="12"/>
                <w:szCs w:val="12"/>
                <w:color w:val="auto"/>
              </w:rPr>
            </w:pPr>
          </w:p>
        </w:tc>
        <w:tc>
          <w:tcPr>
            <w:tcW w:w="232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Baltimore-Columbia-Towson, MD</w:t>
            </w:r>
          </w:p>
        </w:tc>
        <w:tc>
          <w:tcPr>
            <w:tcW w:w="74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31,735</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397,000</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87%</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auto"/>
              </w:rPr>
              <w:t>58,000</w:t>
            </w:r>
          </w:p>
        </w:tc>
        <w:tc>
          <w:tcPr>
            <w:tcW w:w="820" w:type="dxa"/>
            <w:vAlign w:val="bottom"/>
            <w:shd w:val="clear" w:color="auto" w:fill="CCEEFF"/>
          </w:tcPr>
          <w:p>
            <w:pPr>
              <w:ind w:left="100"/>
              <w:spacing w:after="0" w:line="144" w:lineRule="exact"/>
              <w:rPr>
                <w:sz w:val="20"/>
                <w:szCs w:val="20"/>
                <w:color w:val="auto"/>
              </w:rPr>
            </w:pPr>
            <w:r>
              <w:rPr>
                <w:rFonts w:ascii="Times New Roman" w:cs="Times New Roman" w:eastAsia="Times New Roman" w:hAnsi="Times New Roman"/>
                <w:sz w:val="13"/>
                <w:szCs w:val="13"/>
                <w:color w:val="auto"/>
              </w:rPr>
              <w:t>Shoppers</w:t>
            </w:r>
          </w:p>
        </w:tc>
        <w:tc>
          <w:tcPr>
            <w:tcW w:w="200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Home Depot / Micro Center /</w:t>
            </w:r>
          </w:p>
        </w:tc>
      </w:tr>
      <w:tr>
        <w:trPr>
          <w:trHeight w:val="135"/>
        </w:trPr>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Food</w:t>
            </w:r>
          </w:p>
        </w:tc>
        <w:tc>
          <w:tcPr>
            <w:tcW w:w="2000" w:type="dxa"/>
            <w:vAlign w:val="bottom"/>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Burlington</w:t>
            </w:r>
          </w:p>
        </w:tc>
      </w:tr>
      <w:tr>
        <w:trPr>
          <w:trHeight w:val="180"/>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Warehouse</w:t>
            </w:r>
          </w:p>
        </w:tc>
        <w:tc>
          <w:tcPr>
            <w:tcW w:w="200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860" w:type="dxa"/>
            <w:vAlign w:val="bottom"/>
            <w:gridSpan w:val="3"/>
          </w:tcPr>
          <w:p>
            <w:pPr>
              <w:spacing w:after="0" w:line="144" w:lineRule="exact"/>
              <w:rPr>
                <w:sz w:val="20"/>
                <w:szCs w:val="20"/>
                <w:color w:val="auto"/>
              </w:rPr>
            </w:pPr>
            <w:r>
              <w:rPr>
                <w:rFonts w:ascii="Times New Roman" w:cs="Times New Roman" w:eastAsia="Times New Roman" w:hAnsi="Times New Roman"/>
                <w:sz w:val="13"/>
                <w:szCs w:val="13"/>
                <w:color w:val="auto"/>
              </w:rPr>
              <w:t>THE AVENUE</w:t>
            </w:r>
          </w:p>
        </w:tc>
        <w:tc>
          <w:tcPr>
            <w:tcW w:w="32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(5)</w:t>
            </w: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Baltimore-Columbia-Towson, MD</w:t>
            </w:r>
          </w:p>
        </w:tc>
        <w:tc>
          <w:tcPr>
            <w:tcW w:w="74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122,421</w:t>
            </w:r>
          </w:p>
        </w:tc>
        <w:tc>
          <w:tcPr>
            <w:tcW w:w="160" w:type="dxa"/>
            <w:vAlign w:val="bottom"/>
          </w:tcPr>
          <w:p>
            <w:pPr>
              <w:spacing w:after="0"/>
              <w:rPr>
                <w:sz w:val="12"/>
                <w:szCs w:val="12"/>
                <w:color w:val="auto"/>
              </w:rPr>
            </w:pPr>
          </w:p>
        </w:tc>
        <w:tc>
          <w:tcPr>
            <w:tcW w:w="880" w:type="dxa"/>
            <w:vAlign w:val="bottom"/>
          </w:tcPr>
          <w:p>
            <w:pPr>
              <w:jc w:val="right"/>
              <w:ind w:right="99"/>
              <w:spacing w:after="0" w:line="144" w:lineRule="exact"/>
              <w:rPr>
                <w:sz w:val="20"/>
                <w:szCs w:val="20"/>
                <w:color w:val="auto"/>
              </w:rPr>
            </w:pPr>
            <w:r>
              <w:rPr>
                <w:rFonts w:ascii="Times New Roman" w:cs="Times New Roman" w:eastAsia="Times New Roman" w:hAnsi="Times New Roman"/>
                <w:sz w:val="13"/>
                <w:szCs w:val="13"/>
                <w:color w:val="auto"/>
              </w:rPr>
              <w:t>52,705</w:t>
            </w: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2"/>
                <w:szCs w:val="12"/>
                <w:color w:val="auto"/>
              </w:rPr>
            </w:pPr>
          </w:p>
        </w:tc>
        <w:tc>
          <w:tcPr>
            <w:tcW w:w="70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315,000</w:t>
            </w: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85%</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AMC / Ulta / Old Navy / Barnes &amp;</w:t>
            </w:r>
          </w:p>
        </w:tc>
      </w:tr>
      <w:tr>
        <w:trPr>
          <w:trHeight w:val="172"/>
        </w:trPr>
        <w:tc>
          <w:tcPr>
            <w:tcW w:w="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at White Marsh</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Noble</w:t>
            </w:r>
          </w:p>
        </w:tc>
      </w:tr>
      <w:tr>
        <w:trPr>
          <w:trHeight w:val="152"/>
        </w:trPr>
        <w:tc>
          <w:tcPr>
            <w:tcW w:w="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The Shoppes at</w:t>
            </w:r>
          </w:p>
        </w:tc>
        <w:tc>
          <w:tcPr>
            <w:tcW w:w="320" w:type="dxa"/>
            <w:vAlign w:val="bottom"/>
            <w:shd w:val="clear" w:color="auto" w:fill="CCEEFF"/>
          </w:tcPr>
          <w:p>
            <w:pPr>
              <w:spacing w:after="0"/>
              <w:rPr>
                <w:sz w:val="13"/>
                <w:szCs w:val="13"/>
                <w:color w:val="auto"/>
              </w:rPr>
            </w:pPr>
          </w:p>
        </w:tc>
        <w:tc>
          <w:tcPr>
            <w:tcW w:w="2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Baltimore-Columbia-Towson, MD</w:t>
            </w: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18,163</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32,000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r>
      <w:tr>
        <w:trPr>
          <w:trHeight w:val="135"/>
        </w:trPr>
        <w:tc>
          <w:tcPr>
            <w:tcW w:w="40" w:type="dxa"/>
            <w:vAlign w:val="bottom"/>
            <w:shd w:val="clear" w:color="auto" w:fill="CCEEFF"/>
          </w:tcPr>
          <w:p>
            <w:pPr>
              <w:spacing w:after="0"/>
              <w:rPr>
                <w:sz w:val="11"/>
                <w:szCs w:val="11"/>
                <w:color w:val="auto"/>
              </w:rPr>
            </w:pPr>
          </w:p>
        </w:tc>
        <w:tc>
          <w:tcPr>
            <w:tcW w:w="86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Nottingham</w:t>
            </w:r>
          </w:p>
        </w:tc>
        <w:tc>
          <w:tcPr>
            <w:tcW w:w="3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r>
      <w:tr>
        <w:trPr>
          <w:trHeight w:val="180"/>
        </w:trPr>
        <w:tc>
          <w:tcPr>
            <w:tcW w:w="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Square</w:t>
            </w: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860" w:type="dxa"/>
            <w:vAlign w:val="bottom"/>
            <w:gridSpan w:val="3"/>
          </w:tcPr>
          <w:p>
            <w:pPr>
              <w:spacing w:after="0" w:line="144" w:lineRule="exact"/>
              <w:rPr>
                <w:sz w:val="20"/>
                <w:szCs w:val="20"/>
                <w:color w:val="auto"/>
              </w:rPr>
            </w:pPr>
            <w:r>
              <w:rPr>
                <w:rFonts w:ascii="Times New Roman" w:cs="Times New Roman" w:eastAsia="Times New Roman" w:hAnsi="Times New Roman"/>
                <w:sz w:val="13"/>
                <w:szCs w:val="13"/>
                <w:color w:val="auto"/>
              </w:rPr>
              <w:t>Towson</w:t>
            </w:r>
          </w:p>
        </w:tc>
        <w:tc>
          <w:tcPr>
            <w:tcW w:w="320" w:type="dxa"/>
            <w:vAlign w:val="bottom"/>
          </w:tcPr>
          <w:p>
            <w:pPr>
              <w:spacing w:after="0"/>
              <w:rPr>
                <w:sz w:val="12"/>
                <w:szCs w:val="12"/>
                <w:color w:val="auto"/>
              </w:rPr>
            </w:pP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Baltimore-Columbia-Towson, MD</w:t>
            </w:r>
          </w:p>
        </w:tc>
        <w:tc>
          <w:tcPr>
            <w:tcW w:w="74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22,382</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2"/>
                <w:szCs w:val="12"/>
                <w:color w:val="auto"/>
              </w:rPr>
            </w:pPr>
          </w:p>
        </w:tc>
        <w:tc>
          <w:tcPr>
            <w:tcW w:w="70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4,000</w:t>
            </w: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105</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Residential</w:t>
            </w:r>
          </w:p>
        </w:tc>
        <w:tc>
          <w:tcPr>
            <w:tcW w:w="3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0" w:type="dxa"/>
            <w:vAlign w:val="bottom"/>
          </w:tcPr>
          <w:p>
            <w:pPr>
              <w:spacing w:after="0"/>
              <w:rPr>
                <w:sz w:val="11"/>
                <w:szCs w:val="11"/>
                <w:color w:val="auto"/>
              </w:rPr>
            </w:pPr>
          </w:p>
        </w:tc>
      </w:tr>
      <w:tr>
        <w:trPr>
          <w:trHeight w:val="172"/>
        </w:trPr>
        <w:tc>
          <w:tcPr>
            <w:tcW w:w="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(Flats @ 703)</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52"/>
        </w:trPr>
        <w:tc>
          <w:tcPr>
            <w:tcW w:w="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White Marsh</w:t>
            </w:r>
          </w:p>
        </w:tc>
        <w:tc>
          <w:tcPr>
            <w:tcW w:w="320" w:type="dxa"/>
            <w:vAlign w:val="bottom"/>
            <w:shd w:val="clear" w:color="auto" w:fill="CCEEFF"/>
          </w:tcPr>
          <w:p>
            <w:pPr>
              <w:spacing w:after="0"/>
              <w:rPr>
                <w:sz w:val="13"/>
                <w:szCs w:val="13"/>
                <w:color w:val="auto"/>
              </w:rPr>
            </w:pPr>
          </w:p>
        </w:tc>
        <w:tc>
          <w:tcPr>
            <w:tcW w:w="2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Baltimore-Columbia-Towson, MD</w:t>
            </w: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26,229</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79,000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54,000</w:t>
            </w:r>
          </w:p>
        </w:tc>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Giant Food</w:t>
            </w:r>
          </w:p>
        </w:tc>
        <w:tc>
          <w:tcPr>
            <w:tcW w:w="2000" w:type="dxa"/>
            <w:vAlign w:val="bottom"/>
            <w:shd w:val="clear" w:color="auto" w:fill="CCEEFF"/>
          </w:tcPr>
          <w:p>
            <w:pPr>
              <w:spacing w:after="0"/>
              <w:rPr>
                <w:sz w:val="13"/>
                <w:szCs w:val="13"/>
                <w:color w:val="auto"/>
              </w:rPr>
            </w:pPr>
          </w:p>
        </w:tc>
      </w:tr>
      <w:tr>
        <w:trPr>
          <w:trHeight w:val="180"/>
        </w:trPr>
        <w:tc>
          <w:tcPr>
            <w:tcW w:w="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Plaza</w:t>
            </w: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860" w:type="dxa"/>
            <w:vAlign w:val="bottom"/>
            <w:gridSpan w:val="3"/>
          </w:tcPr>
          <w:p>
            <w:pPr>
              <w:spacing w:after="0" w:line="144" w:lineRule="exact"/>
              <w:rPr>
                <w:sz w:val="20"/>
                <w:szCs w:val="20"/>
                <w:color w:val="auto"/>
              </w:rPr>
            </w:pPr>
            <w:r>
              <w:rPr>
                <w:rFonts w:ascii="Times New Roman" w:cs="Times New Roman" w:eastAsia="Times New Roman" w:hAnsi="Times New Roman"/>
                <w:sz w:val="13"/>
                <w:szCs w:val="13"/>
                <w:color w:val="auto"/>
              </w:rPr>
              <w:t>White Marsh</w:t>
            </w:r>
          </w:p>
        </w:tc>
        <w:tc>
          <w:tcPr>
            <w:tcW w:w="320" w:type="dxa"/>
            <w:vAlign w:val="bottom"/>
          </w:tcPr>
          <w:p>
            <w:pPr>
              <w:spacing w:after="0"/>
              <w:rPr>
                <w:sz w:val="12"/>
                <w:szCs w:val="12"/>
                <w:color w:val="auto"/>
              </w:rPr>
            </w:pP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Baltimore-Columbia-Towson, MD</w:t>
            </w:r>
          </w:p>
        </w:tc>
        <w:tc>
          <w:tcPr>
            <w:tcW w:w="74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31,714</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2"/>
                <w:szCs w:val="12"/>
                <w:color w:val="auto"/>
              </w:rPr>
            </w:pPr>
          </w:p>
        </w:tc>
        <w:tc>
          <w:tcPr>
            <w:tcW w:w="70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70,000</w:t>
            </w: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97%</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74"/>
        </w:trPr>
        <w:tc>
          <w:tcPr>
            <w:tcW w:w="4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Other</w:t>
            </w:r>
          </w:p>
        </w:tc>
        <w:tc>
          <w:tcPr>
            <w:tcW w:w="32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2000" w:type="dxa"/>
            <w:vAlign w:val="bottom"/>
            <w:tcBorders>
              <w:bottom w:val="single" w:sz="8" w:color="CCEEFF"/>
            </w:tcBorders>
          </w:tcPr>
          <w:p>
            <w:pPr>
              <w:spacing w:after="0"/>
              <w:rPr>
                <w:sz w:val="15"/>
                <w:szCs w:val="15"/>
                <w:color w:val="auto"/>
              </w:rPr>
            </w:pPr>
          </w:p>
        </w:tc>
      </w:tr>
      <w:tr>
        <w:trPr>
          <w:trHeight w:val="173"/>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 Baltimore</w:t>
            </w: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279,549</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1,139,000</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83"/>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3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148"/>
        </w:trPr>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Chicago</w:t>
            </w:r>
          </w:p>
        </w:tc>
        <w:tc>
          <w:tcPr>
            <w:tcW w:w="3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232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000" w:type="dxa"/>
            <w:vAlign w:val="bottom"/>
            <w:tcBorders>
              <w:top w:val="single" w:sz="8" w:color="CCEEFF"/>
            </w:tcBorders>
            <w:shd w:val="clear" w:color="auto" w:fill="CCEEFF"/>
          </w:tcPr>
          <w:p>
            <w:pPr>
              <w:spacing w:after="0"/>
              <w:rPr>
                <w:sz w:val="8"/>
                <w:szCs w:val="8"/>
                <w:color w:val="auto"/>
              </w:rPr>
            </w:pPr>
          </w:p>
        </w:tc>
      </w:tr>
      <w:tr>
        <w:trPr>
          <w:trHeight w:val="144"/>
        </w:trPr>
        <w:tc>
          <w:tcPr>
            <w:tcW w:w="40" w:type="dxa"/>
            <w:vAlign w:val="bottom"/>
          </w:tcPr>
          <w:p>
            <w:pPr>
              <w:spacing w:after="0"/>
              <w:rPr>
                <w:sz w:val="12"/>
                <w:szCs w:val="12"/>
                <w:color w:val="auto"/>
              </w:rPr>
            </w:pPr>
          </w:p>
        </w:tc>
        <w:tc>
          <w:tcPr>
            <w:tcW w:w="860" w:type="dxa"/>
            <w:vAlign w:val="bottom"/>
            <w:gridSpan w:val="3"/>
          </w:tcPr>
          <w:p>
            <w:pPr>
              <w:spacing w:after="0" w:line="144" w:lineRule="exact"/>
              <w:rPr>
                <w:sz w:val="20"/>
                <w:szCs w:val="20"/>
                <w:color w:val="auto"/>
              </w:rPr>
            </w:pPr>
            <w:r>
              <w:rPr>
                <w:rFonts w:ascii="Times New Roman" w:cs="Times New Roman" w:eastAsia="Times New Roman" w:hAnsi="Times New Roman"/>
                <w:sz w:val="13"/>
                <w:szCs w:val="13"/>
                <w:color w:val="auto"/>
              </w:rPr>
              <w:t>Crossroads</w:t>
            </w:r>
          </w:p>
        </w:tc>
        <w:tc>
          <w:tcPr>
            <w:tcW w:w="320" w:type="dxa"/>
            <w:vAlign w:val="bottom"/>
          </w:tcPr>
          <w:p>
            <w:pPr>
              <w:spacing w:after="0"/>
              <w:rPr>
                <w:sz w:val="12"/>
                <w:szCs w:val="12"/>
                <w:color w:val="auto"/>
              </w:rPr>
            </w:pP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Chicago-Naperville-Elgin, IL-IN-WI</w:t>
            </w:r>
          </w:p>
        </w:tc>
        <w:tc>
          <w:tcPr>
            <w:tcW w:w="74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35,869</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2"/>
                <w:szCs w:val="12"/>
                <w:color w:val="auto"/>
              </w:rPr>
            </w:pPr>
          </w:p>
        </w:tc>
        <w:tc>
          <w:tcPr>
            <w:tcW w:w="70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168,000</w:t>
            </w: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91%</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L.A. Fitness / Ulta / Binny's /</w:t>
            </w: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Ferguson's Bath, Kitchen &amp; Lighting</w:t>
            </w:r>
          </w:p>
        </w:tc>
      </w:tr>
      <w:tr>
        <w:trPr>
          <w:trHeight w:val="172"/>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Gallery</w:t>
            </w:r>
          </w:p>
        </w:tc>
      </w:tr>
      <w:tr>
        <w:trPr>
          <w:trHeight w:val="152"/>
        </w:trPr>
        <w:tc>
          <w:tcPr>
            <w:tcW w:w="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Finley Square</w:t>
            </w:r>
          </w:p>
        </w:tc>
        <w:tc>
          <w:tcPr>
            <w:tcW w:w="320" w:type="dxa"/>
            <w:vAlign w:val="bottom"/>
            <w:shd w:val="clear" w:color="auto" w:fill="CCEEFF"/>
          </w:tcPr>
          <w:p>
            <w:pPr>
              <w:spacing w:after="0"/>
              <w:rPr>
                <w:sz w:val="13"/>
                <w:szCs w:val="13"/>
                <w:color w:val="auto"/>
              </w:rPr>
            </w:pPr>
          </w:p>
        </w:tc>
        <w:tc>
          <w:tcPr>
            <w:tcW w:w="2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Chicago-Naperville-Elgin, IL-IN-WI</w:t>
            </w: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41,526</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280,000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8"/>
              </w:rPr>
              <w:t>Bed, Bath &amp; Beyond / Buy Buy Baby</w:t>
            </w:r>
          </w:p>
        </w:tc>
      </w:tr>
      <w:tr>
        <w:trPr>
          <w:trHeight w:val="180"/>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Michaels / Portillo's</w:t>
            </w:r>
          </w:p>
        </w:tc>
      </w:tr>
      <w:tr>
        <w:trPr>
          <w:trHeight w:val="144"/>
        </w:trPr>
        <w:tc>
          <w:tcPr>
            <w:tcW w:w="40" w:type="dxa"/>
            <w:vAlign w:val="bottom"/>
          </w:tcPr>
          <w:p>
            <w:pPr>
              <w:spacing w:after="0"/>
              <w:rPr>
                <w:sz w:val="12"/>
                <w:szCs w:val="12"/>
                <w:color w:val="auto"/>
              </w:rPr>
            </w:pPr>
          </w:p>
        </w:tc>
        <w:tc>
          <w:tcPr>
            <w:tcW w:w="860" w:type="dxa"/>
            <w:vAlign w:val="bottom"/>
            <w:gridSpan w:val="3"/>
          </w:tcPr>
          <w:p>
            <w:pPr>
              <w:spacing w:after="0" w:line="144" w:lineRule="exact"/>
              <w:rPr>
                <w:sz w:val="20"/>
                <w:szCs w:val="20"/>
                <w:color w:val="auto"/>
              </w:rPr>
            </w:pPr>
            <w:r>
              <w:rPr>
                <w:rFonts w:ascii="Times New Roman" w:cs="Times New Roman" w:eastAsia="Times New Roman" w:hAnsi="Times New Roman"/>
                <w:sz w:val="13"/>
                <w:szCs w:val="13"/>
                <w:color w:val="auto"/>
              </w:rPr>
              <w:t>Garden Market</w:t>
            </w:r>
          </w:p>
        </w:tc>
        <w:tc>
          <w:tcPr>
            <w:tcW w:w="320" w:type="dxa"/>
            <w:vAlign w:val="bottom"/>
          </w:tcPr>
          <w:p>
            <w:pPr>
              <w:spacing w:after="0"/>
              <w:rPr>
                <w:sz w:val="12"/>
                <w:szCs w:val="12"/>
                <w:color w:val="auto"/>
              </w:rPr>
            </w:pP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Chicago-Naperville-Elgin, IL-IN-WI</w:t>
            </w:r>
          </w:p>
        </w:tc>
        <w:tc>
          <w:tcPr>
            <w:tcW w:w="74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14,858</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2"/>
                <w:szCs w:val="12"/>
                <w:color w:val="auto"/>
              </w:rPr>
            </w:pPr>
          </w:p>
        </w:tc>
        <w:tc>
          <w:tcPr>
            <w:tcW w:w="70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139,000</w:t>
            </w: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99%</w:t>
            </w:r>
          </w:p>
        </w:tc>
        <w:tc>
          <w:tcPr>
            <w:tcW w:w="680" w:type="dxa"/>
            <w:vAlign w:val="bottom"/>
          </w:tcPr>
          <w:p>
            <w:pPr>
              <w:spacing w:after="0"/>
              <w:rPr>
                <w:sz w:val="12"/>
                <w:szCs w:val="12"/>
                <w:color w:val="auto"/>
              </w:rPr>
            </w:pPr>
          </w:p>
        </w:tc>
        <w:tc>
          <w:tcPr>
            <w:tcW w:w="5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63,000</w:t>
            </w:r>
          </w:p>
        </w:tc>
        <w:tc>
          <w:tcPr>
            <w:tcW w:w="8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Mariano's</w:t>
            </w:r>
          </w:p>
        </w:tc>
        <w:tc>
          <w:tcPr>
            <w:tcW w:w="20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Walgreens</w:t>
            </w:r>
          </w:p>
        </w:tc>
      </w:tr>
      <w:tr>
        <w:trPr>
          <w:trHeight w:val="172"/>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Fresh Market</w:t>
            </w:r>
          </w:p>
        </w:tc>
        <w:tc>
          <w:tcPr>
            <w:tcW w:w="2000" w:type="dxa"/>
            <w:vAlign w:val="bottom"/>
          </w:tcPr>
          <w:p>
            <w:pPr>
              <w:spacing w:after="0"/>
              <w:rPr>
                <w:sz w:val="14"/>
                <w:szCs w:val="14"/>
                <w:color w:val="auto"/>
              </w:rPr>
            </w:pPr>
          </w:p>
        </w:tc>
      </w:tr>
      <w:tr>
        <w:trPr>
          <w:trHeight w:val="152"/>
        </w:trPr>
        <w:tc>
          <w:tcPr>
            <w:tcW w:w="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Riverpoint</w:t>
            </w:r>
          </w:p>
        </w:tc>
        <w:tc>
          <w:tcPr>
            <w:tcW w:w="320" w:type="dxa"/>
            <w:vAlign w:val="bottom"/>
            <w:shd w:val="clear" w:color="auto" w:fill="CCEEFF"/>
          </w:tcPr>
          <w:p>
            <w:pPr>
              <w:spacing w:after="0"/>
              <w:rPr>
                <w:sz w:val="13"/>
                <w:szCs w:val="13"/>
                <w:color w:val="auto"/>
              </w:rPr>
            </w:pPr>
          </w:p>
        </w:tc>
        <w:tc>
          <w:tcPr>
            <w:tcW w:w="2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Chicago-Naperville-Elgin, IL-IN-WI</w:t>
            </w: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122,026</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211,000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86,000</w:t>
            </w:r>
          </w:p>
        </w:tc>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Jewel Osco</w:t>
            </w:r>
          </w:p>
        </w:tc>
        <w:tc>
          <w:tcPr>
            <w:tcW w:w="2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Marshalls / Old Navy</w:t>
            </w:r>
          </w:p>
        </w:tc>
      </w:tr>
      <w:tr>
        <w:trPr>
          <w:trHeight w:val="180"/>
        </w:trPr>
        <w:tc>
          <w:tcPr>
            <w:tcW w:w="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Center</w:t>
            </w: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 Chicago</w:t>
            </w: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214,279</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798,000</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83"/>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149"/>
        </w:trPr>
        <w:tc>
          <w:tcPr>
            <w:tcW w:w="40" w:type="dxa"/>
            <w:vAlign w:val="bottom"/>
          </w:tcPr>
          <w:p>
            <w:pPr>
              <w:spacing w:after="0"/>
              <w:rPr>
                <w:sz w:val="12"/>
                <w:szCs w:val="12"/>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01"/>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0" w:type="dxa"/>
            <w:vAlign w:val="bottom"/>
          </w:tcPr>
          <w:p>
            <w:pPr>
              <w:spacing w:after="0"/>
              <w:rPr>
                <w:sz w:val="8"/>
                <w:szCs w:val="8"/>
                <w:color w:val="auto"/>
              </w:rPr>
            </w:pPr>
          </w:p>
        </w:tc>
      </w:tr>
      <w:tr>
        <w:trPr>
          <w:trHeight w:val="144"/>
        </w:trPr>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Barracks Road</w:t>
            </w:r>
          </w:p>
        </w:tc>
        <w:tc>
          <w:tcPr>
            <w:tcW w:w="320" w:type="dxa"/>
            <w:vAlign w:val="bottom"/>
            <w:shd w:val="clear" w:color="auto" w:fill="CCEEFF"/>
          </w:tcPr>
          <w:p>
            <w:pPr>
              <w:spacing w:after="0"/>
              <w:rPr>
                <w:sz w:val="12"/>
                <w:szCs w:val="12"/>
                <w:color w:val="auto"/>
              </w:rPr>
            </w:pPr>
          </w:p>
        </w:tc>
        <w:tc>
          <w:tcPr>
            <w:tcW w:w="232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Charlottesville, VA</w:t>
            </w:r>
          </w:p>
        </w:tc>
        <w:tc>
          <w:tcPr>
            <w:tcW w:w="74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69,903</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497,000</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92%</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auto"/>
              </w:rPr>
              <w:t>99,000</w:t>
            </w:r>
          </w:p>
        </w:tc>
        <w:tc>
          <w:tcPr>
            <w:tcW w:w="820" w:type="dxa"/>
            <w:vAlign w:val="bottom"/>
            <w:shd w:val="clear" w:color="auto" w:fill="CCEEFF"/>
          </w:tcPr>
          <w:p>
            <w:pPr>
              <w:ind w:left="100"/>
              <w:spacing w:after="0" w:line="144" w:lineRule="exact"/>
              <w:rPr>
                <w:sz w:val="20"/>
                <w:szCs w:val="20"/>
                <w:color w:val="auto"/>
              </w:rPr>
            </w:pPr>
            <w:r>
              <w:rPr>
                <w:rFonts w:ascii="Times New Roman" w:cs="Times New Roman" w:eastAsia="Times New Roman" w:hAnsi="Times New Roman"/>
                <w:sz w:val="13"/>
                <w:szCs w:val="13"/>
                <w:color w:val="auto"/>
              </w:rPr>
              <w:t>Harris Teeter</w:t>
            </w:r>
          </w:p>
        </w:tc>
        <w:tc>
          <w:tcPr>
            <w:tcW w:w="200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Anthropologie / Nike / Bed, Bath &amp;</w:t>
            </w:r>
          </w:p>
        </w:tc>
      </w:tr>
      <w:tr>
        <w:trPr>
          <w:trHeight w:val="180"/>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Kroger</w:t>
            </w:r>
          </w:p>
        </w:tc>
        <w:tc>
          <w:tcPr>
            <w:tcW w:w="2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Beyond / Old Navy</w:t>
            </w:r>
          </w:p>
        </w:tc>
      </w:tr>
      <w:tr>
        <w:trPr>
          <w:trHeight w:val="173"/>
        </w:trPr>
        <w:tc>
          <w:tcPr>
            <w:tcW w:w="4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Bristol Plaza</w:t>
            </w:r>
          </w:p>
        </w:tc>
        <w:tc>
          <w:tcPr>
            <w:tcW w:w="320" w:type="dxa"/>
            <w:vAlign w:val="bottom"/>
          </w:tcPr>
          <w:p>
            <w:pPr>
              <w:spacing w:after="0"/>
              <w:rPr>
                <w:sz w:val="15"/>
                <w:szCs w:val="15"/>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Hartford-West Hartford-East Hartford, CT</w:t>
            </w: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32,581</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265,000</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6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74,000</w:t>
            </w:r>
          </w:p>
        </w:tc>
        <w:tc>
          <w:tcPr>
            <w:tcW w:w="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Stop &amp; Shop</w:t>
            </w: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TJ Maxx</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0" w:type="dxa"/>
            <w:vAlign w:val="bottom"/>
          </w:tcPr>
          <w:p>
            <w:pPr>
              <w:spacing w:after="0"/>
              <w:rPr>
                <w:sz w:val="8"/>
                <w:szCs w:val="8"/>
                <w:color w:val="auto"/>
              </w:rPr>
            </w:pPr>
          </w:p>
        </w:tc>
      </w:tr>
      <w:tr>
        <w:trPr>
          <w:trHeight w:val="144"/>
        </w:trPr>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Eastgate</w:t>
            </w:r>
          </w:p>
        </w:tc>
        <w:tc>
          <w:tcPr>
            <w:tcW w:w="320" w:type="dxa"/>
            <w:vAlign w:val="bottom"/>
            <w:shd w:val="clear" w:color="auto" w:fill="CCEEFF"/>
          </w:tcPr>
          <w:p>
            <w:pPr>
              <w:spacing w:after="0"/>
              <w:rPr>
                <w:sz w:val="12"/>
                <w:szCs w:val="12"/>
                <w:color w:val="auto"/>
              </w:rPr>
            </w:pPr>
          </w:p>
        </w:tc>
        <w:tc>
          <w:tcPr>
            <w:tcW w:w="232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Durham-Chapel Hill, NC</w:t>
            </w:r>
          </w:p>
        </w:tc>
        <w:tc>
          <w:tcPr>
            <w:tcW w:w="74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35,783</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158,000</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92%</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auto"/>
              </w:rPr>
              <w:t>13,000</w:t>
            </w:r>
          </w:p>
        </w:tc>
        <w:tc>
          <w:tcPr>
            <w:tcW w:w="820" w:type="dxa"/>
            <w:vAlign w:val="bottom"/>
            <w:shd w:val="clear" w:color="auto" w:fill="CCEEFF"/>
          </w:tcPr>
          <w:p>
            <w:pPr>
              <w:ind w:left="100"/>
              <w:spacing w:after="0" w:line="144" w:lineRule="exact"/>
              <w:rPr>
                <w:sz w:val="20"/>
                <w:szCs w:val="20"/>
                <w:color w:val="auto"/>
              </w:rPr>
            </w:pPr>
            <w:r>
              <w:rPr>
                <w:rFonts w:ascii="Times New Roman" w:cs="Times New Roman" w:eastAsia="Times New Roman" w:hAnsi="Times New Roman"/>
                <w:sz w:val="13"/>
                <w:szCs w:val="13"/>
                <w:color w:val="auto"/>
              </w:rPr>
              <w:t>Trader Joe's</w:t>
            </w:r>
          </w:p>
        </w:tc>
        <w:tc>
          <w:tcPr>
            <w:tcW w:w="200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Ulta / Stein Mart / Petco</w:t>
            </w:r>
          </w:p>
        </w:tc>
      </w:tr>
      <w:tr>
        <w:trPr>
          <w:trHeight w:val="180"/>
        </w:trPr>
        <w:tc>
          <w:tcPr>
            <w:tcW w:w="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Crossing</w:t>
            </w: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860" w:type="dxa"/>
            <w:vAlign w:val="bottom"/>
            <w:gridSpan w:val="3"/>
          </w:tcPr>
          <w:p>
            <w:pPr>
              <w:spacing w:after="0" w:line="144" w:lineRule="exact"/>
              <w:rPr>
                <w:sz w:val="20"/>
                <w:szCs w:val="20"/>
                <w:color w:val="auto"/>
              </w:rPr>
            </w:pPr>
            <w:r>
              <w:rPr>
                <w:rFonts w:ascii="Times New Roman" w:cs="Times New Roman" w:eastAsia="Times New Roman" w:hAnsi="Times New Roman"/>
                <w:sz w:val="13"/>
                <w:szCs w:val="13"/>
                <w:color w:val="auto"/>
              </w:rPr>
              <w:t>Gratiot Plaza</w:t>
            </w:r>
          </w:p>
        </w:tc>
        <w:tc>
          <w:tcPr>
            <w:tcW w:w="320" w:type="dxa"/>
            <w:vAlign w:val="bottom"/>
          </w:tcPr>
          <w:p>
            <w:pPr>
              <w:spacing w:after="0"/>
              <w:rPr>
                <w:sz w:val="12"/>
                <w:szCs w:val="12"/>
                <w:color w:val="auto"/>
              </w:rPr>
            </w:pP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Detroit-Warren-Dearborn, MI</w:t>
            </w:r>
          </w:p>
        </w:tc>
        <w:tc>
          <w:tcPr>
            <w:tcW w:w="74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19,863</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2"/>
                <w:szCs w:val="12"/>
                <w:color w:val="auto"/>
              </w:rPr>
            </w:pPr>
          </w:p>
        </w:tc>
        <w:tc>
          <w:tcPr>
            <w:tcW w:w="70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215,000</w:t>
            </w: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97%</w:t>
            </w:r>
          </w:p>
        </w:tc>
        <w:tc>
          <w:tcPr>
            <w:tcW w:w="680" w:type="dxa"/>
            <w:vAlign w:val="bottom"/>
          </w:tcPr>
          <w:p>
            <w:pPr>
              <w:spacing w:after="0"/>
              <w:rPr>
                <w:sz w:val="12"/>
                <w:szCs w:val="12"/>
                <w:color w:val="auto"/>
              </w:rPr>
            </w:pPr>
          </w:p>
        </w:tc>
        <w:tc>
          <w:tcPr>
            <w:tcW w:w="5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69,000</w:t>
            </w:r>
          </w:p>
        </w:tc>
        <w:tc>
          <w:tcPr>
            <w:tcW w:w="8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Kroger</w:t>
            </w:r>
          </w:p>
        </w:tc>
        <w:tc>
          <w:tcPr>
            <w:tcW w:w="20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Bed, Bath &amp; Beyond / Best Buy /</w:t>
            </w:r>
          </w:p>
        </w:tc>
      </w:tr>
      <w:tr>
        <w:trPr>
          <w:trHeight w:val="172"/>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DSW</w:t>
            </w:r>
          </w:p>
        </w:tc>
      </w:tr>
      <w:tr>
        <w:trPr>
          <w:trHeight w:val="181"/>
        </w:trPr>
        <w:tc>
          <w:tcPr>
            <w:tcW w:w="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Lancaster</w:t>
            </w:r>
          </w:p>
        </w:tc>
        <w:tc>
          <w:tcPr>
            <w:tcW w:w="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w:t>
            </w:r>
          </w:p>
        </w:tc>
        <w:tc>
          <w:tcPr>
            <w:tcW w:w="2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Lancaster, PA</w:t>
            </w: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12,933</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5,515</w:t>
            </w: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126,000</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75,000</w:t>
            </w:r>
          </w:p>
        </w:tc>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Giant Food</w:t>
            </w:r>
          </w:p>
        </w:tc>
        <w:tc>
          <w:tcPr>
            <w:tcW w:w="20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3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00" w:type="dxa"/>
            <w:vAlign w:val="bottom"/>
            <w:shd w:val="clear" w:color="auto" w:fill="CCEEFF"/>
          </w:tcPr>
          <w:p>
            <w:pPr>
              <w:spacing w:after="0"/>
              <w:rPr>
                <w:sz w:val="8"/>
                <w:szCs w:val="8"/>
                <w:color w:val="auto"/>
              </w:rPr>
            </w:pPr>
          </w:p>
        </w:tc>
      </w:tr>
      <w:tr>
        <w:trPr>
          <w:trHeight w:val="144"/>
        </w:trPr>
        <w:tc>
          <w:tcPr>
            <w:tcW w:w="40" w:type="dxa"/>
            <w:vAlign w:val="bottom"/>
          </w:tcPr>
          <w:p>
            <w:pPr>
              <w:spacing w:after="0"/>
              <w:rPr>
                <w:sz w:val="12"/>
                <w:szCs w:val="12"/>
                <w:color w:val="auto"/>
              </w:rPr>
            </w:pPr>
          </w:p>
        </w:tc>
        <w:tc>
          <w:tcPr>
            <w:tcW w:w="860" w:type="dxa"/>
            <w:vAlign w:val="bottom"/>
            <w:gridSpan w:val="3"/>
          </w:tcPr>
          <w:p>
            <w:pPr>
              <w:spacing w:after="0" w:line="144" w:lineRule="exact"/>
              <w:rPr>
                <w:sz w:val="20"/>
                <w:szCs w:val="20"/>
                <w:color w:val="auto"/>
              </w:rPr>
            </w:pPr>
            <w:r>
              <w:rPr>
                <w:rFonts w:ascii="Times New Roman" w:cs="Times New Roman" w:eastAsia="Times New Roman" w:hAnsi="Times New Roman"/>
                <w:sz w:val="13"/>
                <w:szCs w:val="13"/>
                <w:color w:val="auto"/>
              </w:rPr>
              <w:t>29th Place</w:t>
            </w:r>
          </w:p>
        </w:tc>
        <w:tc>
          <w:tcPr>
            <w:tcW w:w="320" w:type="dxa"/>
            <w:vAlign w:val="bottom"/>
          </w:tcPr>
          <w:p>
            <w:pPr>
              <w:spacing w:after="0"/>
              <w:rPr>
                <w:sz w:val="12"/>
                <w:szCs w:val="12"/>
                <w:color w:val="auto"/>
              </w:rPr>
            </w:pPr>
          </w:p>
        </w:tc>
        <w:tc>
          <w:tcPr>
            <w:tcW w:w="2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Charlottesville, VA</w:t>
            </w:r>
          </w:p>
        </w:tc>
        <w:tc>
          <w:tcPr>
            <w:tcW w:w="74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40,381</w:t>
            </w:r>
          </w:p>
        </w:tc>
        <w:tc>
          <w:tcPr>
            <w:tcW w:w="160" w:type="dxa"/>
            <w:vAlign w:val="bottom"/>
          </w:tcPr>
          <w:p>
            <w:pPr>
              <w:spacing w:after="0"/>
              <w:rPr>
                <w:sz w:val="12"/>
                <w:szCs w:val="12"/>
                <w:color w:val="auto"/>
              </w:rPr>
            </w:pPr>
          </w:p>
        </w:tc>
        <w:tc>
          <w:tcPr>
            <w:tcW w:w="880" w:type="dxa"/>
            <w:vAlign w:val="bottom"/>
          </w:tcPr>
          <w:p>
            <w:pPr>
              <w:jc w:val="right"/>
              <w:ind w:right="99"/>
              <w:spacing w:after="0" w:line="144" w:lineRule="exact"/>
              <w:rPr>
                <w:sz w:val="20"/>
                <w:szCs w:val="20"/>
                <w:color w:val="auto"/>
              </w:rPr>
            </w:pPr>
            <w:r>
              <w:rPr>
                <w:rFonts w:ascii="Times New Roman" w:cs="Times New Roman" w:eastAsia="Times New Roman" w:hAnsi="Times New Roman"/>
                <w:sz w:val="13"/>
                <w:szCs w:val="13"/>
                <w:color w:val="auto"/>
              </w:rPr>
              <w:t>3,690</w:t>
            </w:r>
          </w:p>
        </w:tc>
        <w:tc>
          <w:tcPr>
            <w:tcW w:w="4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2"/>
                <w:szCs w:val="12"/>
                <w:color w:val="auto"/>
              </w:rPr>
            </w:pPr>
          </w:p>
        </w:tc>
        <w:tc>
          <w:tcPr>
            <w:tcW w:w="70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168,000</w:t>
            </w: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95%</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HomeGoods / DSW / Stein Mart /</w:t>
            </w:r>
          </w:p>
        </w:tc>
      </w:tr>
      <w:tr>
        <w:trPr>
          <w:trHeight w:val="172"/>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Staples</w:t>
            </w:r>
          </w:p>
        </w:tc>
      </w:tr>
      <w:tr>
        <w:trPr>
          <w:trHeight w:val="152"/>
        </w:trPr>
        <w:tc>
          <w:tcPr>
            <w:tcW w:w="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Willow Lawn</w:t>
            </w:r>
          </w:p>
        </w:tc>
        <w:tc>
          <w:tcPr>
            <w:tcW w:w="320" w:type="dxa"/>
            <w:vAlign w:val="bottom"/>
            <w:shd w:val="clear" w:color="auto" w:fill="CCEEFF"/>
          </w:tcPr>
          <w:p>
            <w:pPr>
              <w:spacing w:after="0"/>
              <w:rPr>
                <w:sz w:val="13"/>
                <w:szCs w:val="13"/>
                <w:color w:val="auto"/>
              </w:rPr>
            </w:pPr>
          </w:p>
        </w:tc>
        <w:tc>
          <w:tcPr>
            <w:tcW w:w="2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Richmond, VA</w:t>
            </w: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103,930</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464,000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66,000</w:t>
            </w:r>
          </w:p>
        </w:tc>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Kroger</w:t>
            </w:r>
          </w:p>
        </w:tc>
        <w:tc>
          <w:tcPr>
            <w:tcW w:w="2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Old Navy / Ross Dress For Less /</w:t>
            </w:r>
          </w:p>
        </w:tc>
      </w:tr>
      <w:tr>
        <w:trPr>
          <w:trHeight w:val="180"/>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Gold's Gym / Dick's Sporting Goods</w:t>
            </w:r>
          </w:p>
        </w:tc>
      </w:tr>
      <w:tr>
        <w:trPr>
          <w:trHeight w:val="166"/>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 Other</w:t>
            </w: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315,374</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159</w:t>
            </w: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1,893,000</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0" w:type="dxa"/>
            <w:vAlign w:val="bottom"/>
          </w:tcPr>
          <w:p>
            <w:pPr>
              <w:spacing w:after="0"/>
              <w:rPr>
                <w:sz w:val="7"/>
                <w:szCs w:val="7"/>
                <w:color w:val="auto"/>
              </w:rPr>
            </w:pPr>
          </w:p>
        </w:tc>
      </w:tr>
      <w:tr>
        <w:trPr>
          <w:trHeight w:val="162"/>
        </w:trPr>
        <w:tc>
          <w:tcPr>
            <w:tcW w:w="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23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spacing w:after="0"/>
              <w:rPr>
                <w:sz w:val="14"/>
                <w:szCs w:val="14"/>
                <w:color w:val="auto"/>
              </w:rPr>
            </w:pPr>
          </w:p>
        </w:tc>
      </w:tr>
      <w:tr>
        <w:trPr>
          <w:trHeight w:val="167"/>
        </w:trPr>
        <w:tc>
          <w:tcPr>
            <w:tcW w:w="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Grand Total</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$ 8,659,346</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rPr>
              <w:t>623,459</w:t>
            </w:r>
          </w:p>
        </w:tc>
        <w:tc>
          <w:tcPr>
            <w:tcW w:w="44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1,929</w:t>
            </w: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9"/>
              </w:rPr>
              <w:t>24,060,000</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92%</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2,852</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97"/>
        </w:trPr>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51" w:lineRule="exact"/>
        <w:rPr>
          <w:sz w:val="20"/>
          <w:szCs w:val="20"/>
          <w:color w:val="auto"/>
        </w:rPr>
      </w:pPr>
    </w:p>
    <w:p>
      <w:pPr>
        <w:ind w:left="660" w:hanging="571"/>
        <w:spacing w:after="0"/>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Includes "Finance lease right of use assets."</w:t>
      </w:r>
    </w:p>
    <w:p>
      <w:pPr>
        <w:spacing w:after="0" w:line="41" w:lineRule="exact"/>
        <w:rPr>
          <w:rFonts w:ascii="Times New Roman" w:cs="Times New Roman" w:eastAsia="Times New Roman" w:hAnsi="Times New Roman"/>
          <w:sz w:val="14"/>
          <w:szCs w:val="14"/>
          <w:color w:val="auto"/>
        </w:rPr>
      </w:pPr>
    </w:p>
    <w:p>
      <w:pPr>
        <w:ind w:left="660" w:right="620" w:hanging="571"/>
        <w:spacing w:after="0" w:line="259" w:lineRule="auto"/>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mortgage or finance lease liabilities differ from the total reported on the consolidated balance sheet due to the unamortized discount, premium, and/or debt issuance costs on certain mortgages payable.</w:t>
      </w:r>
    </w:p>
    <w:p>
      <w:pPr>
        <w:spacing w:after="0" w:line="15" w:lineRule="exact"/>
        <w:rPr>
          <w:rFonts w:ascii="Times New Roman" w:cs="Times New Roman" w:eastAsia="Times New Roman" w:hAnsi="Times New Roman"/>
          <w:sz w:val="14"/>
          <w:szCs w:val="14"/>
          <w:color w:val="auto"/>
        </w:rPr>
      </w:pPr>
    </w:p>
    <w:p>
      <w:pPr>
        <w:ind w:left="660" w:right="280" w:hanging="571"/>
        <w:spacing w:after="0" w:line="259" w:lineRule="auto"/>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15" w:lineRule="exact"/>
        <w:rPr>
          <w:rFonts w:ascii="Times New Roman" w:cs="Times New Roman" w:eastAsia="Times New Roman" w:hAnsi="Times New Roman"/>
          <w:sz w:val="14"/>
          <w:szCs w:val="14"/>
          <w:color w:val="auto"/>
        </w:rPr>
      </w:pPr>
    </w:p>
    <w:p>
      <w:pPr>
        <w:ind w:left="660" w:hanging="571"/>
        <w:spacing w:after="0"/>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Trust has a controlling financial interest in this property.</w:t>
      </w:r>
    </w:p>
    <w:p>
      <w:pPr>
        <w:spacing w:after="0" w:line="41" w:lineRule="exact"/>
        <w:rPr>
          <w:rFonts w:ascii="Times New Roman" w:cs="Times New Roman" w:eastAsia="Times New Roman" w:hAnsi="Times New Roman"/>
          <w:sz w:val="14"/>
          <w:szCs w:val="14"/>
          <w:color w:val="auto"/>
        </w:rPr>
      </w:pPr>
    </w:p>
    <w:p>
      <w:pPr>
        <w:ind w:left="660" w:right="300" w:hanging="571"/>
        <w:spacing w:after="0" w:line="259" w:lineRule="auto"/>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15" w:lineRule="exact"/>
        <w:rPr>
          <w:rFonts w:ascii="Times New Roman" w:cs="Times New Roman" w:eastAsia="Times New Roman" w:hAnsi="Times New Roman"/>
          <w:sz w:val="14"/>
          <w:szCs w:val="14"/>
          <w:color w:val="auto"/>
        </w:rPr>
      </w:pPr>
    </w:p>
    <w:p>
      <w:pPr>
        <w:ind w:left="660" w:hanging="571"/>
        <w:spacing w:after="0"/>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Portion of property is currently under development. See further discussion in the Assembly Row and Pike &amp; Rose schedules and Summary of Redevelopment Opportunities for Freedom Plaza.</w:t>
      </w:r>
    </w:p>
    <w:p>
      <w:pPr>
        <w:spacing w:after="0" w:line="41" w:lineRule="exact"/>
        <w:rPr>
          <w:rFonts w:ascii="Times New Roman" w:cs="Times New Roman" w:eastAsia="Times New Roman" w:hAnsi="Times New Roman"/>
          <w:sz w:val="14"/>
          <w:szCs w:val="14"/>
          <w:color w:val="auto"/>
        </w:rPr>
      </w:pPr>
    </w:p>
    <w:p>
      <w:pPr>
        <w:ind w:left="660" w:hanging="571"/>
        <w:spacing w:after="0"/>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All or a portion of the property is subject to finance lease liabilities.</w:t>
      </w:r>
    </w:p>
    <w:p>
      <w:pPr>
        <w:spacing w:after="0" w:line="41" w:lineRule="exact"/>
        <w:rPr>
          <w:rFonts w:ascii="Times New Roman" w:cs="Times New Roman" w:eastAsia="Times New Roman" w:hAnsi="Times New Roman"/>
          <w:sz w:val="14"/>
          <w:szCs w:val="14"/>
          <w:color w:val="auto"/>
        </w:rPr>
      </w:pPr>
    </w:p>
    <w:p>
      <w:pPr>
        <w:ind w:left="660" w:hanging="571"/>
        <w:spacing w:after="0"/>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This property includes 39 buildings primarily along Washington Street and 14th Street in Hoboken, New Jersey.</w:t>
      </w:r>
    </w:p>
    <w:p>
      <w:pPr>
        <w:spacing w:after="0" w:line="41" w:lineRule="exact"/>
        <w:rPr>
          <w:rFonts w:ascii="Times New Roman" w:cs="Times New Roman" w:eastAsia="Times New Roman" w:hAnsi="Times New Roman"/>
          <w:sz w:val="14"/>
          <w:szCs w:val="14"/>
          <w:color w:val="auto"/>
        </w:rPr>
      </w:pPr>
    </w:p>
    <w:p>
      <w:pPr>
        <w:ind w:left="660" w:hanging="571"/>
        <w:spacing w:after="0"/>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This property includes interests in five buildings in addition to our initial acquisition.</w:t>
      </w:r>
    </w:p>
    <w:p>
      <w:pPr>
        <w:spacing w:after="0" w:line="41" w:lineRule="exact"/>
        <w:rPr>
          <w:rFonts w:ascii="Times New Roman" w:cs="Times New Roman" w:eastAsia="Times New Roman" w:hAnsi="Times New Roman"/>
          <w:sz w:val="14"/>
          <w:szCs w:val="14"/>
          <w:color w:val="auto"/>
        </w:rPr>
      </w:pPr>
    </w:p>
    <w:p>
      <w:pPr>
        <w:ind w:left="660" w:hanging="571"/>
        <w:spacing w:after="0"/>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See further discussion of this property on page 20.</w:t>
      </w:r>
    </w:p>
    <w:p>
      <w:pPr>
        <w:sectPr>
          <w:pgSz w:w="11900" w:h="16838" w:orient="portrait"/>
          <w:cols w:equalWidth="0" w:num="1">
            <w:col w:w="11240"/>
          </w:cols>
          <w:pgMar w:left="320" w:top="718"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718" w:right="339"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Retail Leasing Summary (1)</w:t>
      </w:r>
    </w:p>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2020</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Prior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Cash Basis %</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680" w:type="dxa"/>
            <w:vAlign w:val="bottom"/>
          </w:tcPr>
          <w:p>
            <w:pPr>
              <w:spacing w:after="0"/>
              <w:rPr>
                <w:sz w:val="11"/>
                <w:szCs w:val="11"/>
                <w:color w:val="auto"/>
              </w:rPr>
            </w:pPr>
          </w:p>
        </w:tc>
      </w:tr>
      <w:tr>
        <w:trPr>
          <w:trHeight w:val="122"/>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100" w:type="dxa"/>
            <w:vAlign w:val="bottom"/>
          </w:tcPr>
          <w:p>
            <w:pPr>
              <w:spacing w:after="0"/>
              <w:rPr>
                <w:sz w:val="10"/>
                <w:szCs w:val="10"/>
                <w:color w:val="auto"/>
              </w:rPr>
            </w:pPr>
          </w:p>
        </w:tc>
        <w:tc>
          <w:tcPr>
            <w:tcW w:w="80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Contractual</w:t>
            </w:r>
          </w:p>
        </w:tc>
        <w:tc>
          <w:tcPr>
            <w:tcW w:w="6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Rent (4)</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Annual</w:t>
            </w:r>
          </w:p>
        </w:tc>
        <w:tc>
          <w:tcPr>
            <w:tcW w:w="8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(Decrease)</w:t>
            </w:r>
          </w:p>
        </w:tc>
        <w:tc>
          <w:tcPr>
            <w:tcW w:w="7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Tenant</w:t>
            </w:r>
          </w:p>
        </w:tc>
        <w:tc>
          <w:tcPr>
            <w:tcW w:w="8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680" w:type="dxa"/>
            <w:vAlign w:val="bottom"/>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of Leases</w:t>
            </w:r>
          </w:p>
        </w:tc>
        <w:tc>
          <w:tcPr>
            <w:tcW w:w="100" w:type="dxa"/>
            <w:vAlign w:val="bottom"/>
          </w:tcPr>
          <w:p>
            <w:pPr>
              <w:spacing w:after="0"/>
              <w:rPr>
                <w:sz w:val="10"/>
                <w:szCs w:val="10"/>
                <w:color w:val="auto"/>
              </w:rPr>
            </w:pPr>
          </w:p>
        </w:tc>
        <w:tc>
          <w:tcPr>
            <w:tcW w:w="80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Rent (3) Per</w:t>
            </w:r>
          </w:p>
        </w:tc>
        <w:tc>
          <w:tcPr>
            <w:tcW w:w="6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3"/>
              </w:rPr>
              <w:t>Per Sq.</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(Decrease)</w:t>
            </w:r>
          </w:p>
        </w:tc>
        <w:tc>
          <w:tcPr>
            <w:tcW w:w="8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Increase Over</w:t>
            </w:r>
          </w:p>
        </w:tc>
        <w:tc>
          <w:tcPr>
            <w:tcW w:w="7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100" w:type="dxa"/>
            <w:vAlign w:val="bottom"/>
          </w:tcPr>
          <w:p>
            <w:pPr>
              <w:spacing w:after="0"/>
              <w:rPr>
                <w:sz w:val="10"/>
                <w:szCs w:val="10"/>
                <w:color w:val="auto"/>
              </w:rPr>
            </w:pPr>
          </w:p>
        </w:tc>
        <w:tc>
          <w:tcPr>
            <w:tcW w:w="760" w:type="dxa"/>
            <w:vAlign w:val="bottom"/>
          </w:tcPr>
          <w:p>
            <w:pPr>
              <w:jc w:val="center"/>
              <w:ind w:right="35"/>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Incentives Per</w:t>
            </w:r>
          </w:p>
        </w:tc>
        <w:tc>
          <w:tcPr>
            <w:tcW w:w="680" w:type="dxa"/>
            <w:vAlign w:val="bottom"/>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1420" w:type="dxa"/>
            <w:vAlign w:val="bottom"/>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2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90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Leases Signed</w:t>
            </w: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Sq. Ft.</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0"/>
              </w:rPr>
              <w:t>Ft.</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Increase in Rent</w:t>
            </w:r>
          </w:p>
        </w:tc>
        <w:tc>
          <w:tcPr>
            <w:tcW w:w="8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2"/>
                <w:szCs w:val="12"/>
                <w:color w:val="auto"/>
              </w:rPr>
            </w:pPr>
          </w:p>
        </w:tc>
        <w:tc>
          <w:tcPr>
            <w:tcW w:w="760" w:type="dxa"/>
            <w:vAlign w:val="bottom"/>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w w:val="97"/>
              </w:rPr>
              <w:t>Sq. Ft.</w:t>
            </w:r>
          </w:p>
        </w:tc>
        <w:tc>
          <w:tcPr>
            <w:tcW w:w="68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2020</w:t>
            </w:r>
          </w:p>
        </w:tc>
        <w:tc>
          <w:tcPr>
            <w:tcW w:w="7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471,726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37.38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$37.74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(169,801)</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16,274,556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34.50</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(7) (10)</w:t>
            </w:r>
          </w:p>
        </w:tc>
      </w:tr>
      <w:tr>
        <w:trPr>
          <w:trHeight w:val="265"/>
        </w:trPr>
        <w:tc>
          <w:tcPr>
            <w:tcW w:w="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2020</w:t>
            </w:r>
          </w:p>
        </w:tc>
        <w:tc>
          <w:tcPr>
            <w:tcW w:w="76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23"/>
                <w:szCs w:val="23"/>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277,681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28.55</w:t>
            </w:r>
          </w:p>
        </w:tc>
        <w:tc>
          <w:tcPr>
            <w:tcW w:w="100" w:type="dxa"/>
            <w:vAlign w:val="bottom"/>
          </w:tcPr>
          <w:p>
            <w:pPr>
              <w:spacing w:after="0"/>
              <w:rPr>
                <w:sz w:val="23"/>
                <w:szCs w:val="23"/>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$25.64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805,618</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20" w:type="dxa"/>
            <w:vAlign w:val="bottom"/>
          </w:tcPr>
          <w:p>
            <w:pPr>
              <w:spacing w:after="0"/>
              <w:rPr>
                <w:sz w:val="23"/>
                <w:szCs w:val="23"/>
                <w:color w:val="auto"/>
              </w:rPr>
            </w:pPr>
          </w:p>
        </w:tc>
        <w:tc>
          <w:tcPr>
            <w:tcW w:w="64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8,590,153</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30.94</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w:t>
            </w:r>
          </w:p>
        </w:tc>
      </w:tr>
      <w:tr>
        <w:trPr>
          <w:trHeight w:val="275"/>
        </w:trPr>
        <w:tc>
          <w:tcPr>
            <w:tcW w:w="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2020</w:t>
            </w:r>
          </w:p>
        </w:tc>
        <w:tc>
          <w:tcPr>
            <w:tcW w:w="7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466,453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26.78</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$25.58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559,471</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14,633,657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31.37</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(7) (10)</w:t>
            </w:r>
          </w:p>
        </w:tc>
      </w:tr>
      <w:tr>
        <w:trPr>
          <w:trHeight w:val="265"/>
        </w:trPr>
        <w:tc>
          <w:tcPr>
            <w:tcW w:w="2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4th Quarter 2019</w:t>
            </w:r>
          </w:p>
        </w:tc>
        <w:tc>
          <w:tcPr>
            <w:tcW w:w="2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461,952</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37.78</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$35.41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1,091,731</w:t>
            </w: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2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18,521,400</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40.09</w:t>
            </w: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(7)</w:t>
            </w:r>
          </w:p>
        </w:tc>
      </w:tr>
      <w:tr>
        <w:trPr>
          <w:trHeight w:val="268"/>
        </w:trPr>
        <w:tc>
          <w:tcPr>
            <w:tcW w:w="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320</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1,677,812</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33.08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$31.72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2,287,019</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58,019,766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34.58</w:t>
            </w:r>
          </w:p>
        </w:tc>
        <w:tc>
          <w:tcPr>
            <w:tcW w:w="68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2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New Lease Summary - Comparable (2)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53"/>
        </w:trPr>
        <w:tc>
          <w:tcPr>
            <w:tcW w:w="2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Prior</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Cash Basis %</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68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100" w:type="dxa"/>
            <w:vAlign w:val="bottom"/>
          </w:tcPr>
          <w:p>
            <w:pPr>
              <w:spacing w:after="0"/>
              <w:rPr>
                <w:sz w:val="10"/>
                <w:szCs w:val="10"/>
                <w:color w:val="auto"/>
              </w:rPr>
            </w:pPr>
          </w:p>
        </w:tc>
        <w:tc>
          <w:tcPr>
            <w:tcW w:w="80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Contractual</w:t>
            </w:r>
          </w:p>
        </w:tc>
        <w:tc>
          <w:tcPr>
            <w:tcW w:w="6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Rent (4)</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Annual</w:t>
            </w:r>
          </w:p>
        </w:tc>
        <w:tc>
          <w:tcPr>
            <w:tcW w:w="8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(Decrease)</w:t>
            </w:r>
          </w:p>
        </w:tc>
        <w:tc>
          <w:tcPr>
            <w:tcW w:w="7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Tenant</w:t>
            </w:r>
          </w:p>
        </w:tc>
        <w:tc>
          <w:tcPr>
            <w:tcW w:w="8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68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of Leases</w:t>
            </w:r>
          </w:p>
        </w:tc>
        <w:tc>
          <w:tcPr>
            <w:tcW w:w="100" w:type="dxa"/>
            <w:vAlign w:val="bottom"/>
          </w:tcPr>
          <w:p>
            <w:pPr>
              <w:spacing w:after="0"/>
              <w:rPr>
                <w:sz w:val="10"/>
                <w:szCs w:val="10"/>
                <w:color w:val="auto"/>
              </w:rPr>
            </w:pPr>
          </w:p>
        </w:tc>
        <w:tc>
          <w:tcPr>
            <w:tcW w:w="80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Rent (3) Per</w:t>
            </w:r>
          </w:p>
        </w:tc>
        <w:tc>
          <w:tcPr>
            <w:tcW w:w="6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3"/>
              </w:rPr>
              <w:t>Per Sq.</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(Decrease)</w:t>
            </w:r>
          </w:p>
        </w:tc>
        <w:tc>
          <w:tcPr>
            <w:tcW w:w="8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Increase Over</w:t>
            </w:r>
          </w:p>
        </w:tc>
        <w:tc>
          <w:tcPr>
            <w:tcW w:w="7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100" w:type="dxa"/>
            <w:vAlign w:val="bottom"/>
          </w:tcPr>
          <w:p>
            <w:pPr>
              <w:spacing w:after="0"/>
              <w:rPr>
                <w:sz w:val="10"/>
                <w:szCs w:val="10"/>
                <w:color w:val="auto"/>
              </w:rPr>
            </w:pPr>
          </w:p>
        </w:tc>
        <w:tc>
          <w:tcPr>
            <w:tcW w:w="760" w:type="dxa"/>
            <w:vAlign w:val="bottom"/>
          </w:tcPr>
          <w:p>
            <w:pPr>
              <w:jc w:val="center"/>
              <w:ind w:right="35"/>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Incentives Per</w:t>
            </w:r>
          </w:p>
        </w:tc>
        <w:tc>
          <w:tcPr>
            <w:tcW w:w="680" w:type="dxa"/>
            <w:vAlign w:val="bottom"/>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1420" w:type="dxa"/>
            <w:vAlign w:val="bottom"/>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2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90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Leases Signed</w:t>
            </w: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Sq. Ft.</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0"/>
              </w:rPr>
              <w:t>Ft.</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Increase in Rent</w:t>
            </w:r>
          </w:p>
        </w:tc>
        <w:tc>
          <w:tcPr>
            <w:tcW w:w="8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2"/>
                <w:szCs w:val="12"/>
                <w:color w:val="auto"/>
              </w:rPr>
            </w:pPr>
          </w:p>
        </w:tc>
        <w:tc>
          <w:tcPr>
            <w:tcW w:w="760" w:type="dxa"/>
            <w:vAlign w:val="bottom"/>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w w:val="97"/>
              </w:rPr>
              <w:t>Sq. Ft.</w:t>
            </w:r>
          </w:p>
        </w:tc>
        <w:tc>
          <w:tcPr>
            <w:tcW w:w="68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2020</w:t>
            </w:r>
          </w:p>
        </w:tc>
        <w:tc>
          <w:tcPr>
            <w:tcW w:w="7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164,712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36.23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$36.84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(100,451)</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15,427,773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93.67</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(7) (10)</w:t>
            </w:r>
          </w:p>
        </w:tc>
      </w:tr>
      <w:tr>
        <w:trPr>
          <w:trHeight w:val="265"/>
        </w:trPr>
        <w:tc>
          <w:tcPr>
            <w:tcW w:w="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2020</w:t>
            </w:r>
          </w:p>
        </w:tc>
        <w:tc>
          <w:tcPr>
            <w:tcW w:w="76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3"/>
                <w:szCs w:val="23"/>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122,726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26.79</w:t>
            </w:r>
          </w:p>
        </w:tc>
        <w:tc>
          <w:tcPr>
            <w:tcW w:w="100" w:type="dxa"/>
            <w:vAlign w:val="bottom"/>
          </w:tcPr>
          <w:p>
            <w:pPr>
              <w:spacing w:after="0"/>
              <w:rPr>
                <w:sz w:val="23"/>
                <w:szCs w:val="23"/>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$20.36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789,852</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20" w:type="dxa"/>
            <w:vAlign w:val="bottom"/>
          </w:tcPr>
          <w:p>
            <w:pPr>
              <w:spacing w:after="0"/>
              <w:rPr>
                <w:sz w:val="23"/>
                <w:szCs w:val="23"/>
                <w:color w:val="auto"/>
              </w:rPr>
            </w:pPr>
          </w:p>
        </w:tc>
        <w:tc>
          <w:tcPr>
            <w:tcW w:w="64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8,483,168</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69.12</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w:t>
            </w:r>
          </w:p>
        </w:tc>
      </w:tr>
      <w:tr>
        <w:trPr>
          <w:trHeight w:val="275"/>
        </w:trPr>
        <w:tc>
          <w:tcPr>
            <w:tcW w:w="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2020</w:t>
            </w:r>
          </w:p>
        </w:tc>
        <w:tc>
          <w:tcPr>
            <w:tcW w:w="7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151,171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32.72</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$30.44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345,686</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13,395,793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88.61</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(7) (10)</w:t>
            </w:r>
          </w:p>
        </w:tc>
      </w:tr>
      <w:tr>
        <w:trPr>
          <w:trHeight w:val="265"/>
        </w:trPr>
        <w:tc>
          <w:tcPr>
            <w:tcW w:w="2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4th Quarter 2019</w:t>
            </w:r>
          </w:p>
        </w:tc>
        <w:tc>
          <w:tcPr>
            <w:tcW w:w="2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212,341</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36.77</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$33.22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753,437</w:t>
            </w: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2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17,786,164</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83.76</w:t>
            </w: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(7)</w:t>
            </w:r>
          </w:p>
        </w:tc>
      </w:tr>
      <w:tr>
        <w:trPr>
          <w:trHeight w:val="268"/>
        </w:trPr>
        <w:tc>
          <w:tcPr>
            <w:tcW w:w="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650,950</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33.81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$31.07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1,788,524</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55,092,898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84.63</w:t>
            </w:r>
          </w:p>
        </w:tc>
        <w:tc>
          <w:tcPr>
            <w:tcW w:w="68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2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Renewal Lease Summary - Comparable (2) (8)</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53"/>
        </w:trPr>
        <w:tc>
          <w:tcPr>
            <w:tcW w:w="2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Prior</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Cash Basis %</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68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100" w:type="dxa"/>
            <w:vAlign w:val="bottom"/>
          </w:tcPr>
          <w:p>
            <w:pPr>
              <w:spacing w:after="0"/>
              <w:rPr>
                <w:sz w:val="10"/>
                <w:szCs w:val="10"/>
                <w:color w:val="auto"/>
              </w:rPr>
            </w:pPr>
          </w:p>
        </w:tc>
        <w:tc>
          <w:tcPr>
            <w:tcW w:w="80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Contractual</w:t>
            </w:r>
          </w:p>
        </w:tc>
        <w:tc>
          <w:tcPr>
            <w:tcW w:w="6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Rent (4)</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Annual</w:t>
            </w:r>
          </w:p>
        </w:tc>
        <w:tc>
          <w:tcPr>
            <w:tcW w:w="8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(Decrease)</w:t>
            </w:r>
          </w:p>
        </w:tc>
        <w:tc>
          <w:tcPr>
            <w:tcW w:w="7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Tenant</w:t>
            </w:r>
          </w:p>
        </w:tc>
        <w:tc>
          <w:tcPr>
            <w:tcW w:w="8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680" w:type="dxa"/>
            <w:vAlign w:val="bottom"/>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of Leases</w:t>
            </w:r>
          </w:p>
        </w:tc>
        <w:tc>
          <w:tcPr>
            <w:tcW w:w="100" w:type="dxa"/>
            <w:vAlign w:val="bottom"/>
          </w:tcPr>
          <w:p>
            <w:pPr>
              <w:spacing w:after="0"/>
              <w:rPr>
                <w:sz w:val="10"/>
                <w:szCs w:val="10"/>
                <w:color w:val="auto"/>
              </w:rPr>
            </w:pPr>
          </w:p>
        </w:tc>
        <w:tc>
          <w:tcPr>
            <w:tcW w:w="80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Rent (3) Per</w:t>
            </w:r>
          </w:p>
        </w:tc>
        <w:tc>
          <w:tcPr>
            <w:tcW w:w="6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3"/>
              </w:rPr>
              <w:t>Per Sq.</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(Decrease)</w:t>
            </w:r>
          </w:p>
        </w:tc>
        <w:tc>
          <w:tcPr>
            <w:tcW w:w="8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Increase Over</w:t>
            </w:r>
          </w:p>
        </w:tc>
        <w:tc>
          <w:tcPr>
            <w:tcW w:w="7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100" w:type="dxa"/>
            <w:vAlign w:val="bottom"/>
          </w:tcPr>
          <w:p>
            <w:pPr>
              <w:spacing w:after="0"/>
              <w:rPr>
                <w:sz w:val="10"/>
                <w:szCs w:val="10"/>
                <w:color w:val="auto"/>
              </w:rPr>
            </w:pPr>
          </w:p>
        </w:tc>
        <w:tc>
          <w:tcPr>
            <w:tcW w:w="760" w:type="dxa"/>
            <w:vAlign w:val="bottom"/>
          </w:tcPr>
          <w:p>
            <w:pPr>
              <w:jc w:val="center"/>
              <w:ind w:right="35"/>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Incentives Per</w:t>
            </w:r>
          </w:p>
        </w:tc>
        <w:tc>
          <w:tcPr>
            <w:tcW w:w="680" w:type="dxa"/>
            <w:vAlign w:val="bottom"/>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1420" w:type="dxa"/>
            <w:vAlign w:val="bottom"/>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2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90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Leases Signed</w:t>
            </w: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Sq. Ft.</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0"/>
              </w:rPr>
              <w:t>Ft.</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Increase in Rent</w:t>
            </w:r>
          </w:p>
        </w:tc>
        <w:tc>
          <w:tcPr>
            <w:tcW w:w="8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2"/>
                <w:szCs w:val="12"/>
                <w:color w:val="auto"/>
              </w:rPr>
            </w:pPr>
          </w:p>
        </w:tc>
        <w:tc>
          <w:tcPr>
            <w:tcW w:w="760" w:type="dxa"/>
            <w:vAlign w:val="bottom"/>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w w:val="97"/>
              </w:rPr>
              <w:t>Sq. Ft.</w:t>
            </w:r>
          </w:p>
        </w:tc>
        <w:tc>
          <w:tcPr>
            <w:tcW w:w="68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2020</w:t>
            </w:r>
          </w:p>
        </w:tc>
        <w:tc>
          <w:tcPr>
            <w:tcW w:w="7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307,014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38.00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$38.23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(69,350)</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846,783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2.76</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(10)</w:t>
            </w:r>
          </w:p>
        </w:tc>
      </w:tr>
      <w:tr>
        <w:trPr>
          <w:trHeight w:val="265"/>
        </w:trPr>
        <w:tc>
          <w:tcPr>
            <w:tcW w:w="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2020</w:t>
            </w:r>
          </w:p>
        </w:tc>
        <w:tc>
          <w:tcPr>
            <w:tcW w:w="76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154,955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29.93</w:t>
            </w:r>
          </w:p>
        </w:tc>
        <w:tc>
          <w:tcPr>
            <w:tcW w:w="100" w:type="dxa"/>
            <w:vAlign w:val="bottom"/>
          </w:tcPr>
          <w:p>
            <w:pPr>
              <w:spacing w:after="0"/>
              <w:rPr>
                <w:sz w:val="23"/>
                <w:szCs w:val="23"/>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$29.83</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15,766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106,985</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0.69</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w:t>
            </w:r>
          </w:p>
        </w:tc>
      </w:tr>
      <w:tr>
        <w:trPr>
          <w:trHeight w:val="275"/>
        </w:trPr>
        <w:tc>
          <w:tcPr>
            <w:tcW w:w="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2020</w:t>
            </w:r>
          </w:p>
        </w:tc>
        <w:tc>
          <w:tcPr>
            <w:tcW w:w="7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315,282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23.93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$23.25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213,785</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1,237,864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3.93</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(10)</w:t>
            </w:r>
          </w:p>
        </w:tc>
      </w:tr>
      <w:tr>
        <w:trPr>
          <w:trHeight w:val="265"/>
        </w:trPr>
        <w:tc>
          <w:tcPr>
            <w:tcW w:w="2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4th Quarter 2019</w:t>
            </w:r>
          </w:p>
        </w:tc>
        <w:tc>
          <w:tcPr>
            <w:tcW w:w="2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249,611</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38.64</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$37.28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338,294</w:t>
            </w: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735,236</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2.95</w:t>
            </w:r>
          </w:p>
        </w:tc>
        <w:tc>
          <w:tcPr>
            <w:tcW w:w="680" w:type="dxa"/>
            <w:vAlign w:val="bottom"/>
            <w:tcBorders>
              <w:bottom w:val="single" w:sz="8" w:color="auto"/>
            </w:tcBorders>
          </w:tcPr>
          <w:p>
            <w:pPr>
              <w:spacing w:after="0"/>
              <w:rPr>
                <w:sz w:val="23"/>
                <w:szCs w:val="23"/>
                <w:color w:val="auto"/>
              </w:rPr>
            </w:pPr>
          </w:p>
        </w:tc>
      </w:tr>
      <w:tr>
        <w:trPr>
          <w:trHeight w:val="241"/>
        </w:trPr>
        <w:tc>
          <w:tcPr>
            <w:tcW w:w="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1,026,862</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32.62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$32.13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498,495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2,926,868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2.85</w:t>
            </w:r>
          </w:p>
        </w:tc>
        <w:tc>
          <w:tcPr>
            <w:tcW w:w="68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0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Total Lease Summary - Comparable and Non-comparable (2) (9)</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53"/>
        </w:trPr>
        <w:tc>
          <w:tcPr>
            <w:tcW w:w="2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68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Number</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Contractual</w:t>
            </w:r>
          </w:p>
        </w:tc>
        <w:tc>
          <w:tcPr>
            <w:tcW w:w="7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Tenant</w:t>
            </w:r>
          </w:p>
        </w:tc>
        <w:tc>
          <w:tcPr>
            <w:tcW w:w="8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68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of Leases</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Rent (3) Per Sq.</w:t>
            </w:r>
          </w:p>
        </w:tc>
        <w:tc>
          <w:tcPr>
            <w:tcW w:w="7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100" w:type="dxa"/>
            <w:vAlign w:val="bottom"/>
          </w:tcPr>
          <w:p>
            <w:pPr>
              <w:spacing w:after="0"/>
              <w:rPr>
                <w:sz w:val="10"/>
                <w:szCs w:val="10"/>
                <w:color w:val="auto"/>
              </w:rPr>
            </w:pPr>
          </w:p>
        </w:tc>
        <w:tc>
          <w:tcPr>
            <w:tcW w:w="760" w:type="dxa"/>
            <w:vAlign w:val="bottom"/>
          </w:tcPr>
          <w:p>
            <w:pPr>
              <w:jc w:val="center"/>
              <w:ind w:right="35"/>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Incentives Per</w:t>
            </w:r>
          </w:p>
        </w:tc>
        <w:tc>
          <w:tcPr>
            <w:tcW w:w="680" w:type="dxa"/>
            <w:vAlign w:val="bottom"/>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1420" w:type="dxa"/>
            <w:vAlign w:val="bottom"/>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Signed</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GLA Signed</w:t>
            </w:r>
          </w:p>
        </w:tc>
        <w:tc>
          <w:tcPr>
            <w:tcW w:w="8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Ft.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2"/>
                <w:szCs w:val="12"/>
                <w:color w:val="auto"/>
              </w:rPr>
            </w:pPr>
          </w:p>
        </w:tc>
        <w:tc>
          <w:tcPr>
            <w:tcW w:w="760" w:type="dxa"/>
            <w:vAlign w:val="bottom"/>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w w:val="97"/>
              </w:rPr>
              <w:t>Sq. Ft.</w:t>
            </w:r>
          </w:p>
        </w:tc>
        <w:tc>
          <w:tcPr>
            <w:tcW w:w="68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2020</w:t>
            </w: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481,105</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4"/>
                <w:szCs w:val="14"/>
                <w:color w:val="auto"/>
              </w:rPr>
              <w:t>37.66</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16,304,772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33.89</w:t>
            </w:r>
          </w:p>
        </w:tc>
        <w:tc>
          <w:tcPr>
            <w:tcW w:w="680" w:type="dxa"/>
            <w:vAlign w:val="bottom"/>
            <w:shd w:val="clear" w:color="auto" w:fill="CCEEFF"/>
          </w:tcPr>
          <w:p>
            <w:pPr>
              <w:spacing w:after="0"/>
              <w:rPr>
                <w:sz w:val="22"/>
                <w:szCs w:val="22"/>
                <w:color w:val="auto"/>
              </w:rPr>
            </w:pPr>
          </w:p>
        </w:tc>
      </w:tr>
      <w:tr>
        <w:trPr>
          <w:trHeight w:val="265"/>
        </w:trPr>
        <w:tc>
          <w:tcPr>
            <w:tcW w:w="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2020</w:t>
            </w: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314,679</w:t>
            </w: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26.16</w:t>
            </w:r>
          </w:p>
        </w:tc>
        <w:tc>
          <w:tcPr>
            <w:tcW w:w="120" w:type="dxa"/>
            <w:vAlign w:val="bottom"/>
          </w:tcPr>
          <w:p>
            <w:pPr>
              <w:spacing w:after="0"/>
              <w:rPr>
                <w:sz w:val="23"/>
                <w:szCs w:val="23"/>
                <w:color w:val="auto"/>
              </w:rPr>
            </w:pPr>
          </w:p>
        </w:tc>
        <w:tc>
          <w:tcPr>
            <w:tcW w:w="64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9,314,002</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29.60</w:t>
            </w:r>
          </w:p>
        </w:tc>
        <w:tc>
          <w:tcPr>
            <w:tcW w:w="680" w:type="dxa"/>
            <w:vAlign w:val="bottom"/>
          </w:tcPr>
          <w:p>
            <w:pPr>
              <w:spacing w:after="0"/>
              <w:rPr>
                <w:sz w:val="23"/>
                <w:szCs w:val="23"/>
                <w:color w:val="auto"/>
              </w:rPr>
            </w:pPr>
          </w:p>
        </w:tc>
      </w:tr>
      <w:tr>
        <w:trPr>
          <w:trHeight w:val="275"/>
        </w:trPr>
        <w:tc>
          <w:tcPr>
            <w:tcW w:w="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2020</w:t>
            </w:r>
          </w:p>
        </w:tc>
        <w:tc>
          <w:tcPr>
            <w:tcW w:w="2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491,003</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4"/>
                <w:szCs w:val="14"/>
                <w:color w:val="auto"/>
              </w:rPr>
              <w:t>27.46</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17,337,865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35.31</w:t>
            </w:r>
          </w:p>
        </w:tc>
        <w:tc>
          <w:tcPr>
            <w:tcW w:w="680" w:type="dxa"/>
            <w:vAlign w:val="bottom"/>
            <w:shd w:val="clear" w:color="auto" w:fill="CCEEFF"/>
          </w:tcPr>
          <w:p>
            <w:pPr>
              <w:spacing w:after="0"/>
              <w:rPr>
                <w:sz w:val="23"/>
                <w:szCs w:val="23"/>
                <w:color w:val="auto"/>
              </w:rPr>
            </w:pPr>
          </w:p>
        </w:tc>
      </w:tr>
      <w:tr>
        <w:trPr>
          <w:trHeight w:val="265"/>
        </w:trPr>
        <w:tc>
          <w:tcPr>
            <w:tcW w:w="2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4th Quarter 2019</w:t>
            </w:r>
          </w:p>
        </w:tc>
        <w:tc>
          <w:tcPr>
            <w:tcW w:w="220" w:type="dxa"/>
            <w:vAlign w:val="bottom"/>
            <w:tcBorders>
              <w:bottom w:val="single" w:sz="8" w:color="CCEEFF"/>
            </w:tcBorders>
          </w:tcPr>
          <w:p>
            <w:pPr>
              <w:spacing w:after="0"/>
              <w:rPr>
                <w:sz w:val="23"/>
                <w:szCs w:val="23"/>
                <w:color w:val="auto"/>
              </w:rPr>
            </w:pPr>
          </w:p>
        </w:tc>
        <w:tc>
          <w:tcPr>
            <w:tcW w:w="5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7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494,768</w:t>
            </w: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color w:val="auto"/>
              </w:rPr>
              <w:t>38.46</w:t>
            </w:r>
          </w:p>
        </w:tc>
        <w:tc>
          <w:tcPr>
            <w:tcW w:w="12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22,021,754</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44.51</w:t>
            </w:r>
          </w:p>
        </w:tc>
        <w:tc>
          <w:tcPr>
            <w:tcW w:w="680" w:type="dxa"/>
            <w:vAlign w:val="bottom"/>
            <w:tcBorders>
              <w:bottom w:val="single" w:sz="8" w:color="auto"/>
            </w:tcBorders>
          </w:tcPr>
          <w:p>
            <w:pPr>
              <w:spacing w:after="0"/>
              <w:rPr>
                <w:sz w:val="23"/>
                <w:szCs w:val="23"/>
                <w:color w:val="auto"/>
              </w:rPr>
            </w:pPr>
          </w:p>
        </w:tc>
      </w:tr>
      <w:tr>
        <w:trPr>
          <w:trHeight w:val="268"/>
        </w:trPr>
        <w:tc>
          <w:tcPr>
            <w:tcW w:w="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1,781,555</w:t>
            </w:r>
          </w:p>
        </w:tc>
        <w:tc>
          <w:tcPr>
            <w:tcW w:w="1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4"/>
                <w:szCs w:val="14"/>
                <w:color w:val="auto"/>
              </w:rPr>
              <w:t>33.04</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64,978,393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36.47</w:t>
            </w:r>
          </w:p>
        </w:tc>
        <w:tc>
          <w:tcPr>
            <w:tcW w:w="68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Notes:</w:t>
      </w:r>
    </w:p>
    <w:p>
      <w:pPr>
        <w:spacing w:after="0" w:line="40" w:lineRule="exact"/>
        <w:rPr>
          <w:sz w:val="20"/>
          <w:szCs w:val="20"/>
          <w:color w:val="auto"/>
        </w:rPr>
      </w:pPr>
    </w:p>
    <w:p>
      <w:pPr>
        <w:ind w:left="560" w:hanging="558"/>
        <w:spacing w:after="0"/>
        <w:tabs>
          <w:tab w:leader="none" w:pos="5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reflects activity in retail spaces only; office and residential spaces are not included. See Glossary of Terms for further discussion of information included above.</w:t>
      </w:r>
    </w:p>
    <w:p>
      <w:pPr>
        <w:spacing w:after="0" w:line="39" w:lineRule="exact"/>
        <w:rPr>
          <w:rFonts w:ascii="Times New Roman" w:cs="Times New Roman" w:eastAsia="Times New Roman" w:hAnsi="Times New Roman"/>
          <w:sz w:val="13"/>
          <w:szCs w:val="13"/>
          <w:color w:val="auto"/>
        </w:rPr>
      </w:pPr>
    </w:p>
    <w:p>
      <w:pPr>
        <w:ind w:left="560" w:hanging="558"/>
        <w:spacing w:after="0"/>
        <w:tabs>
          <w:tab w:leader="none" w:pos="5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Comparable leases represent those leases signed on spaces for which there was a former tenant.</w:t>
      </w:r>
    </w:p>
    <w:p>
      <w:pPr>
        <w:spacing w:after="0" w:line="39" w:lineRule="exact"/>
        <w:rPr>
          <w:rFonts w:ascii="Times New Roman" w:cs="Times New Roman" w:eastAsia="Times New Roman" w:hAnsi="Times New Roman"/>
          <w:sz w:val="13"/>
          <w:szCs w:val="13"/>
          <w:color w:val="auto"/>
        </w:rPr>
      </w:pPr>
    </w:p>
    <w:p>
      <w:pPr>
        <w:ind w:left="560" w:hanging="558"/>
        <w:spacing w:after="0"/>
        <w:tabs>
          <w:tab w:leader="none" w:pos="5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Contractual rent represents contractual minimum rent under the new lease for the first 12 months of the term.</w:t>
      </w:r>
    </w:p>
    <w:p>
      <w:pPr>
        <w:spacing w:after="0" w:line="39" w:lineRule="exact"/>
        <w:rPr>
          <w:rFonts w:ascii="Times New Roman" w:cs="Times New Roman" w:eastAsia="Times New Roman" w:hAnsi="Times New Roman"/>
          <w:sz w:val="13"/>
          <w:szCs w:val="13"/>
          <w:color w:val="auto"/>
        </w:rPr>
      </w:pPr>
    </w:p>
    <w:p>
      <w:pPr>
        <w:ind w:left="560" w:hanging="558"/>
        <w:spacing w:after="0"/>
        <w:tabs>
          <w:tab w:leader="none" w:pos="5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rent represents minimum rent and percentage rent, if any, paid by the prior tenant in the final 12 months of the term.</w:t>
      </w:r>
    </w:p>
    <w:p>
      <w:pPr>
        <w:spacing w:after="0" w:line="39" w:lineRule="exact"/>
        <w:rPr>
          <w:rFonts w:ascii="Times New Roman" w:cs="Times New Roman" w:eastAsia="Times New Roman" w:hAnsi="Times New Roman"/>
          <w:sz w:val="13"/>
          <w:szCs w:val="13"/>
          <w:color w:val="auto"/>
        </w:rPr>
      </w:pPr>
    </w:p>
    <w:p>
      <w:pPr>
        <w:ind w:left="560" w:hanging="558"/>
        <w:spacing w:after="0"/>
        <w:tabs>
          <w:tab w:leader="none" w:pos="5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Weighted average is determined on the basis of contractual rent for the first 12 months of the term.</w:t>
      </w:r>
    </w:p>
    <w:p>
      <w:pPr>
        <w:spacing w:after="0" w:line="39" w:lineRule="exact"/>
        <w:rPr>
          <w:rFonts w:ascii="Times New Roman" w:cs="Times New Roman" w:eastAsia="Times New Roman" w:hAnsi="Times New Roman"/>
          <w:sz w:val="13"/>
          <w:szCs w:val="13"/>
          <w:color w:val="auto"/>
        </w:rPr>
      </w:pPr>
    </w:p>
    <w:p>
      <w:pPr>
        <w:ind w:left="560" w:hanging="558"/>
        <w:spacing w:after="0"/>
        <w:tabs>
          <w:tab w:leader="none" w:pos="5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Glossary of Terms.</w:t>
      </w:r>
    </w:p>
    <w:p>
      <w:pPr>
        <w:spacing w:after="0" w:line="39" w:lineRule="exact"/>
        <w:rPr>
          <w:rFonts w:ascii="Times New Roman" w:cs="Times New Roman" w:eastAsia="Times New Roman" w:hAnsi="Times New Roman"/>
          <w:sz w:val="13"/>
          <w:szCs w:val="13"/>
          <w:color w:val="auto"/>
        </w:rPr>
      </w:pPr>
    </w:p>
    <w:p>
      <w:pPr>
        <w:ind w:left="560" w:right="20" w:hanging="558"/>
        <w:spacing w:after="0" w:line="232" w:lineRule="auto"/>
        <w:tabs>
          <w:tab w:leader="none" w:pos="5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Approximately $0.5 million ($0.90 per square foot) in 3rd Quarter 2020, $2.8 million ($5.37 per square foot) in 1st Quarter 2020, and $1.1 million ($1.65 per square foot) in 4th Quarter 2019 of the Tenant Improvements &amp; Incentives are for properties under active redevelopment and are included in either the Projected Cost for those properties on the Summary of Redevelopment Opportunities or was included in the cost to complete estimate at acquisition.</w:t>
      </w:r>
    </w:p>
    <w:p>
      <w:pPr>
        <w:spacing w:after="0" w:line="25" w:lineRule="exact"/>
        <w:rPr>
          <w:rFonts w:ascii="Times New Roman" w:cs="Times New Roman" w:eastAsia="Times New Roman" w:hAnsi="Times New Roman"/>
          <w:sz w:val="13"/>
          <w:szCs w:val="13"/>
          <w:color w:val="auto"/>
        </w:rPr>
      </w:pPr>
    </w:p>
    <w:p>
      <w:pPr>
        <w:ind w:left="560" w:hanging="558"/>
        <w:spacing w:after="0"/>
        <w:tabs>
          <w:tab w:leader="none" w:pos="5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Renewal leases represent expiring leases rolling over with the same tenant in the same location. All other leases are categorized as new.</w:t>
      </w:r>
    </w:p>
    <w:p>
      <w:pPr>
        <w:spacing w:after="0" w:line="39" w:lineRule="exact"/>
        <w:rPr>
          <w:rFonts w:ascii="Times New Roman" w:cs="Times New Roman" w:eastAsia="Times New Roman" w:hAnsi="Times New Roman"/>
          <w:sz w:val="13"/>
          <w:szCs w:val="13"/>
          <w:color w:val="auto"/>
        </w:rPr>
      </w:pPr>
    </w:p>
    <w:p>
      <w:pPr>
        <w:ind w:left="560" w:hanging="558"/>
        <w:spacing w:after="0" w:line="257" w:lineRule="auto"/>
        <w:tabs>
          <w:tab w:leader="none" w:pos="56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Leases Signed, GLA Signed, Contractual Rent Per Sq. Ft. and Weighted Average Lease Term columns include information for leases signed at Phase 3 of both of our Assembly Row and Pike &amp; Rose projects. The Tenant Improvements &amp; Incentives and Tenant Improvements &amp; Incentives Per Sq. Ft. columns do not include the tenant improvements and incentives on leases signed for those projects; these amounts for leases signed for Phase 3 of Assembly Row and Pike &amp; Rose are included in the Projected Cost column for those projects shown on the Assembly Row and Pike &amp; Rose schedule.</w:t>
      </w:r>
    </w:p>
    <w:p>
      <w:pPr>
        <w:spacing w:after="0" w:line="15" w:lineRule="exact"/>
        <w:rPr>
          <w:rFonts w:ascii="Times New Roman" w:cs="Times New Roman" w:eastAsia="Times New Roman" w:hAnsi="Times New Roman"/>
          <w:sz w:val="12"/>
          <w:szCs w:val="12"/>
          <w:color w:val="auto"/>
        </w:rPr>
      </w:pPr>
    </w:p>
    <w:p>
      <w:pPr>
        <w:ind w:left="560" w:right="20" w:hanging="558"/>
        <w:spacing w:after="0"/>
        <w:tabs>
          <w:tab w:leader="none" w:pos="5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annual increase over the prior rent calculated on a straight line basis for leases signed during the third, second and first quarter of 2020 was 6%, 23% and 14% for comparable leases, respectively, 5%, 52% and 18% for new leases, respectively, and 7%, 8% and 12% for renewal leases, respectively.</w:t>
      </w:r>
    </w:p>
    <w:p>
      <w:pPr>
        <w:sectPr>
          <w:pgSz w:w="11900" w:h="16838" w:orient="portrait"/>
          <w:cols w:equalWidth="0" w:num="1">
            <w:col w:w="11100"/>
          </w:cols>
          <w:pgMar w:left="380" w:top="731" w:right="41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80" w:top="731" w:right="419" w:bottom="1440" w:gutter="0" w:footer="0" w:header="0"/>
          <w:type w:val="continuous"/>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277749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77490" cy="180340"/>
                    </a:xfrm>
                    <a:prstGeom prst="rect">
                      <a:avLst/>
                    </a:prstGeom>
                    <a:noFill/>
                  </pic:spPr>
                </pic:pic>
              </a:graphicData>
            </a:graphic>
          </wp:anchor>
        </w:drawing>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760" w:type="dxa"/>
            <w:vAlign w:val="bottom"/>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3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126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3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13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720" w:type="dxa"/>
            <w:vAlign w:val="bottom"/>
          </w:tcPr>
          <w:p>
            <w:pPr>
              <w:jc w:val="right"/>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SF</w:t>
            </w:r>
          </w:p>
        </w:tc>
        <w:tc>
          <w:tcPr>
            <w:tcW w:w="22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260" w:type="dxa"/>
            <w:vAlign w:val="bottom"/>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Shop SF</w:t>
            </w:r>
          </w:p>
        </w:tc>
        <w:tc>
          <w:tcPr>
            <w:tcW w:w="22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340" w:type="dxa"/>
            <w:vAlign w:val="bottom"/>
            <w:vMerge w:val="continue"/>
          </w:tcPr>
          <w:p>
            <w:pPr>
              <w:spacing w:after="0"/>
              <w:rPr>
                <w:sz w:val="16"/>
                <w:szCs w:val="16"/>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SF</w:t>
            </w:r>
          </w:p>
        </w:tc>
        <w:tc>
          <w:tcPr>
            <w:tcW w:w="200" w:type="dxa"/>
            <w:vAlign w:val="bottom"/>
          </w:tcPr>
          <w:p>
            <w:pPr>
              <w:spacing w:after="0"/>
              <w:rPr>
                <w:sz w:val="16"/>
                <w:szCs w:val="16"/>
                <w:color w:val="auto"/>
              </w:rPr>
            </w:pPr>
          </w:p>
        </w:tc>
        <w:tc>
          <w:tcPr>
            <w:tcW w:w="9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35"/>
        </w:trPr>
        <w:tc>
          <w:tcPr>
            <w:tcW w:w="1100" w:type="dxa"/>
            <w:vAlign w:val="bottom"/>
            <w:tcBorders>
              <w:top w:val="single" w:sz="8" w:color="auto"/>
              <w:left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132,000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15.62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284,000</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32.21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416,000</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26.95</w:t>
            </w: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961,000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20.87</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742,000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43.88</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1,703,000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30.90</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1,951,000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18.21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905,000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44.33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2,856,000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26.49</w:t>
            </w: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1,426,000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20.89</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909,000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45.20</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2,335,000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30.35</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2,391,000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17.91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908,000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46.68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3,299,000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25.82</w:t>
            </w: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1,710,000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21.68</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806,000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43.94</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2,515,000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28.81</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1,126,000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20.66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478,000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50.13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1,605,000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29.45</w:t>
            </w: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867,000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33.95</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520,000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48.49</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1,387,000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39.40</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854,000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20.59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412,000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51.62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1,265,000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30.69</w:t>
            </w: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974,000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27.34</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385,000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47.40</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1,359,000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33.02</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0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2,525,000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25.45</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390,000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48.43</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2,916,000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28.53</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14,917,000</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22.02</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6,739,000</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45.75</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21,656,000</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29.40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260" w:type="dxa"/>
            <w:vAlign w:val="bottom"/>
            <w:tcBorders>
              <w:left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Assumes all lease options are exercised</w:t>
            </w:r>
          </w:p>
        </w:tc>
        <w:tc>
          <w:tcPr>
            <w:tcW w:w="2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9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760" w:type="dxa"/>
            <w:vAlign w:val="bottom"/>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3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126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3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13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720" w:type="dxa"/>
            <w:vAlign w:val="bottom"/>
          </w:tcPr>
          <w:p>
            <w:pPr>
              <w:jc w:val="right"/>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SF</w:t>
            </w:r>
          </w:p>
        </w:tc>
        <w:tc>
          <w:tcPr>
            <w:tcW w:w="22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260" w:type="dxa"/>
            <w:vAlign w:val="bottom"/>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Shop SF</w:t>
            </w:r>
          </w:p>
        </w:tc>
        <w:tc>
          <w:tcPr>
            <w:tcW w:w="22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340" w:type="dxa"/>
            <w:vAlign w:val="bottom"/>
            <w:vMerge w:val="continue"/>
          </w:tcPr>
          <w:p>
            <w:pPr>
              <w:spacing w:after="0"/>
              <w:rPr>
                <w:sz w:val="16"/>
                <w:szCs w:val="16"/>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SF</w:t>
            </w:r>
          </w:p>
        </w:tc>
        <w:tc>
          <w:tcPr>
            <w:tcW w:w="200" w:type="dxa"/>
            <w:vAlign w:val="bottom"/>
          </w:tcPr>
          <w:p>
            <w:pPr>
              <w:spacing w:after="0"/>
              <w:rPr>
                <w:sz w:val="16"/>
                <w:szCs w:val="16"/>
                <w:color w:val="auto"/>
              </w:rPr>
            </w:pPr>
          </w:p>
        </w:tc>
        <w:tc>
          <w:tcPr>
            <w:tcW w:w="9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35"/>
        </w:trPr>
        <w:tc>
          <w:tcPr>
            <w:tcW w:w="1100" w:type="dxa"/>
            <w:vAlign w:val="bottom"/>
            <w:tcBorders>
              <w:top w:val="single" w:sz="8" w:color="auto"/>
              <w:left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132,000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15.62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277,000</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31.61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410,000</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26.46</w:t>
            </w: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492,000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17.38</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581,000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45.00</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1,073,000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32.33</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25.10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554,000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43.71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817,000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37.72</w:t>
            </w: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342,000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22.38</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583,000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41.79</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925,000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34.62</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20.56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477,000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45.78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1,056,000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31.96</w:t>
            </w: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338,000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24.71</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441,000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43.26</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779,000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35.22</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24.33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282,000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48.72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718,000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33.89</w:t>
            </w: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746,000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21.51</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466,000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47.81</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1,212,000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31.62</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628,000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17.63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401,000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48.54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1,028,000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29.67</w:t>
            </w: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791,000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24.28</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362,000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45.00</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1,153,000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30.79</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Borders>
              <w:left w:val="single" w:sz="8" w:color="CCEEFF"/>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7"/>
                <w:shd w:val="clear" w:color="auto" w:fill="CCEEFF"/>
              </w:rPr>
              <w:t>Thereafter</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10,170,000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22.26</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2,315,000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48.43</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12,485,000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27.12</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14,917,000</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22.02</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6,739,000</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45.75</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21,656,000</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29.40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Notes:</w:t>
            </w:r>
          </w:p>
        </w:tc>
        <w:tc>
          <w:tcPr>
            <w:tcW w:w="10080" w:type="dxa"/>
            <w:vAlign w:val="bottom"/>
          </w:tcPr>
          <w:p>
            <w:pPr>
              <w:spacing w:after="0"/>
              <w:rPr>
                <w:sz w:val="16"/>
                <w:szCs w:val="16"/>
                <w:color w:val="auto"/>
              </w:rPr>
            </w:pPr>
          </w:p>
        </w:tc>
      </w:tr>
      <w:tr>
        <w:trPr>
          <w:trHeight w:val="271"/>
        </w:trPr>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23"/>
                <w:szCs w:val="23"/>
                <w:color w:val="auto"/>
              </w:rPr>
            </w:pPr>
          </w:p>
        </w:tc>
        <w:tc>
          <w:tcPr>
            <w:tcW w:w="10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Anchor is defined as a commercial tenant leasing 10,000 square feet or more.</w:t>
            </w:r>
          </w:p>
        </w:tc>
      </w:tr>
      <w:tr>
        <w:trPr>
          <w:trHeight w:val="249"/>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21"/>
                <w:szCs w:val="21"/>
                <w:color w:val="auto"/>
              </w:rPr>
            </w:pPr>
          </w:p>
        </w:tc>
        <w:tc>
          <w:tcPr>
            <w:tcW w:w="10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Minimum Rent reflects in-place contractual (defined as rents billed on a cash basis without taking the impacts of rent abatements into account) rent as of</w:t>
            </w:r>
          </w:p>
        </w:tc>
      </w:tr>
      <w:tr>
        <w:trPr>
          <w:trHeight w:val="210"/>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September 30, 2020.</w:t>
            </w:r>
          </w:p>
        </w:tc>
      </w:tr>
      <w:tr>
        <w:trPr>
          <w:trHeight w:val="256"/>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spacing w:after="0"/>
              <w:rPr>
                <w:sz w:val="22"/>
                <w:szCs w:val="22"/>
                <w:color w:val="auto"/>
              </w:rPr>
            </w:pPr>
          </w:p>
        </w:tc>
        <w:tc>
          <w:tcPr>
            <w:tcW w:w="10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Represents occupied square footage of the commercial portion of our portfolio as of September 30, 2020.</w:t>
            </w:r>
          </w:p>
        </w:tc>
      </w:tr>
      <w:tr>
        <w:trPr>
          <w:trHeight w:val="257"/>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22"/>
                <w:szCs w:val="22"/>
                <w:color w:val="auto"/>
              </w:rPr>
            </w:pPr>
          </w:p>
        </w:tc>
        <w:tc>
          <w:tcPr>
            <w:tcW w:w="10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Individual items may not add up to total due to rounding.</w:t>
            </w:r>
          </w:p>
        </w:tc>
      </w:tr>
    </w:tbl>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711" w:right="339"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Portfolio Leased Statistics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06" w:lineRule="exact"/>
        <w:rPr>
          <w:sz w:val="20"/>
          <w:szCs w:val="20"/>
          <w:color w:val="auto"/>
        </w:rPr>
      </w:pPr>
    </w:p>
    <w:p>
      <w:pPr>
        <w:ind w:left="40"/>
        <w:spacing w:after="0"/>
        <w:tabs>
          <w:tab w:leader="none" w:pos="5420" w:val="left"/>
        </w:tabs>
        <w:rPr>
          <w:sz w:val="20"/>
          <w:szCs w:val="20"/>
          <w:color w:val="auto"/>
        </w:rPr>
      </w:pPr>
      <w:r>
        <w:rPr>
          <w:rFonts w:ascii="Times New Roman" w:cs="Times New Roman" w:eastAsia="Times New Roman" w:hAnsi="Times New Roman"/>
          <w:sz w:val="16"/>
          <w:szCs w:val="16"/>
          <w:b w:val="1"/>
          <w:bCs w:val="1"/>
          <w:u w:val="single" w:color="auto"/>
          <w:color w:val="auto"/>
        </w:rPr>
        <w:t>Overall Portfolio Statistics (1)</w:t>
      </w:r>
      <w:r>
        <w:rPr>
          <w:sz w:val="20"/>
          <w:szCs w:val="20"/>
          <w:color w:val="auto"/>
        </w:rPr>
        <w:tab/>
      </w:r>
      <w:r>
        <w:rPr>
          <w:rFonts w:ascii="Times New Roman" w:cs="Times New Roman" w:eastAsia="Times New Roman" w:hAnsi="Times New Roman"/>
          <w:sz w:val="21"/>
          <w:szCs w:val="21"/>
          <w:b w:val="1"/>
          <w:bCs w:val="1"/>
          <w:color w:val="auto"/>
          <w:vertAlign w:val="subscript"/>
        </w:rPr>
        <w:t>At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27774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7774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 September 30, 2019</w:t>
      </w:r>
    </w:p>
    <w:p>
      <w:pPr>
        <w:spacing w:after="0" w:line="200" w:lineRule="exact"/>
        <w:rPr>
          <w:sz w:val="20"/>
          <w:szCs w:val="20"/>
          <w:color w:val="auto"/>
        </w:rPr>
      </w:pPr>
    </w:p>
    <w:p>
      <w:pPr>
        <w:sectPr>
          <w:pgSz w:w="11900" w:h="16838" w:orient="portrait"/>
          <w:cols w:equalWidth="0" w:num="2">
            <w:col w:w="8160" w:space="720"/>
            <w:col w:w="2340"/>
          </w:cols>
          <w:pgMar w:left="320" w:top="711" w:right="359" w:bottom="1440" w:gutter="0" w:footer="0" w:header="0"/>
        </w:sectPr>
      </w:pPr>
    </w:p>
    <w:p>
      <w:pPr>
        <w:spacing w:after="0" w:line="149" w:lineRule="exact"/>
        <w:rPr>
          <w:sz w:val="20"/>
          <w:szCs w:val="20"/>
          <w:color w:val="auto"/>
        </w:rPr>
      </w:pPr>
    </w:p>
    <w:p>
      <w:pPr>
        <w:ind w:left="40"/>
        <w:spacing w:after="0"/>
        <w:tabs>
          <w:tab w:leader="none" w:pos="5200" w:val="left"/>
          <w:tab w:leader="none" w:pos="6120" w:val="left"/>
          <w:tab w:leader="none" w:pos="6940" w:val="left"/>
        </w:tabs>
        <w:rPr>
          <w:sz w:val="20"/>
          <w:szCs w:val="20"/>
          <w:color w:val="auto"/>
        </w:rPr>
      </w:pPr>
      <w:r>
        <w:rPr>
          <w:rFonts w:ascii="Times New Roman" w:cs="Times New Roman" w:eastAsia="Times New Roman" w:hAnsi="Times New Roman"/>
          <w:sz w:val="16"/>
          <w:szCs w:val="16"/>
          <w:u w:val="single" w:color="auto"/>
          <w:color w:val="auto"/>
        </w:rPr>
        <w:t>Type</w:t>
      </w:r>
      <w:r>
        <w:rPr>
          <w:sz w:val="20"/>
          <w:szCs w:val="20"/>
          <w:color w:val="auto"/>
        </w:rPr>
        <w:tab/>
      </w:r>
      <w:r>
        <w:rPr>
          <w:rFonts w:ascii="Times New Roman" w:cs="Times New Roman" w:eastAsia="Times New Roman" w:hAnsi="Times New Roman"/>
          <w:sz w:val="16"/>
          <w:szCs w:val="16"/>
          <w:u w:val="single" w:color="auto"/>
          <w:color w:val="auto"/>
        </w:rPr>
        <w:t>Size</w:t>
      </w:r>
      <w:r>
        <w:rPr>
          <w:sz w:val="20"/>
          <w:szCs w:val="20"/>
          <w:color w:val="auto"/>
        </w:rPr>
        <w:tab/>
      </w:r>
      <w:r>
        <w:rPr>
          <w:rFonts w:ascii="Times New Roman" w:cs="Times New Roman" w:eastAsia="Times New Roman" w:hAnsi="Times New Roman"/>
          <w:sz w:val="16"/>
          <w:szCs w:val="16"/>
          <w:u w:val="single" w:color="auto"/>
          <w:color w:val="auto"/>
        </w:rPr>
        <w:t>Leased</w:t>
      </w:r>
      <w:r>
        <w:rPr>
          <w:sz w:val="20"/>
          <w:szCs w:val="20"/>
          <w:color w:val="auto"/>
        </w:rPr>
        <w:tab/>
      </w:r>
      <w:r>
        <w:rPr>
          <w:rFonts w:ascii="Times New Roman" w:cs="Times New Roman" w:eastAsia="Times New Roman" w:hAnsi="Times New Roman"/>
          <w:sz w:val="16"/>
          <w:szCs w:val="16"/>
          <w:u w:val="single" w:color="auto"/>
          <w:color w:val="auto"/>
        </w:rPr>
        <w:t>Leased %</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tabs>
          <w:tab w:leader="none" w:pos="920" w:val="left"/>
          <w:tab w:leader="none" w:pos="1840" w:val="left"/>
        </w:tabs>
        <w:rPr>
          <w:sz w:val="20"/>
          <w:szCs w:val="20"/>
          <w:color w:val="auto"/>
        </w:rPr>
      </w:pPr>
      <w:r>
        <w:rPr>
          <w:rFonts w:ascii="Times New Roman" w:cs="Times New Roman" w:eastAsia="Times New Roman" w:hAnsi="Times New Roman"/>
          <w:sz w:val="16"/>
          <w:szCs w:val="16"/>
          <w:u w:val="single" w:color="auto"/>
          <w:color w:val="auto"/>
        </w:rPr>
        <w:t>Size</w:t>
      </w:r>
      <w:r>
        <w:rPr>
          <w:sz w:val="20"/>
          <w:szCs w:val="20"/>
          <w:color w:val="auto"/>
        </w:rPr>
        <w:tab/>
      </w:r>
      <w:r>
        <w:rPr>
          <w:rFonts w:ascii="Times New Roman" w:cs="Times New Roman" w:eastAsia="Times New Roman" w:hAnsi="Times New Roman"/>
          <w:sz w:val="16"/>
          <w:szCs w:val="16"/>
          <w:u w:val="single" w:color="auto"/>
          <w:color w:val="auto"/>
        </w:rPr>
        <w:t>Leased</w:t>
      </w:r>
      <w:r>
        <w:rPr>
          <w:sz w:val="20"/>
          <w:szCs w:val="20"/>
          <w:color w:val="auto"/>
        </w:rPr>
        <w:tab/>
      </w:r>
      <w:r>
        <w:rPr>
          <w:rFonts w:ascii="Times New Roman" w:cs="Times New Roman" w:eastAsia="Times New Roman" w:hAnsi="Times New Roman"/>
          <w:sz w:val="16"/>
          <w:szCs w:val="16"/>
          <w:u w:val="single" w:color="auto"/>
          <w:color w:val="auto"/>
        </w:rPr>
        <w:t>Leased %</w:t>
      </w:r>
    </w:p>
    <w:p>
      <w:pPr>
        <w:spacing w:after="0" w:line="200" w:lineRule="exact"/>
        <w:rPr>
          <w:sz w:val="20"/>
          <w:szCs w:val="20"/>
          <w:color w:val="auto"/>
        </w:rPr>
      </w:pPr>
    </w:p>
    <w:p>
      <w:pPr>
        <w:sectPr>
          <w:pgSz w:w="11900" w:h="16838" w:orient="portrait"/>
          <w:cols w:equalWidth="0" w:num="2">
            <w:col w:w="7860" w:space="720"/>
            <w:col w:w="2640"/>
          </w:cols>
          <w:pgMar w:left="320" w:top="711" w:right="359" w:bottom="1440" w:gutter="0" w:footer="0" w:header="0"/>
          <w:type w:val="continuous"/>
        </w:sectPr>
      </w:pP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Commercial Properties (2) (3) (4) (sf)</w:t>
            </w:r>
          </w:p>
        </w:tc>
        <w:tc>
          <w:tcPr>
            <w:tcW w:w="2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23,544,000</w:t>
            </w: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21,702,000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r>
    </w:tbl>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tabs>
          <w:tab w:leader="none" w:pos="1080" w:val="left"/>
          <w:tab w:leader="none" w:pos="2640" w:val="left"/>
        </w:tabs>
        <w:rPr>
          <w:sz w:val="20"/>
          <w:szCs w:val="20"/>
          <w:color w:val="auto"/>
        </w:rPr>
      </w:pPr>
      <w:r>
        <w:rPr>
          <w:rFonts w:ascii="Times New Roman" w:cs="Times New Roman" w:eastAsia="Times New Roman" w:hAnsi="Times New Roman"/>
          <w:sz w:val="16"/>
          <w:szCs w:val="16"/>
          <w:color w:val="auto"/>
        </w:rPr>
        <w:t>23,879,000</w:t>
      </w:r>
      <w:r>
        <w:rPr>
          <w:sz w:val="20"/>
          <w:szCs w:val="20"/>
          <w:color w:val="auto"/>
        </w:rPr>
        <w:tab/>
      </w:r>
      <w:r>
        <w:rPr>
          <w:rFonts w:ascii="Times New Roman" w:cs="Times New Roman" w:eastAsia="Times New Roman" w:hAnsi="Times New Roman"/>
          <w:sz w:val="16"/>
          <w:szCs w:val="16"/>
          <w:color w:val="auto"/>
        </w:rPr>
        <w:t>22,487,000</w:t>
      </w:r>
      <w:r>
        <w:rPr>
          <w:sz w:val="20"/>
          <w:szCs w:val="20"/>
          <w:color w:val="auto"/>
        </w:rPr>
        <w:tab/>
      </w:r>
      <w:r>
        <w:rPr>
          <w:rFonts w:ascii="Times New Roman" w:cs="Times New Roman" w:eastAsia="Times New Roman" w:hAnsi="Times New Roman"/>
          <w:sz w:val="16"/>
          <w:szCs w:val="16"/>
          <w:color w:val="auto"/>
        </w:rPr>
        <w:t>94.2%</w:t>
      </w:r>
    </w:p>
    <w:p>
      <w:pPr>
        <w:spacing w:after="0" w:line="226" w:lineRule="exact"/>
        <w:rPr>
          <w:sz w:val="20"/>
          <w:szCs w:val="20"/>
          <w:color w:val="auto"/>
        </w:rPr>
      </w:pPr>
    </w:p>
    <w:p>
      <w:pPr>
        <w:sectPr>
          <w:pgSz w:w="11900" w:h="16838" w:orient="portrait"/>
          <w:cols w:equalWidth="0" w:num="2">
            <w:col w:w="7740" w:space="400"/>
            <w:col w:w="3080"/>
          </w:cols>
          <w:pgMar w:left="320" w:top="711" w:right="359" w:bottom="1440" w:gutter="0" w:footer="0" w:header="0"/>
          <w:type w:val="continuous"/>
        </w:sectPr>
      </w:pP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Residential Properties (units) (5)</w:t>
            </w:r>
          </w:p>
        </w:tc>
        <w:tc>
          <w:tcPr>
            <w:tcW w:w="22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2,782</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2,631</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1080" w:val="left"/>
          <w:tab w:leader="none" w:pos="2280" w:val="left"/>
        </w:tabs>
        <w:rPr>
          <w:sz w:val="20"/>
          <w:szCs w:val="20"/>
          <w:color w:val="auto"/>
        </w:rPr>
      </w:pPr>
      <w:r>
        <w:rPr>
          <w:rFonts w:ascii="Times New Roman" w:cs="Times New Roman" w:eastAsia="Times New Roman" w:hAnsi="Times New Roman"/>
          <w:sz w:val="16"/>
          <w:szCs w:val="16"/>
          <w:color w:val="auto"/>
        </w:rPr>
        <w:t>2,665</w:t>
      </w:r>
      <w:r>
        <w:rPr>
          <w:sz w:val="20"/>
          <w:szCs w:val="20"/>
          <w:color w:val="auto"/>
        </w:rPr>
        <w:tab/>
      </w:r>
      <w:r>
        <w:rPr>
          <w:rFonts w:ascii="Times New Roman" w:cs="Times New Roman" w:eastAsia="Times New Roman" w:hAnsi="Times New Roman"/>
          <w:sz w:val="16"/>
          <w:szCs w:val="16"/>
          <w:color w:val="auto"/>
        </w:rPr>
        <w:t>2,595</w:t>
      </w:r>
      <w:r>
        <w:rPr>
          <w:sz w:val="20"/>
          <w:szCs w:val="20"/>
          <w:color w:val="auto"/>
        </w:rPr>
        <w:tab/>
      </w:r>
      <w:r>
        <w:rPr>
          <w:rFonts w:ascii="Times New Roman" w:cs="Times New Roman" w:eastAsia="Times New Roman" w:hAnsi="Times New Roman"/>
          <w:sz w:val="16"/>
          <w:szCs w:val="16"/>
          <w:color w:val="auto"/>
        </w:rPr>
        <w:t>97.4%</w:t>
      </w:r>
    </w:p>
    <w:p>
      <w:pPr>
        <w:spacing w:after="0" w:line="226" w:lineRule="exact"/>
        <w:rPr>
          <w:sz w:val="20"/>
          <w:szCs w:val="20"/>
          <w:color w:val="auto"/>
        </w:rPr>
      </w:pPr>
    </w:p>
    <w:p>
      <w:pPr>
        <w:sectPr>
          <w:pgSz w:w="11900" w:h="16838" w:orient="portrait"/>
          <w:cols w:equalWidth="0" w:num="2">
            <w:col w:w="7780" w:space="720"/>
            <w:col w:w="2720"/>
          </w:cols>
          <w:pgMar w:left="320" w:top="711" w:right="359" w:bottom="1440" w:gutter="0" w:footer="0" w:header="0"/>
          <w:type w:val="continuous"/>
        </w:sectPr>
      </w:pPr>
    </w:p>
    <w:p>
      <w:pPr>
        <w:spacing w:after="0" w:line="277" w:lineRule="exact"/>
        <w:rPr>
          <w:sz w:val="20"/>
          <w:szCs w:val="20"/>
          <w:color w:val="auto"/>
        </w:rPr>
      </w:pPr>
    </w:p>
    <w:p>
      <w:pPr>
        <w:ind w:left="40"/>
        <w:spacing w:after="0"/>
        <w:tabs>
          <w:tab w:leader="none" w:pos="5420" w:val="left"/>
        </w:tabs>
        <w:rPr>
          <w:sz w:val="20"/>
          <w:szCs w:val="20"/>
          <w:color w:val="auto"/>
        </w:rPr>
      </w:pPr>
      <w:r>
        <w:rPr>
          <w:rFonts w:ascii="Times New Roman" w:cs="Times New Roman" w:eastAsia="Times New Roman" w:hAnsi="Times New Roman"/>
          <w:sz w:val="16"/>
          <w:szCs w:val="16"/>
          <w:b w:val="1"/>
          <w:bCs w:val="1"/>
          <w:u w:val="single" w:color="auto"/>
          <w:color w:val="auto"/>
        </w:rPr>
        <w:t>Comparable Property Statistics (1)</w:t>
      </w:r>
      <w:r>
        <w:rPr>
          <w:sz w:val="20"/>
          <w:szCs w:val="20"/>
          <w:color w:val="auto"/>
        </w:rPr>
        <w:tab/>
      </w:r>
      <w:r>
        <w:rPr>
          <w:rFonts w:ascii="Times New Roman" w:cs="Times New Roman" w:eastAsia="Times New Roman" w:hAnsi="Times New Roman"/>
          <w:sz w:val="21"/>
          <w:szCs w:val="21"/>
          <w:b w:val="1"/>
          <w:bCs w:val="1"/>
          <w:color w:val="auto"/>
          <w:vertAlign w:val="subscript"/>
        </w:rPr>
        <w:t>At September 30,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 September 30, 2019</w:t>
      </w:r>
    </w:p>
    <w:p>
      <w:pPr>
        <w:spacing w:after="0" w:line="200" w:lineRule="exact"/>
        <w:rPr>
          <w:sz w:val="20"/>
          <w:szCs w:val="20"/>
          <w:color w:val="auto"/>
        </w:rPr>
      </w:pPr>
    </w:p>
    <w:p>
      <w:pPr>
        <w:sectPr>
          <w:pgSz w:w="11900" w:h="16838" w:orient="portrait"/>
          <w:cols w:equalWidth="0" w:num="2">
            <w:col w:w="8160" w:space="720"/>
            <w:col w:w="2340"/>
          </w:cols>
          <w:pgMar w:left="320" w:top="711" w:right="359" w:bottom="1440" w:gutter="0" w:footer="0" w:header="0"/>
          <w:type w:val="continuous"/>
        </w:sectPr>
      </w:pPr>
    </w:p>
    <w:p>
      <w:pPr>
        <w:spacing w:after="0" w:line="149" w:lineRule="exact"/>
        <w:rPr>
          <w:sz w:val="20"/>
          <w:szCs w:val="20"/>
          <w:color w:val="auto"/>
        </w:rPr>
      </w:pPr>
    </w:p>
    <w:p>
      <w:pPr>
        <w:ind w:left="40"/>
        <w:spacing w:after="0"/>
        <w:tabs>
          <w:tab w:leader="none" w:pos="5200" w:val="left"/>
          <w:tab w:leader="none" w:pos="6120" w:val="left"/>
          <w:tab w:leader="none" w:pos="6940" w:val="left"/>
        </w:tabs>
        <w:rPr>
          <w:sz w:val="20"/>
          <w:szCs w:val="20"/>
          <w:color w:val="auto"/>
        </w:rPr>
      </w:pPr>
      <w:r>
        <w:rPr>
          <w:rFonts w:ascii="Times New Roman" w:cs="Times New Roman" w:eastAsia="Times New Roman" w:hAnsi="Times New Roman"/>
          <w:sz w:val="16"/>
          <w:szCs w:val="16"/>
          <w:u w:val="single" w:color="auto"/>
          <w:color w:val="auto"/>
        </w:rPr>
        <w:t>Type</w:t>
      </w:r>
      <w:r>
        <w:rPr>
          <w:sz w:val="20"/>
          <w:szCs w:val="20"/>
          <w:color w:val="auto"/>
        </w:rPr>
        <w:tab/>
      </w:r>
      <w:r>
        <w:rPr>
          <w:rFonts w:ascii="Times New Roman" w:cs="Times New Roman" w:eastAsia="Times New Roman" w:hAnsi="Times New Roman"/>
          <w:sz w:val="16"/>
          <w:szCs w:val="16"/>
          <w:u w:val="single" w:color="auto"/>
          <w:color w:val="auto"/>
        </w:rPr>
        <w:t>Size</w:t>
      </w:r>
      <w:r>
        <w:rPr>
          <w:sz w:val="20"/>
          <w:szCs w:val="20"/>
          <w:color w:val="auto"/>
        </w:rPr>
        <w:tab/>
      </w:r>
      <w:r>
        <w:rPr>
          <w:rFonts w:ascii="Times New Roman" w:cs="Times New Roman" w:eastAsia="Times New Roman" w:hAnsi="Times New Roman"/>
          <w:sz w:val="16"/>
          <w:szCs w:val="16"/>
          <w:u w:val="single" w:color="auto"/>
          <w:color w:val="auto"/>
        </w:rPr>
        <w:t>Leased</w:t>
      </w:r>
      <w:r>
        <w:rPr>
          <w:sz w:val="20"/>
          <w:szCs w:val="20"/>
          <w:color w:val="auto"/>
        </w:rPr>
        <w:tab/>
      </w:r>
      <w:r>
        <w:rPr>
          <w:rFonts w:ascii="Times New Roman" w:cs="Times New Roman" w:eastAsia="Times New Roman" w:hAnsi="Times New Roman"/>
          <w:sz w:val="16"/>
          <w:szCs w:val="16"/>
          <w:u w:val="single" w:color="auto"/>
          <w:color w:val="auto"/>
        </w:rPr>
        <w:t>Leased %</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tabs>
          <w:tab w:leader="none" w:pos="920" w:val="left"/>
          <w:tab w:leader="none" w:pos="1840" w:val="left"/>
        </w:tabs>
        <w:rPr>
          <w:sz w:val="20"/>
          <w:szCs w:val="20"/>
          <w:color w:val="auto"/>
        </w:rPr>
      </w:pPr>
      <w:r>
        <w:rPr>
          <w:rFonts w:ascii="Times New Roman" w:cs="Times New Roman" w:eastAsia="Times New Roman" w:hAnsi="Times New Roman"/>
          <w:sz w:val="16"/>
          <w:szCs w:val="16"/>
          <w:u w:val="single" w:color="auto"/>
          <w:color w:val="auto"/>
        </w:rPr>
        <w:t>Size</w:t>
      </w:r>
      <w:r>
        <w:rPr>
          <w:sz w:val="20"/>
          <w:szCs w:val="20"/>
          <w:color w:val="auto"/>
        </w:rPr>
        <w:tab/>
      </w:r>
      <w:r>
        <w:rPr>
          <w:rFonts w:ascii="Times New Roman" w:cs="Times New Roman" w:eastAsia="Times New Roman" w:hAnsi="Times New Roman"/>
          <w:sz w:val="16"/>
          <w:szCs w:val="16"/>
          <w:u w:val="single" w:color="auto"/>
          <w:color w:val="auto"/>
        </w:rPr>
        <w:t>Leased</w:t>
      </w:r>
      <w:r>
        <w:rPr>
          <w:sz w:val="20"/>
          <w:szCs w:val="20"/>
          <w:color w:val="auto"/>
        </w:rPr>
        <w:tab/>
      </w:r>
      <w:r>
        <w:rPr>
          <w:rFonts w:ascii="Times New Roman" w:cs="Times New Roman" w:eastAsia="Times New Roman" w:hAnsi="Times New Roman"/>
          <w:sz w:val="16"/>
          <w:szCs w:val="16"/>
          <w:u w:val="single" w:color="auto"/>
          <w:color w:val="auto"/>
        </w:rPr>
        <w:t>Leased %</w:t>
      </w:r>
    </w:p>
    <w:p>
      <w:pPr>
        <w:spacing w:after="0" w:line="200" w:lineRule="exact"/>
        <w:rPr>
          <w:sz w:val="20"/>
          <w:szCs w:val="20"/>
          <w:color w:val="auto"/>
        </w:rPr>
      </w:pPr>
    </w:p>
    <w:p>
      <w:pPr>
        <w:sectPr>
          <w:pgSz w:w="11900" w:h="16838" w:orient="portrait"/>
          <w:cols w:equalWidth="0" w:num="2">
            <w:col w:w="7860" w:space="720"/>
            <w:col w:w="2640"/>
          </w:cols>
          <w:pgMar w:left="320" w:top="711" w:right="359" w:bottom="1440" w:gutter="0" w:footer="0" w:header="0"/>
          <w:type w:val="continuous"/>
        </w:sectPr>
      </w:pP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Commercial Properties (3) (6) (sf)</w:t>
            </w:r>
          </w:p>
        </w:tc>
        <w:tc>
          <w:tcPr>
            <w:tcW w:w="2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22,118,000</w:t>
            </w: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20,353,000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r>
    </w:tbl>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tabs>
          <w:tab w:leader="none" w:pos="1080" w:val="left"/>
          <w:tab w:leader="none" w:pos="2640" w:val="left"/>
        </w:tabs>
        <w:rPr>
          <w:sz w:val="20"/>
          <w:szCs w:val="20"/>
          <w:color w:val="auto"/>
        </w:rPr>
      </w:pPr>
      <w:r>
        <w:rPr>
          <w:rFonts w:ascii="Times New Roman" w:cs="Times New Roman" w:eastAsia="Times New Roman" w:hAnsi="Times New Roman"/>
          <w:sz w:val="16"/>
          <w:szCs w:val="16"/>
          <w:color w:val="auto"/>
        </w:rPr>
        <w:t>22,328,000</w:t>
      </w:r>
      <w:r>
        <w:rPr>
          <w:sz w:val="20"/>
          <w:szCs w:val="20"/>
          <w:color w:val="auto"/>
        </w:rPr>
        <w:tab/>
      </w:r>
      <w:r>
        <w:rPr>
          <w:rFonts w:ascii="Times New Roman" w:cs="Times New Roman" w:eastAsia="Times New Roman" w:hAnsi="Times New Roman"/>
          <w:sz w:val="16"/>
          <w:szCs w:val="16"/>
          <w:color w:val="auto"/>
        </w:rPr>
        <w:t>21,185,000</w:t>
      </w:r>
      <w:r>
        <w:rPr>
          <w:sz w:val="20"/>
          <w:szCs w:val="20"/>
          <w:color w:val="auto"/>
        </w:rPr>
        <w:tab/>
      </w:r>
      <w:r>
        <w:rPr>
          <w:rFonts w:ascii="Times New Roman" w:cs="Times New Roman" w:eastAsia="Times New Roman" w:hAnsi="Times New Roman"/>
          <w:sz w:val="16"/>
          <w:szCs w:val="16"/>
          <w:color w:val="auto"/>
        </w:rPr>
        <w:t>94.9%</w:t>
      </w:r>
    </w:p>
    <w:p>
      <w:pPr>
        <w:spacing w:after="0" w:line="226" w:lineRule="exact"/>
        <w:rPr>
          <w:sz w:val="20"/>
          <w:szCs w:val="20"/>
          <w:color w:val="auto"/>
        </w:rPr>
      </w:pPr>
    </w:p>
    <w:p>
      <w:pPr>
        <w:sectPr>
          <w:pgSz w:w="11900" w:h="16838" w:orient="portrait"/>
          <w:cols w:equalWidth="0" w:num="2">
            <w:col w:w="7740" w:space="400"/>
            <w:col w:w="3080"/>
          </w:cols>
          <w:pgMar w:left="320" w:top="711" w:right="359" w:bottom="1440" w:gutter="0" w:footer="0" w:header="0"/>
          <w:type w:val="continuous"/>
        </w:sectPr>
      </w:pP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Residential Properties (5) (units)</w:t>
            </w:r>
          </w:p>
        </w:tc>
        <w:tc>
          <w:tcPr>
            <w:tcW w:w="22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2,651</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2,511</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1080" w:val="left"/>
          <w:tab w:leader="none" w:pos="2280" w:val="left"/>
        </w:tabs>
        <w:rPr>
          <w:sz w:val="20"/>
          <w:szCs w:val="20"/>
          <w:color w:val="auto"/>
        </w:rPr>
      </w:pPr>
      <w:r>
        <w:rPr>
          <w:rFonts w:ascii="Times New Roman" w:cs="Times New Roman" w:eastAsia="Times New Roman" w:hAnsi="Times New Roman"/>
          <w:sz w:val="16"/>
          <w:szCs w:val="16"/>
          <w:color w:val="auto"/>
        </w:rPr>
        <w:t>2,651</w:t>
      </w:r>
      <w:r>
        <w:rPr>
          <w:sz w:val="20"/>
          <w:szCs w:val="20"/>
          <w:color w:val="auto"/>
        </w:rPr>
        <w:tab/>
      </w:r>
      <w:r>
        <w:rPr>
          <w:rFonts w:ascii="Times New Roman" w:cs="Times New Roman" w:eastAsia="Times New Roman" w:hAnsi="Times New Roman"/>
          <w:sz w:val="16"/>
          <w:szCs w:val="16"/>
          <w:color w:val="auto"/>
        </w:rPr>
        <w:t>2,582</w:t>
      </w:r>
      <w:r>
        <w:rPr>
          <w:sz w:val="20"/>
          <w:szCs w:val="20"/>
          <w:color w:val="auto"/>
        </w:rPr>
        <w:tab/>
      </w:r>
      <w:r>
        <w:rPr>
          <w:rFonts w:ascii="Times New Roman" w:cs="Times New Roman" w:eastAsia="Times New Roman" w:hAnsi="Times New Roman"/>
          <w:sz w:val="16"/>
          <w:szCs w:val="16"/>
          <w:color w:val="auto"/>
        </w:rPr>
        <w:t>97.4%</w:t>
      </w:r>
    </w:p>
    <w:p>
      <w:pPr>
        <w:spacing w:after="0" w:line="226" w:lineRule="exact"/>
        <w:rPr>
          <w:sz w:val="20"/>
          <w:szCs w:val="20"/>
          <w:color w:val="auto"/>
        </w:rPr>
      </w:pPr>
    </w:p>
    <w:p>
      <w:pPr>
        <w:sectPr>
          <w:pgSz w:w="11900" w:h="16838" w:orient="portrait"/>
          <w:cols w:equalWidth="0" w:num="2">
            <w:col w:w="7780" w:space="720"/>
            <w:col w:w="2720"/>
          </w:cols>
          <w:pgMar w:left="320" w:top="711" w:right="359" w:bottom="1440" w:gutter="0" w:footer="0" w:header="0"/>
          <w:type w:val="continuous"/>
        </w:sect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167" w:lineRule="exact"/>
        <w:rPr>
          <w:sz w:val="20"/>
          <w:szCs w:val="20"/>
          <w:color w:val="auto"/>
        </w:rPr>
      </w:pPr>
    </w:p>
    <w:p>
      <w:pPr>
        <w:ind w:left="840" w:hanging="805"/>
        <w:spacing w:after="0"/>
        <w:tabs>
          <w:tab w:leader="none" w:pos="8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72" w:lineRule="exact"/>
        <w:rPr>
          <w:rFonts w:ascii="Times New Roman" w:cs="Times New Roman" w:eastAsia="Times New Roman" w:hAnsi="Times New Roman"/>
          <w:sz w:val="16"/>
          <w:szCs w:val="16"/>
          <w:color w:val="auto"/>
        </w:rPr>
      </w:pPr>
    </w:p>
    <w:p>
      <w:pPr>
        <w:ind w:left="840" w:right="100" w:hanging="805"/>
        <w:spacing w:after="0" w:line="281" w:lineRule="auto"/>
        <w:tabs>
          <w:tab w:leader="none" w:pos="8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Occupied percentage was 90.6% and 92.8% at September 30, 2020 and 2019, respectively. Commercial properties statistics at September 30, 2020 exclude the 516,000 square feet of GLA at The Shops at Sunset Place (see discussion of the current status of the property on page 20). Including this property, the overall leased and occupied percentage was 91.5% and 90.0%, respectively, at September 30, 2020.</w:t>
      </w:r>
    </w:p>
    <w:p>
      <w:pPr>
        <w:spacing w:after="0" w:line="15" w:lineRule="exact"/>
        <w:rPr>
          <w:rFonts w:ascii="Times New Roman" w:cs="Times New Roman" w:eastAsia="Times New Roman" w:hAnsi="Times New Roman"/>
          <w:sz w:val="16"/>
          <w:szCs w:val="16"/>
          <w:color w:val="auto"/>
        </w:rPr>
      </w:pPr>
    </w:p>
    <w:p>
      <w:pPr>
        <w:ind w:left="840" w:hanging="805"/>
        <w:spacing w:after="0"/>
        <w:tabs>
          <w:tab w:leader="none" w:pos="8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Leasable square feet excludes redevelopment square footage not yet placed in service.</w:t>
      </w:r>
    </w:p>
    <w:p>
      <w:pPr>
        <w:spacing w:after="0" w:line="72" w:lineRule="exact"/>
        <w:rPr>
          <w:rFonts w:ascii="Times New Roman" w:cs="Times New Roman" w:eastAsia="Times New Roman" w:hAnsi="Times New Roman"/>
          <w:sz w:val="16"/>
          <w:szCs w:val="16"/>
          <w:color w:val="auto"/>
        </w:rPr>
      </w:pPr>
    </w:p>
    <w:p>
      <w:pPr>
        <w:ind w:left="840" w:right="560" w:hanging="805"/>
        <w:spacing w:after="0" w:line="298" w:lineRule="auto"/>
        <w:tabs>
          <w:tab w:leader="none" w:pos="8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September 30, 2020, leased percentage was 95.9% for anchor tenants and 84.9% for small shop tenants. Including The Shops at Sunset Place, leased percentage was 95.7% for anchor tenants and 83.5% for small shop tenants.</w:t>
      </w:r>
    </w:p>
    <w:p>
      <w:pPr>
        <w:spacing w:after="0" w:line="2" w:lineRule="exact"/>
        <w:rPr>
          <w:rFonts w:ascii="Times New Roman" w:cs="Times New Roman" w:eastAsia="Times New Roman" w:hAnsi="Times New Roman"/>
          <w:sz w:val="16"/>
          <w:szCs w:val="16"/>
          <w:color w:val="auto"/>
        </w:rPr>
      </w:pPr>
    </w:p>
    <w:p>
      <w:pPr>
        <w:ind w:left="840" w:hanging="805"/>
        <w:spacing w:after="0"/>
        <w:tabs>
          <w:tab w:leader="none" w:pos="8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residential metrics exclude "The Delwyn," our 87 unit residential building that opened at Bala Cynwyd in September 2020.</w:t>
      </w:r>
    </w:p>
    <w:p>
      <w:pPr>
        <w:spacing w:after="0" w:line="72" w:lineRule="exact"/>
        <w:rPr>
          <w:rFonts w:ascii="Times New Roman" w:cs="Times New Roman" w:eastAsia="Times New Roman" w:hAnsi="Times New Roman"/>
          <w:sz w:val="16"/>
          <w:szCs w:val="16"/>
          <w:color w:val="auto"/>
        </w:rPr>
      </w:pPr>
    </w:p>
    <w:p>
      <w:pPr>
        <w:ind w:left="840" w:hanging="805"/>
        <w:spacing w:after="0"/>
        <w:tabs>
          <w:tab w:leader="none" w:pos="8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Comparable property occupied percentage was 90.6% and 93.5% at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711" w:right="359" w:bottom="1440" w:gutter="0" w:footer="0" w:header="0"/>
          <w:type w:val="continuous"/>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2880" w:type="dxa"/>
            <w:vAlign w:val="bottom"/>
            <w:vMerge w:val="restart"/>
          </w:tcPr>
          <w:p>
            <w:pPr>
              <w:jc w:val="center"/>
              <w:ind w:left="1028"/>
              <w:spacing w:after="0"/>
              <w:rPr>
                <w:sz w:val="20"/>
                <w:szCs w:val="20"/>
                <w:color w:val="auto"/>
              </w:rPr>
            </w:pPr>
            <w:r>
              <w:rPr>
                <w:rFonts w:ascii="Times New Roman" w:cs="Times New Roman" w:eastAsia="Times New Roman" w:hAnsi="Times New Roman"/>
                <w:sz w:val="14"/>
                <w:szCs w:val="14"/>
                <w:b w:val="1"/>
                <w:bCs w:val="1"/>
                <w:color w:val="auto"/>
              </w:rPr>
              <w:t>Credit Ratings</w:t>
            </w:r>
          </w:p>
        </w:tc>
        <w:tc>
          <w:tcPr>
            <w:tcW w:w="1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Annualized Base</w:t>
            </w:r>
          </w:p>
        </w:tc>
        <w:tc>
          <w:tcPr>
            <w:tcW w:w="14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Percentage of Total</w:t>
            </w:r>
          </w:p>
        </w:tc>
        <w:tc>
          <w:tcPr>
            <w:tcW w:w="1000" w:type="dxa"/>
            <w:vAlign w:val="bottom"/>
          </w:tcPr>
          <w:p>
            <w:pPr>
              <w:spacing w:after="0"/>
              <w:rPr>
                <w:sz w:val="13"/>
                <w:szCs w:val="13"/>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Rank   Tenant Name</w:t>
            </w:r>
          </w:p>
        </w:tc>
        <w:tc>
          <w:tcPr>
            <w:tcW w:w="28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4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Annualized Base</w:t>
            </w:r>
          </w:p>
        </w:tc>
        <w:tc>
          <w:tcPr>
            <w:tcW w:w="10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Tenant GLA</w:t>
            </w:r>
          </w:p>
        </w:tc>
        <w:tc>
          <w:tcPr>
            <w:tcW w:w="10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Total GLA</w:t>
            </w:r>
          </w:p>
        </w:tc>
        <w:tc>
          <w:tcPr>
            <w:tcW w:w="9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Locations</w:t>
            </w:r>
          </w:p>
        </w:tc>
        <w:tc>
          <w:tcPr>
            <w:tcW w:w="0" w:type="dxa"/>
            <w:vAlign w:val="bottom"/>
          </w:tcPr>
          <w:p>
            <w:pPr>
              <w:spacing w:after="0"/>
              <w:rPr>
                <w:sz w:val="1"/>
                <w:szCs w:val="1"/>
                <w:color w:val="auto"/>
              </w:rPr>
            </w:pPr>
          </w:p>
        </w:tc>
      </w:tr>
      <w:tr>
        <w:trPr>
          <w:trHeight w:val="195"/>
        </w:trPr>
        <w:tc>
          <w:tcPr>
            <w:tcW w:w="2640" w:type="dxa"/>
            <w:vAlign w:val="bottom"/>
            <w:tcBorders>
              <w:bottom w:val="single" w:sz="8" w:color="auto"/>
            </w:tcBorders>
            <w:vMerge w:val="continue"/>
          </w:tcPr>
          <w:p>
            <w:pPr>
              <w:spacing w:after="0"/>
              <w:rPr>
                <w:sz w:val="16"/>
                <w:szCs w:val="16"/>
                <w:color w:val="auto"/>
              </w:rPr>
            </w:pPr>
          </w:p>
        </w:tc>
        <w:tc>
          <w:tcPr>
            <w:tcW w:w="2880" w:type="dxa"/>
            <w:vAlign w:val="bottom"/>
            <w:tcBorders>
              <w:bottom w:val="single" w:sz="8" w:color="auto"/>
            </w:tcBorders>
          </w:tcPr>
          <w:p>
            <w:pPr>
              <w:jc w:val="center"/>
              <w:ind w:left="1028"/>
              <w:spacing w:after="0"/>
              <w:rPr>
                <w:sz w:val="20"/>
                <w:szCs w:val="20"/>
                <w:color w:val="auto"/>
              </w:rPr>
            </w:pPr>
            <w:r>
              <w:rPr>
                <w:rFonts w:ascii="Times New Roman" w:cs="Times New Roman" w:eastAsia="Times New Roman" w:hAnsi="Times New Roman"/>
                <w:sz w:val="14"/>
                <w:szCs w:val="14"/>
                <w:b w:val="1"/>
                <w:bCs w:val="1"/>
                <w:color w:val="auto"/>
              </w:rPr>
              <w:t>(S&amp;P/Moody's/Fitch) (1)</w:t>
            </w:r>
          </w:p>
        </w:tc>
        <w:tc>
          <w:tcPr>
            <w:tcW w:w="13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Rent</w:t>
            </w:r>
          </w:p>
        </w:tc>
        <w:tc>
          <w:tcPr>
            <w:tcW w:w="14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Rent (3)</w:t>
            </w:r>
          </w:p>
        </w:tc>
        <w:tc>
          <w:tcPr>
            <w:tcW w:w="10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w:t>
            </w: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p>
      <w:pPr>
        <w:spacing w:after="0" w:line="283"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Splunk, Inc.</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NR/NR/NR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TJX Companies, The</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A/A2/NR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Ahold Delhaize</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BBB / Baa1 / BBB+</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Gap, Inc., The</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BB- / Ba2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L.A. Fitness International LLC</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CCC+ / Caa3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Bed, Bath &amp; Beyond, Inc.</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B+ / Ba3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CVS Corporation</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BBB / Baa2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AMC Entertainment Inc.</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CCC+ / Caa3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Home Depot, Inc.</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A/A2/A</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10</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Ross Stores, Inc.</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BBB+ / A2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11</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Michaels Stores, Inc.</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B / Ba3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12</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Dick's Sporting Goods, Inc.</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NR/NR/NR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13</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Hudson's Bay Company (Saks, Lord &amp; Taylor)</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NR/NR/NR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14</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Kroger Co., The</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BBB / Baa1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15</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Bank of America, N.A.</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A-/A2/A+</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16</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Nordstrom, Inc.</w:t>
            </w:r>
          </w:p>
        </w:tc>
        <w:tc>
          <w:tcPr>
            <w:tcW w:w="150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BB+ / Baa3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17</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DSW, Inc</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NR/NR/NR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18</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Best Buy Co., Inc.</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BBB / Baa1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19</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Ulta Beauty, Inc.</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NR/NR/NR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20</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Whole Foods Market, Inc.</w:t>
            </w:r>
          </w:p>
        </w:tc>
        <w:tc>
          <w:tcPr>
            <w:tcW w:w="150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A+/A2/NR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21</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Starbucks Corporation</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BBB+ / Baa1 / BBB</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22</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Target Corporation</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A/A2/A-</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23</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Wells Fargo Bank, N.A.</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BBB+ / A2 / A+</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24</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AB Acquisition LLC (Acme, Safeway)</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B+/B1/NR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25</w:t>
            </w: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JPMorgan Chase Bank</w:t>
            </w:r>
          </w:p>
        </w:tc>
        <w:tc>
          <w:tcPr>
            <w:tcW w:w="15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A-/A2/AA-</w:t>
            </w:r>
          </w:p>
        </w:tc>
      </w:tr>
      <w:tr>
        <w:trPr>
          <w:trHeight w:val="270"/>
        </w:trPr>
        <w:tc>
          <w:tcPr>
            <w:tcW w:w="260" w:type="dxa"/>
            <w:vAlign w:val="bottom"/>
          </w:tcPr>
          <w:p>
            <w:pPr>
              <w:spacing w:after="0"/>
              <w:rPr>
                <w:sz w:val="23"/>
                <w:szCs w:val="23"/>
                <w:color w:val="auto"/>
              </w:rPr>
            </w:pPr>
          </w:p>
        </w:tc>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Totals - Top 25 Tenants</w:t>
            </w:r>
          </w:p>
        </w:tc>
        <w:tc>
          <w:tcPr>
            <w:tcW w:w="15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25,066,000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3.49%</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536,000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2.01%</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18,974,000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2.64%</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963,000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3.61%</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15,110,000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852,000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3.19%</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11,605,000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306,000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1.15%</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11,289,000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465,000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1.74%</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10,886,000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626,000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2.35%</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9,471,000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248,000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0.93%</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7,239,000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321,000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1.20%</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7,193,000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478,000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1.79%</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6,535,000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0.91%</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315,000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1.18%</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6,457,000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0.90%</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327,000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1.23%</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6,425,000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0.90%</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289,000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1.08%</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6,332,000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0.88%</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220,000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0.82%</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6,162,000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0.86%</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529,000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1.98%</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6,150,000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0.86%</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106,000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0.40%</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6,020,000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0.84%</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218,000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0.82%</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5,692,000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0.79%</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224,000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0.84%</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5,670,000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0.79%</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186,000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0.70%</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5,542,000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0.77%</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162,000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0.61%</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4,772,000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0.67%</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167,000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0.63%</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4,762,000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0.66%</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73,000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0.27%</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4,469,000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0.62%</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466,000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1.75%</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4,226,000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0.59%</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51,000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0.19%</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4,192,000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0.58%</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412,000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1.54%</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r>
      <w:tr>
        <w:trPr>
          <w:trHeight w:val="270"/>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4,140,000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0.58%</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71,000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0.27%</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r>
      <w:tr>
        <w:trPr>
          <w:trHeight w:val="47"/>
        </w:trPr>
        <w:tc>
          <w:tcPr>
            <w:tcW w:w="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17"/>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204,379,000</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28.49%</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8,611,000</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32.27%</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326</w:t>
            </w:r>
          </w:p>
        </w:tc>
      </w:tr>
      <w:tr>
        <w:trPr>
          <w:trHeight w:val="33"/>
        </w:trPr>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-4139565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-3796665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-3453765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-3110865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-2767965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-2425065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-2082165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-1739265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-1396365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-1053465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-710565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-367665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-16510</wp:posOffset>
            </wp:positionV>
            <wp:extent cx="71323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280"/>
            <w:col w:w="5660"/>
          </w:cols>
          <w:pgMar w:left="320" w:top="711" w:right="339" w:bottom="1440" w:gutter="0" w:footer="0" w:header="0"/>
          <w:type w:val="continuous"/>
        </w:sectPr>
      </w:pPr>
    </w:p>
    <w:p>
      <w:pPr>
        <w:spacing w:after="0" w:line="83"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Total (5):</w:t>
            </w:r>
          </w:p>
        </w:tc>
        <w:tc>
          <w:tcPr>
            <w:tcW w:w="43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   717,365,000  (2)</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26,685,000  (4)</w:t>
            </w:r>
          </w:p>
        </w:tc>
      </w:tr>
    </w:tbl>
    <w:p>
      <w:pPr>
        <w:spacing w:after="0" w:line="3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73" w:lineRule="exact"/>
        <w:rPr>
          <w:sz w:val="20"/>
          <w:szCs w:val="20"/>
          <w:color w:val="auto"/>
        </w:rPr>
      </w:pPr>
    </w:p>
    <w:p>
      <w:pPr>
        <w:ind w:left="600" w:hanging="565"/>
        <w:spacing w:after="0"/>
        <w:tabs>
          <w:tab w:leader="none" w:pos="6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Ratings are as of September 30, 2020. Subsequent rating changes have not been reflected.</w:t>
      </w:r>
    </w:p>
    <w:p>
      <w:pPr>
        <w:spacing w:after="0" w:line="86" w:lineRule="exact"/>
        <w:rPr>
          <w:rFonts w:ascii="Times New Roman" w:cs="Times New Roman" w:eastAsia="Times New Roman" w:hAnsi="Times New Roman"/>
          <w:sz w:val="16"/>
          <w:szCs w:val="16"/>
          <w:color w:val="auto"/>
        </w:rPr>
      </w:pPr>
    </w:p>
    <w:p>
      <w:pPr>
        <w:ind w:left="600" w:hanging="565"/>
        <w:spacing w:after="0"/>
        <w:tabs>
          <w:tab w:leader="none" w:pos="6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99" w:lineRule="exact"/>
        <w:rPr>
          <w:rFonts w:ascii="Times New Roman" w:cs="Times New Roman" w:eastAsia="Times New Roman" w:hAnsi="Times New Roman"/>
          <w:sz w:val="16"/>
          <w:szCs w:val="16"/>
          <w:color w:val="auto"/>
        </w:rPr>
      </w:pPr>
    </w:p>
    <w:p>
      <w:pPr>
        <w:ind w:left="600" w:hanging="565"/>
        <w:spacing w:after="0"/>
        <w:tabs>
          <w:tab w:leader="none" w:pos="6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86" w:lineRule="exact"/>
        <w:rPr>
          <w:rFonts w:ascii="Times New Roman" w:cs="Times New Roman" w:eastAsia="Times New Roman" w:hAnsi="Times New Roman"/>
          <w:sz w:val="16"/>
          <w:szCs w:val="16"/>
          <w:color w:val="auto"/>
        </w:rPr>
      </w:pPr>
    </w:p>
    <w:p>
      <w:pPr>
        <w:ind w:left="600" w:hanging="565"/>
        <w:spacing w:after="0"/>
        <w:tabs>
          <w:tab w:leader="none" w:pos="6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redevelopment square footage not yet placed in service.</w:t>
      </w:r>
    </w:p>
    <w:p>
      <w:pPr>
        <w:spacing w:after="0" w:line="86" w:lineRule="exact"/>
        <w:rPr>
          <w:rFonts w:ascii="Times New Roman" w:cs="Times New Roman" w:eastAsia="Times New Roman" w:hAnsi="Times New Roman"/>
          <w:sz w:val="16"/>
          <w:szCs w:val="16"/>
          <w:color w:val="auto"/>
        </w:rPr>
      </w:pPr>
    </w:p>
    <w:p>
      <w:pPr>
        <w:ind w:left="600" w:hanging="565"/>
        <w:spacing w:after="0"/>
        <w:tabs>
          <w:tab w:leader="none" w:pos="6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711" w:right="339" w:bottom="1440" w:gutter="0" w:footer="0" w:header="0"/>
          <w:type w:val="continuous"/>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Tenant Diversification by Category</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reflects the breakout of our Annualized Base Rent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 xml:space="preserve"> as of September 30, 2020 by type of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4166870</wp:posOffset>
            </wp:positionV>
            <wp:extent cx="7140575" cy="436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057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25% of Annualized Base Rent comes from Essential Retail</w:t>
      </w:r>
    </w:p>
    <w:p>
      <w:pPr>
        <w:spacing w:after="0" w:line="18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21% of Annualized Base Rent comes from Office and Residential</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171" w:lineRule="exact"/>
        <w:rPr>
          <w:sz w:val="20"/>
          <w:szCs w:val="20"/>
          <w:color w:val="auto"/>
        </w:rPr>
      </w:pPr>
    </w:p>
    <w:p>
      <w:pPr>
        <w:ind w:left="800" w:hanging="441"/>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Glossary of Terms. Excludes redevelopment square footage not yet placed in service.</w:t>
      </w:r>
    </w:p>
    <w:p>
      <w:pPr>
        <w:spacing w:after="0" w:line="63" w:lineRule="exact"/>
        <w:rPr>
          <w:rFonts w:ascii="Times New Roman" w:cs="Times New Roman" w:eastAsia="Times New Roman" w:hAnsi="Times New Roman"/>
          <w:sz w:val="18"/>
          <w:szCs w:val="18"/>
          <w:color w:val="auto"/>
        </w:rPr>
      </w:pPr>
    </w:p>
    <w:p>
      <w:pPr>
        <w:ind w:left="800" w:hanging="441"/>
        <w:spacing w:after="0"/>
        <w:tabs>
          <w:tab w:leader="none" w:pos="8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Communications &amp; Home Office includes: Telecommunications, Electronics, and Office Supply.</w:t>
      </w:r>
    </w:p>
    <w:p>
      <w:pPr>
        <w:spacing w:after="0" w:line="74" w:lineRule="exact"/>
        <w:rPr>
          <w:rFonts w:ascii="Times New Roman" w:cs="Times New Roman" w:eastAsia="Times New Roman" w:hAnsi="Times New Roman"/>
          <w:sz w:val="17"/>
          <w:szCs w:val="17"/>
          <w:color w:val="auto"/>
        </w:rPr>
      </w:pPr>
    </w:p>
    <w:p>
      <w:pPr>
        <w:ind w:left="800" w:hanging="441"/>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Essential includes: Auto, Liquor, Home Improvement, Pets, and Medical.</w:t>
      </w:r>
    </w:p>
    <w:p>
      <w:pPr>
        <w:spacing w:after="0" w:line="63" w:lineRule="exact"/>
        <w:rPr>
          <w:rFonts w:ascii="Times New Roman" w:cs="Times New Roman" w:eastAsia="Times New Roman" w:hAnsi="Times New Roman"/>
          <w:sz w:val="18"/>
          <w:szCs w:val="18"/>
          <w:color w:val="auto"/>
        </w:rPr>
      </w:pPr>
    </w:p>
    <w:p>
      <w:pPr>
        <w:ind w:left="800" w:hanging="441"/>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Restaurants comprise full service (less than 8%) and quick service (less than 8%).</w:t>
      </w:r>
    </w:p>
    <w:p>
      <w:pPr>
        <w:spacing w:after="0" w:line="63" w:lineRule="exact"/>
        <w:rPr>
          <w:rFonts w:ascii="Times New Roman" w:cs="Times New Roman" w:eastAsia="Times New Roman" w:hAnsi="Times New Roman"/>
          <w:sz w:val="18"/>
          <w:szCs w:val="18"/>
          <w:color w:val="auto"/>
        </w:rPr>
      </w:pPr>
    </w:p>
    <w:p>
      <w:pPr>
        <w:ind w:left="800" w:hanging="441"/>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Experiential includes: Activity, Cinema, and Entertainment.</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139"/>
          </w:cols>
          <w:pgMar w:left="320" w:top="711" w:right="14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3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EBITDA for Real Estate ("EBITDAre"): </w:t>
      </w:r>
      <w:r>
        <w:rPr>
          <w:rFonts w:ascii="Times New Roman" w:cs="Times New Roman" w:eastAsia="Times New Roman" w:hAnsi="Times New Roman"/>
          <w:sz w:val="16"/>
          <w:szCs w:val="16"/>
          <w:color w:val="auto"/>
        </w:rPr>
        <w:t>EBITDAre is a non-GAAP measure that the National Association of Real Estate Investment Trusts ("NAREIT") defines as: net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income computed in accordance with GAAP plus net interest expense, income tax expense, depreciation and amortization, gain or loss on sale of real estate, impairments of real estate,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and nine months ended September 30, 2020 and 2019 and the trailing twelve months ended September 30, 2020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c>
          <w:tcPr>
            <w:tcW w:w="20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6"/>
                <w:szCs w:val="16"/>
                <w:color w:val="auto"/>
              </w:rPr>
            </w:pPr>
          </w:p>
        </w:tc>
        <w:tc>
          <w:tcPr>
            <w:tcW w:w="14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Trailing Twelve</w:t>
            </w:r>
          </w:p>
        </w:tc>
      </w:tr>
      <w:tr>
        <w:trPr>
          <w:trHeight w:val="275"/>
        </w:trPr>
        <w:tc>
          <w:tcPr>
            <w:tcW w:w="47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Months Ended</w:t>
            </w:r>
          </w:p>
        </w:tc>
      </w:tr>
      <w:tr>
        <w:trPr>
          <w:trHeight w:val="263"/>
        </w:trPr>
        <w:tc>
          <w:tcPr>
            <w:tcW w:w="47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263"/>
        </w:trPr>
        <w:tc>
          <w:tcPr>
            <w:tcW w:w="4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5"/>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(loss) income</w:t>
            </w: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67,106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33,677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211,576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182,643</w:t>
            </w:r>
          </w:p>
        </w:tc>
      </w:tr>
      <w:tr>
        <w:trPr>
          <w:trHeight w:val="239"/>
        </w:trPr>
        <w:tc>
          <w:tcPr>
            <w:tcW w:w="4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36,228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27,052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98,746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82,567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125,802</w:t>
            </w:r>
          </w:p>
        </w:tc>
      </w:tr>
      <w:tr>
        <w:trPr>
          <w:trHeight w:val="31"/>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Other 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w:t>
            </w:r>
          </w:p>
        </w:tc>
      </w:tr>
      <w:tr>
        <w:trPr>
          <w:trHeight w:val="239"/>
        </w:trPr>
        <w:tc>
          <w:tcPr>
            <w:tcW w:w="4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Income tax provision (benefit)</w:t>
            </w: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237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531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31"/>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65,631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59,648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190,603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178,327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252,034</w:t>
            </w:r>
          </w:p>
        </w:tc>
      </w:tr>
      <w:tr>
        <w:trPr>
          <w:trHeight w:val="239"/>
        </w:trPr>
        <w:tc>
          <w:tcPr>
            <w:tcW w:w="4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Gain on sale of real estate</w:t>
            </w:r>
          </w:p>
        </w:tc>
        <w:tc>
          <w:tcPr>
            <w:tcW w:w="2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(97,960)</w:t>
            </w:r>
          </w:p>
        </w:tc>
      </w:tr>
      <w:tr>
        <w:trPr>
          <w:trHeight w:val="31"/>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Impairment charge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57,218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57,218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57,218</w:t>
            </w:r>
          </w:p>
        </w:tc>
      </w:tr>
      <w:tr>
        <w:trPr>
          <w:trHeight w:val="239"/>
        </w:trPr>
        <w:tc>
          <w:tcPr>
            <w:tcW w:w="4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Adjustments of EBITDAre of unconsolidated affiliates</w:t>
            </w: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1,557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1,884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4,900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5,187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6,630</w:t>
            </w:r>
          </w:p>
        </w:tc>
      </w:tr>
      <w:tr>
        <w:trPr>
          <w:trHeight w:val="31"/>
        </w:trPr>
        <w:tc>
          <w:tcPr>
            <w:tcW w:w="4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EBITDAre (1)</w:t>
            </w: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126,627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141,389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371,789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446,932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524,424</w:t>
            </w:r>
          </w:p>
        </w:tc>
      </w:tr>
    </w:tbl>
    <w:p>
      <w:pPr>
        <w:spacing w:after="0" w:line="4" w:lineRule="exact"/>
        <w:rPr>
          <w:sz w:val="20"/>
          <w:szCs w:val="20"/>
          <w:color w:val="auto"/>
        </w:rPr>
      </w:pPr>
    </w:p>
    <w:p>
      <w:pPr>
        <w:ind w:left="340" w:right="260" w:hanging="332"/>
        <w:spacing w:after="0" w:line="282" w:lineRule="auto"/>
        <w:tabs>
          <w:tab w:leader="none" w:pos="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the charge related to the buyout of the Kmart lease at Assembly Square Marketplace, our EBITDAre would have been $153.3 million and $458.8 million, respectively, for the three and 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-233680</wp:posOffset>
            </wp:positionV>
            <wp:extent cx="41319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1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Funds From Operations (FFO): </w:t>
      </w:r>
      <w:r>
        <w:rPr>
          <w:rFonts w:ascii="Times New Roman" w:cs="Times New Roman" w:eastAsia="Times New Roman" w:hAnsi="Times New Roman"/>
          <w:sz w:val="16"/>
          <w:szCs w:val="16"/>
          <w:color w:val="auto"/>
        </w:rPr>
        <w:t>FFO is a supplemental measure of real estate companies' operating performances. NAREIT defines FFO as follows: net income, computed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Property Operating Income: </w:t>
      </w:r>
      <w:r>
        <w:rPr>
          <w:rFonts w:ascii="Times New Roman" w:cs="Times New Roman" w:eastAsia="Times New Roman" w:hAnsi="Times New Roman"/>
          <w:sz w:val="16"/>
          <w:szCs w:val="16"/>
          <w:color w:val="auto"/>
        </w:rPr>
        <w:t>Rental income and mortgage interest income, less rental expenses and real estate taxes.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Overall Portfolio: </w:t>
      </w:r>
      <w:r>
        <w:rPr>
          <w:rFonts w:ascii="Times New Roman" w:cs="Times New Roman" w:eastAsia="Times New Roman" w:hAnsi="Times New Roman"/>
          <w:sz w:val="16"/>
          <w:szCs w:val="16"/>
          <w:color w:val="auto"/>
        </w:rPr>
        <w:t>Includes all operating properties owned in reporting period.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Comparable Properties: </w:t>
      </w:r>
      <w:r>
        <w:rPr>
          <w:rFonts w:ascii="Times New Roman" w:cs="Times New Roman" w:eastAsia="Times New Roman" w:hAnsi="Times New Roman"/>
          <w:sz w:val="16"/>
          <w:szCs w:val="16"/>
          <w:color w:val="auto"/>
        </w:rPr>
        <w:t>Represents our consolidated property portfolio other than those properties that distort comparability between periods in two primary categories:</w:t>
      </w:r>
    </w:p>
    <w:p>
      <w:pPr>
        <w:spacing w:after="0" w:line="25" w:lineRule="exact"/>
        <w:rPr>
          <w:sz w:val="20"/>
          <w:szCs w:val="20"/>
          <w:color w:val="auto"/>
        </w:rPr>
      </w:pPr>
    </w:p>
    <w:p>
      <w:pPr>
        <w:ind w:right="160" w:firstLine="8"/>
        <w:spacing w:after="0" w:line="257" w:lineRule="auto"/>
        <w:tabs>
          <w:tab w:leader="none" w:pos="22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85"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Annualized Base Rent (ABR): </w:t>
      </w:r>
      <w:r>
        <w:rPr>
          <w:rFonts w:ascii="Times New Roman" w:cs="Times New Roman" w:eastAsia="Times New Roman" w:hAnsi="Times New Roman"/>
          <w:sz w:val="16"/>
          <w:szCs w:val="16"/>
          <w:color w:val="auto"/>
        </w:rPr>
        <w:t>Represents aggregate, annualized in-place contractual (defined as rents billed on a cash basis without taking the impact of rent abatements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into account) minimum rent for all occupied spaces as of the reporting period.</w:t>
      </w:r>
    </w:p>
    <w:p>
      <w:pPr>
        <w:spacing w:after="0" w:line="6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Retail Leasing Summary - Lease Rollover Calculation: </w:t>
      </w:r>
      <w:r>
        <w:rPr>
          <w:rFonts w:ascii="Times New Roman" w:cs="Times New Roman" w:eastAsia="Times New Roman" w:hAnsi="Times New Roman"/>
          <w:sz w:val="16"/>
          <w:szCs w:val="16"/>
          <w:color w:val="auto"/>
        </w:rPr>
        <w:t>The rental increases associated with comparable spaces generally include all leases signed for retail space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Rent abatement and short term rent restructuring agreements that are a result of COVID-19 impacts are not included in this calculation.</w:t>
      </w:r>
    </w:p>
    <w:p>
      <w:pPr>
        <w:spacing w:after="0" w:line="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Tenant Improvements and Incentives: </w:t>
      </w:r>
      <w:r>
        <w:rPr>
          <w:rFonts w:ascii="Times New Roman" w:cs="Times New Roman" w:eastAsia="Times New Roman" w:hAnsi="Times New Roman"/>
          <w:sz w:val="16"/>
          <w:szCs w:val="16"/>
          <w:color w:val="auto"/>
        </w:rPr>
        <w:t>Represents not only the total dollars committed for the improvement (fit-out) of a space as it relates to a specific lease and, except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redevelopments, may also include base building costs (i.e. expansion, escalators or new entrances) which are required to make the space leasable. Incentives include amounts paid to tenants as an inducement to sign a lease that do not represent building improvements. Costs related to redevelopments require judgment by management in determining what reflects base building cost and thus, is not included in the "tenant improvements and incentives" amount.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04"/>
    </w:lvl>
  </w:abstractNum>
  <w:abstractNum w:abstractNumId="2">
    <w:nsid w:val="109CF92E"/>
    <w:multiLevelType w:val="hybridMultilevel"/>
    <w:lvl w:ilvl="0">
      <w:lvlJc w:val="left"/>
      <w:lvlText w:val="3"/>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3"/>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2020-11-05T17:01:10Z</dcterms:created>
  <dcterms:modified xsi:type="dcterms:W3CDTF">2020-11-05T17:01:10Z</dcterms:modified>
</cp:coreProperties>
</file>