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3" w:lineRule="exact"/>
        <w:rPr>
          <w:sz w:val="24"/>
          <w:szCs w:val="24"/>
          <w:color w:val="auto"/>
        </w:rPr>
      </w:pPr>
    </w:p>
    <w:p>
      <w:pPr>
        <w:jc w:val="center"/>
        <w:ind w:right="3319"/>
        <w:spacing w:after="0"/>
        <w:tabs>
          <w:tab w:leader="none" w:pos="14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jc w:val="center"/>
        <w:ind w:right="3319"/>
        <w:spacing w:after="0"/>
        <w:rPr>
          <w:sz w:val="20"/>
          <w:szCs w:val="20"/>
          <w:color w:val="auto"/>
        </w:rPr>
      </w:pPr>
      <w:r>
        <w:rPr>
          <w:rFonts w:ascii="Courier New" w:cs="Courier New" w:eastAsia="Courier New" w:hAnsi="Courier New"/>
          <w:sz w:val="15"/>
          <w:szCs w:val="15"/>
          <w:color w:val="auto"/>
        </w:rPr>
        <w:t>Form 10-Q</w:t>
      </w:r>
    </w:p>
    <w:p>
      <w:pPr>
        <w:spacing w:after="0" w:line="14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2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09" w:lineRule="exact"/>
        <w:rPr>
          <w:sz w:val="24"/>
          <w:szCs w:val="24"/>
          <w:color w:val="auto"/>
        </w:rPr>
      </w:pPr>
    </w:p>
    <w:p>
      <w:pPr>
        <w:ind w:left="1840"/>
        <w:spacing w:after="0"/>
        <w:tabs>
          <w:tab w:leader="none" w:pos="3920"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4"/>
          <w:szCs w:val="14"/>
          <w:color w:val="auto"/>
        </w:rPr>
        <w:t>March 31,2001</w:t>
      </w:r>
    </w:p>
    <w:p>
      <w:pPr>
        <w:spacing w:after="0" w:line="23"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w:t>
      </w:r>
    </w:p>
    <w:p>
      <w:pPr>
        <w:ind w:left="2380"/>
        <w:spacing w:after="0" w:line="237" w:lineRule="auto"/>
        <w:rPr>
          <w:sz w:val="20"/>
          <w:szCs w:val="20"/>
          <w:color w:val="auto"/>
        </w:rPr>
      </w:pPr>
      <w:r>
        <w:rPr>
          <w:rFonts w:ascii="Courier New" w:cs="Courier New" w:eastAsia="Courier New" w:hAnsi="Courier New"/>
          <w:sz w:val="15"/>
          <w:szCs w:val="15"/>
          <w:color w:val="auto"/>
        </w:rPr>
        <w:t>Commission File No. 17533</w:t>
      </w:r>
    </w:p>
    <w:p>
      <w:pPr>
        <w:ind w:left="238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w:t>
      </w: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09" w:lineRule="exact"/>
        <w:rPr>
          <w:sz w:val="24"/>
          <w:szCs w:val="24"/>
          <w:color w:val="auto"/>
        </w:rPr>
      </w:pPr>
    </w:p>
    <w:tbl>
      <w:tblPr>
        <w:tblLayout w:type="fixed"/>
        <w:tblInd w:w="1400" w:type="dxa"/>
        <w:tblCellMar>
          <w:top w:w="0" w:type="dxa"/>
          <w:left w:w="0" w:type="dxa"/>
          <w:bottom w:w="0" w:type="dxa"/>
          <w:right w:w="0" w:type="dxa"/>
        </w:tblCellMar>
      </w:tblPr>
      <w:tr>
        <w:trPr>
          <w:trHeight w:val="194"/>
        </w:trPr>
        <w:tc>
          <w:tcPr>
            <w:tcW w:w="2160" w:type="dxa"/>
            <w:vAlign w:val="bottom"/>
          </w:tcPr>
          <w:p>
            <w:pPr>
              <w:spacing w:after="0"/>
              <w:rPr>
                <w:sz w:val="20"/>
                <w:szCs w:val="20"/>
                <w:color w:val="auto"/>
              </w:rPr>
            </w:pPr>
            <w:r>
              <w:rPr>
                <w:rFonts w:ascii="Courier New" w:cs="Courier New" w:eastAsia="Courier New" w:hAnsi="Courier New"/>
                <w:sz w:val="15"/>
                <w:szCs w:val="15"/>
                <w:color w:val="auto"/>
              </w:rPr>
              <w:t>Maryland</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52-0782497</w:t>
            </w:r>
          </w:p>
        </w:tc>
      </w:tr>
    </w:tbl>
    <w:p>
      <w:pPr>
        <w:spacing w:after="0"/>
        <w:rPr>
          <w:sz w:val="20"/>
          <w:szCs w:val="20"/>
          <w:color w:val="auto"/>
        </w:rPr>
      </w:pPr>
      <w:r>
        <w:rPr>
          <w:rFonts w:ascii="Courier New" w:cs="Courier New" w:eastAsia="Courier New" w:hAnsi="Courier New"/>
          <w:sz w:val="14"/>
          <w:szCs w:val="14"/>
          <w:color w:val="auto"/>
        </w:rPr>
        <w:t>- --------------------------------------------------------------------------------</w:t>
      </w:r>
    </w:p>
    <w:p>
      <w:pPr>
        <w:spacing w:after="0" w:line="301" w:lineRule="exact"/>
        <w:rPr>
          <w:sz w:val="24"/>
          <w:szCs w:val="24"/>
          <w:color w:val="auto"/>
        </w:rPr>
      </w:pPr>
    </w:p>
    <w:p>
      <w:pPr>
        <w:ind w:left="540" w:right="3939" w:hanging="86"/>
        <w:spacing w:after="0" w:line="344" w:lineRule="auto"/>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 xml:space="preserve"> </w:t>
      </w:r>
      <w:r>
        <w:rPr>
          <w:rFonts w:ascii="Courier New" w:cs="Courier New" w:eastAsia="Courier New" w:hAnsi="Courier New"/>
          <w:sz w:val="15"/>
          <w:szCs w:val="15"/>
          <w:color w:val="auto"/>
        </w:rPr>
        <w:t>(I.R.S. Employer incorporation or organization) Identification No.)</w:t>
      </w:r>
    </w:p>
    <w:p>
      <w:pPr>
        <w:spacing w:after="0" w:line="186" w:lineRule="exact"/>
        <w:rPr>
          <w:sz w:val="24"/>
          <w:szCs w:val="24"/>
          <w:color w:val="auto"/>
        </w:rPr>
      </w:pPr>
    </w:p>
    <w:p>
      <w:pPr>
        <w:ind w:left="700"/>
        <w:spacing w:after="0"/>
        <w:tabs>
          <w:tab w:leader="none" w:pos="4980" w:val="left"/>
        </w:tabs>
        <w:rPr>
          <w:sz w:val="20"/>
          <w:szCs w:val="20"/>
          <w:color w:val="auto"/>
        </w:rPr>
      </w:pPr>
      <w:r>
        <w:rPr>
          <w:rFonts w:ascii="Courier New" w:cs="Courier New" w:eastAsia="Courier New" w:hAnsi="Courier New"/>
          <w:sz w:val="15"/>
          <w:szCs w:val="15"/>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pacing w:after="0" w:line="2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w:t>
      </w:r>
    </w:p>
    <w:p>
      <w:pPr>
        <w:ind w:left="800"/>
        <w:spacing w:after="0"/>
        <w:tabs>
          <w:tab w:leader="none" w:pos="498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09" w:lineRule="exact"/>
        <w:rPr>
          <w:sz w:val="24"/>
          <w:szCs w:val="24"/>
          <w:color w:val="auto"/>
        </w:rPr>
      </w:pPr>
    </w:p>
    <w:p>
      <w:pPr>
        <w:ind w:left="3600" w:hanging="529"/>
        <w:spacing w:after="0"/>
        <w:tabs>
          <w:tab w:leader="none" w:pos="360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998-8100</w:t>
      </w:r>
    </w:p>
    <w:p>
      <w:pPr>
        <w:spacing w:after="0" w:line="2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40" w:lineRule="exact"/>
        <w:rPr>
          <w:sz w:val="24"/>
          <w:szCs w:val="24"/>
          <w:color w:val="auto"/>
        </w:rPr>
      </w:pPr>
    </w:p>
    <w:p>
      <w:pPr>
        <w:ind w:right="3239" w:firstLine="787"/>
        <w:spacing w:after="0" w:line="26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42" w:right="1440" w:bottom="1440" w:gutter="0" w:footer="0" w:header="0"/>
        </w:sectPr>
      </w:pPr>
    </w:p>
    <w:p>
      <w:pPr>
        <w:spacing w:after="0" w:line="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2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No_____.</w:t>
      </w:r>
    </w:p>
    <w:p>
      <w:pPr>
        <w:spacing w:after="0" w:line="346" w:lineRule="exact"/>
        <w:rPr>
          <w:sz w:val="24"/>
          <w:szCs w:val="24"/>
          <w:color w:val="auto"/>
        </w:rPr>
      </w:pPr>
    </w:p>
    <w:p>
      <w:pPr>
        <w:sectPr>
          <w:pgSz w:w="11900" w:h="16838" w:orient="portrait"/>
          <w:cols w:equalWidth="0" w:num="4">
            <w:col w:w="1060" w:space="80"/>
            <w:col w:w="440" w:space="0"/>
            <w:col w:w="240" w:space="720"/>
            <w:col w:w="7699"/>
          </w:cols>
          <w:pgMar w:left="220" w:top="542" w:right="1440" w:bottom="1440" w:gutter="0" w:footer="0" w:header="0"/>
          <w:type w:val="continuous"/>
        </w:sectPr>
      </w:pPr>
    </w:p>
    <w:p>
      <w:pPr>
        <w:ind w:right="3759" w:firstLine="787"/>
        <w:spacing w:after="0" w:line="34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ind w:left="880"/>
              <w:spacing w:after="0"/>
              <w:rPr>
                <w:sz w:val="20"/>
                <w:szCs w:val="20"/>
                <w:color w:val="auto"/>
              </w:rPr>
            </w:pPr>
            <w:r>
              <w:rPr>
                <w:rFonts w:ascii="Courier New" w:cs="Courier New" w:eastAsia="Courier New" w:hAnsi="Courier New"/>
                <w:sz w:val="15"/>
                <w:szCs w:val="15"/>
                <w:color w:val="auto"/>
              </w:rPr>
              <w:t>Class</w:t>
            </w:r>
          </w:p>
        </w:tc>
        <w:tc>
          <w:tcPr>
            <w:tcW w:w="3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Outstanding at May 7, 2001</w:t>
            </w:r>
          </w:p>
        </w:tc>
        <w:tc>
          <w:tcPr>
            <w:tcW w:w="0" w:type="dxa"/>
            <w:vAlign w:val="bottom"/>
          </w:tcPr>
          <w:p>
            <w:pPr>
              <w:spacing w:after="0"/>
              <w:rPr>
                <w:sz w:val="1"/>
                <w:szCs w:val="1"/>
                <w:color w:val="auto"/>
              </w:rPr>
            </w:pPr>
          </w:p>
        </w:tc>
      </w:tr>
      <w:tr>
        <w:trPr>
          <w:trHeight w:val="168"/>
        </w:trPr>
        <w:tc>
          <w:tcPr>
            <w:tcW w:w="3680" w:type="dxa"/>
            <w:vAlign w:val="bottom"/>
            <w:vMerge w:val="restart"/>
          </w:tcPr>
          <w:p>
            <w:pPr>
              <w:spacing w:after="0"/>
              <w:rPr>
                <w:sz w:val="20"/>
                <w:szCs w:val="20"/>
                <w:color w:val="auto"/>
              </w:rPr>
            </w:pPr>
            <w:r>
              <w:rPr>
                <w:rFonts w:ascii="Courier New" w:cs="Courier New" w:eastAsia="Courier New" w:hAnsi="Courier New"/>
                <w:sz w:val="20"/>
                <w:szCs w:val="20"/>
                <w:color w:val="auto"/>
                <w:w w:val="73"/>
                <w:vertAlign w:val="subscript"/>
              </w:rPr>
              <w:t>Common</w:t>
            </w:r>
            <w:r>
              <w:rPr>
                <w:rFonts w:ascii="Courier New" w:cs="Courier New" w:eastAsia="Courier New" w:hAnsi="Courier New"/>
                <w:sz w:val="11"/>
                <w:szCs w:val="11"/>
                <w:color w:val="auto"/>
                <w:w w:val="73"/>
              </w:rPr>
              <w:t>-------------------------------------</w:t>
            </w:r>
            <w:r>
              <w:rPr>
                <w:rFonts w:ascii="Courier New" w:cs="Courier New" w:eastAsia="Courier New" w:hAnsi="Courier New"/>
                <w:sz w:val="20"/>
                <w:szCs w:val="20"/>
                <w:color w:val="auto"/>
                <w:w w:val="73"/>
                <w:vertAlign w:val="subscript"/>
              </w:rPr>
              <w:t>SharesofBeneficialInterest</w:t>
            </w:r>
          </w:p>
        </w:tc>
        <w:tc>
          <w:tcPr>
            <w:tcW w:w="3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680" w:type="dxa"/>
            <w:vAlign w:val="bottom"/>
            <w:vMerge w:val="continue"/>
          </w:tcPr>
          <w:p>
            <w:pPr>
              <w:spacing w:after="0"/>
              <w:rPr>
                <w:sz w:val="22"/>
                <w:szCs w:val="22"/>
                <w:color w:val="auto"/>
              </w:rPr>
            </w:pPr>
          </w:p>
        </w:tc>
        <w:tc>
          <w:tcPr>
            <w:tcW w:w="32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39,639,032</w:t>
            </w:r>
          </w:p>
        </w:tc>
        <w:tc>
          <w:tcPr>
            <w:tcW w:w="0" w:type="dxa"/>
            <w:vAlign w:val="bottom"/>
          </w:tcPr>
          <w:p>
            <w:pPr>
              <w:spacing w:after="0"/>
              <w:rPr>
                <w:sz w:val="1"/>
                <w:szCs w:val="1"/>
                <w:color w:val="auto"/>
              </w:rPr>
            </w:pPr>
          </w:p>
        </w:tc>
      </w:tr>
    </w:tbl>
    <w:p>
      <w:pPr>
        <w:spacing w:after="0" w:line="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This report, including exhibits, contains 24 pages.</w:t>
      </w:r>
    </w:p>
    <w:p>
      <w:pPr>
        <w:sectPr>
          <w:pgSz w:w="11900" w:h="16838" w:orient="portrait"/>
          <w:cols w:equalWidth="0" w:num="1">
            <w:col w:w="10239"/>
          </w:cols>
          <w:pgMar w:left="220" w:top="54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5"/>
        </w:trPr>
        <w:tc>
          <w:tcPr>
            <w:tcW w:w="880" w:type="dxa"/>
            <w:vAlign w:val="bottom"/>
          </w:tcPr>
          <w:p>
            <w:pPr>
              <w:spacing w:after="0"/>
              <w:rPr>
                <w:sz w:val="21"/>
                <w:szCs w:val="21"/>
                <w:color w:val="auto"/>
              </w:rPr>
            </w:pPr>
          </w:p>
        </w:tc>
        <w:tc>
          <w:tcPr>
            <w:tcW w:w="450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FEDERAL REALTY INVESTMENT TRUST</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4"/>
                <w:szCs w:val="24"/>
                <w:color w:val="auto"/>
              </w:rPr>
            </w:pPr>
          </w:p>
        </w:tc>
        <w:tc>
          <w:tcPr>
            <w:tcW w:w="4500" w:type="dxa"/>
            <w:vAlign w:val="bottom"/>
          </w:tcPr>
          <w:p>
            <w:pPr>
              <w:ind w:left="1840"/>
              <w:spacing w:after="0"/>
              <w:rPr>
                <w:sz w:val="20"/>
                <w:szCs w:val="20"/>
                <w:color w:val="auto"/>
              </w:rPr>
            </w:pPr>
            <w:r>
              <w:rPr>
                <w:rFonts w:ascii="Courier New" w:cs="Courier New" w:eastAsia="Courier New" w:hAnsi="Courier New"/>
                <w:sz w:val="15"/>
                <w:szCs w:val="15"/>
                <w:color w:val="auto"/>
              </w:rPr>
              <w:t>S.E.C. FORM 10-Q</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4"/>
                <w:szCs w:val="24"/>
                <w:color w:val="auto"/>
              </w:rPr>
            </w:pPr>
          </w:p>
        </w:tc>
        <w:tc>
          <w:tcPr>
            <w:tcW w:w="4500" w:type="dxa"/>
            <w:vAlign w:val="bottom"/>
          </w:tcPr>
          <w:p>
            <w:pPr>
              <w:ind w:left="1920"/>
              <w:spacing w:after="0"/>
              <w:rPr>
                <w:sz w:val="20"/>
                <w:szCs w:val="20"/>
                <w:color w:val="auto"/>
              </w:rPr>
            </w:pPr>
            <w:r>
              <w:rPr>
                <w:rFonts w:ascii="Courier New" w:cs="Courier New" w:eastAsia="Courier New" w:hAnsi="Courier New"/>
                <w:sz w:val="15"/>
                <w:szCs w:val="15"/>
                <w:color w:val="auto"/>
              </w:rPr>
              <w:t>March 31, 2001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4"/>
                <w:szCs w:val="24"/>
                <w:color w:val="auto"/>
              </w:rPr>
            </w:pPr>
          </w:p>
        </w:tc>
        <w:tc>
          <w:tcPr>
            <w:tcW w:w="45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I N D E X</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PAGE NO.</w:t>
            </w: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4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 2001 (unaudited) and</w:t>
            </w:r>
          </w:p>
        </w:tc>
        <w:tc>
          <w:tcPr>
            <w:tcW w:w="7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December 31, 2000 (audited)</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w w:val="97"/>
              </w:rPr>
              <w:t>Consolidated Statements of Operations (unaudited)</w:t>
            </w:r>
          </w:p>
        </w:tc>
        <w:tc>
          <w:tcPr>
            <w:tcW w:w="7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Three months ended March 31, 2001 and 2000</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4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Shareholders' Equity (unaudited)</w:t>
            </w:r>
          </w:p>
        </w:tc>
        <w:tc>
          <w:tcPr>
            <w:tcW w:w="7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Three months ended March 31, 2001 and 2000</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w w:val="97"/>
              </w:rPr>
              <w:t>Consolidated Statements of Cash Flows (unaudited)</w:t>
            </w:r>
          </w:p>
        </w:tc>
        <w:tc>
          <w:tcPr>
            <w:tcW w:w="76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Three months ended March 31, 2001 and 2000</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Notes to Financial Statements</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8-13</w:t>
            </w:r>
          </w:p>
        </w:tc>
        <w:tc>
          <w:tcPr>
            <w:tcW w:w="0" w:type="dxa"/>
            <w:vAlign w:val="bottom"/>
          </w:tcPr>
          <w:p>
            <w:pPr>
              <w:spacing w:after="0"/>
              <w:rPr>
                <w:sz w:val="1"/>
                <w:szCs w:val="1"/>
                <w:color w:val="auto"/>
              </w:rPr>
            </w:pPr>
          </w:p>
        </w:tc>
      </w:tr>
      <w:tr>
        <w:trPr>
          <w:trHeight w:val="259"/>
        </w:trPr>
        <w:tc>
          <w:tcPr>
            <w:tcW w:w="880" w:type="dxa"/>
            <w:vAlign w:val="bottom"/>
          </w:tcPr>
          <w:p>
            <w:pPr>
              <w:spacing w:after="0"/>
              <w:rPr>
                <w:sz w:val="22"/>
                <w:szCs w:val="22"/>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w:t>
            </w:r>
          </w:p>
        </w:tc>
        <w:tc>
          <w:tcPr>
            <w:tcW w:w="7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14-23</w:t>
            </w:r>
          </w:p>
        </w:tc>
        <w:tc>
          <w:tcPr>
            <w:tcW w:w="0" w:type="dxa"/>
            <w:vAlign w:val="bottom"/>
          </w:tcPr>
          <w:p>
            <w:pPr>
              <w:spacing w:after="0"/>
              <w:rPr>
                <w:sz w:val="1"/>
                <w:szCs w:val="1"/>
                <w:color w:val="auto"/>
              </w:rPr>
            </w:pPr>
          </w:p>
        </w:tc>
      </w:tr>
      <w:tr>
        <w:trPr>
          <w:trHeight w:val="245"/>
        </w:trPr>
        <w:tc>
          <w:tcPr>
            <w:tcW w:w="880" w:type="dxa"/>
            <w:vAlign w:val="bottom"/>
          </w:tcPr>
          <w:p>
            <w:pPr>
              <w:spacing w:after="0"/>
              <w:rPr>
                <w:sz w:val="21"/>
                <w:szCs w:val="21"/>
                <w:color w:val="auto"/>
              </w:rPr>
            </w:pP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500" w:type="dxa"/>
            <w:vAlign w:val="bottom"/>
          </w:tcPr>
          <w:p>
            <w:pPr>
              <w:ind w:left="180"/>
              <w:spacing w:after="0"/>
              <w:rPr>
                <w:sz w:val="20"/>
                <w:szCs w:val="20"/>
                <w:color w:val="auto"/>
              </w:rPr>
            </w:pPr>
            <w:r>
              <w:rPr>
                <w:rFonts w:ascii="Courier New" w:cs="Courier New" w:eastAsia="Courier New" w:hAnsi="Courier New"/>
                <w:sz w:val="15"/>
                <w:szCs w:val="15"/>
                <w:color w:val="auto"/>
              </w:rPr>
              <w:t>OTHER INFORMATION</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336"/>
        </w:trPr>
        <w:tc>
          <w:tcPr>
            <w:tcW w:w="880" w:type="dxa"/>
            <w:vAlign w:val="bottom"/>
          </w:tcPr>
          <w:p>
            <w:pPr>
              <w:spacing w:after="0"/>
              <w:rPr>
                <w:sz w:val="24"/>
                <w:szCs w:val="24"/>
                <w:color w:val="auto"/>
              </w:rPr>
            </w:pPr>
          </w:p>
        </w:tc>
        <w:tc>
          <w:tcPr>
            <w:tcW w:w="450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88"/>
              </w:rPr>
              <w:t>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598" w:right="1440" w:bottom="1440" w:gutter="0" w:footer="0" w:header="0"/>
        </w:sectPr>
      </w:pPr>
    </w:p>
    <w:bookmarkStart w:id="2" w:name="page3"/>
    <w:bookmarkEnd w:id="2"/>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March 31,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ind w:left="800" w:right="3239" w:firstLine="350"/>
        <w:spacing w:after="0" w:line="252"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present a fair statement of the results for the interim periods presented.</w:t>
      </w:r>
    </w:p>
    <w:p>
      <w:pPr>
        <w:spacing w:after="0" w:line="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59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March 31</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7000" w:type="dxa"/>
            <w:vAlign w:val="bottom"/>
          </w:tcPr>
          <w:p>
            <w:pPr>
              <w:spacing w:after="0"/>
              <w:rPr>
                <w:sz w:val="14"/>
                <w:szCs w:val="14"/>
                <w:color w:val="auto"/>
              </w:rPr>
            </w:pP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2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(unaudited)</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7000" w:type="dxa"/>
            <w:vAlign w:val="bottom"/>
          </w:tcPr>
          <w:p>
            <w:pPr>
              <w:ind w:left="4040"/>
              <w:spacing w:after="0"/>
              <w:rPr>
                <w:sz w:val="20"/>
                <w:szCs w:val="20"/>
                <w:color w:val="auto"/>
              </w:rPr>
            </w:pPr>
            <w:r>
              <w:rPr>
                <w:rFonts w:ascii="Courier New" w:cs="Courier New" w:eastAsia="Courier New" w:hAnsi="Courier New"/>
                <w:sz w:val="15"/>
                <w:szCs w:val="15"/>
                <w:color w:val="auto"/>
              </w:rPr>
              <w:t>ASSETS</w:t>
            </w:r>
          </w:p>
        </w:tc>
        <w:tc>
          <w:tcPr>
            <w:tcW w:w="1760" w:type="dxa"/>
            <w:vAlign w:val="bottom"/>
          </w:tcPr>
          <w:p>
            <w:pPr>
              <w:spacing w:after="0"/>
              <w:rPr>
                <w:sz w:val="24"/>
                <w:szCs w:val="24"/>
                <w:color w:val="auto"/>
              </w:rPr>
            </w:pPr>
          </w:p>
        </w:tc>
        <w:tc>
          <w:tcPr>
            <w:tcW w:w="262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5"/>
              </w:rPr>
              <w:t>(in thousands)</w:t>
            </w: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$1,925,568</w:t>
            </w:r>
          </w:p>
        </w:tc>
        <w:tc>
          <w:tcPr>
            <w:tcW w:w="2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$1,854,913</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(364,214)</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(351,258)</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7000" w:type="dxa"/>
            <w:vAlign w:val="bottom"/>
            <w:vMerge w:val="restart"/>
          </w:tcPr>
          <w:p>
            <w:pPr>
              <w:spacing w:after="0"/>
              <w:rPr>
                <w:sz w:val="20"/>
                <w:szCs w:val="20"/>
                <w:color w:val="auto"/>
              </w:rPr>
            </w:pPr>
            <w:r>
              <w:rPr>
                <w:rFonts w:ascii="Courier New" w:cs="Courier New" w:eastAsia="Courier New" w:hAnsi="Courier New"/>
                <w:sz w:val="15"/>
                <w:szCs w:val="15"/>
                <w:color w:val="auto"/>
              </w:rPr>
              <w:t>Other Assets</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1,561,354</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1,503,655</w:t>
            </w:r>
          </w:p>
        </w:tc>
        <w:tc>
          <w:tcPr>
            <w:tcW w:w="0" w:type="dxa"/>
            <w:vAlign w:val="bottom"/>
          </w:tcPr>
          <w:p>
            <w:pPr>
              <w:spacing w:after="0"/>
              <w:rPr>
                <w:sz w:val="1"/>
                <w:szCs w:val="1"/>
                <w:color w:val="auto"/>
              </w:rPr>
            </w:pPr>
          </w:p>
        </w:tc>
      </w:tr>
      <w:tr>
        <w:trPr>
          <w:trHeight w:val="91"/>
        </w:trPr>
        <w:tc>
          <w:tcPr>
            <w:tcW w:w="7000" w:type="dxa"/>
            <w:vAlign w:val="bottom"/>
            <w:vMerge w:val="continue"/>
          </w:tcPr>
          <w:p>
            <w:pPr>
              <w:spacing w:after="0"/>
              <w:rPr>
                <w:sz w:val="7"/>
                <w:szCs w:val="7"/>
                <w:color w:val="auto"/>
              </w:rPr>
            </w:pPr>
          </w:p>
        </w:tc>
        <w:tc>
          <w:tcPr>
            <w:tcW w:w="1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11,143</w:t>
            </w:r>
          </w:p>
        </w:tc>
        <w:tc>
          <w:tcPr>
            <w:tcW w:w="2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11,357</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43,457</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47,360</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13,214</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13,092</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1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38,616</w:t>
            </w:r>
          </w:p>
        </w:tc>
        <w:tc>
          <w:tcPr>
            <w:tcW w:w="2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38,140</w:t>
            </w:r>
          </w:p>
        </w:tc>
        <w:tc>
          <w:tcPr>
            <w:tcW w:w="0" w:type="dxa"/>
            <w:vAlign w:val="bottom"/>
          </w:tcPr>
          <w:p>
            <w:pPr>
              <w:spacing w:after="0"/>
              <w:rPr>
                <w:sz w:val="1"/>
                <w:szCs w:val="1"/>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1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1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7,908</w:t>
            </w:r>
          </w:p>
        </w:tc>
        <w:tc>
          <w:tcPr>
            <w:tcW w:w="2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7,475</w:t>
            </w:r>
          </w:p>
        </w:tc>
        <w:tc>
          <w:tcPr>
            <w:tcW w:w="0" w:type="dxa"/>
            <w:vAlign w:val="bottom"/>
          </w:tcPr>
          <w:p>
            <w:pPr>
              <w:spacing w:after="0"/>
              <w:rPr>
                <w:sz w:val="1"/>
                <w:szCs w:val="1"/>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$3,717 and $3,982, respectively</w:t>
            </w:r>
          </w:p>
        </w:tc>
        <w:tc>
          <w:tcPr>
            <w:tcW w:w="1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2"/>
                <w:szCs w:val="22"/>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$1,675,692</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$1,621,079</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7000" w:type="dxa"/>
            <w:vAlign w:val="bottom"/>
          </w:tcPr>
          <w:p>
            <w:pPr>
              <w:ind w:left="1840"/>
              <w:spacing w:after="0"/>
              <w:rPr>
                <w:sz w:val="20"/>
                <w:szCs w:val="20"/>
                <w:color w:val="auto"/>
              </w:rPr>
            </w:pPr>
            <w:r>
              <w:rPr>
                <w:rFonts w:ascii="Courier New" w:cs="Courier New" w:eastAsia="Courier New" w:hAnsi="Courier New"/>
                <w:sz w:val="15"/>
                <w:szCs w:val="15"/>
                <w:color w:val="auto"/>
              </w:rPr>
              <w:t>LIABILITIES AND SHAREHOLDERS' EQUITY</w:t>
            </w:r>
          </w:p>
        </w:tc>
        <w:tc>
          <w:tcPr>
            <w:tcW w:w="1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100,138</w:t>
            </w:r>
          </w:p>
        </w:tc>
        <w:tc>
          <w:tcPr>
            <w:tcW w:w="2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121,611</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1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payable</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202,138</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202,300</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302,404</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225,246</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52,402</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36,810</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19,939</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19,892</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5,672</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5,537</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8,345</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8,819</w:t>
            </w:r>
          </w:p>
        </w:tc>
        <w:tc>
          <w:tcPr>
            <w:tcW w:w="0" w:type="dxa"/>
            <w:vAlign w:val="bottom"/>
          </w:tcPr>
          <w:p>
            <w:pPr>
              <w:spacing w:after="0"/>
              <w:rPr>
                <w:sz w:val="1"/>
                <w:szCs w:val="1"/>
                <w:color w:val="auto"/>
              </w:rPr>
            </w:pP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410,000</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410,000</w:t>
            </w:r>
          </w:p>
        </w:tc>
        <w:tc>
          <w:tcPr>
            <w:tcW w:w="0" w:type="dxa"/>
            <w:vAlign w:val="bottom"/>
          </w:tcPr>
          <w:p>
            <w:pPr>
              <w:spacing w:after="0"/>
              <w:rPr>
                <w:sz w:val="1"/>
                <w:szCs w:val="1"/>
                <w:color w:val="auto"/>
              </w:rPr>
            </w:pP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75,289</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75,289</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0"/>
                <w:szCs w:val="20"/>
                <w:color w:val="auto"/>
              </w:rPr>
            </w:pPr>
            <w:r>
              <w:rPr>
                <w:rFonts w:ascii="Courier New" w:cs="Courier New" w:eastAsia="Courier New" w:hAnsi="Courier New"/>
                <w:sz w:val="15"/>
                <w:szCs w:val="15"/>
                <w:color w:val="auto"/>
              </w:rPr>
              <w:t>Investors' interest in consolidated assets</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35,082</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47,921</w:t>
            </w:r>
          </w:p>
        </w:tc>
        <w:tc>
          <w:tcPr>
            <w:tcW w:w="0" w:type="dxa"/>
            <w:vAlign w:val="bottom"/>
          </w:tcPr>
          <w:p>
            <w:pPr>
              <w:spacing w:after="0"/>
              <w:rPr>
                <w:sz w:val="1"/>
                <w:szCs w:val="1"/>
                <w:color w:val="auto"/>
              </w:rPr>
            </w:pP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1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1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100,000</w:t>
            </w:r>
          </w:p>
        </w:tc>
        <w:tc>
          <w:tcPr>
            <w:tcW w:w="2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100,000</w:t>
            </w:r>
          </w:p>
        </w:tc>
        <w:tc>
          <w:tcPr>
            <w:tcW w:w="0" w:type="dxa"/>
            <w:vAlign w:val="bottom"/>
          </w:tcPr>
          <w:p>
            <w:pPr>
              <w:spacing w:after="0"/>
              <w:rPr>
                <w:sz w:val="1"/>
                <w:szCs w:val="1"/>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liquidation preference $25 per share), 4,000,000 shares issued in 1997</w:t>
            </w:r>
          </w:p>
        </w:tc>
        <w:tc>
          <w:tcPr>
            <w:tcW w:w="1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$.01 par , 100,000,000 shares</w:t>
            </w:r>
          </w:p>
        </w:tc>
        <w:tc>
          <w:tcPr>
            <w:tcW w:w="1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411</w:t>
            </w:r>
          </w:p>
        </w:tc>
        <w:tc>
          <w:tcPr>
            <w:tcW w:w="26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410</w:t>
            </w:r>
          </w:p>
        </w:tc>
        <w:tc>
          <w:tcPr>
            <w:tcW w:w="0" w:type="dxa"/>
            <w:vAlign w:val="bottom"/>
          </w:tcPr>
          <w:p>
            <w:pPr>
              <w:spacing w:after="0"/>
              <w:rPr>
                <w:sz w:val="1"/>
                <w:szCs w:val="1"/>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authorized, 41,045,667 and 40,910,972 issued, respectively</w:t>
            </w:r>
          </w:p>
        </w:tc>
        <w:tc>
          <w:tcPr>
            <w:tcW w:w="1760" w:type="dxa"/>
            <w:vAlign w:val="bottom"/>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725,700</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723,078</w:t>
            </w:r>
          </w:p>
        </w:tc>
        <w:tc>
          <w:tcPr>
            <w:tcW w:w="0" w:type="dxa"/>
            <w:vAlign w:val="bottom"/>
          </w:tcPr>
          <w:p>
            <w:pPr>
              <w:spacing w:after="0"/>
              <w:rPr>
                <w:sz w:val="1"/>
                <w:szCs w:val="1"/>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(312,656)</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(306,287)</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7000" w:type="dxa"/>
            <w:vAlign w:val="bottom"/>
          </w:tcPr>
          <w:p>
            <w:pPr>
              <w:spacing w:after="0"/>
              <w:rPr>
                <w:sz w:val="24"/>
                <w:szCs w:val="24"/>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513,455</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517,201</w:t>
            </w: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0"/>
                <w:szCs w:val="20"/>
                <w:color w:val="auto"/>
              </w:rPr>
            </w:pPr>
            <w:r>
              <w:rPr>
                <w:rFonts w:ascii="Courier New" w:cs="Courier New" w:eastAsia="Courier New" w:hAnsi="Courier New"/>
                <w:sz w:val="15"/>
                <w:szCs w:val="15"/>
                <w:color w:val="auto"/>
                <w:w w:val="99"/>
              </w:rPr>
              <w:t>Less:1,441,888 and 1,441,594 common shares in treasury - at cost, respectively</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(27,758)</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(27,753)</w:t>
            </w:r>
          </w:p>
        </w:tc>
        <w:tc>
          <w:tcPr>
            <w:tcW w:w="0" w:type="dxa"/>
            <w:vAlign w:val="bottom"/>
          </w:tcPr>
          <w:p>
            <w:pPr>
              <w:spacing w:after="0"/>
              <w:rPr>
                <w:sz w:val="1"/>
                <w:szCs w:val="1"/>
                <w:color w:val="auto"/>
              </w:rPr>
            </w:pPr>
          </w:p>
        </w:tc>
      </w:tr>
      <w:tr>
        <w:trPr>
          <w:trHeight w:val="168"/>
        </w:trPr>
        <w:tc>
          <w:tcPr>
            <w:tcW w:w="7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(16,092)</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(17,254)</w:t>
            </w:r>
          </w:p>
        </w:tc>
        <w:tc>
          <w:tcPr>
            <w:tcW w:w="0" w:type="dxa"/>
            <w:vAlign w:val="bottom"/>
          </w:tcPr>
          <w:p>
            <w:pPr>
              <w:spacing w:after="0"/>
              <w:rPr>
                <w:sz w:val="1"/>
                <w:szCs w:val="1"/>
                <w:color w:val="auto"/>
              </w:rPr>
            </w:pPr>
          </w:p>
        </w:tc>
      </w:tr>
      <w:tr>
        <w:trPr>
          <w:trHeight w:val="168"/>
        </w:trPr>
        <w:tc>
          <w:tcPr>
            <w:tcW w:w="7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receivable from employee stock  plans</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(4,243)</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(4,540)</w:t>
            </w:r>
          </w:p>
        </w:tc>
        <w:tc>
          <w:tcPr>
            <w:tcW w:w="0" w:type="dxa"/>
            <w:vAlign w:val="bottom"/>
          </w:tcPr>
          <w:p>
            <w:pPr>
              <w:spacing w:after="0"/>
              <w:rPr>
                <w:sz w:val="1"/>
                <w:szCs w:val="1"/>
                <w:color w:val="auto"/>
              </w:rPr>
            </w:pPr>
          </w:p>
        </w:tc>
      </w:tr>
      <w:tr>
        <w:trPr>
          <w:trHeight w:val="168"/>
        </w:trPr>
        <w:tc>
          <w:tcPr>
            <w:tcW w:w="7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comprehensive income (loss)</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c>
          <w:tcPr>
            <w:tcW w:w="2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2"/>
                <w:szCs w:val="22"/>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464,283</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467,654</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7000" w:type="dxa"/>
            <w:vAlign w:val="bottom"/>
          </w:tcPr>
          <w:p>
            <w:pPr>
              <w:spacing w:after="0"/>
              <w:rPr>
                <w:sz w:val="22"/>
                <w:szCs w:val="22"/>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$1,675,692</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$1,621,079</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1"/>
                <w:szCs w:val="21"/>
                <w:color w:val="auto"/>
              </w:rPr>
            </w:pP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8"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380"/>
          </w:cols>
          <w:pgMar w:left="220" w:top="598" w:right="2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ind w:left="2980"/>
              <w:spacing w:after="0"/>
              <w:rPr>
                <w:sz w:val="20"/>
                <w:szCs w:val="20"/>
                <w:color w:val="auto"/>
              </w:rPr>
            </w:pPr>
            <w:r>
              <w:rPr>
                <w:rFonts w:ascii="Courier New" w:cs="Courier New" w:eastAsia="Courier New" w:hAnsi="Courier New"/>
                <w:sz w:val="15"/>
                <w:szCs w:val="15"/>
                <w:color w:val="auto"/>
              </w:rPr>
              <w:t>(unaudited)</w:t>
            </w:r>
          </w:p>
        </w:tc>
        <w:tc>
          <w:tcPr>
            <w:tcW w:w="1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560" w:type="dxa"/>
            <w:vAlign w:val="bottom"/>
          </w:tcPr>
          <w:p>
            <w:pPr>
              <w:spacing w:after="0"/>
              <w:rPr>
                <w:sz w:val="24"/>
                <w:szCs w:val="24"/>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March 31,</w:t>
            </w:r>
          </w:p>
        </w:tc>
        <w:tc>
          <w:tcPr>
            <w:tcW w:w="0" w:type="dxa"/>
            <w:vAlign w:val="bottom"/>
          </w:tcPr>
          <w:p>
            <w:pPr>
              <w:spacing w:after="0"/>
              <w:rPr>
                <w:sz w:val="1"/>
                <w:szCs w:val="1"/>
                <w:color w:val="auto"/>
              </w:rPr>
            </w:pPr>
          </w:p>
        </w:tc>
      </w:tr>
      <w:tr>
        <w:trPr>
          <w:trHeight w:val="168"/>
        </w:trPr>
        <w:tc>
          <w:tcPr>
            <w:tcW w:w="6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4"/>
              </w:rPr>
              <w:t>2001</w:t>
            </w:r>
          </w:p>
        </w:tc>
        <w:tc>
          <w:tcPr>
            <w:tcW w:w="560" w:type="dxa"/>
            <w:vAlign w:val="bottom"/>
          </w:tcPr>
          <w:p>
            <w:pPr>
              <w:spacing w:after="0"/>
              <w:rPr>
                <w:sz w:val="14"/>
                <w:szCs w:val="14"/>
                <w:color w:val="auto"/>
              </w:rPr>
            </w:pPr>
          </w:p>
        </w:tc>
        <w:tc>
          <w:tcPr>
            <w:tcW w:w="6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4"/>
              </w:rPr>
              <w:t>2000</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336"/>
        </w:trPr>
        <w:tc>
          <w:tcPr>
            <w:tcW w:w="65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72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$ 67,136</w:t>
            </w:r>
          </w:p>
        </w:tc>
        <w:tc>
          <w:tcPr>
            <w:tcW w:w="12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$ 64,232</w:t>
            </w: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27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7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1,857</w:t>
            </w:r>
          </w:p>
        </w:tc>
        <w:tc>
          <w:tcPr>
            <w:tcW w:w="5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2,107</w:t>
            </w: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17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2,710</w:t>
            </w:r>
          </w:p>
        </w:tc>
        <w:tc>
          <w:tcPr>
            <w:tcW w:w="5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2,765</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336"/>
        </w:trPr>
        <w:tc>
          <w:tcPr>
            <w:tcW w:w="6560" w:type="dxa"/>
            <w:vAlign w:val="bottom"/>
            <w:vMerge w:val="restart"/>
          </w:tcPr>
          <w:p>
            <w:pPr>
              <w:spacing w:after="0"/>
              <w:rPr>
                <w:sz w:val="20"/>
                <w:szCs w:val="20"/>
                <w:color w:val="auto"/>
              </w:rPr>
            </w:pPr>
            <w:r>
              <w:rPr>
                <w:rFonts w:ascii="Courier New" w:cs="Courier New" w:eastAsia="Courier New" w:hAnsi="Courier New"/>
                <w:sz w:val="15"/>
                <w:szCs w:val="15"/>
                <w:color w:val="auto"/>
              </w:rPr>
              <w:t>Expenses</w:t>
            </w:r>
          </w:p>
        </w:tc>
        <w:tc>
          <w:tcPr>
            <w:tcW w:w="1720" w:type="dxa"/>
            <w:vAlign w:val="bottom"/>
          </w:tcPr>
          <w:p>
            <w:pPr>
              <w:spacing w:after="0"/>
              <w:rPr>
                <w:sz w:val="24"/>
                <w:szCs w:val="2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71,703</w:t>
            </w:r>
          </w:p>
        </w:tc>
        <w:tc>
          <w:tcPr>
            <w:tcW w:w="56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69,104</w:t>
            </w:r>
          </w:p>
        </w:tc>
        <w:tc>
          <w:tcPr>
            <w:tcW w:w="0" w:type="dxa"/>
            <w:vAlign w:val="bottom"/>
          </w:tcPr>
          <w:p>
            <w:pPr>
              <w:spacing w:after="0"/>
              <w:rPr>
                <w:sz w:val="1"/>
                <w:szCs w:val="1"/>
                <w:color w:val="auto"/>
              </w:rPr>
            </w:pPr>
          </w:p>
        </w:tc>
      </w:tr>
      <w:tr>
        <w:trPr>
          <w:trHeight w:val="91"/>
        </w:trPr>
        <w:tc>
          <w:tcPr>
            <w:tcW w:w="656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10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9"/>
              </w:rPr>
              <w:t>15,045</w:t>
            </w:r>
          </w:p>
        </w:tc>
        <w:tc>
          <w:tcPr>
            <w:tcW w:w="560" w:type="dxa"/>
            <w:vAlign w:val="bottom"/>
          </w:tcPr>
          <w:p>
            <w:pPr>
              <w:spacing w:after="0"/>
              <w:rPr>
                <w:sz w:val="7"/>
                <w:szCs w:val="7"/>
                <w:color w:val="auto"/>
              </w:rPr>
            </w:pP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14,620</w:t>
            </w: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7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7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6,620</w:t>
            </w:r>
          </w:p>
        </w:tc>
        <w:tc>
          <w:tcPr>
            <w:tcW w:w="5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6,457</w:t>
            </w: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7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17,150</w:t>
            </w:r>
          </w:p>
        </w:tc>
        <w:tc>
          <w:tcPr>
            <w:tcW w:w="5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16,493</w:t>
            </w: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7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3,133</w:t>
            </w:r>
          </w:p>
        </w:tc>
        <w:tc>
          <w:tcPr>
            <w:tcW w:w="5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2,922</w:t>
            </w:r>
          </w:p>
        </w:tc>
        <w:tc>
          <w:tcPr>
            <w:tcW w:w="0" w:type="dxa"/>
            <w:vAlign w:val="bottom"/>
          </w:tcPr>
          <w:p>
            <w:pPr>
              <w:spacing w:after="0"/>
              <w:rPr>
                <w:sz w:val="1"/>
                <w:szCs w:val="1"/>
                <w:color w:val="auto"/>
              </w:rPr>
            </w:pPr>
          </w:p>
        </w:tc>
      </w:tr>
      <w:tr>
        <w:trPr>
          <w:trHeight w:val="168"/>
        </w:trPr>
        <w:tc>
          <w:tcPr>
            <w:tcW w:w="6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2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14,144</w:t>
            </w:r>
          </w:p>
        </w:tc>
        <w:tc>
          <w:tcPr>
            <w:tcW w:w="5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12,655</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5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56,092</w:t>
            </w:r>
          </w:p>
        </w:tc>
        <w:tc>
          <w:tcPr>
            <w:tcW w:w="560" w:type="dxa"/>
            <w:vAlign w:val="bottom"/>
          </w:tcPr>
          <w:p>
            <w:pPr>
              <w:spacing w:after="0"/>
              <w:rPr>
                <w:sz w:val="22"/>
                <w:szCs w:val="22"/>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53,147</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56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1720" w:type="dxa"/>
            <w:vAlign w:val="bottom"/>
          </w:tcPr>
          <w:p>
            <w:pPr>
              <w:spacing w:after="0"/>
              <w:rPr>
                <w:sz w:val="22"/>
                <w:szCs w:val="22"/>
                <w:color w:val="auto"/>
              </w:rPr>
            </w:pPr>
          </w:p>
        </w:tc>
        <w:tc>
          <w:tcPr>
            <w:tcW w:w="10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9"/>
              </w:rPr>
              <w:t>15,611</w:t>
            </w:r>
          </w:p>
        </w:tc>
        <w:tc>
          <w:tcPr>
            <w:tcW w:w="560" w:type="dxa"/>
            <w:vAlign w:val="bottom"/>
          </w:tcPr>
          <w:p>
            <w:pPr>
              <w:spacing w:after="0"/>
              <w:rPr>
                <w:sz w:val="22"/>
                <w:szCs w:val="22"/>
                <w:color w:val="auto"/>
              </w:rPr>
            </w:pPr>
          </w:p>
        </w:tc>
        <w:tc>
          <w:tcPr>
            <w:tcW w:w="6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15,957</w:t>
            </w:r>
          </w:p>
        </w:tc>
        <w:tc>
          <w:tcPr>
            <w:tcW w:w="0" w:type="dxa"/>
            <w:vAlign w:val="bottom"/>
          </w:tcPr>
          <w:p>
            <w:pPr>
              <w:spacing w:after="0"/>
              <w:rPr>
                <w:sz w:val="1"/>
                <w:szCs w:val="1"/>
                <w:color w:val="auto"/>
              </w:rPr>
            </w:pPr>
          </w:p>
        </w:tc>
      </w:tr>
      <w:tr>
        <w:trPr>
          <w:trHeight w:val="245"/>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of operations</w:t>
            </w:r>
          </w:p>
        </w:tc>
        <w:tc>
          <w:tcPr>
            <w:tcW w:w="17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56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1720" w:type="dxa"/>
            <w:vAlign w:val="bottom"/>
          </w:tcPr>
          <w:p>
            <w:pPr>
              <w:spacing w:after="0"/>
              <w:rPr>
                <w:sz w:val="22"/>
                <w:szCs w:val="22"/>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(1,378)</w:t>
            </w:r>
          </w:p>
        </w:tc>
        <w:tc>
          <w:tcPr>
            <w:tcW w:w="5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(1,818)</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336"/>
        </w:trPr>
        <w:tc>
          <w:tcPr>
            <w:tcW w:w="656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1720" w:type="dxa"/>
            <w:vAlign w:val="bottom"/>
          </w:tcPr>
          <w:p>
            <w:pPr>
              <w:spacing w:after="0"/>
              <w:rPr>
                <w:sz w:val="24"/>
                <w:szCs w:val="2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14,233</w:t>
            </w:r>
          </w:p>
        </w:tc>
        <w:tc>
          <w:tcPr>
            <w:tcW w:w="56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14,139</w:t>
            </w:r>
          </w:p>
        </w:tc>
        <w:tc>
          <w:tcPr>
            <w:tcW w:w="0" w:type="dxa"/>
            <w:vAlign w:val="bottom"/>
          </w:tcPr>
          <w:p>
            <w:pPr>
              <w:spacing w:after="0"/>
              <w:rPr>
                <w:sz w:val="1"/>
                <w:szCs w:val="1"/>
                <w:color w:val="auto"/>
              </w:rPr>
            </w:pPr>
          </w:p>
        </w:tc>
      </w:tr>
      <w:tr>
        <w:trPr>
          <w:trHeight w:val="259"/>
        </w:trPr>
        <w:tc>
          <w:tcPr>
            <w:tcW w:w="656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1720" w:type="dxa"/>
            <w:vAlign w:val="bottom"/>
          </w:tcPr>
          <w:p>
            <w:pPr>
              <w:spacing w:after="0"/>
              <w:rPr>
                <w:sz w:val="22"/>
                <w:szCs w:val="22"/>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c>
          <w:tcPr>
            <w:tcW w:w="5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(1,988)</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56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2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$ 12,245</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$ 12,151</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0.31</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56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1720" w:type="dxa"/>
            <w:vAlign w:val="bottom"/>
          </w:tcPr>
          <w:p>
            <w:pPr>
              <w:spacing w:after="0"/>
              <w:rPr>
                <w:sz w:val="22"/>
                <w:szCs w:val="22"/>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38,822</w:t>
            </w:r>
          </w:p>
        </w:tc>
        <w:tc>
          <w:tcPr>
            <w:tcW w:w="560" w:type="dxa"/>
            <w:vAlign w:val="bottom"/>
          </w:tcPr>
          <w:p>
            <w:pPr>
              <w:spacing w:after="0"/>
              <w:rPr>
                <w:sz w:val="22"/>
                <w:szCs w:val="22"/>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39,444</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0.31</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56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1720" w:type="dxa"/>
            <w:vAlign w:val="bottom"/>
          </w:tcPr>
          <w:p>
            <w:pPr>
              <w:spacing w:after="0"/>
              <w:rPr>
                <w:sz w:val="22"/>
                <w:szCs w:val="22"/>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39,856</w:t>
            </w:r>
          </w:p>
        </w:tc>
        <w:tc>
          <w:tcPr>
            <w:tcW w:w="560" w:type="dxa"/>
            <w:vAlign w:val="bottom"/>
          </w:tcPr>
          <w:p>
            <w:pPr>
              <w:spacing w:after="0"/>
              <w:rPr>
                <w:sz w:val="22"/>
                <w:szCs w:val="22"/>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40,595</w:t>
            </w:r>
          </w:p>
        </w:tc>
        <w:tc>
          <w:tcPr>
            <w:tcW w:w="0" w:type="dxa"/>
            <w:vAlign w:val="bottom"/>
          </w:tcPr>
          <w:p>
            <w:pPr>
              <w:spacing w:after="0"/>
              <w:rPr>
                <w:sz w:val="1"/>
                <w:szCs w:val="1"/>
                <w:color w:val="auto"/>
              </w:rPr>
            </w:pPr>
          </w:p>
        </w:tc>
      </w:tr>
      <w:tr>
        <w:trPr>
          <w:trHeight w:val="245"/>
        </w:trPr>
        <w:tc>
          <w:tcPr>
            <w:tcW w:w="6560" w:type="dxa"/>
            <w:vAlign w:val="bottom"/>
          </w:tcPr>
          <w:p>
            <w:pPr>
              <w:spacing w:after="0"/>
              <w:rPr>
                <w:sz w:val="21"/>
                <w:szCs w:val="21"/>
                <w:color w:val="auto"/>
              </w:rPr>
            </w:pPr>
          </w:p>
        </w:tc>
        <w:tc>
          <w:tcPr>
            <w:tcW w:w="2720" w:type="dxa"/>
            <w:vAlign w:val="bottom"/>
            <w:gridSpan w:val="2"/>
          </w:tcPr>
          <w:p>
            <w:pPr>
              <w:jc w:val="center"/>
              <w:ind w:left="1087"/>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8"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500"/>
          </w:cols>
          <w:pgMar w:left="220" w:top="598" w:right="11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ind w:left="2640"/>
              <w:spacing w:after="0"/>
              <w:rPr>
                <w:sz w:val="20"/>
                <w:szCs w:val="20"/>
                <w:color w:val="auto"/>
              </w:rPr>
            </w:pPr>
            <w:r>
              <w:rPr>
                <w:rFonts w:ascii="Courier New" w:cs="Courier New" w:eastAsia="Courier New" w:hAnsi="Courier New"/>
                <w:sz w:val="15"/>
                <w:szCs w:val="15"/>
                <w:color w:val="auto"/>
              </w:rPr>
              <w:t>(unaudited)</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4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w w:val="96"/>
              </w:rPr>
              <w:t>Three months ended March 31,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2"/>
                <w:szCs w:val="22"/>
                <w:color w:val="auto"/>
              </w:rPr>
            </w:pP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152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2"/>
                <w:szCs w:val="22"/>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22"/>
                <w:szCs w:val="22"/>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c>
          <w:tcPr>
            <w:tcW w:w="440" w:type="dxa"/>
            <w:vAlign w:val="bottom"/>
          </w:tcPr>
          <w:p>
            <w:pPr>
              <w:spacing w:after="0"/>
              <w:rPr>
                <w:sz w:val="22"/>
                <w:szCs w:val="22"/>
                <w:color w:val="auto"/>
              </w:rPr>
            </w:pPr>
          </w:p>
        </w:tc>
        <w:tc>
          <w:tcPr>
            <w:tcW w:w="108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5"/>
              </w:rPr>
              <w:t>Additional</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Shares</w:t>
            </w:r>
          </w:p>
        </w:tc>
        <w:tc>
          <w:tcPr>
            <w:tcW w:w="160" w:type="dxa"/>
            <w:vAlign w:val="bottom"/>
          </w:tcPr>
          <w:p>
            <w:pPr>
              <w:spacing w:after="0"/>
              <w:rPr>
                <w:sz w:val="22"/>
                <w:szCs w:val="22"/>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Additional</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Paid-in</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Paid-in</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Capital</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w:t>
            </w: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40,910,972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410</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723,078</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40,418,766</w:t>
            </w:r>
          </w:p>
        </w:tc>
        <w:tc>
          <w:tcPr>
            <w:tcW w:w="160" w:type="dxa"/>
            <w:vAlign w:val="bottom"/>
            <w:vMerge w:val="restart"/>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404</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$713,354</w:t>
            </w: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39,436</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773</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40,796</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w:t>
            </w: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95,259</w:t>
            </w:r>
          </w:p>
        </w:tc>
        <w:tc>
          <w:tcPr>
            <w:tcW w:w="22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108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1,849</w:t>
            </w:r>
          </w:p>
        </w:tc>
        <w:tc>
          <w:tcPr>
            <w:tcW w:w="12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226,309</w:t>
            </w:r>
          </w:p>
        </w:tc>
        <w:tc>
          <w:tcPr>
            <w:tcW w:w="160" w:type="dxa"/>
            <w:vAlign w:val="bottom"/>
          </w:tcPr>
          <w:p>
            <w:pPr>
              <w:spacing w:after="0"/>
              <w:rPr>
                <w:sz w:val="14"/>
                <w:szCs w:val="14"/>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4,290</w:t>
            </w:r>
          </w:p>
        </w:tc>
        <w:tc>
          <w:tcPr>
            <w:tcW w:w="0" w:type="dxa"/>
            <w:vAlign w:val="bottom"/>
          </w:tcPr>
          <w:p>
            <w:pPr>
              <w:spacing w:after="0"/>
              <w:rPr>
                <w:sz w:val="1"/>
                <w:szCs w:val="1"/>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59"/>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41,045,667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725,700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40,685,871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$718,450</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w:t>
            </w: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Accumulated Dividends in Excess of Trust Net Income</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($306,287)</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($286,348)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14,233</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14,139</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(18,614)</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(17,695)</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(1,988)</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220" w:type="dxa"/>
            <w:vAlign w:val="bottom"/>
          </w:tcPr>
          <w:p>
            <w:pPr>
              <w:spacing w:after="0"/>
              <w:rPr>
                <w:sz w:val="14"/>
                <w:szCs w:val="14"/>
                <w:color w:val="auto"/>
              </w:rPr>
            </w:pP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($312,656)</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($291,892)</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(1,441,594)</w:t>
            </w:r>
          </w:p>
        </w:tc>
        <w:tc>
          <w:tcPr>
            <w:tcW w:w="22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($27,753)</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(217,644)</w:t>
            </w:r>
          </w:p>
        </w:tc>
        <w:tc>
          <w:tcPr>
            <w:tcW w:w="16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($4,334)</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(294)</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shares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(1,156,900)</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(22,087)</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(1,441,888)</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($27,758)</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(1,374,544)</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($26,421)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600" w:type="dxa"/>
            <w:vAlign w:val="bottom"/>
            <w:vMerge w:val="continue"/>
          </w:tcPr>
          <w:p>
            <w:pPr>
              <w:spacing w:after="0"/>
              <w:rPr>
                <w:sz w:val="7"/>
                <w:szCs w:val="7"/>
                <w:color w:val="auto"/>
              </w:rPr>
            </w:pP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(735,875)</w:t>
            </w: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($17,254)</w:t>
            </w: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(599,427)</w:t>
            </w:r>
          </w:p>
        </w:tc>
        <w:tc>
          <w:tcPr>
            <w:tcW w:w="16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($15,219)</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(71,869)</w:t>
            </w: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(1,392)</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(202,271)</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(3,833)</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106,803</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2,554</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82,323</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2,116</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(700,941)</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($16,092)</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(719,375)</w:t>
            </w: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($16,936)</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Subscriptions receivable from employee stock plans</w:t>
            </w:r>
          </w:p>
        </w:tc>
        <w:tc>
          <w:tcPr>
            <w:tcW w:w="12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(242,638)</w:t>
            </w:r>
          </w:p>
        </w:tc>
        <w:tc>
          <w:tcPr>
            <w:tcW w:w="22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($4,540)</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(317,606)</w:t>
            </w:r>
          </w:p>
        </w:tc>
        <w:tc>
          <w:tcPr>
            <w:tcW w:w="16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($6,030)</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19,520</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25,514</w:t>
            </w: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(223,118)</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($4,243)</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(292,092)</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($1,079)</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comprehensive income</w:t>
            </w:r>
          </w:p>
        </w:tc>
        <w:tc>
          <w:tcPr>
            <w:tcW w:w="122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14,233</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2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(1,079)</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Total other comprehensive income</w:t>
            </w:r>
          </w:p>
        </w:tc>
        <w:tc>
          <w:tcPr>
            <w:tcW w:w="12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13,154</w:t>
            </w: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478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40"/>
          </w:cols>
          <w:pgMar w:left="220" w:top="598"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4640" w:type="dxa"/>
            <w:vAlign w:val="bottom"/>
          </w:tcPr>
          <w:p>
            <w:pPr>
              <w:ind w:left="600"/>
              <w:spacing w:after="0"/>
              <w:rPr>
                <w:sz w:val="20"/>
                <w:szCs w:val="20"/>
                <w:color w:val="auto"/>
              </w:rPr>
            </w:pPr>
            <w:r>
              <w:rPr>
                <w:rFonts w:ascii="Courier New" w:cs="Courier New" w:eastAsia="Courier New" w:hAnsi="Courier New"/>
                <w:sz w:val="15"/>
                <w:szCs w:val="15"/>
                <w:color w:val="auto"/>
              </w:rPr>
              <w:t>(unaudited)</w:t>
            </w:r>
          </w:p>
        </w:tc>
        <w:tc>
          <w:tcPr>
            <w:tcW w:w="1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22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4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Three months ended March 31,</w:t>
            </w: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8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2001</w:t>
            </w:r>
          </w:p>
        </w:tc>
        <w:tc>
          <w:tcPr>
            <w:tcW w:w="16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2200" w:type="dxa"/>
            <w:vAlign w:val="bottom"/>
            <w:vMerge w:val="restart"/>
          </w:tcPr>
          <w:p>
            <w:pPr>
              <w:spacing w:after="0"/>
              <w:rPr>
                <w:sz w:val="20"/>
                <w:szCs w:val="20"/>
                <w:color w:val="auto"/>
              </w:rPr>
            </w:pPr>
            <w:r>
              <w:rPr>
                <w:rFonts w:ascii="Courier New" w:cs="Courier New" w:eastAsia="Courier New" w:hAnsi="Courier New"/>
                <w:sz w:val="15"/>
                <w:szCs w:val="15"/>
                <w:color w:val="auto"/>
              </w:rPr>
              <w:t>(In thousands)</w:t>
            </w:r>
          </w:p>
        </w:tc>
        <w:tc>
          <w:tcPr>
            <w:tcW w:w="4640" w:type="dxa"/>
            <w:vAlign w:val="bottom"/>
          </w:tcPr>
          <w:p>
            <w:pPr>
              <w:spacing w:after="0"/>
              <w:rPr>
                <w:sz w:val="21"/>
                <w:szCs w:val="21"/>
                <w:color w:val="auto"/>
              </w:rPr>
            </w:pPr>
          </w:p>
        </w:tc>
        <w:tc>
          <w:tcPr>
            <w:tcW w:w="2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200" w:type="dxa"/>
            <w:vAlign w:val="bottom"/>
            <w:vMerge w:val="continue"/>
          </w:tcPr>
          <w:p>
            <w:pPr>
              <w:spacing w:after="0"/>
              <w:rPr>
                <w:sz w:val="14"/>
                <w:szCs w:val="14"/>
                <w:color w:val="auto"/>
              </w:rPr>
            </w:pPr>
          </w:p>
        </w:tc>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640" w:type="dxa"/>
            <w:vAlign w:val="bottom"/>
          </w:tcPr>
          <w:p>
            <w:pPr>
              <w:spacing w:after="0"/>
              <w:rPr>
                <w:sz w:val="22"/>
                <w:szCs w:val="22"/>
                <w:color w:val="auto"/>
              </w:rPr>
            </w:pPr>
          </w:p>
        </w:tc>
        <w:tc>
          <w:tcPr>
            <w:tcW w:w="1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14,233</w:t>
            </w:r>
          </w:p>
        </w:tc>
        <w:tc>
          <w:tcPr>
            <w:tcW w:w="860" w:type="dxa"/>
            <w:vAlign w:val="bottom"/>
            <w:vMerge w:val="restart"/>
          </w:tcPr>
          <w:p>
            <w:pPr>
              <w:ind w:left="7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14,139</w:t>
            </w:r>
          </w:p>
        </w:tc>
        <w:tc>
          <w:tcPr>
            <w:tcW w:w="0" w:type="dxa"/>
            <w:vAlign w:val="bottom"/>
          </w:tcPr>
          <w:p>
            <w:pPr>
              <w:spacing w:after="0"/>
              <w:rPr>
                <w:sz w:val="1"/>
                <w:szCs w:val="1"/>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64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1780" w:type="dxa"/>
            <w:vAlign w:val="bottom"/>
          </w:tcPr>
          <w:p>
            <w:pPr>
              <w:spacing w:after="0"/>
              <w:rPr>
                <w:sz w:val="14"/>
                <w:szCs w:val="14"/>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14,144</w:t>
            </w:r>
          </w:p>
        </w:tc>
        <w:tc>
          <w:tcPr>
            <w:tcW w:w="86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12,655</w:t>
            </w:r>
          </w:p>
        </w:tc>
        <w:tc>
          <w:tcPr>
            <w:tcW w:w="0" w:type="dxa"/>
            <w:vAlign w:val="bottom"/>
          </w:tcPr>
          <w:p>
            <w:pPr>
              <w:spacing w:after="0"/>
              <w:rPr>
                <w:sz w:val="1"/>
                <w:szCs w:val="1"/>
                <w:color w:val="auto"/>
              </w:rPr>
            </w:pPr>
          </w:p>
        </w:tc>
      </w:tr>
      <w:tr>
        <w:trPr>
          <w:trHeight w:val="168"/>
        </w:trPr>
        <w:tc>
          <w:tcPr>
            <w:tcW w:w="6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7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net</w:t>
            </w:r>
          </w:p>
        </w:tc>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563</w:t>
            </w:r>
          </w:p>
        </w:tc>
        <w:tc>
          <w:tcPr>
            <w:tcW w:w="8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780" w:type="dxa"/>
            <w:vAlign w:val="bottom"/>
          </w:tcPr>
          <w:p>
            <w:pPr>
              <w:spacing w:after="0"/>
              <w:rPr>
                <w:sz w:val="14"/>
                <w:szCs w:val="14"/>
                <w:color w:val="auto"/>
              </w:rPr>
            </w:pPr>
          </w:p>
        </w:tc>
        <w:tc>
          <w:tcPr>
            <w:tcW w:w="10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(122)</w:t>
            </w:r>
          </w:p>
        </w:tc>
        <w:tc>
          <w:tcPr>
            <w:tcW w:w="86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3,169</w:t>
            </w:r>
          </w:p>
        </w:tc>
        <w:tc>
          <w:tcPr>
            <w:tcW w:w="0" w:type="dxa"/>
            <w:vAlign w:val="bottom"/>
          </w:tcPr>
          <w:p>
            <w:pPr>
              <w:spacing w:after="0"/>
              <w:rPr>
                <w:sz w:val="1"/>
                <w:szCs w:val="1"/>
                <w:color w:val="auto"/>
              </w:rPr>
            </w:pPr>
          </w:p>
        </w:tc>
      </w:tr>
      <w:tr>
        <w:trPr>
          <w:trHeight w:val="168"/>
        </w:trPr>
        <w:tc>
          <w:tcPr>
            <w:tcW w:w="6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accounts receivable</w:t>
            </w:r>
          </w:p>
        </w:tc>
        <w:tc>
          <w:tcPr>
            <w:tcW w:w="17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w:t>
            </w:r>
          </w:p>
        </w:tc>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prepaid expenses and other</w:t>
            </w:r>
          </w:p>
        </w:tc>
        <w:tc>
          <w:tcPr>
            <w:tcW w:w="1780" w:type="dxa"/>
            <w:vAlign w:val="bottom"/>
          </w:tcPr>
          <w:p>
            <w:pPr>
              <w:spacing w:after="0"/>
              <w:rPr>
                <w:sz w:val="14"/>
                <w:szCs w:val="14"/>
                <w:color w:val="auto"/>
              </w:rPr>
            </w:pPr>
          </w:p>
        </w:tc>
        <w:tc>
          <w:tcPr>
            <w:tcW w:w="10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(2,381)</w:t>
            </w:r>
          </w:p>
        </w:tc>
        <w:tc>
          <w:tcPr>
            <w:tcW w:w="86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2,115</w:t>
            </w:r>
          </w:p>
        </w:tc>
        <w:tc>
          <w:tcPr>
            <w:tcW w:w="0" w:type="dxa"/>
            <w:vAlign w:val="bottom"/>
          </w:tcPr>
          <w:p>
            <w:pPr>
              <w:spacing w:after="0"/>
              <w:rPr>
                <w:sz w:val="1"/>
                <w:szCs w:val="1"/>
                <w:color w:val="auto"/>
              </w:rPr>
            </w:pPr>
          </w:p>
        </w:tc>
      </w:tr>
      <w:tr>
        <w:trPr>
          <w:trHeight w:val="168"/>
        </w:trPr>
        <w:tc>
          <w:tcPr>
            <w:tcW w:w="68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17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(Decrease) increase</w:t>
            </w:r>
          </w:p>
        </w:tc>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operating accounts payable,</w:t>
            </w:r>
          </w:p>
        </w:tc>
        <w:tc>
          <w:tcPr>
            <w:tcW w:w="1780" w:type="dxa"/>
            <w:vAlign w:val="bottom"/>
          </w:tcPr>
          <w:p>
            <w:pPr>
              <w:spacing w:after="0"/>
              <w:rPr>
                <w:sz w:val="14"/>
                <w:szCs w:val="14"/>
                <w:color w:val="auto"/>
              </w:rPr>
            </w:pPr>
          </w:p>
        </w:tc>
        <w:tc>
          <w:tcPr>
            <w:tcW w:w="10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(542)</w:t>
            </w:r>
          </w:p>
        </w:tc>
        <w:tc>
          <w:tcPr>
            <w:tcW w:w="860" w:type="dxa"/>
            <w:vAlign w:val="bottom"/>
          </w:tcPr>
          <w:p>
            <w:pPr>
              <w:spacing w:after="0"/>
              <w:rPr>
                <w:sz w:val="14"/>
                <w:szCs w:val="1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2,186</w:t>
            </w:r>
          </w:p>
        </w:tc>
        <w:tc>
          <w:tcPr>
            <w:tcW w:w="0" w:type="dxa"/>
            <w:vAlign w:val="bottom"/>
          </w:tcPr>
          <w:p>
            <w:pPr>
              <w:spacing w:after="0"/>
              <w:rPr>
                <w:sz w:val="1"/>
                <w:szCs w:val="1"/>
                <w:color w:val="auto"/>
              </w:rPr>
            </w:pPr>
          </w:p>
        </w:tc>
      </w:tr>
      <w:tr>
        <w:trPr>
          <w:trHeight w:val="168"/>
        </w:trPr>
        <w:tc>
          <w:tcPr>
            <w:tcW w:w="68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17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w:t>
            </w:r>
          </w:p>
        </w:tc>
        <w:tc>
          <w:tcPr>
            <w:tcW w:w="4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accrued expenses</w:t>
            </w:r>
          </w:p>
        </w:tc>
        <w:tc>
          <w:tcPr>
            <w:tcW w:w="17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4,001</w:t>
            </w:r>
          </w:p>
        </w:tc>
        <w:tc>
          <w:tcPr>
            <w:tcW w:w="8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(2,030)</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78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29,896</w:t>
            </w:r>
          </w:p>
        </w:tc>
        <w:tc>
          <w:tcPr>
            <w:tcW w:w="8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32,442</w:t>
            </w:r>
          </w:p>
        </w:tc>
        <w:tc>
          <w:tcPr>
            <w:tcW w:w="0" w:type="dxa"/>
            <w:vAlign w:val="bottom"/>
          </w:tcPr>
          <w:p>
            <w:pPr>
              <w:spacing w:after="0"/>
              <w:rPr>
                <w:sz w:val="1"/>
                <w:szCs w:val="1"/>
                <w:color w:val="auto"/>
              </w:rPr>
            </w:pPr>
          </w:p>
        </w:tc>
      </w:tr>
      <w:tr>
        <w:trPr>
          <w:trHeight w:val="427"/>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99"/>
              </w:rPr>
              <w:t>(33,534)</w:t>
            </w:r>
          </w:p>
        </w:tc>
        <w:tc>
          <w:tcPr>
            <w:tcW w:w="8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(17,879)</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17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(54,430)</w:t>
            </w:r>
          </w:p>
        </w:tc>
        <w:tc>
          <w:tcPr>
            <w:tcW w:w="8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(21,941)</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Repayments (issuance) of mortgage notes receivable, net</w:t>
            </w:r>
          </w:p>
        </w:tc>
        <w:tc>
          <w:tcPr>
            <w:tcW w:w="17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675</w:t>
            </w:r>
          </w:p>
        </w:tc>
        <w:tc>
          <w:tcPr>
            <w:tcW w:w="8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(3,448)</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1780" w:type="dxa"/>
            <w:vAlign w:val="bottom"/>
          </w:tcPr>
          <w:p>
            <w:pPr>
              <w:spacing w:after="0"/>
              <w:rPr>
                <w:sz w:val="24"/>
                <w:szCs w:val="2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(87,289)</w:t>
            </w:r>
          </w:p>
        </w:tc>
        <w:tc>
          <w:tcPr>
            <w:tcW w:w="8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(43,268)</w:t>
            </w:r>
          </w:p>
        </w:tc>
        <w:tc>
          <w:tcPr>
            <w:tcW w:w="0" w:type="dxa"/>
            <w:vAlign w:val="bottom"/>
          </w:tcPr>
          <w:p>
            <w:pPr>
              <w:spacing w:after="0"/>
              <w:rPr>
                <w:sz w:val="1"/>
                <w:szCs w:val="1"/>
                <w:color w:val="auto"/>
              </w:rPr>
            </w:pPr>
          </w:p>
        </w:tc>
      </w:tr>
      <w:tr>
        <w:trPr>
          <w:trHeight w:val="427"/>
        </w:trPr>
        <w:tc>
          <w:tcPr>
            <w:tcW w:w="22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75,000</w:t>
            </w:r>
          </w:p>
        </w:tc>
        <w:tc>
          <w:tcPr>
            <w:tcW w:w="860" w:type="dxa"/>
            <w:vAlign w:val="bottom"/>
          </w:tcPr>
          <w:p>
            <w:pPr>
              <w:spacing w:after="0"/>
              <w:rPr>
                <w:sz w:val="24"/>
                <w:szCs w:val="24"/>
                <w:color w:val="auto"/>
              </w:rPr>
            </w:pP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153,500</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Borrowing of short-term debt, net</w:t>
            </w:r>
          </w:p>
        </w:tc>
        <w:tc>
          <w:tcPr>
            <w:tcW w:w="17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mortgage and construction financing, net of costs</w:t>
            </w:r>
          </w:p>
        </w:tc>
        <w:tc>
          <w:tcPr>
            <w:tcW w:w="17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2,197</w:t>
            </w:r>
          </w:p>
        </w:tc>
        <w:tc>
          <w:tcPr>
            <w:tcW w:w="8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senior notes, net of costs</w:t>
            </w:r>
          </w:p>
        </w:tc>
        <w:tc>
          <w:tcPr>
            <w:tcW w:w="17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(100,000)</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17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937</w:t>
            </w:r>
          </w:p>
        </w:tc>
        <w:tc>
          <w:tcPr>
            <w:tcW w:w="8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697</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shares repurchased</w:t>
            </w:r>
          </w:p>
        </w:tc>
        <w:tc>
          <w:tcPr>
            <w:tcW w:w="17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(22,087)</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17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(312)</w:t>
            </w:r>
          </w:p>
        </w:tc>
        <w:tc>
          <w:tcPr>
            <w:tcW w:w="8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c>
          <w:tcPr>
            <w:tcW w:w="0" w:type="dxa"/>
            <w:vAlign w:val="bottom"/>
          </w:tcPr>
          <w:p>
            <w:pPr>
              <w:spacing w:after="0"/>
              <w:rPr>
                <w:sz w:val="1"/>
                <w:szCs w:val="1"/>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4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(19,933)</w:t>
            </w:r>
          </w:p>
        </w:tc>
        <w:tc>
          <w:tcPr>
            <w:tcW w:w="8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(19,425)</w:t>
            </w:r>
          </w:p>
        </w:tc>
        <w:tc>
          <w:tcPr>
            <w:tcW w:w="0" w:type="dxa"/>
            <w:vAlign w:val="bottom"/>
          </w:tcPr>
          <w:p>
            <w:pPr>
              <w:spacing w:after="0"/>
              <w:rPr>
                <w:sz w:val="1"/>
                <w:szCs w:val="1"/>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minority interest, net</w:t>
            </w:r>
          </w:p>
        </w:tc>
        <w:tc>
          <w:tcPr>
            <w:tcW w:w="17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(710)</w:t>
            </w:r>
          </w:p>
        </w:tc>
        <w:tc>
          <w:tcPr>
            <w:tcW w:w="8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501</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780" w:type="dxa"/>
            <w:vAlign w:val="bottom"/>
          </w:tcPr>
          <w:p>
            <w:pPr>
              <w:spacing w:after="0"/>
              <w:rPr>
                <w:sz w:val="22"/>
                <w:szCs w:val="22"/>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57,179</w:t>
            </w:r>
          </w:p>
        </w:tc>
        <w:tc>
          <w:tcPr>
            <w:tcW w:w="86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12,799</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(Decrease) increase  in cash</w:t>
            </w:r>
          </w:p>
        </w:tc>
        <w:tc>
          <w:tcPr>
            <w:tcW w:w="1780" w:type="dxa"/>
            <w:vAlign w:val="bottom"/>
          </w:tcPr>
          <w:p>
            <w:pPr>
              <w:spacing w:after="0"/>
              <w:rPr>
                <w:sz w:val="24"/>
                <w:szCs w:val="2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(214)</w:t>
            </w:r>
          </w:p>
        </w:tc>
        <w:tc>
          <w:tcPr>
            <w:tcW w:w="8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1,973</w:t>
            </w:r>
          </w:p>
        </w:tc>
        <w:tc>
          <w:tcPr>
            <w:tcW w:w="0" w:type="dxa"/>
            <w:vAlign w:val="bottom"/>
          </w:tcPr>
          <w:p>
            <w:pPr>
              <w:spacing w:after="0"/>
              <w:rPr>
                <w:sz w:val="1"/>
                <w:szCs w:val="1"/>
                <w:color w:val="auto"/>
              </w:rPr>
            </w:pPr>
          </w:p>
        </w:tc>
      </w:tr>
      <w:tr>
        <w:trPr>
          <w:trHeight w:val="259"/>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780" w:type="dxa"/>
            <w:vAlign w:val="bottom"/>
          </w:tcPr>
          <w:p>
            <w:pPr>
              <w:spacing w:after="0"/>
              <w:rPr>
                <w:sz w:val="22"/>
                <w:szCs w:val="22"/>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11,357</w:t>
            </w:r>
          </w:p>
        </w:tc>
        <w:tc>
          <w:tcPr>
            <w:tcW w:w="86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11,738</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20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464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11,143</w:t>
            </w:r>
          </w:p>
        </w:tc>
        <w:tc>
          <w:tcPr>
            <w:tcW w:w="860" w:type="dxa"/>
            <w:vAlign w:val="bottom"/>
          </w:tcPr>
          <w:p>
            <w:pPr>
              <w:ind w:left="7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13,711</w:t>
            </w: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ind w:right="4460"/>
        <w:spacing w:after="0"/>
        <w:tabs>
          <w:tab w:leader="none" w:pos="160" w:val="left"/>
        </w:tabs>
        <w:rPr>
          <w:sz w:val="20"/>
          <w:szCs w:val="20"/>
          <w:color w:val="auto"/>
        </w:rPr>
      </w:pPr>
      <w:r>
        <w:rPr>
          <w:rFonts w:ascii="Courier New" w:cs="Courier New" w:eastAsia="Courier New" w:hAnsi="Courier New"/>
          <w:sz w:val="15"/>
          <w:szCs w:val="15"/>
          <w:color w:val="auto"/>
        </w:rPr>
        <w:t>The accompanying notes are an integral part of these</w:t>
      </w:r>
      <w:r>
        <w:rPr>
          <w:sz w:val="20"/>
          <w:szCs w:val="20"/>
          <w:color w:val="auto"/>
        </w:rPr>
        <w:tab/>
      </w:r>
      <w:r>
        <w:rPr>
          <w:rFonts w:ascii="Courier New" w:cs="Courier New" w:eastAsia="Courier New" w:hAnsi="Courier New"/>
          <w:sz w:val="14"/>
          <w:szCs w:val="14"/>
          <w:color w:val="auto"/>
        </w:rPr>
        <w:t>consolidated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300"/>
          </w:cols>
          <w:pgMar w:left="220" w:top="598" w:right="379" w:bottom="1440" w:gutter="0" w:footer="0" w:header="0"/>
        </w:sectPr>
      </w:pPr>
    </w:p>
    <w:bookmarkStart w:id="7" w:name="page8"/>
    <w:bookmarkEnd w:id="7"/>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March 31, 2001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66"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2000 which contain the accounting policies and other data of Federal Realty Investment Trust (the "Trust").</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EPS: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 ending</w:t>
            </w:r>
          </w:p>
        </w:tc>
        <w:tc>
          <w:tcPr>
            <w:tcW w:w="0" w:type="dxa"/>
            <w:vAlign w:val="bottom"/>
          </w:tcPr>
          <w:p>
            <w:pPr>
              <w:spacing w:after="0"/>
              <w:rPr>
                <w:sz w:val="1"/>
                <w:szCs w:val="1"/>
                <w:color w:val="auto"/>
              </w:rPr>
            </w:pPr>
          </w:p>
        </w:tc>
      </w:tr>
      <w:tr>
        <w:trPr>
          <w:trHeight w:val="168"/>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Numerator</w:t>
            </w:r>
          </w:p>
        </w:tc>
        <w:tc>
          <w:tcPr>
            <w:tcW w:w="2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w:t>
            </w:r>
          </w:p>
        </w:tc>
        <w:tc>
          <w:tcPr>
            <w:tcW w:w="2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$12,245</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$12,151</w:t>
            </w: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2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w:t>
            </w:r>
          </w:p>
        </w:tc>
        <w:tc>
          <w:tcPr>
            <w:tcW w:w="2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299</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613</w:t>
            </w: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2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00" w:type="dxa"/>
            <w:vAlign w:val="bottom"/>
            <w:vMerge w:val="continue"/>
          </w:tcPr>
          <w:p>
            <w:pPr>
              <w:spacing w:after="0"/>
              <w:rPr>
                <w:sz w:val="7"/>
                <w:szCs w:val="7"/>
                <w:color w:val="auto"/>
              </w:rPr>
            </w:pPr>
          </w:p>
        </w:tc>
        <w:tc>
          <w:tcPr>
            <w:tcW w:w="2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$12,544</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$12,764</w:t>
            </w: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shareholders - diluted</w:t>
            </w:r>
          </w:p>
        </w:tc>
        <w:tc>
          <w:tcPr>
            <w:tcW w:w="2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2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38,822</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39,444</w:t>
            </w: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2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20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129</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146</w:t>
            </w: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20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1,005</w:t>
            </w:r>
          </w:p>
        </w:tc>
        <w:tc>
          <w:tcPr>
            <w:tcW w:w="0" w:type="dxa"/>
            <w:vAlign w:val="bottom"/>
          </w:tcPr>
          <w:p>
            <w:pPr>
              <w:spacing w:after="0"/>
              <w:rPr>
                <w:sz w:val="1"/>
                <w:szCs w:val="1"/>
                <w:color w:val="auto"/>
              </w:rPr>
            </w:pPr>
          </w:p>
        </w:tc>
      </w:tr>
      <w:tr>
        <w:trPr>
          <w:trHeight w:val="168"/>
        </w:trPr>
        <w:tc>
          <w:tcPr>
            <w:tcW w:w="3900" w:type="dxa"/>
            <w:vAlign w:val="bottom"/>
            <w:vMerge w:val="restart"/>
          </w:tcPr>
          <w:p>
            <w:pPr>
              <w:spacing w:after="0"/>
              <w:rPr>
                <w:sz w:val="20"/>
                <w:szCs w:val="20"/>
                <w:color w:val="auto"/>
              </w:rPr>
            </w:pPr>
            <w:r>
              <w:rPr>
                <w:rFonts w:ascii="Courier New" w:cs="Courier New" w:eastAsia="Courier New" w:hAnsi="Courier New"/>
                <w:sz w:val="15"/>
                <w:szCs w:val="15"/>
                <w:color w:val="auto"/>
              </w:rPr>
              <w:t>Denominator for diluted EPS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00" w:type="dxa"/>
            <w:vAlign w:val="bottom"/>
            <w:vMerge w:val="continue"/>
          </w:tcPr>
          <w:p>
            <w:pPr>
              <w:spacing w:after="0"/>
              <w:rPr>
                <w:sz w:val="14"/>
                <w:szCs w:val="14"/>
                <w:color w:val="auto"/>
              </w:rPr>
            </w:pP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39,856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40,595</w:t>
            </w:r>
          </w:p>
        </w:tc>
        <w:tc>
          <w:tcPr>
            <w:tcW w:w="0" w:type="dxa"/>
            <w:vAlign w:val="bottom"/>
          </w:tcPr>
          <w:p>
            <w:pPr>
              <w:spacing w:after="0"/>
              <w:rPr>
                <w:sz w:val="1"/>
                <w:szCs w:val="1"/>
                <w:color w:val="auto"/>
              </w:rPr>
            </w:pPr>
          </w:p>
        </w:tc>
      </w:tr>
      <w:tr>
        <w:trPr>
          <w:trHeight w:val="245"/>
        </w:trPr>
        <w:tc>
          <w:tcPr>
            <w:tcW w:w="3900" w:type="dxa"/>
            <w:vAlign w:val="bottom"/>
          </w:tcPr>
          <w:p>
            <w:pPr>
              <w:spacing w:after="0"/>
              <w:rPr>
                <w:sz w:val="21"/>
                <w:szCs w:val="21"/>
                <w:color w:val="auto"/>
              </w:rPr>
            </w:pPr>
          </w:p>
        </w:tc>
        <w:tc>
          <w:tcPr>
            <w:tcW w:w="2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239"/>
        <w:spacing w:after="0" w:line="262" w:lineRule="auto"/>
        <w:rPr>
          <w:sz w:val="20"/>
          <w:szCs w:val="20"/>
          <w:color w:val="auto"/>
        </w:rPr>
      </w:pPr>
      <w:r>
        <w:rPr>
          <w:rFonts w:ascii="Courier New" w:cs="Courier New" w:eastAsia="Courier New" w:hAnsi="Courier New"/>
          <w:sz w:val="14"/>
          <w:szCs w:val="14"/>
          <w:color w:val="auto"/>
        </w:rPr>
        <w:t>Risk Management. Upon adoption of SFAS No. 133 "Accounting for Derivative Instruments and Hedging Activities" on January 1, 2001, the Trust had no derivatives and thus there was no transition adjustment upon adoption. SFAS No. 133 requires that an entity recognize all derivatives as either assets or liabilities in the statement of financial position and measure those instruments at fair value. If certain conditions are met, a derivative may be specifically designated as a hedge of the exposure to certain risks. The Trust enters into derivative contracts, which qualify as cash flow hedges, in order to manage interest rate risk. Derivatives are not purchased for speculation. During the first quarter of 2001, the Trust entered into interest rate swaps, which fixed the interest rate at 6.22% on notional amounts totaling $125 million to hedge its exposure to increasing interest rates on its variable rate $125 million term loan. The swaps were documented as cash flow hedges and designated as effective at inception of the swap contract. Consequently, the unrealized gain or loss upon measuring the swaps at their fair value is recorded as a component of other comprehensive income within stockholders' equity and either a derivative instrument asset or liability is recorded on the balance sheet. At March 31, 2001, a loss of $1.1 million was recorded in other comprehensive</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income with a corresponding derivative liability on the balance sheet.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REAL ESTATE ASSETS AND ENCUMBRANCES</w:t>
      </w:r>
    </w:p>
    <w:p>
      <w:pPr>
        <w:spacing w:after="0" w:line="166"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5"/>
          <w:szCs w:val="15"/>
          <w:color w:val="auto"/>
        </w:rPr>
        <w:t>On February 16, 2001 the Trust bought the fee interest underlying the capital lease obligation,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81" w:lineRule="exact"/>
        <w:rPr>
          <w:sz w:val="20"/>
          <w:szCs w:val="20"/>
          <w:color w:val="auto"/>
        </w:rPr>
      </w:pPr>
    </w:p>
    <w:p>
      <w:pPr>
        <w:ind w:right="3239" w:firstLine="787"/>
        <w:spacing w:after="0" w:line="250" w:lineRule="auto"/>
        <w:rPr>
          <w:sz w:val="20"/>
          <w:szCs w:val="20"/>
          <w:color w:val="auto"/>
        </w:rPr>
      </w:pPr>
      <w:r>
        <w:rPr>
          <w:rFonts w:ascii="Courier New" w:cs="Courier New" w:eastAsia="Courier New" w:hAnsi="Courier New"/>
          <w:sz w:val="15"/>
          <w:szCs w:val="15"/>
          <w:color w:val="auto"/>
        </w:rPr>
        <w:t>On March 1, 2001 the limited partners in two partnerships, owning street retail properties in southern California, exercised their rights under the partnership agreements and put their interests to the Trust. The Trust purchased their interests for $18.1 million, $11.4 million in cash, which was paid at closing, and the balance in common shares of the Trust. The Trust filed a Registration Statement under the Securities Act of 1933 to register these shares and will issue the shares to the partners when the registration statement becomes effective. Up to an additional estimated $1.7 million may be owed to the limited partners if certain leasing transactions occur.</w:t>
      </w:r>
    </w:p>
    <w:p>
      <w:pPr>
        <w:spacing w:after="0" w:line="89"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5"/>
          <w:szCs w:val="15"/>
          <w:color w:val="auto"/>
        </w:rPr>
        <w:t>In connection with the buyout of the minority partner at Santana Row in a transaction being structured as a tax-free exchange and classified as part of the development of Santana Row, the Trust made an investment in an office building for $8.5 million. Upon consummation of the exchange, the Trust will receive the minority interest in Santana Row and $5.9 million in cash in exchange for the building.</w:t>
      </w:r>
    </w:p>
    <w:p>
      <w:pPr>
        <w:spacing w:after="0" w:line="81" w:lineRule="exact"/>
        <w:rPr>
          <w:sz w:val="20"/>
          <w:szCs w:val="20"/>
          <w:color w:val="auto"/>
        </w:rPr>
      </w:pPr>
    </w:p>
    <w:p>
      <w:pPr>
        <w:jc w:val="both"/>
        <w:ind w:right="3239" w:firstLine="787"/>
        <w:spacing w:after="0" w:line="290" w:lineRule="auto"/>
        <w:rPr>
          <w:sz w:val="20"/>
          <w:szCs w:val="20"/>
          <w:color w:val="auto"/>
        </w:rPr>
      </w:pPr>
      <w:r>
        <w:rPr>
          <w:rFonts w:ascii="Courier New" w:cs="Courier New" w:eastAsia="Courier New" w:hAnsi="Courier New"/>
          <w:sz w:val="15"/>
          <w:szCs w:val="15"/>
          <w:color w:val="auto"/>
        </w:rPr>
        <w:t>In addition, the Trust made an additional loan of $553,000 to existing borrowers with an average weighted interest rate of 10.0%. $1.2 million of notes were repaid to the Trust during the first quarter of 2001.</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MORTGAGES AND NOTES PAYABLE</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At March 31, 2001 there was $153.0 million borrowed under the Trust's syndicated credit facility, which also represents the maximum drawn during the quarter. The weighted average interest rate on borrowings for the three months ended March 31, 2001 was 6.6%. The facility requires fees and has various covenants including the maintenance of a minimum shareholders' equity and a maximum ratio of debt to net worth. At March 31, 2001 the Trust is in compliance with all loan covenants.</w:t>
      </w:r>
    </w:p>
    <w:p>
      <w:pPr>
        <w:spacing w:after="0" w:line="82"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5"/>
          <w:szCs w:val="15"/>
          <w:color w:val="auto"/>
        </w:rPr>
        <w:t>At March 31, 2001 there was $18.4 million borrowed under the construction loan for the Trust's Woodmont East development in Bethesda, Maryland. The loan, which has a floating interest rate of LIBOR plus 120 to 150 basis points, depending on occupancy levels, matures August 29, 2002 with two one-year extension options. No principal payments are due until maturity. The property secures the</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construction loan facility.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SHAREHOLDERS' EQUITY</w:t>
      </w:r>
    </w:p>
    <w:p>
      <w:pPr>
        <w:spacing w:after="0" w:line="166" w:lineRule="exact"/>
        <w:rPr>
          <w:sz w:val="20"/>
          <w:szCs w:val="20"/>
          <w:color w:val="auto"/>
        </w:rPr>
      </w:pPr>
    </w:p>
    <w:p>
      <w:pPr>
        <w:ind w:right="3579" w:firstLine="787"/>
        <w:spacing w:after="0" w:line="273" w:lineRule="auto"/>
        <w:rPr>
          <w:sz w:val="20"/>
          <w:szCs w:val="20"/>
          <w:color w:val="auto"/>
        </w:rPr>
      </w:pPr>
      <w:r>
        <w:rPr>
          <w:rFonts w:ascii="Courier New" w:cs="Courier New" w:eastAsia="Courier New" w:hAnsi="Courier New"/>
          <w:sz w:val="15"/>
          <w:szCs w:val="15"/>
          <w:color w:val="auto"/>
        </w:rPr>
        <w:t>In February and March 2001, options for 405,000 shares at prices ranging from $19.80 to $19.93 per share, fair market value at the dates of award, were awarded to certain employees of the Trust. The options vest over three years.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INTEREST EXPENSE</w:t>
      </w:r>
    </w:p>
    <w:p>
      <w:pPr>
        <w:spacing w:after="0" w:line="166" w:lineRule="exact"/>
        <w:rPr>
          <w:sz w:val="20"/>
          <w:szCs w:val="20"/>
          <w:color w:val="auto"/>
        </w:rPr>
      </w:pPr>
    </w:p>
    <w:p>
      <w:pPr>
        <w:ind w:right="3319" w:firstLine="787"/>
        <w:spacing w:after="0" w:line="287" w:lineRule="auto"/>
        <w:rPr>
          <w:sz w:val="20"/>
          <w:szCs w:val="20"/>
          <w:color w:val="auto"/>
        </w:rPr>
      </w:pPr>
      <w:r>
        <w:rPr>
          <w:rFonts w:ascii="Courier New" w:cs="Courier New" w:eastAsia="Courier New" w:hAnsi="Courier New"/>
          <w:sz w:val="14"/>
          <w:szCs w:val="14"/>
          <w:color w:val="auto"/>
        </w:rPr>
        <w:t>The Trust incurred interest expense totaling $21.3 million during the first three months of 2001 and $18.7 million during the first three months of 2000 of which $4.1 million and $2.2 million, respectively, was capitalized in connection with development projects. Interest paid was $17.2 million in the first three months of 2001 and $19.9 million in the first three months of 2000.</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COMMITMENTS AND CONTINGENCIES</w:t>
      </w:r>
    </w:p>
    <w:p>
      <w:pPr>
        <w:spacing w:after="0" w:line="166" w:lineRule="exact"/>
        <w:rPr>
          <w:sz w:val="20"/>
          <w:szCs w:val="20"/>
          <w:color w:val="auto"/>
        </w:rPr>
      </w:pPr>
    </w:p>
    <w:p>
      <w:pPr>
        <w:ind w:right="3239" w:firstLine="787"/>
        <w:spacing w:after="0" w:line="262" w:lineRule="auto"/>
        <w:rPr>
          <w:sz w:val="20"/>
          <w:szCs w:val="20"/>
          <w:color w:val="auto"/>
        </w:rPr>
      </w:pPr>
      <w:r>
        <w:rPr>
          <w:rFonts w:ascii="Courier New" w:cs="Courier New" w:eastAsia="Courier New" w:hAnsi="Courier New"/>
          <w:sz w:val="14"/>
          <w:szCs w:val="14"/>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for damages of $7 million plus interest, attorneys' fees and litigation costs. The Trust believes that the counterclaim is generally without merit and that the outcome of the counterclaim, even if determined adversely to the Trust, will not have a material adverse effect on its financial condition, results of operations or on the project. Work continues under the direction of the new general contractor. The Trust is evaluating the effect of the delay on the total costs of the project. Near-term returns for the project will be affected, however, the Trust does not believe that the project is impaired.</w:t>
      </w:r>
    </w:p>
    <w:p>
      <w:pPr>
        <w:spacing w:after="0" w:line="252" w:lineRule="exact"/>
        <w:rPr>
          <w:sz w:val="20"/>
          <w:szCs w:val="20"/>
          <w:color w:val="auto"/>
        </w:rPr>
      </w:pPr>
    </w:p>
    <w:p>
      <w:pPr>
        <w:ind w:right="3319" w:firstLine="787"/>
        <w:spacing w:after="0" w:line="264"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even if determined adversely to the Trust, will not have a material effect on the financial condition or results of operations of the Trust.</w:t>
      </w:r>
    </w:p>
    <w:p>
      <w:pPr>
        <w:spacing w:after="0" w:line="75" w:lineRule="exact"/>
        <w:rPr>
          <w:sz w:val="20"/>
          <w:szCs w:val="20"/>
          <w:color w:val="auto"/>
        </w:rPr>
      </w:pPr>
    </w:p>
    <w:p>
      <w:pPr>
        <w:ind w:right="3239" w:firstLine="787"/>
        <w:spacing w:after="0" w:line="264"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an unaffiliated third party, has the right, exercisable on two occasions, to require the Trust and the two other minority partners to purchase from half to all of Rockville Plaza Company's 37.5%</w:t>
      </w:r>
    </w:p>
    <w:p>
      <w:pPr>
        <w:spacing w:after="0" w:line="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0" w:name="page11"/>
    <w:bookmarkEnd w:id="10"/>
    <w:p>
      <w:pPr>
        <w:ind w:right="3319"/>
        <w:spacing w:after="0" w:line="273" w:lineRule="auto"/>
        <w:rPr>
          <w:sz w:val="20"/>
          <w:szCs w:val="20"/>
          <w:color w:val="auto"/>
        </w:rPr>
      </w:pPr>
      <w:r>
        <w:rPr>
          <w:rFonts w:ascii="Courier New" w:cs="Courier New" w:eastAsia="Courier New" w:hAnsi="Courier New"/>
          <w:sz w:val="15"/>
          <w:szCs w:val="15"/>
          <w:color w:val="auto"/>
        </w:rPr>
        <w:t>interest in Congressional Plaza at the interest's then-current fair market value. Based on management's current estimate of fair market value, the Trust's estimated liability upon exercise of the put option is approximately $27 million.</w:t>
      </w:r>
    </w:p>
    <w:p>
      <w:pPr>
        <w:spacing w:after="0" w:line="68"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Under the terms of six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86"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COMPONENTS OF RENTAL INCOME</w:t>
      </w:r>
    </w:p>
    <w:p>
      <w:pPr>
        <w:spacing w:after="0" w:line="166" w:lineRule="exact"/>
        <w:rPr>
          <w:sz w:val="20"/>
          <w:szCs w:val="20"/>
          <w:color w:val="auto"/>
        </w:rPr>
      </w:pPr>
    </w:p>
    <w:p>
      <w:pPr>
        <w:ind w:right="3399" w:firstLine="787"/>
        <w:spacing w:after="0" w:line="344" w:lineRule="auto"/>
        <w:rPr>
          <w:sz w:val="20"/>
          <w:szCs w:val="20"/>
          <w:color w:val="auto"/>
        </w:rPr>
      </w:pPr>
      <w:r>
        <w:rPr>
          <w:rFonts w:ascii="Courier New" w:cs="Courier New" w:eastAsia="Courier New" w:hAnsi="Courier New"/>
          <w:sz w:val="15"/>
          <w:szCs w:val="15"/>
          <w:color w:val="auto"/>
        </w:rPr>
        <w:t>The components of rental income for the periods ended March 31 are as follows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2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245"/>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Retail properties</w:t>
            </w:r>
          </w:p>
        </w:tc>
        <w:tc>
          <w:tcPr>
            <w:tcW w:w="22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0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900" w:type="dxa"/>
            <w:vAlign w:val="bottom"/>
          </w:tcPr>
          <w:p>
            <w:pPr>
              <w:ind w:left="100"/>
              <w:spacing w:after="0"/>
              <w:rPr>
                <w:sz w:val="20"/>
                <w:szCs w:val="20"/>
                <w:color w:val="auto"/>
              </w:rPr>
            </w:pPr>
            <w:r>
              <w:rPr>
                <w:rFonts w:ascii="Courier New" w:cs="Courier New" w:eastAsia="Courier New" w:hAnsi="Courier New"/>
                <w:sz w:val="15"/>
                <w:szCs w:val="15"/>
                <w:color w:val="auto"/>
              </w:rPr>
              <w:t>Minimum rents</w:t>
            </w:r>
          </w:p>
        </w:tc>
        <w:tc>
          <w:tcPr>
            <w:tcW w:w="2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$54,030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$51,723</w:t>
            </w:r>
          </w:p>
        </w:tc>
        <w:tc>
          <w:tcPr>
            <w:tcW w:w="0" w:type="dxa"/>
            <w:vAlign w:val="bottom"/>
          </w:tcPr>
          <w:p>
            <w:pPr>
              <w:spacing w:after="0"/>
              <w:rPr>
                <w:sz w:val="1"/>
                <w:szCs w:val="1"/>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2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10,258</w:t>
            </w:r>
          </w:p>
        </w:tc>
        <w:tc>
          <w:tcPr>
            <w:tcW w:w="0" w:type="dxa"/>
            <w:vAlign w:val="bottom"/>
          </w:tcPr>
          <w:p>
            <w:pPr>
              <w:spacing w:after="0"/>
              <w:rPr>
                <w:sz w:val="1"/>
                <w:szCs w:val="1"/>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Percentage rents</w:t>
            </w:r>
          </w:p>
        </w:tc>
        <w:tc>
          <w:tcPr>
            <w:tcW w:w="2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1,931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1,556</w:t>
            </w:r>
          </w:p>
        </w:tc>
        <w:tc>
          <w:tcPr>
            <w:tcW w:w="0" w:type="dxa"/>
            <w:vAlign w:val="bottom"/>
          </w:tcPr>
          <w:p>
            <w:pPr>
              <w:spacing w:after="0"/>
              <w:rPr>
                <w:sz w:val="1"/>
                <w:szCs w:val="1"/>
                <w:color w:val="auto"/>
              </w:rPr>
            </w:pPr>
          </w:p>
        </w:tc>
      </w:tr>
      <w:tr>
        <w:trPr>
          <w:trHeight w:val="168"/>
        </w:trPr>
        <w:tc>
          <w:tcPr>
            <w:tcW w:w="2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Apartments</w:t>
            </w:r>
          </w:p>
        </w:tc>
        <w:tc>
          <w:tcPr>
            <w:tcW w:w="2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00" w:type="dxa"/>
            <w:vAlign w:val="bottom"/>
          </w:tcPr>
          <w:p>
            <w:pPr>
              <w:spacing w:after="0"/>
              <w:rPr>
                <w:sz w:val="22"/>
                <w:szCs w:val="22"/>
                <w:color w:val="auto"/>
              </w:rPr>
            </w:pPr>
          </w:p>
        </w:tc>
        <w:tc>
          <w:tcPr>
            <w:tcW w:w="2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$67,136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$64,232</w:t>
            </w:r>
          </w:p>
        </w:tc>
        <w:tc>
          <w:tcPr>
            <w:tcW w:w="0" w:type="dxa"/>
            <w:vAlign w:val="bottom"/>
          </w:tcPr>
          <w:p>
            <w:pPr>
              <w:spacing w:after="0"/>
              <w:rPr>
                <w:sz w:val="1"/>
                <w:szCs w:val="1"/>
                <w:color w:val="auto"/>
              </w:rPr>
            </w:pPr>
          </w:p>
        </w:tc>
      </w:tr>
      <w:tr>
        <w:trPr>
          <w:trHeight w:val="245"/>
        </w:trPr>
        <w:tc>
          <w:tcPr>
            <w:tcW w:w="2900" w:type="dxa"/>
            <w:vAlign w:val="bottom"/>
          </w:tcPr>
          <w:p>
            <w:pPr>
              <w:spacing w:after="0"/>
              <w:rPr>
                <w:sz w:val="21"/>
                <w:szCs w:val="21"/>
                <w:color w:val="auto"/>
              </w:rPr>
            </w:pPr>
          </w:p>
        </w:tc>
        <w:tc>
          <w:tcPr>
            <w:tcW w:w="2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SUBSEQUENT EVENTS</w:t>
      </w:r>
    </w:p>
    <w:p>
      <w:pPr>
        <w:spacing w:after="0" w:line="16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On April 12, 2001 the Trust obtained a $33 million mortgage loan secured by Brick Plaza in Brick, New Jersey. The mortgage, which bears interest at 7.415%, matures November 15, 2015. The loan provides for interest only payments for the initial 29 months, then monthly principal and interest payments based on a twenty-seven year amortization schedule until the maturity date. The proceeds from the mortgage loan were used to pay down the Trust's syndicated credit facility, which was used to fund the purchase of the fee interest of Brick Plaza (see Note B).</w:t>
      </w:r>
    </w:p>
    <w:p>
      <w:pPr>
        <w:spacing w:after="0" w:line="86" w:lineRule="exact"/>
        <w:rPr>
          <w:sz w:val="20"/>
          <w:szCs w:val="20"/>
          <w:color w:val="auto"/>
        </w:rPr>
      </w:pPr>
    </w:p>
    <w:p>
      <w:pPr>
        <w:ind w:right="3319" w:firstLine="787"/>
        <w:spacing w:after="0" w:line="280" w:lineRule="auto"/>
        <w:rPr>
          <w:sz w:val="20"/>
          <w:szCs w:val="20"/>
          <w:color w:val="auto"/>
        </w:rPr>
      </w:pPr>
      <w:r>
        <w:rPr>
          <w:rFonts w:ascii="Courier New" w:cs="Courier New" w:eastAsia="Courier New" w:hAnsi="Courier New"/>
          <w:sz w:val="14"/>
          <w:szCs w:val="14"/>
          <w:color w:val="auto"/>
        </w:rPr>
        <w:t>On April 17, 2001 the Trust closed on a $295 million construction loan for Santana Row in San Jose, California. The loan, which initially bears interest at LIBOR plus 212.5 basis points, matures April 16, 2004 with two one-year extension options. The interest rate will decrease to LIBOR plus 187.5 basis points then to LIBOR plus 162.5 basis points upon the achievement of certain leasing, occupancy and net operating income hurdles. The construction</w:t>
      </w:r>
    </w:p>
    <w:p>
      <w:pPr>
        <w:spacing w:after="0" w:line="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1" w:name="page12"/>
    <w:bookmarkEnd w:id="11"/>
    <w:p>
      <w:pPr>
        <w:ind w:right="3399"/>
        <w:spacing w:after="0" w:line="264" w:lineRule="auto"/>
        <w:rPr>
          <w:sz w:val="20"/>
          <w:szCs w:val="20"/>
          <w:color w:val="auto"/>
        </w:rPr>
      </w:pPr>
      <w:r>
        <w:rPr>
          <w:rFonts w:ascii="Courier New" w:cs="Courier New" w:eastAsia="Courier New" w:hAnsi="Courier New"/>
          <w:sz w:val="15"/>
          <w:szCs w:val="15"/>
          <w:color w:val="auto"/>
        </w:rPr>
        <w:t>loan requires fees and has various covenants including the maintenance of a minimum shareholders' equity and a maximum ratio of debt to gross asset value. Funding on the construction loan will begin after the Trust has fulfilled its equity requirement in the project and met the pre-leasing requirements, which have not yet been achieved.</w:t>
      </w:r>
    </w:p>
    <w:p>
      <w:pPr>
        <w:spacing w:after="0" w:line="75" w:lineRule="exact"/>
        <w:rPr>
          <w:sz w:val="20"/>
          <w:szCs w:val="20"/>
          <w:color w:val="auto"/>
        </w:rPr>
      </w:pPr>
    </w:p>
    <w:p>
      <w:pPr>
        <w:jc w:val="both"/>
        <w:ind w:right="3499" w:firstLine="787"/>
        <w:spacing w:after="0" w:line="290" w:lineRule="auto"/>
        <w:rPr>
          <w:sz w:val="20"/>
          <w:szCs w:val="20"/>
          <w:color w:val="auto"/>
        </w:rPr>
      </w:pPr>
      <w:r>
        <w:rPr>
          <w:rFonts w:ascii="Courier New" w:cs="Courier New" w:eastAsia="Courier New" w:hAnsi="Courier New"/>
          <w:sz w:val="15"/>
          <w:szCs w:val="15"/>
          <w:color w:val="auto"/>
        </w:rPr>
        <w:t>On April 27, 2001 the Trust sold the Williamsburg Shopping Center in Williamsburg, Virginia for $16.7 million resulting in a gain of approximately $7.5 million.</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I - SEGMENT INFORMATION</w:t>
      </w:r>
    </w:p>
    <w:p>
      <w:pPr>
        <w:spacing w:after="0" w:line="166" w:lineRule="exact"/>
        <w:rPr>
          <w:sz w:val="20"/>
          <w:szCs w:val="20"/>
          <w:color w:val="auto"/>
        </w:rPr>
      </w:pPr>
    </w:p>
    <w:p>
      <w:pPr>
        <w:ind w:right="5080" w:firstLine="437"/>
        <w:spacing w:after="0" w:line="34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 w:lineRule="exact"/>
        <w:rPr>
          <w:sz w:val="20"/>
          <w:szCs w:val="20"/>
          <w:color w:val="auto"/>
        </w:rPr>
      </w:pPr>
    </w:p>
    <w:p>
      <w:pPr>
        <w:ind w:right="4300" w:firstLine="437"/>
        <w:spacing w:after="0" w:line="344" w:lineRule="auto"/>
        <w:rPr>
          <w:sz w:val="20"/>
          <w:szCs w:val="20"/>
          <w:color w:val="auto"/>
        </w:rPr>
      </w:pPr>
      <w:r>
        <w:rPr>
          <w:rFonts w:ascii="Courier New" w:cs="Courier New" w:eastAsia="Courier New" w:hAnsi="Courier New"/>
          <w:sz w:val="15"/>
          <w:szCs w:val="15"/>
          <w:color w:val="auto"/>
        </w:rPr>
        <w:t>A summary of the Trust's operations by geographic region is presented below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96"/>
              </w:rPr>
              <w:t>Three months ended</w:t>
            </w:r>
          </w:p>
        </w:tc>
        <w:tc>
          <w:tcPr>
            <w:tcW w:w="214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Northeast</w:t>
            </w:r>
          </w:p>
        </w:tc>
        <w:tc>
          <w:tcPr>
            <w:tcW w:w="1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Mid-Atlantic</w:t>
            </w:r>
          </w:p>
        </w:tc>
        <w:tc>
          <w:tcPr>
            <w:tcW w:w="1480" w:type="dxa"/>
            <w:vAlign w:val="bottom"/>
            <w:vMerge w:val="restart"/>
          </w:tcPr>
          <w:p>
            <w:pPr>
              <w:ind w:left="560"/>
              <w:spacing w:after="0"/>
              <w:rPr>
                <w:sz w:val="20"/>
                <w:szCs w:val="20"/>
                <w:color w:val="auto"/>
              </w:rPr>
            </w:pPr>
            <w:r>
              <w:rPr>
                <w:rFonts w:ascii="Courier New" w:cs="Courier New" w:eastAsia="Courier New" w:hAnsi="Courier New"/>
                <w:sz w:val="15"/>
                <w:szCs w:val="15"/>
                <w:color w:val="auto"/>
              </w:rPr>
              <w:t>West</w:t>
            </w:r>
          </w:p>
        </w:tc>
        <w:tc>
          <w:tcPr>
            <w:tcW w:w="172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Other</w:t>
            </w:r>
          </w:p>
        </w:tc>
        <w:tc>
          <w:tcPr>
            <w:tcW w:w="1140" w:type="dxa"/>
            <w:vAlign w:val="bottom"/>
            <w:vMerge w:val="restart"/>
          </w:tcPr>
          <w:p>
            <w:pPr>
              <w:ind w:left="700"/>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194"/>
        </w:trPr>
        <w:tc>
          <w:tcPr>
            <w:tcW w:w="26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March 31, 2001</w:t>
            </w:r>
          </w:p>
        </w:tc>
        <w:tc>
          <w:tcPr>
            <w:tcW w:w="214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$ 28,984</w:t>
            </w:r>
          </w:p>
        </w:tc>
        <w:tc>
          <w:tcPr>
            <w:tcW w:w="17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$ 30,042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8,110</w:t>
            </w:r>
          </w:p>
        </w:tc>
        <w:tc>
          <w:tcPr>
            <w:tcW w:w="16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67,136</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1,041</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977</w:t>
            </w:r>
          </w:p>
        </w:tc>
        <w:tc>
          <w:tcPr>
            <w:tcW w:w="50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692</w:t>
            </w: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2,710</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(6,618)</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(6,207)</w:t>
            </w:r>
          </w:p>
        </w:tc>
        <w:tc>
          <w:tcPr>
            <w:tcW w:w="5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(2,220)</w:t>
            </w: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(15,045)</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(3,632)</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(2,315)</w:t>
            </w:r>
          </w:p>
        </w:tc>
        <w:tc>
          <w:tcPr>
            <w:tcW w:w="5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(673)</w:t>
            </w: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(6,620)</w:t>
            </w:r>
          </w:p>
        </w:tc>
        <w:tc>
          <w:tcPr>
            <w:tcW w:w="0" w:type="dxa"/>
            <w:vAlign w:val="bottom"/>
          </w:tcPr>
          <w:p>
            <w:pPr>
              <w:spacing w:after="0"/>
              <w:rPr>
                <w:sz w:val="1"/>
                <w:szCs w:val="1"/>
                <w:color w:val="auto"/>
              </w:rPr>
            </w:pPr>
          </w:p>
        </w:tc>
      </w:tr>
      <w:tr>
        <w:trPr>
          <w:trHeight w:val="168"/>
        </w:trPr>
        <w:tc>
          <w:tcPr>
            <w:tcW w:w="32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operating income</w:t>
            </w:r>
          </w:p>
        </w:tc>
        <w:tc>
          <w:tcPr>
            <w:tcW w:w="1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4"/>
              </w:rPr>
              <w:t>--------</w:t>
            </w:r>
            <w:r>
              <w:rPr>
                <w:rFonts w:ascii="Courier New" w:cs="Courier New" w:eastAsia="Courier New" w:hAnsi="Courier New"/>
                <w:sz w:val="29"/>
                <w:szCs w:val="29"/>
                <w:color w:val="auto"/>
                <w:w w:val="94"/>
                <w:vertAlign w:val="subscript"/>
              </w:rPr>
              <w:t>19,775</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22,497</w:t>
            </w:r>
          </w:p>
        </w:tc>
        <w:tc>
          <w:tcPr>
            <w:tcW w:w="50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5,909</w:t>
            </w:r>
          </w:p>
        </w:tc>
        <w:tc>
          <w:tcPr>
            <w:tcW w:w="16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$1,857</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48,181</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1,857</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(17,150)</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(17,150)</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(6,698)</w:t>
            </w:r>
          </w:p>
        </w:tc>
        <w:tc>
          <w:tcPr>
            <w:tcW w:w="17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(5,664)</w:t>
            </w:r>
          </w:p>
        </w:tc>
        <w:tc>
          <w:tcPr>
            <w:tcW w:w="500" w:type="dxa"/>
            <w:vAlign w:val="bottom"/>
          </w:tcPr>
          <w:p>
            <w:pPr>
              <w:spacing w:after="0"/>
              <w:rPr>
                <w:sz w:val="14"/>
                <w:szCs w:val="14"/>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8"/>
              </w:rPr>
              <w:t>(1,555)</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(3,133)</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(3,133)</w:t>
            </w:r>
          </w:p>
        </w:tc>
        <w:tc>
          <w:tcPr>
            <w:tcW w:w="0" w:type="dxa"/>
            <w:vAlign w:val="bottom"/>
          </w:tcPr>
          <w:p>
            <w:pPr>
              <w:spacing w:after="0"/>
              <w:rPr>
                <w:sz w:val="1"/>
                <w:szCs w:val="1"/>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(14,144)</w:t>
            </w:r>
          </w:p>
        </w:tc>
        <w:tc>
          <w:tcPr>
            <w:tcW w:w="0" w:type="dxa"/>
            <w:vAlign w:val="bottom"/>
          </w:tcPr>
          <w:p>
            <w:pPr>
              <w:spacing w:after="0"/>
              <w:rPr>
                <w:sz w:val="1"/>
                <w:szCs w:val="1"/>
                <w:color w:val="auto"/>
              </w:rPr>
            </w:pPr>
          </w:p>
        </w:tc>
      </w:tr>
      <w:tr>
        <w:trPr>
          <w:trHeight w:val="245"/>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investors' share</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00" w:type="dxa"/>
            <w:vAlign w:val="bottom"/>
            <w:vMerge w:val="continue"/>
          </w:tcPr>
          <w:p>
            <w:pPr>
              <w:spacing w:after="0"/>
              <w:rPr>
                <w:sz w:val="7"/>
                <w:szCs w:val="7"/>
                <w:color w:val="auto"/>
              </w:rPr>
            </w:pPr>
          </w:p>
        </w:tc>
        <w:tc>
          <w:tcPr>
            <w:tcW w:w="1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$ 13,077</w:t>
            </w:r>
          </w:p>
        </w:tc>
        <w:tc>
          <w:tcPr>
            <w:tcW w:w="170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$ 16,833</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4,354</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($18,653)</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15,611</w:t>
            </w:r>
          </w:p>
        </w:tc>
        <w:tc>
          <w:tcPr>
            <w:tcW w:w="0" w:type="dxa"/>
            <w:vAlign w:val="bottom"/>
          </w:tcPr>
          <w:p>
            <w:pPr>
              <w:spacing w:after="0"/>
              <w:rPr>
                <w:sz w:val="1"/>
                <w:szCs w:val="1"/>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6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6,737</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$ 15,135</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$ 48,926</w:t>
            </w:r>
          </w:p>
        </w:tc>
        <w:tc>
          <w:tcPr>
            <w:tcW w:w="16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70,798</w:t>
            </w:r>
          </w:p>
        </w:tc>
        <w:tc>
          <w:tcPr>
            <w:tcW w:w="0" w:type="dxa"/>
            <w:vAlign w:val="bottom"/>
          </w:tcPr>
          <w:p>
            <w:pPr>
              <w:spacing w:after="0"/>
              <w:rPr>
                <w:sz w:val="1"/>
                <w:szCs w:val="1"/>
                <w:color w:val="auto"/>
              </w:rPr>
            </w:pPr>
          </w:p>
        </w:tc>
      </w:tr>
      <w:tr>
        <w:trPr>
          <w:trHeight w:val="168"/>
        </w:trPr>
        <w:tc>
          <w:tcPr>
            <w:tcW w:w="3200" w:type="dxa"/>
            <w:vAlign w:val="bottom"/>
            <w:vMerge w:val="restart"/>
          </w:tcPr>
          <w:p>
            <w:pPr>
              <w:spacing w:after="0"/>
              <w:rPr>
                <w:sz w:val="20"/>
                <w:szCs w:val="20"/>
                <w:color w:val="auto"/>
              </w:rPr>
            </w:pPr>
            <w:r>
              <w:rPr>
                <w:rFonts w:ascii="Courier New" w:cs="Courier New" w:eastAsia="Courier New" w:hAnsi="Courier New"/>
                <w:sz w:val="15"/>
                <w:szCs w:val="15"/>
                <w:color w:val="auto"/>
              </w:rPr>
              <w:t>Real estate assets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00" w:type="dxa"/>
            <w:vAlign w:val="bottom"/>
            <w:vMerge w:val="continue"/>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$760,725</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$735,267</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$429,576</w:t>
            </w:r>
          </w:p>
        </w:tc>
        <w:tc>
          <w:tcPr>
            <w:tcW w:w="16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$1,925,568</w:t>
            </w:r>
          </w:p>
        </w:tc>
        <w:tc>
          <w:tcPr>
            <w:tcW w:w="0" w:type="dxa"/>
            <w:vAlign w:val="bottom"/>
          </w:tcPr>
          <w:p>
            <w:pPr>
              <w:spacing w:after="0"/>
              <w:rPr>
                <w:sz w:val="1"/>
                <w:szCs w:val="1"/>
                <w:color w:val="auto"/>
              </w:rPr>
            </w:pPr>
          </w:p>
        </w:tc>
      </w:tr>
      <w:tr>
        <w:trPr>
          <w:trHeight w:val="245"/>
        </w:trPr>
        <w:tc>
          <w:tcPr>
            <w:tcW w:w="3200" w:type="dxa"/>
            <w:vAlign w:val="bottom"/>
          </w:tcPr>
          <w:p>
            <w:pPr>
              <w:spacing w:after="0"/>
              <w:rPr>
                <w:sz w:val="21"/>
                <w:szCs w:val="21"/>
                <w:color w:val="auto"/>
              </w:rPr>
            </w:pP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21"/>
                <w:szCs w:val="21"/>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320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1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Northeast</w:t>
            </w:r>
          </w:p>
        </w:tc>
        <w:tc>
          <w:tcPr>
            <w:tcW w:w="170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Mid-Atlantic</w:t>
            </w:r>
          </w:p>
        </w:tc>
        <w:tc>
          <w:tcPr>
            <w:tcW w:w="500" w:type="dxa"/>
            <w:vAlign w:val="bottom"/>
          </w:tcPr>
          <w:p>
            <w:pPr>
              <w:spacing w:after="0"/>
              <w:rPr>
                <w:sz w:val="24"/>
                <w:szCs w:val="24"/>
                <w:color w:val="auto"/>
              </w:rPr>
            </w:pPr>
          </w:p>
        </w:tc>
        <w:tc>
          <w:tcPr>
            <w:tcW w:w="10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West</w:t>
            </w:r>
          </w:p>
        </w:tc>
        <w:tc>
          <w:tcPr>
            <w:tcW w:w="16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Other</w:t>
            </w:r>
          </w:p>
        </w:tc>
        <w:tc>
          <w:tcPr>
            <w:tcW w:w="620" w:type="dxa"/>
            <w:vAlign w:val="bottom"/>
          </w:tcPr>
          <w:p>
            <w:pPr>
              <w:spacing w:after="0"/>
              <w:rPr>
                <w:sz w:val="24"/>
                <w:szCs w:val="24"/>
                <w:color w:val="auto"/>
              </w:rPr>
            </w:pP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94"/>
        </w:trPr>
        <w:tc>
          <w:tcPr>
            <w:tcW w:w="3200" w:type="dxa"/>
            <w:vAlign w:val="bottom"/>
          </w:tcPr>
          <w:p>
            <w:pPr>
              <w:ind w:left="360"/>
              <w:spacing w:after="0"/>
              <w:rPr>
                <w:sz w:val="20"/>
                <w:szCs w:val="20"/>
                <w:color w:val="auto"/>
              </w:rPr>
            </w:pPr>
            <w:r>
              <w:rPr>
                <w:rFonts w:ascii="Courier New" w:cs="Courier New" w:eastAsia="Courier New" w:hAnsi="Courier New"/>
                <w:sz w:val="15"/>
                <w:szCs w:val="15"/>
                <w:color w:val="auto"/>
              </w:rPr>
              <w:t>March 31, 2000</w:t>
            </w:r>
          </w:p>
        </w:tc>
        <w:tc>
          <w:tcPr>
            <w:tcW w:w="166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$ 27,286</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$ 28,122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8,824</w:t>
            </w:r>
          </w:p>
        </w:tc>
        <w:tc>
          <w:tcPr>
            <w:tcW w:w="16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64,232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1,048</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931</w:t>
            </w:r>
          </w:p>
        </w:tc>
        <w:tc>
          <w:tcPr>
            <w:tcW w:w="50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786</w:t>
            </w: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2,765</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(6,346)</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(6,284)</w:t>
            </w:r>
          </w:p>
        </w:tc>
        <w:tc>
          <w:tcPr>
            <w:tcW w:w="5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(1,990)</w:t>
            </w: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(14,620)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(3,517)</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(2,104)</w:t>
            </w:r>
          </w:p>
        </w:tc>
        <w:tc>
          <w:tcPr>
            <w:tcW w:w="5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(836)</w:t>
            </w: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(6,457)</w:t>
            </w:r>
          </w:p>
        </w:tc>
        <w:tc>
          <w:tcPr>
            <w:tcW w:w="0" w:type="dxa"/>
            <w:vAlign w:val="bottom"/>
          </w:tcPr>
          <w:p>
            <w:pPr>
              <w:spacing w:after="0"/>
              <w:rPr>
                <w:sz w:val="1"/>
                <w:szCs w:val="1"/>
                <w:color w:val="auto"/>
              </w:rPr>
            </w:pPr>
          </w:p>
        </w:tc>
      </w:tr>
      <w:tr>
        <w:trPr>
          <w:trHeight w:val="168"/>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Net operating income</w:t>
            </w:r>
          </w:p>
        </w:tc>
        <w:tc>
          <w:tcPr>
            <w:tcW w:w="18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91"/>
              </w:rPr>
              <w:t>--------</w:t>
            </w:r>
            <w:r>
              <w:rPr>
                <w:rFonts w:ascii="Courier New" w:cs="Courier New" w:eastAsia="Courier New" w:hAnsi="Courier New"/>
                <w:sz w:val="29"/>
                <w:szCs w:val="29"/>
                <w:color w:val="auto"/>
                <w:w w:val="91"/>
                <w:vertAlign w:val="subscript"/>
              </w:rPr>
              <w:t>18,471</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20,665</w:t>
            </w:r>
          </w:p>
        </w:tc>
        <w:tc>
          <w:tcPr>
            <w:tcW w:w="50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6,784</w:t>
            </w:r>
          </w:p>
        </w:tc>
        <w:tc>
          <w:tcPr>
            <w:tcW w:w="16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$2,107</w:t>
            </w: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45,920</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2,107</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(16,493)</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(16,493)</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80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(5,873)</w:t>
            </w:r>
          </w:p>
        </w:tc>
        <w:tc>
          <w:tcPr>
            <w:tcW w:w="15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(5,263)</w:t>
            </w:r>
          </w:p>
        </w:tc>
        <w:tc>
          <w:tcPr>
            <w:tcW w:w="500" w:type="dxa"/>
            <w:vAlign w:val="bottom"/>
          </w:tcPr>
          <w:p>
            <w:pPr>
              <w:spacing w:after="0"/>
              <w:rPr>
                <w:sz w:val="14"/>
                <w:szCs w:val="14"/>
                <w:color w:val="auto"/>
              </w:rPr>
            </w:pPr>
          </w:p>
        </w:tc>
        <w:tc>
          <w:tcPr>
            <w:tcW w:w="10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8"/>
              </w:rPr>
              <w:t>(1,273)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(2,922)</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(2,922)</w:t>
            </w:r>
          </w:p>
        </w:tc>
        <w:tc>
          <w:tcPr>
            <w:tcW w:w="0" w:type="dxa"/>
            <w:vAlign w:val="bottom"/>
          </w:tcPr>
          <w:p>
            <w:pPr>
              <w:spacing w:after="0"/>
              <w:rPr>
                <w:sz w:val="1"/>
                <w:szCs w:val="1"/>
                <w:color w:val="auto"/>
              </w:rPr>
            </w:pP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w:t>
            </w:r>
          </w:p>
        </w:tc>
        <w:tc>
          <w:tcPr>
            <w:tcW w:w="6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(12,655)</w:t>
            </w:r>
          </w:p>
        </w:tc>
        <w:tc>
          <w:tcPr>
            <w:tcW w:w="0" w:type="dxa"/>
            <w:vAlign w:val="bottom"/>
          </w:tcPr>
          <w:p>
            <w:pPr>
              <w:spacing w:after="0"/>
              <w:rPr>
                <w:sz w:val="1"/>
                <w:szCs w:val="1"/>
                <w:color w:val="auto"/>
              </w:rPr>
            </w:pPr>
          </w:p>
        </w:tc>
      </w:tr>
      <w:tr>
        <w:trPr>
          <w:trHeight w:val="24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Income before investors' share</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18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$ 12,598</w:t>
            </w:r>
          </w:p>
        </w:tc>
        <w:tc>
          <w:tcPr>
            <w:tcW w:w="152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$ 15,402</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5,511</w:t>
            </w:r>
          </w:p>
        </w:tc>
        <w:tc>
          <w:tcPr>
            <w:tcW w:w="16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($17,554)</w:t>
            </w: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15,957</w:t>
            </w:r>
          </w:p>
        </w:tc>
        <w:tc>
          <w:tcPr>
            <w:tcW w:w="0" w:type="dxa"/>
            <w:vAlign w:val="bottom"/>
          </w:tcPr>
          <w:p>
            <w:pPr>
              <w:spacing w:after="0"/>
              <w:rPr>
                <w:sz w:val="1"/>
                <w:szCs w:val="1"/>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w:t>
            </w:r>
          </w:p>
        </w:tc>
        <w:tc>
          <w:tcPr>
            <w:tcW w:w="18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Capital expenditures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$ 14,333</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7,771</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$ 18,909</w:t>
            </w:r>
          </w:p>
        </w:tc>
        <w:tc>
          <w:tcPr>
            <w:tcW w:w="16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41,013</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Real estate assets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$730,070</w:t>
            </w:r>
          </w:p>
        </w:tc>
        <w:tc>
          <w:tcPr>
            <w:tcW w:w="1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$668,894</w:t>
            </w:r>
          </w:p>
        </w:tc>
        <w:tc>
          <w:tcPr>
            <w:tcW w:w="15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$361,577</w:t>
            </w:r>
          </w:p>
        </w:tc>
        <w:tc>
          <w:tcPr>
            <w:tcW w:w="1620" w:type="dxa"/>
            <w:vAlign w:val="bottom"/>
          </w:tcPr>
          <w:p>
            <w:pPr>
              <w:spacing w:after="0"/>
              <w:rPr>
                <w:sz w:val="14"/>
                <w:szCs w:val="14"/>
                <w:color w:val="auto"/>
              </w:rPr>
            </w:pP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$1,760,541</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21"/>
                <w:szCs w:val="21"/>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transactions between geographic areas.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300"/>
          </w:cols>
          <w:pgMar w:left="220" w:top="598" w:right="379" w:bottom="1440" w:gutter="0" w:footer="0" w:header="0"/>
        </w:sectPr>
      </w:pPr>
    </w:p>
    <w:bookmarkStart w:id="13" w:name="page14"/>
    <w:bookmarkEnd w:id="13"/>
    <w:p>
      <w:pPr>
        <w:jc w:val="center"/>
        <w:ind w:right="3319"/>
        <w:spacing w:after="0"/>
        <w:rPr>
          <w:sz w:val="20"/>
          <w:szCs w:val="20"/>
          <w:color w:val="auto"/>
        </w:rPr>
      </w:pPr>
      <w:r>
        <w:rPr>
          <w:rFonts w:ascii="Courier New" w:cs="Courier New" w:eastAsia="Courier New" w:hAnsi="Courier New"/>
          <w:sz w:val="15"/>
          <w:szCs w:val="15"/>
          <w:color w:val="auto"/>
        </w:rPr>
        <w:t>FEDERAL REALTY INVESTMENT TRUST</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10-Q</w:t>
      </w:r>
    </w:p>
    <w:p>
      <w:pPr>
        <w:spacing w:after="0" w:line="1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March 31, 2001</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309" w:lineRule="exact"/>
        <w:rPr>
          <w:sz w:val="20"/>
          <w:szCs w:val="20"/>
          <w:color w:val="auto"/>
        </w:rPr>
      </w:pPr>
    </w:p>
    <w:p>
      <w:pPr>
        <w:ind w:left="360" w:right="3239" w:firstLine="787"/>
        <w:spacing w:after="0" w:line="249"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and Notes thereto of Federal Realty Investment Trust (the "Trust"). The Trust and its representatives may from time to time make written or oral statements that are "forward-looking",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87" w:lineRule="exact"/>
        <w:rPr>
          <w:sz w:val="20"/>
          <w:szCs w:val="20"/>
          <w:color w:val="auto"/>
        </w:rPr>
      </w:pPr>
    </w:p>
    <w:p>
      <w:pPr>
        <w:ind w:left="620" w:hanging="260"/>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business strategy;</w:t>
      </w:r>
    </w:p>
    <w:p>
      <w:pPr>
        <w:spacing w:after="0" w:line="24" w:lineRule="exact"/>
        <w:rPr>
          <w:sz w:val="20"/>
          <w:szCs w:val="20"/>
          <w:color w:val="auto"/>
        </w:rPr>
      </w:pPr>
    </w:p>
    <w:p>
      <w:pPr>
        <w:ind w:left="620" w:right="3579" w:hanging="260"/>
        <w:spacing w:after="0" w:line="237"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business conditions which will affect the credit worthiness of tenants;</w:t>
      </w:r>
    </w:p>
    <w:p>
      <w:pPr>
        <w:ind w:left="620" w:hanging="260"/>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availability and cost;</w:t>
      </w:r>
    </w:p>
    <w:p>
      <w:pPr>
        <w:ind w:left="620" w:hanging="260"/>
        <w:spacing w:after="0" w:line="237"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retailing trends and rental rates;</w:t>
      </w:r>
    </w:p>
    <w:p>
      <w:pPr>
        <w:ind w:left="620" w:right="3499" w:hanging="260"/>
        <w:spacing w:after="0" w:line="237"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of real estate development and acquisitions, including the risk that potential acquisitions or development projects may not perform in accordance with expectations;</w:t>
      </w:r>
    </w:p>
    <w:p>
      <w:pPr>
        <w:spacing w:after="0" w:line="1" w:lineRule="exact"/>
        <w:rPr>
          <w:rFonts w:ascii="Courier New" w:cs="Courier New" w:eastAsia="Courier New" w:hAnsi="Courier New"/>
          <w:sz w:val="15"/>
          <w:szCs w:val="15"/>
          <w:color w:val="auto"/>
        </w:rPr>
      </w:pPr>
    </w:p>
    <w:p>
      <w:pPr>
        <w:ind w:left="620" w:right="3239" w:hanging="260"/>
        <w:spacing w:after="0" w:line="237"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satisfy the complex rules in order to qualify for taxation as a REIT for federal income tax purposes and to operate effectively within the limitations imposed by these rules;</w:t>
      </w:r>
    </w:p>
    <w:p>
      <w:pPr>
        <w:spacing w:after="0" w:line="1" w:lineRule="exact"/>
        <w:rPr>
          <w:rFonts w:ascii="Courier New" w:cs="Courier New" w:eastAsia="Courier New" w:hAnsi="Courier New"/>
          <w:sz w:val="15"/>
          <w:szCs w:val="15"/>
          <w:color w:val="auto"/>
        </w:rPr>
      </w:pPr>
    </w:p>
    <w:p>
      <w:pPr>
        <w:ind w:left="620" w:right="3579" w:hanging="260"/>
        <w:spacing w:after="0" w:line="237"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approvals, actions and initiatives including the need for compliance with environmental and safety requirements, and changes in laws and regulations or the interpretation thereof; and</w:t>
      </w:r>
    </w:p>
    <w:p>
      <w:pPr>
        <w:spacing w:after="0" w:line="1" w:lineRule="exact"/>
        <w:rPr>
          <w:rFonts w:ascii="Courier New" w:cs="Courier New" w:eastAsia="Courier New" w:hAnsi="Courier New"/>
          <w:sz w:val="15"/>
          <w:szCs w:val="15"/>
          <w:color w:val="auto"/>
        </w:rPr>
      </w:pPr>
    </w:p>
    <w:p>
      <w:pPr>
        <w:ind w:left="620" w:hanging="260"/>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with other real estate companies and technology.</w:t>
      </w:r>
    </w:p>
    <w:p>
      <w:pPr>
        <w:spacing w:after="0" w:line="140" w:lineRule="exact"/>
        <w:rPr>
          <w:sz w:val="20"/>
          <w:szCs w:val="20"/>
          <w:color w:val="auto"/>
        </w:rPr>
      </w:pPr>
    </w:p>
    <w:p>
      <w:pPr>
        <w:ind w:right="3239" w:firstLine="612"/>
        <w:spacing w:after="0" w:line="255" w:lineRule="auto"/>
        <w:rPr>
          <w:sz w:val="20"/>
          <w:szCs w:val="20"/>
          <w:color w:val="auto"/>
        </w:rPr>
      </w:pPr>
      <w:r>
        <w:rPr>
          <w:rFonts w:ascii="Courier New" w:cs="Courier New" w:eastAsia="Courier New" w:hAnsi="Courier New"/>
          <w:sz w:val="15"/>
          <w:szCs w:val="15"/>
          <w:color w:val="auto"/>
        </w:rPr>
        <w:t>We identify forward-looking statements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Proceeds from the sale of selected assets may also provide an additional source of capital in 2001 and 2002.</w:t>
      </w:r>
    </w:p>
    <w:p>
      <w:pPr>
        <w:spacing w:after="0" w:line="86"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5"/>
          <w:szCs w:val="15"/>
          <w:color w:val="auto"/>
        </w:rPr>
        <w:t>Net cash provided by operating activities was $29.9 million in the first quarter of 2001 and $32.4 million in the first quarter of 2000 of which $19.9 million and $19.4 million, respectively, was distributed to shareholders. The $2.5 million decrease in 2001 was due to cash uses of operating assets and liabilities surpassing the contributions from retenanted and redeveloped properties, as more fully described below.</w:t>
      </w:r>
    </w:p>
    <w:p>
      <w:pPr>
        <w:spacing w:after="0" w:line="81"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Net cash used in investing activities was $87.3 million during the first quarter of 2001 and $43.3 million during the first quarter of 2000. Cash outlays for real estate totaled $33.5 million in the first quarter of 2001 and $17.9 million in the first quarter of 2000. During these two periods, the Trust expended an additional $54.4 million and $21.9 million, respectively, in capital improvements to its properties. The Trust invested $553,000 during the first quarter of 2001 and $3.4 million during the first quarter of 2000 in mortgage notes receivable with an average weighted interest rate of 10% and 9.7%, respectively. $1.2 million of notes were repaid during the first quarter of 2001. No notes were repaid during the first quarter of 2000.</w:t>
      </w:r>
    </w:p>
    <w:p>
      <w:pPr>
        <w:spacing w:after="0" w:line="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5"/>
          <w:szCs w:val="15"/>
          <w:color w:val="auto"/>
        </w:rPr>
        <w:t>On February 16, 2001 the Trust bought the fee interest underlying the capital lease obligation, thereby terminating the capital lease, on Brick Plaza in Brick, New Jersey for a purchase price of $28 million. A mortgage note receivable of $3.2 million owed to the Trust by the lessor and a $3 million security deposit on the capital lease were credited to the purchase price, resulting in a cash outlay of approximately $21.5 million.</w:t>
      </w:r>
    </w:p>
    <w:p>
      <w:pPr>
        <w:spacing w:after="0" w:line="81" w:lineRule="exact"/>
        <w:rPr>
          <w:sz w:val="20"/>
          <w:szCs w:val="20"/>
          <w:color w:val="auto"/>
        </w:rPr>
      </w:pPr>
    </w:p>
    <w:p>
      <w:pPr>
        <w:ind w:right="3239" w:firstLine="787"/>
        <w:spacing w:after="0" w:line="250" w:lineRule="auto"/>
        <w:rPr>
          <w:sz w:val="20"/>
          <w:szCs w:val="20"/>
          <w:color w:val="auto"/>
        </w:rPr>
      </w:pPr>
      <w:r>
        <w:rPr>
          <w:rFonts w:ascii="Courier New" w:cs="Courier New" w:eastAsia="Courier New" w:hAnsi="Courier New"/>
          <w:sz w:val="15"/>
          <w:szCs w:val="15"/>
          <w:color w:val="auto"/>
        </w:rPr>
        <w:t>On March 1, 2001 the limited partners in two partnerships, owning street retail properties in southern California, exercised their rights under the partnership agreements and put their interests to the Trust. The Trust purchased their interests for $18.1 million, $11.4 million in cash, which was paid at closing, and the balance in common shares of the Trust. The Trust filed a Registration Statement under the Securities Act of 1933 to register these shares and will issue the shares to the partners when the registration statement becomes effective. Up to an additional estimated $1.7 million may be owed to the limited partners if certain leasing transactions occur.</w:t>
      </w:r>
    </w:p>
    <w:p>
      <w:pPr>
        <w:spacing w:after="0" w:line="89" w:lineRule="exact"/>
        <w:rPr>
          <w:sz w:val="20"/>
          <w:szCs w:val="20"/>
          <w:color w:val="auto"/>
        </w:rPr>
      </w:pPr>
    </w:p>
    <w:p>
      <w:pPr>
        <w:ind w:right="3239" w:firstLine="787"/>
        <w:spacing w:after="0" w:line="344" w:lineRule="auto"/>
        <w:rPr>
          <w:sz w:val="20"/>
          <w:szCs w:val="20"/>
          <w:color w:val="auto"/>
        </w:rPr>
      </w:pPr>
      <w:r>
        <w:rPr>
          <w:rFonts w:ascii="Courier New" w:cs="Courier New" w:eastAsia="Courier New" w:hAnsi="Courier New"/>
          <w:sz w:val="15"/>
          <w:szCs w:val="15"/>
          <w:color w:val="auto"/>
        </w:rPr>
        <w:t>In connection with the buyout of the minority partner at Santana Row in a transaction being structured as a tax-free exchange and</w:t>
      </w:r>
    </w:p>
    <w:p>
      <w:pPr>
        <w:spacing w:after="0" w:line="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15" w:name="page16"/>
    <w:bookmarkEnd w:id="15"/>
    <w:p>
      <w:pPr>
        <w:ind w:right="3399"/>
        <w:spacing w:after="0" w:line="273" w:lineRule="auto"/>
        <w:rPr>
          <w:sz w:val="20"/>
          <w:szCs w:val="20"/>
          <w:color w:val="auto"/>
        </w:rPr>
      </w:pPr>
      <w:r>
        <w:rPr>
          <w:rFonts w:ascii="Courier New" w:cs="Courier New" w:eastAsia="Courier New" w:hAnsi="Courier New"/>
          <w:sz w:val="15"/>
          <w:szCs w:val="15"/>
          <w:color w:val="auto"/>
        </w:rPr>
        <w:t>classified as part of the development of Santana Row, the Trust made an investment in an office building for $8.5 million. Upon consummation of the exchange, the Trust will receive the minority interest in Santana Row and $5.9 million in cash in exchange for the building.</w:t>
      </w:r>
    </w:p>
    <w:p>
      <w:pPr>
        <w:spacing w:after="0" w:line="68" w:lineRule="exact"/>
        <w:rPr>
          <w:sz w:val="20"/>
          <w:szCs w:val="20"/>
          <w:color w:val="auto"/>
        </w:rPr>
      </w:pPr>
    </w:p>
    <w:p>
      <w:pPr>
        <w:ind w:right="3239" w:firstLine="787"/>
        <w:spacing w:after="0" w:line="276" w:lineRule="auto"/>
        <w:rPr>
          <w:sz w:val="20"/>
          <w:szCs w:val="20"/>
          <w:color w:val="auto"/>
        </w:rPr>
      </w:pPr>
      <w:r>
        <w:rPr>
          <w:rFonts w:ascii="Courier New" w:cs="Courier New" w:eastAsia="Courier New" w:hAnsi="Courier New"/>
          <w:sz w:val="14"/>
          <w:szCs w:val="14"/>
          <w:color w:val="auto"/>
        </w:rPr>
        <w:t>Of the $54.4 million spent in the first quarter of 2001 on the Trust's existing real estate portfolio, approximately $43.2 million was invested in development projects in Bethesda, Maryland; San Jose, California; and in Arlington, Virginia. The remaining $11.2 million of capital expenditures relates to improvements to common areas, tenant work and various redevelopments, including the office expansion and retenanting of Willow Lawn Shopping Center and the redevelopment of retail buildings in San Antonio, Texas.</w:t>
      </w:r>
    </w:p>
    <w:p>
      <w:pPr>
        <w:spacing w:after="0" w:line="69" w:lineRule="exact"/>
        <w:rPr>
          <w:sz w:val="20"/>
          <w:szCs w:val="20"/>
          <w:color w:val="auto"/>
        </w:rPr>
      </w:pPr>
    </w:p>
    <w:p>
      <w:pPr>
        <w:ind w:right="3399" w:firstLine="787"/>
        <w:spacing w:after="0" w:line="270" w:lineRule="auto"/>
        <w:rPr>
          <w:sz w:val="20"/>
          <w:szCs w:val="20"/>
          <w:color w:val="auto"/>
        </w:rPr>
      </w:pPr>
      <w:r>
        <w:rPr>
          <w:rFonts w:ascii="Courier New" w:cs="Courier New" w:eastAsia="Courier New" w:hAnsi="Courier New"/>
          <w:sz w:val="14"/>
          <w:szCs w:val="14"/>
          <w:color w:val="auto"/>
        </w:rPr>
        <w:t>Net cash provided by financing activities, before dividend payments, was $77.1 million in the first quarter of 2001 and $32.2 million in the first quarter of 2000. The Trust utilizes its unsecured line of credit to fund acquisitions and capital expenditures. At March 31, 2001 there was $153.0 million borrowed under this syndicated credit facility, which also represents the maximum drawn during the quarter. The weighted average interest rate on borrowings for the three months ended March 31, 2001 was 6.6%. The facility requires fees and has various covenants including the maintenance of a minimum shareholders' equity and a maximum ratio of debt to net worth.</w:t>
      </w:r>
    </w:p>
    <w:p>
      <w:pPr>
        <w:spacing w:after="0" w:line="76" w:lineRule="exact"/>
        <w:rPr>
          <w:sz w:val="20"/>
          <w:szCs w:val="20"/>
          <w:color w:val="auto"/>
        </w:rPr>
      </w:pPr>
    </w:p>
    <w:p>
      <w:pPr>
        <w:ind w:right="3579" w:firstLine="787"/>
        <w:spacing w:after="0" w:line="273" w:lineRule="auto"/>
        <w:rPr>
          <w:sz w:val="20"/>
          <w:szCs w:val="20"/>
          <w:color w:val="auto"/>
        </w:rPr>
      </w:pPr>
      <w:r>
        <w:rPr>
          <w:rFonts w:ascii="Courier New" w:cs="Courier New" w:eastAsia="Courier New" w:hAnsi="Courier New"/>
          <w:sz w:val="15"/>
          <w:szCs w:val="15"/>
          <w:color w:val="auto"/>
        </w:rPr>
        <w:t>Capital requirements for the remainder of 2001 will depend on new development efforts, acquisition opportunities, the rate of build-out on the Trust's current development pipeline and the level of improvements and redevelopments on existing properties.</w:t>
      </w:r>
    </w:p>
    <w:p>
      <w:pPr>
        <w:spacing w:after="0" w:line="68" w:lineRule="exact"/>
        <w:rPr>
          <w:sz w:val="20"/>
          <w:szCs w:val="20"/>
          <w:color w:val="auto"/>
        </w:rPr>
      </w:pPr>
    </w:p>
    <w:p>
      <w:pPr>
        <w:ind w:right="3239" w:firstLine="787"/>
        <w:spacing w:after="0" w:line="280" w:lineRule="auto"/>
        <w:rPr>
          <w:sz w:val="20"/>
          <w:szCs w:val="20"/>
          <w:color w:val="auto"/>
        </w:rPr>
      </w:pPr>
      <w:r>
        <w:rPr>
          <w:rFonts w:ascii="Courier New" w:cs="Courier New" w:eastAsia="Courier New" w:hAnsi="Courier New"/>
          <w:sz w:val="14"/>
          <w:szCs w:val="14"/>
          <w:color w:val="auto"/>
        </w:rPr>
        <w:t>The Trust will need additional capital in order to fund these acquisitions, expansions and developments, particularly Santana Row, and to refinance its maturing debt. Sources of this funding may be additional debt both secured and unsecured, additional equity and joint venture relationships. In addition, the Trust has identified certain of its properties that may be exchanged or sold as a source of funding, if the Trust's sales price is met.</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Santana Row</w:t>
      </w:r>
    </w:p>
    <w:p>
      <w:pPr>
        <w:spacing w:after="0" w:line="166" w:lineRule="exact"/>
        <w:rPr>
          <w:sz w:val="20"/>
          <w:szCs w:val="20"/>
          <w:color w:val="auto"/>
        </w:rPr>
      </w:pPr>
    </w:p>
    <w:p>
      <w:pPr>
        <w:ind w:right="3239" w:firstLine="787"/>
        <w:spacing w:after="0" w:line="249" w:lineRule="auto"/>
        <w:rPr>
          <w:sz w:val="20"/>
          <w:szCs w:val="20"/>
          <w:color w:val="auto"/>
        </w:rPr>
      </w:pPr>
      <w:r>
        <w:rPr>
          <w:rFonts w:ascii="Courier New" w:cs="Courier New" w:eastAsia="Courier New" w:hAnsi="Courier New"/>
          <w:sz w:val="15"/>
          <w:szCs w:val="15"/>
          <w:color w:val="auto"/>
        </w:rPr>
        <w:t>In the next several years, the Trust's single largest capital need is expected to come from the development of Santana Row, a multi-phase mixed-use project being built on 42 acres in San Jose, California in the heart of Silicon Valley. The project will consist of residential, retail and hotel components, creating a community with the feel of an urban district. Phase 1 of the project, for which construction began in November 2000, includes Santana Row, the "1,500 foot long main street" framed by nine buildings which will contain approximately 538,000 square feet of retail space, 501 residential units, a 214 room hotel and the supporting infrastructure. Phase 1 is expected to begin generating revenues in mid-2002 and be stabilized</w:t>
      </w:r>
    </w:p>
    <w:p>
      <w:pPr>
        <w:spacing w:after="0" w:line="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16" w:name="page17"/>
    <w:bookmarkEnd w:id="16"/>
    <w:p>
      <w:pPr>
        <w:ind w:right="3239"/>
        <w:spacing w:after="0" w:line="264" w:lineRule="auto"/>
        <w:rPr>
          <w:sz w:val="20"/>
          <w:szCs w:val="20"/>
          <w:color w:val="auto"/>
        </w:rPr>
      </w:pPr>
      <w:r>
        <w:rPr>
          <w:rFonts w:ascii="Courier New" w:cs="Courier New" w:eastAsia="Courier New" w:hAnsi="Courier New"/>
          <w:sz w:val="14"/>
          <w:szCs w:val="14"/>
          <w:color w:val="auto"/>
        </w:rPr>
        <w:t>during 2003. The total cost of Phase 1 is expected to be approximately $475 million. As of March 31, 2001, the Trust has incurred costs of $126 million including the purchase of the land; the Trust estimates that it will spend approximately $200 million in 2001 and the balance in 2002 to complete the first phase of the project. On April 17, 2001, the Trust closed on a $295 million construction loan. The loan, which initially bears interest at LIBOR plus 212.5 basis points, matures April 16, 2004 with two one-year extension options. The interest rate will decrease to LIBOR plus 187.5 basis points then to LIBOR plus 162.5 basis points upon the achievement of certain leasing, occupancy and net operating income hurdles. The construction loan requires fees and has various covenants including the maintenance of a minimum shareholders' equity and a maximum ratio of debt to gross asset value. Funding on the construction loan will begin after the Trust has fulfilled its equity requirement in the project and met the pre-leasing requirements, which have not yet been achieved.</w:t>
      </w:r>
    </w:p>
    <w:p>
      <w:pPr>
        <w:spacing w:after="0" w:line="81" w:lineRule="exact"/>
        <w:rPr>
          <w:sz w:val="20"/>
          <w:szCs w:val="20"/>
          <w:color w:val="auto"/>
        </w:rPr>
      </w:pPr>
    </w:p>
    <w:p>
      <w:pPr>
        <w:ind w:right="3319" w:firstLine="787"/>
        <w:spacing w:after="0" w:line="280" w:lineRule="auto"/>
        <w:rPr>
          <w:sz w:val="20"/>
          <w:szCs w:val="20"/>
          <w:color w:val="auto"/>
        </w:rPr>
      </w:pPr>
      <w:r>
        <w:rPr>
          <w:rFonts w:ascii="Courier New" w:cs="Courier New" w:eastAsia="Courier New" w:hAnsi="Courier New"/>
          <w:sz w:val="14"/>
          <w:szCs w:val="14"/>
          <w:color w:val="auto"/>
        </w:rPr>
        <w:t>The success of Santana Row will depend on many factors which cannot be assured and are not entirely within the Trust's control. These factors include among others, strong demand for retail and residential space at current or increasing prices, the ability to construct the later phases at reasonable prices, the cost of operations, including utilities, the availability and cost of capital and the general economy, particularly in the Silicon Valley.</w:t>
      </w:r>
    </w:p>
    <w:p>
      <w:pPr>
        <w:spacing w:after="0" w:line="67"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5"/>
          <w:szCs w:val="15"/>
          <w:color w:val="auto"/>
        </w:rPr>
        <w:t>The Trust has not finalized the cost and scope for future phases of Santana Row. However, as Phase 1 utilizes only part of the retail and residential entitlements of the property, the Trust expects to be able to identify and execute economically viable additional phases to the project such that the total investment on all phases could exceed $750 million. The Trust expects to finance further phases from the debt and equity sources that have been traditionally available.</w:t>
      </w:r>
    </w:p>
    <w:p>
      <w:pPr>
        <w:spacing w:after="0" w:line="82" w:lineRule="exact"/>
        <w:rPr>
          <w:sz w:val="20"/>
          <w:szCs w:val="20"/>
          <w:color w:val="auto"/>
        </w:rPr>
      </w:pPr>
    </w:p>
    <w:p>
      <w:pPr>
        <w:ind w:right="3399" w:firstLine="787"/>
        <w:spacing w:after="0" w:line="344" w:lineRule="auto"/>
        <w:rPr>
          <w:sz w:val="20"/>
          <w:szCs w:val="20"/>
          <w:color w:val="auto"/>
        </w:rPr>
      </w:pPr>
      <w:r>
        <w:rPr>
          <w:rFonts w:ascii="Courier New" w:cs="Courier New" w:eastAsia="Courier New" w:hAnsi="Courier New"/>
          <w:sz w:val="15"/>
          <w:szCs w:val="15"/>
          <w:color w:val="auto"/>
        </w:rPr>
        <w:t>The timing and choice of potential capital sources will depend on the cost and availability of that capital, among other things.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66" w:lineRule="exact"/>
        <w:rPr>
          <w:sz w:val="20"/>
          <w:szCs w:val="20"/>
          <w:color w:val="auto"/>
        </w:rPr>
      </w:pPr>
    </w:p>
    <w:p>
      <w:pPr>
        <w:ind w:right="3239" w:firstLine="787"/>
        <w:spacing w:after="0" w:line="247"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for damages of $7 million plus interest, attorneys' fees and litigation costs. The Trust believes that the counterclaim is generally</w:t>
      </w:r>
    </w:p>
    <w:p>
      <w:pPr>
        <w:spacing w:after="0" w:line="8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17" w:name="page18"/>
    <w:bookmarkEnd w:id="17"/>
    <w:p>
      <w:pPr>
        <w:ind w:right="3239"/>
        <w:spacing w:after="0" w:line="255" w:lineRule="auto"/>
        <w:rPr>
          <w:sz w:val="20"/>
          <w:szCs w:val="20"/>
          <w:color w:val="auto"/>
        </w:rPr>
      </w:pPr>
      <w:r>
        <w:rPr>
          <w:rFonts w:ascii="Courier New" w:cs="Courier New" w:eastAsia="Courier New" w:hAnsi="Courier New"/>
          <w:sz w:val="15"/>
          <w:szCs w:val="15"/>
          <w:color w:val="auto"/>
        </w:rPr>
        <w:t>without merit and that the outcome of the counterclaim, even if determined adversely to the Trust, will not have a material adverse effect on its financial condition, results of operations or on the project. Work continues under the direction of the new general contractor. The Trust is evaluating the effect of the delay on the total costs of the project. Near-term returns for the project will be affected, however, the Trust does not believe that the project is impaired.</w:t>
      </w:r>
    </w:p>
    <w:p>
      <w:pPr>
        <w:spacing w:after="0" w:line="82" w:lineRule="exact"/>
        <w:rPr>
          <w:sz w:val="20"/>
          <w:szCs w:val="20"/>
          <w:color w:val="auto"/>
        </w:rPr>
      </w:pPr>
    </w:p>
    <w:p>
      <w:pPr>
        <w:ind w:right="3319" w:firstLine="787"/>
        <w:spacing w:after="0" w:line="264"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even if determined adversely to the Trust, will not have a material effect on the financial condition or results of operations of the Trust.</w:t>
      </w:r>
    </w:p>
    <w:p>
      <w:pPr>
        <w:spacing w:after="0" w:line="75"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an unaffiliated third party, has the right, exercisable on two occasions, to require the Trust and the two other minority partners to purchase from half to all of Rockville Plaza Company's 37.5% interest in Congressional Plaza at the interest's then-current fair market value. Based on management's current estimate of fair market value, the Trust's estimated liability upon exercise of the put option is approximately $27 million.</w:t>
      </w:r>
    </w:p>
    <w:p>
      <w:pPr>
        <w:spacing w:after="0" w:line="86" w:lineRule="exact"/>
        <w:rPr>
          <w:sz w:val="20"/>
          <w:szCs w:val="20"/>
          <w:color w:val="auto"/>
        </w:rPr>
      </w:pPr>
    </w:p>
    <w:p>
      <w:pPr>
        <w:ind w:right="3239" w:firstLine="787"/>
        <w:spacing w:after="0" w:line="252" w:lineRule="auto"/>
        <w:rPr>
          <w:sz w:val="20"/>
          <w:szCs w:val="20"/>
          <w:color w:val="auto"/>
        </w:rPr>
      </w:pPr>
      <w:r>
        <w:rPr>
          <w:rFonts w:ascii="Courier New" w:cs="Courier New" w:eastAsia="Courier New" w:hAnsi="Courier New"/>
          <w:sz w:val="15"/>
          <w:szCs w:val="15"/>
          <w:color w:val="auto"/>
        </w:rPr>
        <w:t>Under the terms of six other partnership agreements, if certain leasing and revenue levels are obtained for the properties owned by the partnerships, the limited partners may require the Trust to purchase their partnership interests at a formula price based upon net operating income. The purchase price may be paid in cash or a limited number of common shares of the Trust at the election of the limited partners. In certain of the partnerships, if the limited partners do not redeem their interest, the Trust may choose to purchase the limited partnership interests upon the same terms.</w:t>
      </w:r>
    </w:p>
    <w:p>
      <w:pPr>
        <w:spacing w:after="0" w:line="86"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Under the terms of other partnerships, the partners may exchange their 904,589 operating units for cash or exchange into the same number of common shares of the Trust, at the option of the Trust.</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59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RESULTS OF OPERATIONS - THREE MONTHS ENDED MARCH 31, 2001 AND 2000</w:t>
      </w:r>
    </w:p>
    <w:p>
      <w:pPr>
        <w:spacing w:after="0" w:line="166" w:lineRule="exact"/>
        <w:rPr>
          <w:sz w:val="20"/>
          <w:szCs w:val="20"/>
          <w:color w:val="auto"/>
        </w:rPr>
      </w:pPr>
    </w:p>
    <w:p>
      <w:pPr>
        <w:ind w:right="3319" w:firstLine="787"/>
        <w:spacing w:after="0" w:line="263"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84" w:lineRule="exact"/>
        <w:rPr>
          <w:sz w:val="20"/>
          <w:szCs w:val="20"/>
          <w:color w:val="auto"/>
        </w:rPr>
      </w:pPr>
    </w:p>
    <w:p>
      <w:pPr>
        <w:ind w:right="3239" w:firstLine="787"/>
        <w:spacing w:after="0" w:line="344" w:lineRule="auto"/>
        <w:rPr>
          <w:sz w:val="20"/>
          <w:szCs w:val="20"/>
          <w:color w:val="auto"/>
        </w:rPr>
      </w:pPr>
      <w:r>
        <w:rPr>
          <w:rFonts w:ascii="Courier New" w:cs="Courier New" w:eastAsia="Courier New" w:hAnsi="Courier New"/>
          <w:sz w:val="15"/>
          <w:szCs w:val="15"/>
          <w:color w:val="auto"/>
        </w:rPr>
        <w:t>The reconciliation of net income to funds from operations for the three months ended March 31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2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5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2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$12,245</w:t>
            </w:r>
          </w:p>
        </w:tc>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$ 12,151</w:t>
            </w:r>
          </w:p>
        </w:tc>
        <w:tc>
          <w:tcPr>
            <w:tcW w:w="0" w:type="dxa"/>
            <w:vAlign w:val="bottom"/>
          </w:tcPr>
          <w:p>
            <w:pPr>
              <w:spacing w:after="0"/>
              <w:rPr>
                <w:sz w:val="1"/>
                <w:szCs w:val="1"/>
                <w:color w:val="auto"/>
              </w:rPr>
            </w:pPr>
          </w:p>
        </w:tc>
      </w:tr>
      <w:tr>
        <w:trPr>
          <w:trHeight w:val="168"/>
        </w:trPr>
        <w:tc>
          <w:tcPr>
            <w:tcW w:w="4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shareholders</w:t>
            </w:r>
          </w:p>
        </w:tc>
        <w:tc>
          <w:tcPr>
            <w:tcW w:w="23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12,866</w:t>
            </w:r>
          </w:p>
        </w:tc>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11,487</w:t>
            </w:r>
          </w:p>
        </w:tc>
        <w:tc>
          <w:tcPr>
            <w:tcW w:w="0" w:type="dxa"/>
            <w:vAlign w:val="bottom"/>
          </w:tcPr>
          <w:p>
            <w:pPr>
              <w:spacing w:after="0"/>
              <w:rPr>
                <w:sz w:val="1"/>
                <w:szCs w:val="1"/>
                <w:color w:val="auto"/>
              </w:rPr>
            </w:pPr>
          </w:p>
        </w:tc>
      </w:tr>
      <w:tr>
        <w:trPr>
          <w:trHeight w:val="168"/>
        </w:trPr>
        <w:tc>
          <w:tcPr>
            <w:tcW w:w="4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real estate assets</w:t>
            </w:r>
          </w:p>
        </w:tc>
        <w:tc>
          <w:tcPr>
            <w:tcW w:w="23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initial direct</w:t>
            </w:r>
          </w:p>
        </w:tc>
        <w:tc>
          <w:tcPr>
            <w:tcW w:w="2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969</w:t>
            </w:r>
          </w:p>
        </w:tc>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830</w:t>
            </w:r>
          </w:p>
        </w:tc>
        <w:tc>
          <w:tcPr>
            <w:tcW w:w="0" w:type="dxa"/>
            <w:vAlign w:val="bottom"/>
          </w:tcPr>
          <w:p>
            <w:pPr>
              <w:spacing w:after="0"/>
              <w:rPr>
                <w:sz w:val="1"/>
                <w:szCs w:val="1"/>
                <w:color w:val="auto"/>
              </w:rPr>
            </w:pPr>
          </w:p>
        </w:tc>
      </w:tr>
      <w:tr>
        <w:trPr>
          <w:trHeight w:val="168"/>
        </w:trPr>
        <w:tc>
          <w:tcPr>
            <w:tcW w:w="4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costs of leases</w:t>
            </w:r>
          </w:p>
        </w:tc>
        <w:tc>
          <w:tcPr>
            <w:tcW w:w="23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w:t>
            </w:r>
          </w:p>
        </w:tc>
        <w:tc>
          <w:tcPr>
            <w:tcW w:w="2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299</w:t>
            </w:r>
          </w:p>
        </w:tc>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613</w:t>
            </w:r>
          </w:p>
        </w:tc>
        <w:tc>
          <w:tcPr>
            <w:tcW w:w="0" w:type="dxa"/>
            <w:vAlign w:val="bottom"/>
          </w:tcPr>
          <w:p>
            <w:pPr>
              <w:spacing w:after="0"/>
              <w:rPr>
                <w:sz w:val="1"/>
                <w:szCs w:val="1"/>
                <w:color w:val="auto"/>
              </w:rPr>
            </w:pPr>
          </w:p>
        </w:tc>
      </w:tr>
      <w:tr>
        <w:trPr>
          <w:trHeight w:val="168"/>
        </w:trPr>
        <w:tc>
          <w:tcPr>
            <w:tcW w:w="4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23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Funds from operations for common</w:t>
            </w:r>
          </w:p>
        </w:tc>
        <w:tc>
          <w:tcPr>
            <w:tcW w:w="2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380" w:type="dxa"/>
            <w:vAlign w:val="bottom"/>
            <w:vMerge w:val="continue"/>
          </w:tcPr>
          <w:p>
            <w:pPr>
              <w:spacing w:after="0"/>
              <w:rPr>
                <w:sz w:val="7"/>
                <w:szCs w:val="7"/>
                <w:color w:val="auto"/>
              </w:rPr>
            </w:pPr>
          </w:p>
        </w:tc>
        <w:tc>
          <w:tcPr>
            <w:tcW w:w="23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$26,379</w:t>
            </w:r>
          </w:p>
        </w:tc>
        <w:tc>
          <w:tcPr>
            <w:tcW w:w="2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$ 25,081</w:t>
            </w:r>
          </w:p>
        </w:tc>
        <w:tc>
          <w:tcPr>
            <w:tcW w:w="0" w:type="dxa"/>
            <w:vAlign w:val="bottom"/>
          </w:tcPr>
          <w:p>
            <w:pPr>
              <w:spacing w:after="0"/>
              <w:rPr>
                <w:sz w:val="1"/>
                <w:szCs w:val="1"/>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shareholders</w:t>
            </w:r>
          </w:p>
        </w:tc>
        <w:tc>
          <w:tcPr>
            <w:tcW w:w="2360" w:type="dxa"/>
            <w:vAlign w:val="bottom"/>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2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239" w:firstLine="787"/>
        <w:spacing w:after="0" w:line="269"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5% from $64.2 million in the first quarter of 2000 to $67.1 million in the first quarter of 2001. On a same center basis, rental income increased 7%, due primarily to the favorable impact of redeveloped and retenanted centers, as well as, increases associated with lease rollovers. Same center basis, in 2001, excludes Peninsula Shopping Center in Palos Verdes, California which was sold on June 30, 2000 and properties under development in 2000 and 2001, including Woodmont East in Bethesda, Maryland, 214 Wilshire Avenue in Santa Monica, California and Town &amp; Country Shopping Center in San Jose, California which was demolished as the Santana Row development began.</w:t>
      </w:r>
    </w:p>
    <w:p>
      <w:pPr>
        <w:spacing w:after="0" w:line="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598" w:right="1440" w:bottom="1440" w:gutter="0" w:footer="0" w:header="0"/>
        </w:sectPr>
      </w:pPr>
    </w:p>
    <w:bookmarkStart w:id="19" w:name="page20"/>
    <w:bookmarkEnd w:id="19"/>
    <w:p>
      <w:pPr>
        <w:ind w:right="3239" w:firstLine="787"/>
        <w:spacing w:after="0" w:line="255" w:lineRule="auto"/>
        <w:rPr>
          <w:sz w:val="20"/>
          <w:szCs w:val="20"/>
          <w:color w:val="auto"/>
        </w:rPr>
      </w:pPr>
      <w:r>
        <w:rPr>
          <w:rFonts w:ascii="Courier New" w:cs="Courier New" w:eastAsia="Courier New" w:hAnsi="Courier New"/>
          <w:sz w:val="15"/>
          <w:szCs w:val="15"/>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property income decreased 2% from $2.8 million in 2000 to $2.7 million in 2001 due to the loss of revenue from Town &amp; Country Shopping Center. On a same center basis, other property income increased 7%.</w:t>
      </w:r>
    </w:p>
    <w:p>
      <w:pPr>
        <w:spacing w:after="0" w:line="82" w:lineRule="exact"/>
        <w:rPr>
          <w:sz w:val="20"/>
          <w:szCs w:val="20"/>
          <w:color w:val="auto"/>
        </w:rPr>
      </w:pPr>
    </w:p>
    <w:p>
      <w:pPr>
        <w:ind w:right="3239" w:firstLine="787"/>
        <w:spacing w:after="0" w:line="280" w:lineRule="auto"/>
        <w:rPr>
          <w:sz w:val="20"/>
          <w:szCs w:val="20"/>
          <w:color w:val="auto"/>
        </w:rPr>
      </w:pPr>
      <w:r>
        <w:rPr>
          <w:rFonts w:ascii="Courier New" w:cs="Courier New" w:eastAsia="Courier New" w:hAnsi="Courier New"/>
          <w:sz w:val="14"/>
          <w:szCs w:val="14"/>
          <w:color w:val="auto"/>
        </w:rPr>
        <w:t>Rental expenses increased 3% from $14.6 million in the first quarter of 2000 to $15.0 million in the first quarter of 2001. On a same center basis, rental expenses increased 4% from $14.1 million in 2000 to $14.7 million in 2001, primarily due to increased snow removal and property management costs in 2001. Rental expense as a percentage of property income, rental income plus other property income, remained constant in both periods at 22%.</w:t>
      </w:r>
    </w:p>
    <w:p>
      <w:pPr>
        <w:spacing w:after="0" w:line="67" w:lineRule="exact"/>
        <w:rPr>
          <w:sz w:val="20"/>
          <w:szCs w:val="20"/>
          <w:color w:val="auto"/>
        </w:rPr>
      </w:pPr>
    </w:p>
    <w:p>
      <w:pPr>
        <w:ind w:right="3399" w:firstLine="787"/>
        <w:spacing w:after="0" w:line="273" w:lineRule="auto"/>
        <w:rPr>
          <w:sz w:val="20"/>
          <w:szCs w:val="20"/>
          <w:color w:val="auto"/>
        </w:rPr>
      </w:pPr>
      <w:r>
        <w:rPr>
          <w:rFonts w:ascii="Courier New" w:cs="Courier New" w:eastAsia="Courier New" w:hAnsi="Courier New"/>
          <w:sz w:val="15"/>
          <w:szCs w:val="15"/>
          <w:color w:val="auto"/>
        </w:rPr>
        <w:t>Real estate taxes increased 3% from $6.5 million in the first quarter of 2000 to $6.6 million in the first quarter of 2001. On a same center basis, real estate taxes increased 8% due primarily to increased taxes on recently redeveloped properties.</w:t>
      </w:r>
    </w:p>
    <w:p>
      <w:pPr>
        <w:spacing w:after="0" w:line="68" w:lineRule="exact"/>
        <w:rPr>
          <w:sz w:val="20"/>
          <w:szCs w:val="20"/>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Depreciation and amortization expenses increased 12% from $12.7 million in the first quarter of 2000 to $14.1 million in the first quarter of 2001. On a same center basis, depreciation and amortization also increased 12% reflecting the impact of recent tenant work and property redevelopments.</w:t>
      </w:r>
    </w:p>
    <w:p>
      <w:pPr>
        <w:spacing w:after="0" w:line="6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During the first quarter of 2001 the Trust incurred interest expense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million, of which $4.1 million was capitalized, as compared to 2000's</w:t>
      </w:r>
    </w:p>
    <w:p>
      <w:pPr>
        <w:spacing w:after="0" w:line="237" w:lineRule="auto"/>
        <w:rPr>
          <w:sz w:val="20"/>
          <w:szCs w:val="20"/>
          <w:color w:val="auto"/>
        </w:rPr>
      </w:pPr>
      <w:r>
        <w:rPr>
          <w:rFonts w:ascii="Courier New" w:cs="Courier New" w:eastAsia="Courier New" w:hAnsi="Courier New"/>
          <w:sz w:val="15"/>
          <w:szCs w:val="15"/>
          <w:color w:val="auto"/>
        </w:rPr>
        <w:t>$18.7 million of which $2.2 million was capitalized. The increase in interest</w:t>
      </w:r>
    </w:p>
    <w:p>
      <w:pPr>
        <w:spacing w:after="0" w:line="238" w:lineRule="auto"/>
        <w:rPr>
          <w:sz w:val="20"/>
          <w:szCs w:val="20"/>
          <w:color w:val="auto"/>
        </w:rPr>
      </w:pPr>
      <w:r>
        <w:rPr>
          <w:rFonts w:ascii="Courier New" w:cs="Courier New" w:eastAsia="Courier New" w:hAnsi="Courier New"/>
          <w:sz w:val="15"/>
          <w:szCs w:val="15"/>
          <w:color w:val="auto"/>
        </w:rPr>
        <w:t>expense reflects the additional debt issued to fund the Trust's capital</w:t>
      </w:r>
    </w:p>
    <w:p>
      <w:pPr>
        <w:spacing w:after="0" w:line="237" w:lineRule="auto"/>
        <w:rPr>
          <w:sz w:val="20"/>
          <w:szCs w:val="20"/>
          <w:color w:val="auto"/>
        </w:rPr>
      </w:pPr>
      <w:r>
        <w:rPr>
          <w:rFonts w:ascii="Courier New" w:cs="Courier New" w:eastAsia="Courier New" w:hAnsi="Courier New"/>
          <w:sz w:val="15"/>
          <w:szCs w:val="15"/>
          <w:color w:val="auto"/>
        </w:rPr>
        <w:t>improvement programs. The ratio of earnings to combined fixed charges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dividends was 1.29x and 1.43x for the first quarter of 2001 and 2000,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The ratio of earnings to fixed charges was 1.39x and 1.56x during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quarter of 2001 and 2000, respectively. The ratio of funds from</w:t>
      </w:r>
    </w:p>
    <w:p>
      <w:pPr>
        <w:spacing w:after="0" w:line="237" w:lineRule="auto"/>
        <w:rPr>
          <w:sz w:val="20"/>
          <w:szCs w:val="20"/>
          <w:color w:val="auto"/>
        </w:rPr>
      </w:pPr>
      <w:r>
        <w:rPr>
          <w:rFonts w:ascii="Courier New" w:cs="Courier New" w:eastAsia="Courier New" w:hAnsi="Courier New"/>
          <w:sz w:val="15"/>
          <w:szCs w:val="15"/>
          <w:color w:val="auto"/>
        </w:rPr>
        <w:t>operations to combined fixed charges and preferred dividends was 1.7x for the</w:t>
      </w:r>
    </w:p>
    <w:p>
      <w:pPr>
        <w:spacing w:after="0"/>
        <w:rPr>
          <w:sz w:val="20"/>
          <w:szCs w:val="20"/>
          <w:color w:val="auto"/>
        </w:rPr>
      </w:pPr>
      <w:r>
        <w:rPr>
          <w:rFonts w:ascii="Courier New" w:cs="Courier New" w:eastAsia="Courier New" w:hAnsi="Courier New"/>
          <w:sz w:val="15"/>
          <w:szCs w:val="15"/>
          <w:color w:val="auto"/>
        </w:rPr>
        <w:t>first quarter of 2001 and 1.9x for the first quarter of 2000.</w:t>
      </w:r>
    </w:p>
    <w:p>
      <w:pPr>
        <w:spacing w:after="0" w:line="140" w:lineRule="exact"/>
        <w:rPr>
          <w:sz w:val="20"/>
          <w:szCs w:val="20"/>
          <w:color w:val="auto"/>
        </w:rPr>
      </w:pPr>
    </w:p>
    <w:p>
      <w:pPr>
        <w:ind w:right="3239" w:firstLine="787"/>
        <w:spacing w:after="0" w:line="290" w:lineRule="auto"/>
        <w:rPr>
          <w:sz w:val="20"/>
          <w:szCs w:val="20"/>
          <w:color w:val="auto"/>
        </w:rPr>
      </w:pPr>
      <w:r>
        <w:rPr>
          <w:rFonts w:ascii="Courier New" w:cs="Courier New" w:eastAsia="Courier New" w:hAnsi="Courier New"/>
          <w:sz w:val="15"/>
          <w:szCs w:val="15"/>
          <w:color w:val="auto"/>
        </w:rPr>
        <w:t>Administrative expenses increased from $2.9 million, or 4.2% of revenue in the first quarter of 2000 to $3.1 million, or 4.4% of revenue in the first quarter of 2001 primarily due to increased personnel costs.</w:t>
      </w:r>
    </w:p>
    <w:p>
      <w:pPr>
        <w:spacing w:after="0" w:line="57" w:lineRule="exact"/>
        <w:rPr>
          <w:sz w:val="20"/>
          <w:szCs w:val="20"/>
          <w:color w:val="auto"/>
        </w:rPr>
      </w:pPr>
    </w:p>
    <w:p>
      <w:pPr>
        <w:ind w:right="3579" w:firstLine="787"/>
        <w:spacing w:after="0" w:line="273" w:lineRule="auto"/>
        <w:rPr>
          <w:sz w:val="20"/>
          <w:szCs w:val="20"/>
          <w:color w:val="auto"/>
        </w:rPr>
      </w:pPr>
      <w:r>
        <w:rPr>
          <w:rFonts w:ascii="Courier New" w:cs="Courier New" w:eastAsia="Courier New" w:hAnsi="Courier New"/>
          <w:sz w:val="15"/>
          <w:szCs w:val="15"/>
          <w:color w:val="auto"/>
        </w:rPr>
        <w:t>As a result of the foregoing items, net income increased from $14.1 million during the first quarter of 2000 to $14.2 million during the first quarter of 2001 and net income available for common shareholders remained constant at $12.2 million in both periods.</w:t>
      </w:r>
    </w:p>
    <w:p>
      <w:pPr>
        <w:spacing w:after="0" w:line="68" w:lineRule="exact"/>
        <w:rPr>
          <w:sz w:val="20"/>
          <w:szCs w:val="20"/>
          <w:color w:val="auto"/>
        </w:rPr>
      </w:pPr>
    </w:p>
    <w:p>
      <w:pPr>
        <w:jc w:val="both"/>
        <w:ind w:right="3319" w:firstLine="787"/>
        <w:spacing w:after="0" w:line="290" w:lineRule="auto"/>
        <w:rPr>
          <w:sz w:val="20"/>
          <w:szCs w:val="20"/>
          <w:color w:val="auto"/>
        </w:rPr>
      </w:pPr>
      <w:r>
        <w:rPr>
          <w:rFonts w:ascii="Courier New" w:cs="Courier New" w:eastAsia="Courier New" w:hAnsi="Courier New"/>
          <w:sz w:val="15"/>
          <w:szCs w:val="15"/>
          <w:color w:val="auto"/>
        </w:rPr>
        <w:t>While the Trust expects growth in net income and funds from operations during the remainder of 2001, the growth rate is expected to be slower than in 2000 based on the following factors; there will</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598" w:right="1440" w:bottom="1440" w:gutter="0" w:footer="0" w:header="0"/>
        </w:sectPr>
      </w:pPr>
    </w:p>
    <w:bookmarkStart w:id="20" w:name="page21"/>
    <w:bookmarkEnd w:id="20"/>
    <w:p>
      <w:pPr>
        <w:ind w:right="3239"/>
        <w:spacing w:after="0" w:line="263" w:lineRule="auto"/>
        <w:rPr>
          <w:sz w:val="20"/>
          <w:szCs w:val="20"/>
          <w:color w:val="auto"/>
        </w:rPr>
      </w:pPr>
      <w:r>
        <w:rPr>
          <w:rFonts w:ascii="Courier New" w:cs="Courier New" w:eastAsia="Courier New" w:hAnsi="Courier New"/>
          <w:sz w:val="14"/>
          <w:szCs w:val="14"/>
          <w:color w:val="auto"/>
        </w:rPr>
        <w:t>be a lower contribution from redevelopment projects as much of the Trust's southern California redevelopments were completed in 2000, higher property management and administrative expenses necessitated by tight labor markets, the addition of key positions and a temporary reduction in earnings caused by the demolition of the old Town &amp; Country Shopping Center in 2000 to make way for the new Santana Row development. The growth in 2001 will continue to be primarily dependent on contributions from the core portfolio. Growth of net income from the core portfolio is, in part, dependent on the financial health of the Trust's tenants and on controlling expenses, some of which are beyond the control of the Trust, such as snow removal and real estate tax assessments. The Trust expects that demand for its retail space should remain at its current levels. A weakening of the retail environment could, however, adversely impact the Trust by increasing vacancies and decreasing rents. In past weak retail and real estate environments, the Trust has been able to replace weak and bankrupt tenants with stronger tenants; management believes that due to the quality of the Trust's properties there will continue to be demand for its space.</w:t>
      </w:r>
    </w:p>
    <w:p>
      <w:pPr>
        <w:spacing w:after="0" w:line="79" w:lineRule="exact"/>
        <w:rPr>
          <w:sz w:val="20"/>
          <w:szCs w:val="20"/>
          <w:color w:val="auto"/>
        </w:rPr>
      </w:pPr>
    </w:p>
    <w:p>
      <w:pPr>
        <w:ind w:right="3239" w:firstLine="787"/>
        <w:spacing w:after="0" w:line="250" w:lineRule="auto"/>
        <w:rPr>
          <w:sz w:val="20"/>
          <w:szCs w:val="20"/>
          <w:color w:val="auto"/>
        </w:rPr>
      </w:pPr>
      <w:r>
        <w:rPr>
          <w:rFonts w:ascii="Courier New" w:cs="Courier New" w:eastAsia="Courier New" w:hAnsi="Courier New"/>
          <w:sz w:val="15"/>
          <w:szCs w:val="15"/>
          <w:color w:val="auto"/>
        </w:rPr>
        <w:t>Growth in net income is also dependent on the amount of leverage and interest rates. The Trust's leverage is increasing as it finances its development pipeline. In addition, to the extent variable-rate debt is unhedged, the Trust will continue to have exposure to changes in market interest rates. If interest rates increase, net income and funds from operations, as well as the ultimate cost of the Trust's development projects, will be negatively impacted. To mitigate its exposure to increases in market rate debt, the Trust has entered into interest rate swaps on its $125 million term loan which locks the interest rate on this loan at 6.22%.</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59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Segment Results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679" w:firstLine="787"/>
        <w:spacing w:after="0" w:line="34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 w:lineRule="exact"/>
        <w:rPr>
          <w:sz w:val="20"/>
          <w:szCs w:val="20"/>
          <w:color w:val="auto"/>
        </w:rPr>
      </w:pPr>
    </w:p>
    <w:p>
      <w:pPr>
        <w:ind w:right="4199"/>
        <w:spacing w:after="0" w:line="34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For the three months ended March 31,</w:t>
      </w:r>
    </w:p>
    <w:p>
      <w:pPr>
        <w:spacing w:after="0" w:line="23" w:lineRule="exact"/>
        <w:rPr>
          <w:sz w:val="20"/>
          <w:szCs w:val="20"/>
          <w:color w:val="auto"/>
        </w:rPr>
      </w:pPr>
    </w:p>
    <w:p>
      <w:pPr>
        <w:ind w:left="3500"/>
        <w:spacing w:after="0"/>
        <w:tabs>
          <w:tab w:leader="none" w:pos="516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ind w:left="180" w:hanging="170"/>
        <w:spacing w:after="0"/>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w:t>
      </w:r>
    </w:p>
    <w:p>
      <w:pPr>
        <w:spacing w:after="0" w:line="165"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$28,984</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$27,286</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30,042</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28,122</w:t>
            </w: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1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8,110</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8,824</w:t>
            </w:r>
          </w:p>
        </w:tc>
      </w:tr>
      <w:tr>
        <w:trPr>
          <w:trHeight w:val="245"/>
        </w:trPr>
        <w:tc>
          <w:tcPr>
            <w:tcW w:w="1480" w:type="dxa"/>
            <w:vAlign w:val="bottom"/>
          </w:tcPr>
          <w:p>
            <w:pPr>
              <w:spacing w:after="0"/>
              <w:rPr>
                <w:sz w:val="21"/>
                <w:szCs w:val="21"/>
                <w:color w:val="auto"/>
              </w:rPr>
            </w:pP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259"/>
        </w:trPr>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$67,136</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$64,232</w:t>
            </w:r>
          </w:p>
        </w:tc>
      </w:tr>
      <w:tr>
        <w:trPr>
          <w:trHeight w:val="245"/>
        </w:trPr>
        <w:tc>
          <w:tcPr>
            <w:tcW w:w="1480" w:type="dxa"/>
            <w:vAlign w:val="bottom"/>
          </w:tcPr>
          <w:p>
            <w:pPr>
              <w:spacing w:after="0"/>
              <w:rPr>
                <w:sz w:val="21"/>
                <w:szCs w:val="21"/>
                <w:color w:val="auto"/>
              </w:rPr>
            </w:pP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764"/>
        </w:trPr>
        <w:tc>
          <w:tcPr>
            <w:tcW w:w="1480" w:type="dxa"/>
            <w:vAlign w:val="bottom"/>
          </w:tcPr>
          <w:p>
            <w:pPr>
              <w:spacing w:after="0"/>
              <w:rPr>
                <w:sz w:val="24"/>
                <w:szCs w:val="24"/>
                <w:color w:val="auto"/>
              </w:rPr>
            </w:pPr>
          </w:p>
        </w:tc>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three months ended March 31,</w:t>
            </w:r>
          </w:p>
        </w:tc>
      </w:tr>
      <w:tr>
        <w:trPr>
          <w:trHeight w:val="194"/>
        </w:trPr>
        <w:tc>
          <w:tcPr>
            <w:tcW w:w="1480" w:type="dxa"/>
            <w:vAlign w:val="bottom"/>
          </w:tcPr>
          <w:p>
            <w:pPr>
              <w:spacing w:after="0"/>
              <w:rPr>
                <w:sz w:val="16"/>
                <w:szCs w:val="16"/>
                <w:color w:val="auto"/>
              </w:rPr>
            </w:pP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2000</w:t>
            </w:r>
          </w:p>
        </w:tc>
      </w:tr>
    </w:tbl>
    <w:p>
      <w:pPr>
        <w:spacing w:after="0"/>
        <w:rPr>
          <w:sz w:val="20"/>
          <w:szCs w:val="20"/>
          <w:color w:val="auto"/>
        </w:rPr>
      </w:pPr>
      <w:r>
        <w:rPr>
          <w:rFonts w:ascii="Courier New" w:cs="Courier New" w:eastAsia="Courier New" w:hAnsi="Courier New"/>
          <w:sz w:val="15"/>
          <w:szCs w:val="15"/>
          <w:color w:val="auto"/>
        </w:rPr>
        <w:t>- ----------------------------------------------------------------</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Net operating income</w:t>
            </w:r>
          </w:p>
        </w:tc>
        <w:tc>
          <w:tcPr>
            <w:tcW w:w="18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9"/>
        </w:trPr>
        <w:tc>
          <w:tcPr>
            <w:tcW w:w="2640" w:type="dxa"/>
            <w:vAlign w:val="bottom"/>
          </w:tcPr>
          <w:p>
            <w:pPr>
              <w:ind w:left="800"/>
              <w:spacing w:after="0"/>
              <w:rPr>
                <w:sz w:val="20"/>
                <w:szCs w:val="20"/>
                <w:color w:val="auto"/>
              </w:rPr>
            </w:pPr>
            <w:r>
              <w:rPr>
                <w:rFonts w:ascii="Courier New" w:cs="Courier New" w:eastAsia="Courier New" w:hAnsi="Courier New"/>
                <w:sz w:val="15"/>
                <w:szCs w:val="15"/>
                <w:color w:val="auto"/>
              </w:rPr>
              <w:t>Northeast</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$19,775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$18,471</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Mid-Atlantic</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22,497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20,665</w:t>
            </w:r>
          </w:p>
        </w:tc>
      </w:tr>
      <w:tr>
        <w:trPr>
          <w:trHeight w:val="168"/>
        </w:trPr>
        <w:tc>
          <w:tcPr>
            <w:tcW w:w="2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West</w:t>
            </w:r>
          </w:p>
        </w:tc>
        <w:tc>
          <w:tcPr>
            <w:tcW w:w="1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6,784</w:t>
            </w:r>
          </w:p>
        </w:tc>
      </w:tr>
      <w:tr>
        <w:trPr>
          <w:trHeight w:val="245"/>
        </w:trPr>
        <w:tc>
          <w:tcPr>
            <w:tcW w:w="2640" w:type="dxa"/>
            <w:vAlign w:val="bottom"/>
          </w:tcPr>
          <w:p>
            <w:pPr>
              <w:spacing w:after="0"/>
              <w:rPr>
                <w:sz w:val="21"/>
                <w:szCs w:val="21"/>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2640" w:type="dxa"/>
            <w:vAlign w:val="bottom"/>
          </w:tcPr>
          <w:p>
            <w:pPr>
              <w:spacing w:after="0"/>
              <w:rPr>
                <w:sz w:val="22"/>
                <w:szCs w:val="22"/>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$48,181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$45,920</w:t>
            </w:r>
          </w:p>
        </w:tc>
      </w:tr>
      <w:tr>
        <w:trPr>
          <w:trHeight w:val="245"/>
        </w:trPr>
        <w:tc>
          <w:tcPr>
            <w:tcW w:w="2640" w:type="dxa"/>
            <w:vAlign w:val="bottom"/>
          </w:tcPr>
          <w:p>
            <w:pPr>
              <w:spacing w:after="0"/>
              <w:rPr>
                <w:sz w:val="21"/>
                <w:szCs w:val="21"/>
                <w:color w:val="auto"/>
              </w:rPr>
            </w:pP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The Northeast region is comprised of fifty-four assets, extending from suburban Philadelphia north through New York and its suburbs into New England and west to Illinois and Michigan.</w:t>
      </w:r>
    </w:p>
    <w:p>
      <w:pPr>
        <w:spacing w:after="0" w:line="57" w:lineRule="exact"/>
        <w:rPr>
          <w:sz w:val="20"/>
          <w:szCs w:val="20"/>
          <w:color w:val="auto"/>
        </w:rPr>
      </w:pPr>
    </w:p>
    <w:p>
      <w:pPr>
        <w:ind w:right="3239" w:firstLine="787"/>
        <w:spacing w:after="0" w:line="287" w:lineRule="auto"/>
        <w:rPr>
          <w:sz w:val="20"/>
          <w:szCs w:val="20"/>
          <w:color w:val="auto"/>
        </w:rPr>
      </w:pPr>
      <w:r>
        <w:rPr>
          <w:rFonts w:ascii="Courier New" w:cs="Courier New" w:eastAsia="Courier New" w:hAnsi="Courier New"/>
          <w:sz w:val="14"/>
          <w:szCs w:val="14"/>
          <w:color w:val="auto"/>
        </w:rPr>
        <w:t>When comparing the first quarter of 2001 with 2000, rental income, on an overall and same center basis, increased 6% from $27.3 million in 2000 to $29.0 million in 2001, primarily due to increases at recently redeveloped and retenanted shopping centers and street retail properties such as Greenlawn, Blue Star, Brunswick, Fresh Meadows and Austin Street in Forest Hills, New York.</w:t>
      </w:r>
    </w:p>
    <w:p>
      <w:pPr>
        <w:spacing w:after="0" w:line="61" w:lineRule="exact"/>
        <w:rPr>
          <w:sz w:val="20"/>
          <w:szCs w:val="20"/>
          <w:color w:val="auto"/>
        </w:rPr>
      </w:pPr>
    </w:p>
    <w:p>
      <w:pPr>
        <w:ind w:right="3399" w:firstLine="787"/>
        <w:spacing w:after="0" w:line="290" w:lineRule="auto"/>
        <w:rPr>
          <w:sz w:val="20"/>
          <w:szCs w:val="20"/>
          <w:color w:val="auto"/>
        </w:rPr>
      </w:pPr>
      <w:r>
        <w:rPr>
          <w:rFonts w:ascii="Courier New" w:cs="Courier New" w:eastAsia="Courier New" w:hAnsi="Courier New"/>
          <w:sz w:val="15"/>
          <w:szCs w:val="15"/>
          <w:color w:val="auto"/>
        </w:rPr>
        <w:t>Net operating income increased 7% from $18.5 million in 2000 to $19.8 million in 2001, primarily due to increases at the recently redeveloped and retenanted shopping centers and street retail properties.</w:t>
      </w:r>
    </w:p>
    <w:p>
      <w:pPr>
        <w:spacing w:after="0" w:line="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598"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The Mid-Atlantic</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499" w:firstLine="787"/>
        <w:spacing w:after="0" w:line="273"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which is currently under development, extending from Baltimore south to metropolitan Washington, D.C. and further south through Virginia and North Carolina into Florida.</w:t>
      </w:r>
    </w:p>
    <w:p>
      <w:pPr>
        <w:spacing w:after="0" w:line="68" w:lineRule="exact"/>
        <w:rPr>
          <w:sz w:val="20"/>
          <w:szCs w:val="20"/>
          <w:color w:val="auto"/>
        </w:rPr>
      </w:pPr>
    </w:p>
    <w:p>
      <w:pPr>
        <w:ind w:right="3679" w:firstLine="787"/>
        <w:spacing w:after="0" w:line="287" w:lineRule="auto"/>
        <w:rPr>
          <w:sz w:val="20"/>
          <w:szCs w:val="20"/>
          <w:color w:val="auto"/>
        </w:rPr>
      </w:pPr>
      <w:r>
        <w:rPr>
          <w:rFonts w:ascii="Courier New" w:cs="Courier New" w:eastAsia="Courier New" w:hAnsi="Courier New"/>
          <w:sz w:val="14"/>
          <w:szCs w:val="14"/>
          <w:color w:val="auto"/>
        </w:rPr>
        <w:t>When comparing the first quarter of 2001 with 2000, rental income increased 7% from $28.1 million in 2000 to $30.0 million in 2001. On a same center basis, excluding the recently developed Woodmont East project in Bethesda, Maryland, rental income increased 5%, due primarily to successful retenanting at several shopping centers and street retail properties.</w:t>
      </w:r>
    </w:p>
    <w:p>
      <w:pPr>
        <w:spacing w:after="0" w:line="61" w:lineRule="exact"/>
        <w:rPr>
          <w:sz w:val="20"/>
          <w:szCs w:val="20"/>
          <w:color w:val="auto"/>
        </w:rPr>
      </w:pPr>
    </w:p>
    <w:p>
      <w:pPr>
        <w:ind w:right="3319" w:firstLine="787"/>
        <w:spacing w:after="0" w:line="290" w:lineRule="auto"/>
        <w:rPr>
          <w:sz w:val="20"/>
          <w:szCs w:val="20"/>
          <w:color w:val="auto"/>
        </w:rPr>
      </w:pPr>
      <w:r>
        <w:rPr>
          <w:rFonts w:ascii="Courier New" w:cs="Courier New" w:eastAsia="Courier New" w:hAnsi="Courier New"/>
          <w:sz w:val="15"/>
          <w:szCs w:val="15"/>
          <w:color w:val="auto"/>
        </w:rPr>
        <w:t>When comparing the first quarter of 2001 with 2000, net operating income increased 9% from $20.7 million in 2000 to $22.5 million in 2001. On the same center basis as defined above net operating income increased 6%.</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right="3399" w:firstLine="787"/>
        <w:spacing w:after="0" w:line="290" w:lineRule="auto"/>
        <w:rPr>
          <w:sz w:val="20"/>
          <w:szCs w:val="20"/>
          <w:color w:val="auto"/>
        </w:rPr>
      </w:pPr>
      <w:r>
        <w:rPr>
          <w:rFonts w:ascii="Courier New" w:cs="Courier New" w:eastAsia="Courier New" w:hAnsi="Courier New"/>
          <w:sz w:val="15"/>
          <w:szCs w:val="15"/>
          <w:color w:val="auto"/>
        </w:rPr>
        <w:t>The Western region is comprised of thirty-nine assets, including Santana Row, which is currently under development, extending from Texas to the West Coast.</w:t>
      </w:r>
    </w:p>
    <w:p>
      <w:pPr>
        <w:spacing w:after="0" w:line="57" w:lineRule="exact"/>
        <w:rPr>
          <w:sz w:val="20"/>
          <w:szCs w:val="20"/>
          <w:color w:val="auto"/>
        </w:rPr>
      </w:pPr>
    </w:p>
    <w:p>
      <w:pPr>
        <w:ind w:right="3239" w:firstLine="787"/>
        <w:spacing w:after="0" w:line="259" w:lineRule="auto"/>
        <w:rPr>
          <w:sz w:val="20"/>
          <w:szCs w:val="20"/>
          <w:color w:val="auto"/>
        </w:rPr>
      </w:pPr>
      <w:r>
        <w:rPr>
          <w:rFonts w:ascii="Courier New" w:cs="Courier New" w:eastAsia="Courier New" w:hAnsi="Courier New"/>
          <w:sz w:val="14"/>
          <w:szCs w:val="14"/>
          <w:color w:val="auto"/>
        </w:rPr>
        <w:t>When comparing the first quarter of 2001 with 2000 on a same center basis, which excludes properties acquired and sold in 2001 and 2000, newly developed properties and Santana Row, which is currently under development, rental income increased 16% from $6.6 million in 2000 to $7.7 million in 2001, due primarily to increases from the recently redeveloped and retenanted properties in Los Angeles and Los Gatos, California. On an overall basis, which includes the impact of the sale of Peninsula Shopping Center on June 30, 2000 and the temporary reduction in earnings caused by the demolition of the old Town</w:t>
      </w:r>
    </w:p>
    <w:p>
      <w:pPr>
        <w:spacing w:after="0" w:line="2" w:lineRule="exact"/>
        <w:rPr>
          <w:sz w:val="20"/>
          <w:szCs w:val="20"/>
          <w:color w:val="auto"/>
        </w:rPr>
      </w:pPr>
    </w:p>
    <w:p>
      <w:pPr>
        <w:ind w:right="3399" w:firstLine="10"/>
        <w:spacing w:after="0" w:line="346" w:lineRule="auto"/>
        <w:tabs>
          <w:tab w:leader="none" w:pos="175"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Country Shopping Center to make way for the new Santana Row development, rental income decreased 8%, from $8.8 million in 2000 to $8.1 million in 2001.</w:t>
      </w:r>
    </w:p>
    <w:p>
      <w:pPr>
        <w:spacing w:after="0" w:line="21"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5"/>
          <w:szCs w:val="15"/>
          <w:color w:val="auto"/>
        </w:rPr>
        <w:t>On a same center basis as defined above, net operating income increased 12% from $5.1 million in 2000 to $5.7 million in 2001, due primarily to increases from the recently redeveloped and retenanted properties in Los Angeles and Los Gatos, California. Overall net operating income decreased 13% from $6.8 million in 2000 to $5.9 million in 2001, again reflecting the sale of Peninsula Shopping Center and the temporary reduction in earnings caused by the Santana Row development.</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598"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Reports on Form 8-K</w:t>
      </w:r>
    </w:p>
    <w:p>
      <w:pPr>
        <w:spacing w:after="0" w:line="166" w:lineRule="exact"/>
        <w:rPr>
          <w:sz w:val="20"/>
          <w:szCs w:val="20"/>
          <w:color w:val="auto"/>
        </w:rPr>
      </w:pPr>
    </w:p>
    <w:p>
      <w:pPr>
        <w:ind w:right="3399" w:firstLine="787"/>
        <w:spacing w:after="0" w:line="344" w:lineRule="auto"/>
        <w:rPr>
          <w:sz w:val="20"/>
          <w:szCs w:val="20"/>
          <w:color w:val="auto"/>
        </w:rPr>
      </w:pPr>
      <w:r>
        <w:rPr>
          <w:rFonts w:ascii="Courier New" w:cs="Courier New" w:eastAsia="Courier New" w:hAnsi="Courier New"/>
          <w:sz w:val="15"/>
          <w:szCs w:val="15"/>
          <w:color w:val="auto"/>
        </w:rPr>
        <w:t>A Form 8-K, dated December 31, 2000 was filed on February 14, 2001 in response to 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499" w:firstLine="787"/>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ind w:left="560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8, 2001</w:t>
            </w: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rPr>
              <w:t>/s/ Steven J. Guttman</w:t>
            </w:r>
          </w:p>
        </w:tc>
      </w:tr>
      <w:tr>
        <w:trPr>
          <w:trHeight w:val="168"/>
        </w:trPr>
        <w:tc>
          <w:tcPr>
            <w:tcW w:w="2240" w:type="dxa"/>
            <w:vAlign w:val="bottom"/>
          </w:tcPr>
          <w:p>
            <w:pPr>
              <w:spacing w:after="0"/>
              <w:rPr>
                <w:sz w:val="14"/>
                <w:szCs w:val="14"/>
                <w:color w:val="auto"/>
              </w:rPr>
            </w:pPr>
          </w:p>
        </w:tc>
        <w:tc>
          <w:tcPr>
            <w:tcW w:w="39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240" w:type="dxa"/>
            <w:vAlign w:val="bottom"/>
          </w:tcPr>
          <w:p>
            <w:pPr>
              <w:spacing w:after="0"/>
              <w:rPr>
                <w:sz w:val="14"/>
                <w:szCs w:val="14"/>
                <w:color w:val="auto"/>
              </w:rPr>
            </w:pPr>
          </w:p>
        </w:tc>
        <w:tc>
          <w:tcPr>
            <w:tcW w:w="3980" w:type="dxa"/>
            <w:vAlign w:val="bottom"/>
          </w:tcPr>
          <w:p>
            <w:pPr>
              <w:ind w:left="1260"/>
              <w:spacing w:after="0" w:line="168" w:lineRule="exact"/>
              <w:rPr>
                <w:sz w:val="20"/>
                <w:szCs w:val="20"/>
                <w:color w:val="auto"/>
              </w:rPr>
            </w:pPr>
            <w:r>
              <w:rPr>
                <w:rFonts w:ascii="Courier New" w:cs="Courier New" w:eastAsia="Courier New" w:hAnsi="Courier New"/>
                <w:sz w:val="15"/>
                <w:szCs w:val="15"/>
                <w:color w:val="auto"/>
              </w:rPr>
              <w:t>Steven J. Guttman, Chairman</w:t>
            </w:r>
          </w:p>
        </w:tc>
      </w:tr>
      <w:tr>
        <w:trPr>
          <w:trHeight w:val="245"/>
        </w:trPr>
        <w:tc>
          <w:tcPr>
            <w:tcW w:w="2240" w:type="dxa"/>
            <w:vAlign w:val="bottom"/>
          </w:tcPr>
          <w:p>
            <w:pPr>
              <w:spacing w:after="0"/>
              <w:rPr>
                <w:sz w:val="21"/>
                <w:szCs w:val="21"/>
                <w:color w:val="auto"/>
              </w:rPr>
            </w:pP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rPr>
              <w:t>(Chief Executive Officer)</w:t>
            </w: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May 8, 2001</w:t>
            </w: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rPr>
              <w:t>/s/ Cecily A. Ward</w:t>
            </w:r>
          </w:p>
        </w:tc>
      </w:tr>
      <w:tr>
        <w:trPr>
          <w:trHeight w:val="194"/>
        </w:trPr>
        <w:tc>
          <w:tcPr>
            <w:tcW w:w="2240" w:type="dxa"/>
            <w:vAlign w:val="bottom"/>
          </w:tcPr>
          <w:p>
            <w:pPr>
              <w:spacing w:after="0"/>
              <w:rPr>
                <w:sz w:val="16"/>
                <w:szCs w:val="16"/>
                <w:color w:val="auto"/>
              </w:rPr>
            </w:pPr>
          </w:p>
        </w:tc>
        <w:tc>
          <w:tcPr>
            <w:tcW w:w="3980" w:type="dxa"/>
            <w:vAlign w:val="bottom"/>
          </w:tcPr>
          <w:p>
            <w:pPr>
              <w:ind w:left="1260"/>
              <w:spacing w:after="0"/>
              <w:rPr>
                <w:sz w:val="20"/>
                <w:szCs w:val="20"/>
                <w:color w:val="auto"/>
              </w:rPr>
            </w:pPr>
            <w:r>
              <w:rPr>
                <w:rFonts w:ascii="Courier New" w:cs="Courier New" w:eastAsia="Courier New" w:hAnsi="Courier New"/>
                <w:sz w:val="15"/>
                <w:szCs w:val="15"/>
                <w:color w:val="auto"/>
                <w:w w:val="96"/>
              </w:rPr>
              <w:t>-------------------------------</w:t>
            </w:r>
          </w:p>
        </w:tc>
      </w:tr>
    </w:tbl>
    <w:p>
      <w:pPr>
        <w:ind w:left="3500"/>
        <w:spacing w:after="0"/>
        <w:rPr>
          <w:sz w:val="20"/>
          <w:szCs w:val="20"/>
          <w:color w:val="auto"/>
        </w:rPr>
      </w:pPr>
      <w:r>
        <w:rPr>
          <w:rFonts w:ascii="Courier New" w:cs="Courier New" w:eastAsia="Courier New" w:hAnsi="Courier New"/>
          <w:sz w:val="14"/>
          <w:szCs w:val="14"/>
          <w:color w:val="auto"/>
        </w:rPr>
        <w:t>Cecily A. Ward,Chief Financial Officer</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(Principal Accounting Officer)</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sectPr>
      <w:pgSz w:w="11900" w:h="16838" w:orient="portrait"/>
      <w:cols w:equalWidth="0" w:num="1">
        <w:col w:w="10239"/>
      </w:cols>
      <w:pgMar w:left="22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decimal"/>
      <w:start w:val="30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2019-12-13T00:54:19Z</dcterms:created>
  <dcterms:modified xsi:type="dcterms:W3CDTF">2019-12-13T00:54:19Z</dcterms:modified>
</cp:coreProperties>
</file>