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April 2, 2020</w:t>
      </w:r>
    </w:p>
    <w:p>
      <w:pPr>
        <w:spacing w:after="0" w:line="200" w:lineRule="exact"/>
        <w:rPr>
          <w:sz w:val="24"/>
          <w:szCs w:val="24"/>
          <w:color w:val="auto"/>
        </w:rPr>
      </w:pPr>
    </w:p>
    <w:p>
      <w:pPr>
        <w:spacing w:after="0" w:line="368"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400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98"/>
              </w:rPr>
              <w:t>Maryland</w:t>
            </w:r>
          </w:p>
        </w:tc>
        <w:tc>
          <w:tcPr>
            <w:tcW w:w="920" w:type="dxa"/>
            <w:vAlign w:val="bottom"/>
          </w:tcPr>
          <w:p>
            <w:pPr>
              <w:spacing w:after="0"/>
              <w:rPr>
                <w:sz w:val="20"/>
                <w:szCs w:val="20"/>
                <w:color w:val="auto"/>
              </w:rPr>
            </w:pPr>
          </w:p>
        </w:tc>
        <w:tc>
          <w:tcPr>
            <w:tcW w:w="110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1-07533</w:t>
            </w:r>
          </w:p>
        </w:tc>
        <w:tc>
          <w:tcPr>
            <w:tcW w:w="1140" w:type="dxa"/>
            <w:vAlign w:val="bottom"/>
          </w:tcPr>
          <w:p>
            <w:pPr>
              <w:spacing w:after="0"/>
              <w:rPr>
                <w:sz w:val="20"/>
                <w:szCs w:val="20"/>
                <w:color w:val="auto"/>
              </w:rPr>
            </w:pPr>
          </w:p>
        </w:tc>
        <w:tc>
          <w:tcPr>
            <w:tcW w:w="3220" w:type="dxa"/>
            <w:vAlign w:val="bottom"/>
          </w:tcPr>
          <w:p>
            <w:pPr>
              <w:jc w:val="center"/>
              <w:ind w:left="844"/>
              <w:spacing w:after="0"/>
              <w:rPr>
                <w:sz w:val="20"/>
                <w:szCs w:val="20"/>
                <w:color w:val="auto"/>
              </w:rPr>
            </w:pPr>
            <w:r>
              <w:rPr>
                <w:rFonts w:ascii="Arial" w:cs="Arial" w:eastAsia="Arial" w:hAnsi="Arial"/>
                <w:sz w:val="18"/>
                <w:szCs w:val="18"/>
                <w:b w:val="1"/>
                <w:bCs w:val="1"/>
                <w:color w:val="auto"/>
                <w:w w:val="89"/>
              </w:rPr>
              <w:t>52-0782497</w:t>
            </w:r>
          </w:p>
        </w:tc>
      </w:tr>
      <w:tr>
        <w:trPr>
          <w:trHeight w:val="171"/>
        </w:trPr>
        <w:tc>
          <w:tcPr>
            <w:tcW w:w="4000" w:type="dxa"/>
            <w:vAlign w:val="bottom"/>
            <w:gridSpan w:val="3"/>
          </w:tcPr>
          <w:p>
            <w:pPr>
              <w:jc w:val="center"/>
              <w:ind w:right="610"/>
              <w:spacing w:after="0"/>
              <w:rPr>
                <w:sz w:val="20"/>
                <w:szCs w:val="20"/>
                <w:color w:val="auto"/>
              </w:rPr>
            </w:pPr>
            <w:r>
              <w:rPr>
                <w:rFonts w:ascii="Arial" w:cs="Arial" w:eastAsia="Arial" w:hAnsi="Arial"/>
                <w:sz w:val="13"/>
                <w:szCs w:val="13"/>
                <w:b w:val="1"/>
                <w:bCs w:val="1"/>
                <w:color w:val="auto"/>
                <w:w w:val="87"/>
              </w:rPr>
              <w:t>(State or other jurisdiction</w:t>
            </w:r>
          </w:p>
        </w:tc>
        <w:tc>
          <w:tcPr>
            <w:tcW w:w="920" w:type="dxa"/>
            <w:vAlign w:val="bottom"/>
          </w:tcPr>
          <w:p>
            <w:pPr>
              <w:spacing w:after="0"/>
              <w:rPr>
                <w:sz w:val="14"/>
                <w:szCs w:val="14"/>
                <w:color w:val="auto"/>
              </w:rPr>
            </w:pPr>
          </w:p>
        </w:tc>
        <w:tc>
          <w:tcPr>
            <w:tcW w:w="224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00" w:type="dxa"/>
            <w:vAlign w:val="bottom"/>
            <w:gridSpan w:val="3"/>
          </w:tcPr>
          <w:p>
            <w:pPr>
              <w:jc w:val="center"/>
              <w:ind w:right="590"/>
              <w:spacing w:after="0"/>
              <w:rPr>
                <w:sz w:val="20"/>
                <w:szCs w:val="20"/>
                <w:color w:val="auto"/>
              </w:rPr>
            </w:pPr>
            <w:r>
              <w:rPr>
                <w:rFonts w:ascii="Arial" w:cs="Arial" w:eastAsia="Arial" w:hAnsi="Arial"/>
                <w:sz w:val="13"/>
                <w:szCs w:val="13"/>
                <w:b w:val="1"/>
                <w:bCs w:val="1"/>
                <w:color w:val="auto"/>
                <w:w w:val="88"/>
              </w:rPr>
              <w:t>of incorporation)</w:t>
            </w:r>
          </w:p>
        </w:tc>
        <w:tc>
          <w:tcPr>
            <w:tcW w:w="920" w:type="dxa"/>
            <w:vAlign w:val="bottom"/>
          </w:tcPr>
          <w:p>
            <w:pPr>
              <w:spacing w:after="0"/>
              <w:rPr>
                <w:sz w:val="14"/>
                <w:szCs w:val="14"/>
                <w:color w:val="auto"/>
              </w:rPr>
            </w:pPr>
          </w:p>
        </w:tc>
        <w:tc>
          <w:tcPr>
            <w:tcW w:w="224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596"/>
        </w:trPr>
        <w:tc>
          <w:tcPr>
            <w:tcW w:w="1500" w:type="dxa"/>
            <w:vAlign w:val="bottom"/>
          </w:tcPr>
          <w:p>
            <w:pPr>
              <w:spacing w:after="0"/>
              <w:rPr>
                <w:sz w:val="24"/>
                <w:szCs w:val="24"/>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1626 East Jefferson Street,</w:t>
            </w: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Rockville,</w:t>
            </w:r>
          </w:p>
        </w:tc>
        <w:tc>
          <w:tcPr>
            <w:tcW w:w="224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2044"/>
              <w:spacing w:after="0"/>
              <w:rPr>
                <w:sz w:val="20"/>
                <w:szCs w:val="20"/>
                <w:color w:val="auto"/>
              </w:rPr>
            </w:pPr>
            <w:r>
              <w:rPr>
                <w:rFonts w:ascii="Arial" w:cs="Arial" w:eastAsia="Arial" w:hAnsi="Arial"/>
                <w:sz w:val="18"/>
                <w:szCs w:val="18"/>
                <w:b w:val="1"/>
                <w:bCs w:val="1"/>
                <w:color w:val="auto"/>
              </w:rPr>
              <w:t>20852-4041</w:t>
            </w:r>
          </w:p>
        </w:tc>
      </w:tr>
      <w:tr>
        <w:trPr>
          <w:trHeight w:val="281"/>
        </w:trPr>
        <w:tc>
          <w:tcPr>
            <w:tcW w:w="1500" w:type="dxa"/>
            <w:vAlign w:val="bottom"/>
          </w:tcPr>
          <w:p>
            <w:pPr>
              <w:spacing w:after="0"/>
              <w:rPr>
                <w:sz w:val="24"/>
                <w:szCs w:val="24"/>
                <w:color w:val="auto"/>
              </w:rPr>
            </w:pPr>
          </w:p>
        </w:tc>
        <w:tc>
          <w:tcPr>
            <w:tcW w:w="3420" w:type="dxa"/>
            <w:vAlign w:val="bottom"/>
            <w:gridSpan w:val="3"/>
          </w:tcPr>
          <w:p>
            <w:pPr>
              <w:ind w:left="130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ind w:right="180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80" w:type="dxa"/>
            <w:vAlign w:val="bottom"/>
            <w:gridSpan w:val="5"/>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405"/>
        </w:trPr>
        <w:tc>
          <w:tcPr>
            <w:tcW w:w="1500" w:type="dxa"/>
            <w:vAlign w:val="bottom"/>
          </w:tcPr>
          <w:p>
            <w:pPr>
              <w:spacing w:after="0"/>
              <w:rPr>
                <w:sz w:val="24"/>
                <w:szCs w:val="24"/>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b w:val="1"/>
                <w:bCs w:val="1"/>
                <w:color w:val="auto"/>
                <w:w w:val="91"/>
              </w:rPr>
              <w:t>Title of Each Class</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0"/>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0"/>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FRT</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20" w:type="dxa"/>
            <w:vAlign w:val="bottom"/>
            <w:gridSpan w:val="4"/>
          </w:tcPr>
          <w:p>
            <w:pPr>
              <w:jc w:val="center"/>
              <w:ind w:right="530"/>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500" w:type="dxa"/>
            <w:vAlign w:val="bottom"/>
          </w:tcPr>
          <w:p>
            <w:pPr>
              <w:spacing w:after="0"/>
              <w:rPr>
                <w:sz w:val="17"/>
                <w:szCs w:val="17"/>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color w:val="auto"/>
                <w:w w:val="92"/>
              </w:rPr>
              <w:t>Rights</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2"/>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89"/>
              </w:rPr>
              <w:t>Depositary Shares, each representing 1/1000 of a share</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FRT-C</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4" w:lineRule="exact"/>
        <w:rPr>
          <w:sz w:val="24"/>
          <w:szCs w:val="24"/>
          <w:color w:val="auto"/>
        </w:rPr>
      </w:pPr>
    </w:p>
    <w:p>
      <w:pPr>
        <w:jc w:val="center"/>
        <w:ind w:right="636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36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29" w:lineRule="exact"/>
        <w:rPr>
          <w:sz w:val="24"/>
          <w:szCs w:val="24"/>
          <w:color w:val="auto"/>
        </w:rPr>
      </w:pPr>
    </w:p>
    <w:p>
      <w:pPr>
        <w:jc w:val="both"/>
        <w:ind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320" w:top="652" w:right="59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20"/>
          <w:szCs w:val="20"/>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On April 2, 2020, the Board of Trustees of the Trust approved an amendment to Section 1 of Article II of the Trust’s Amended and Restated Bylaws to allow our annual shareholder meetings to be held by means of remote communications.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Section 1 is filed as an exhibit to this report and is incorporated by reference into this Item 5.03.</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following Exhibits are included in the Form 8-K:</w:t>
      </w:r>
    </w:p>
    <w:p>
      <w:pPr>
        <w:spacing w:after="0" w:line="191"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20"/>
                <w:szCs w:val="20"/>
                <w:color w:val="auto"/>
                <w:w w:val="93"/>
              </w:rPr>
              <w:t>Exhibit</w:t>
            </w:r>
          </w:p>
        </w:tc>
        <w:tc>
          <w:tcPr>
            <w:tcW w:w="54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20"/>
                <w:szCs w:val="20"/>
                <w:color w:val="auto"/>
              </w:rPr>
              <w:t>Description of Exhibit</w:t>
            </w:r>
          </w:p>
        </w:tc>
      </w:tr>
      <w:tr>
        <w:trPr>
          <w:trHeight w:val="20"/>
        </w:trPr>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449"/>
        </w:trPr>
        <w:tc>
          <w:tcPr>
            <w:tcW w:w="912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3.1</w:t>
              </w:r>
            </w:hyperlink>
            <w:r>
              <w:rPr>
                <w:rFonts w:ascii="Arial" w:cs="Arial" w:eastAsia="Arial" w:hAnsi="Arial"/>
                <w:sz w:val="19"/>
                <w:szCs w:val="19"/>
                <w:color w:val="000000"/>
              </w:rPr>
              <w:t>Amended</w:t>
            </w:r>
            <w:r>
              <w:rPr>
                <w:rFonts w:ascii="Arial" w:cs="Arial" w:eastAsia="Arial" w:hAnsi="Arial"/>
                <w:sz w:val="18"/>
                <w:szCs w:val="18"/>
                <w:color w:val="0000FF"/>
              </w:rPr>
              <w:t xml:space="preserve"> </w:t>
            </w:r>
            <w:r>
              <w:rPr>
                <w:rFonts w:ascii="Arial" w:cs="Arial" w:eastAsia="Arial" w:hAnsi="Arial"/>
                <w:sz w:val="19"/>
                <w:szCs w:val="19"/>
                <w:color w:val="000000"/>
              </w:rPr>
              <w:t>Section 1 of Article II of the Amended and Restated</w:t>
            </w:r>
          </w:p>
        </w:tc>
      </w:tr>
      <w:tr>
        <w:trPr>
          <w:trHeight w:val="250"/>
        </w:trPr>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gridSpan w:val="2"/>
          </w:tcPr>
          <w:p>
            <w:pPr>
              <w:ind w:left="820"/>
              <w:spacing w:after="0"/>
              <w:rPr>
                <w:sz w:val="20"/>
                <w:szCs w:val="20"/>
                <w:color w:val="auto"/>
              </w:rPr>
            </w:pPr>
            <w:r>
              <w:rPr>
                <w:rFonts w:ascii="Arial" w:cs="Arial" w:eastAsia="Arial" w:hAnsi="Arial"/>
                <w:sz w:val="20"/>
                <w:szCs w:val="20"/>
                <w:color w:val="auto"/>
              </w:rPr>
              <w:t>Bylaws</w:t>
            </w:r>
          </w:p>
        </w:tc>
      </w:tr>
      <w:tr>
        <w:trPr>
          <w:trHeight w:val="425"/>
        </w:trPr>
        <w:tc>
          <w:tcPr>
            <w:tcW w:w="580" w:type="dxa"/>
            <w:vAlign w:val="bottom"/>
          </w:tcPr>
          <w:p>
            <w:pPr>
              <w:spacing w:after="0"/>
              <w:rPr>
                <w:sz w:val="20"/>
                <w:szCs w:val="20"/>
                <w:color w:val="auto"/>
              </w:rPr>
            </w:pPr>
            <w:r>
              <w:rPr>
                <w:rFonts w:ascii="Arial" w:cs="Arial" w:eastAsia="Arial" w:hAnsi="Arial"/>
                <w:sz w:val="20"/>
                <w:szCs w:val="20"/>
                <w:color w:val="auto"/>
              </w:rPr>
              <w:t>104</w:t>
            </w:r>
          </w:p>
        </w:tc>
        <w:tc>
          <w:tcPr>
            <w:tcW w:w="540" w:type="dxa"/>
            <w:vAlign w:val="bottom"/>
          </w:tcPr>
          <w:p>
            <w:pPr>
              <w:spacing w:after="0"/>
              <w:rPr>
                <w:sz w:val="24"/>
                <w:szCs w:val="24"/>
                <w:color w:val="auto"/>
              </w:rPr>
            </w:pPr>
          </w:p>
        </w:tc>
        <w:tc>
          <w:tcPr>
            <w:tcW w:w="8000" w:type="dxa"/>
            <w:vAlign w:val="bottom"/>
            <w:gridSpan w:val="2"/>
          </w:tcPr>
          <w:p>
            <w:pPr>
              <w:ind w:left="820"/>
              <w:spacing w:after="0"/>
              <w:rPr>
                <w:sz w:val="20"/>
                <w:szCs w:val="20"/>
                <w:color w:val="auto"/>
              </w:rPr>
            </w:pPr>
            <w:r>
              <w:rPr>
                <w:rFonts w:ascii="Arial" w:cs="Arial" w:eastAsia="Arial" w:hAnsi="Arial"/>
                <w:sz w:val="20"/>
                <w:szCs w:val="20"/>
                <w:color w:val="auto"/>
                <w:w w:val="89"/>
              </w:rPr>
              <w:t>Cover Page Interactive Data File (the Cover Page Interactive Data File is embedded within</w:t>
            </w:r>
          </w:p>
        </w:tc>
      </w:tr>
      <w:tr>
        <w:trPr>
          <w:trHeight w:val="250"/>
        </w:trPr>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gridSpan w:val="2"/>
          </w:tcPr>
          <w:p>
            <w:pPr>
              <w:ind w:left="820"/>
              <w:spacing w:after="0"/>
              <w:rPr>
                <w:sz w:val="20"/>
                <w:szCs w:val="20"/>
                <w:color w:val="auto"/>
              </w:rPr>
            </w:pPr>
            <w:r>
              <w:rPr>
                <w:rFonts w:ascii="Arial" w:cs="Arial" w:eastAsia="Arial" w:hAnsi="Arial"/>
                <w:sz w:val="20"/>
                <w:szCs w:val="20"/>
                <w:color w:val="auto"/>
              </w:rPr>
              <w:t>the Inline XBRL document)</w:t>
            </w:r>
          </w:p>
        </w:tc>
      </w:tr>
    </w:tbl>
    <w:p>
      <w:pPr>
        <w:sectPr>
          <w:pgSz w:w="11900" w:h="16838" w:orient="portrait"/>
          <w:cols w:equalWidth="0" w:num="1">
            <w:col w:w="11240"/>
          </w:cols>
          <w:pgMar w:left="320" w:top="549" w:right="3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6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FEDERAL REALTY INVESTMENT TRUST</w:t>
      </w:r>
    </w:p>
    <w:p>
      <w:pPr>
        <w:spacing w:after="0" w:line="384" w:lineRule="exact"/>
        <w:rPr>
          <w:sz w:val="20"/>
          <w:szCs w:val="20"/>
          <w:color w:val="auto"/>
        </w:rPr>
      </w:pPr>
    </w:p>
    <w:p>
      <w:pPr>
        <w:ind w:left="40"/>
        <w:spacing w:after="0"/>
        <w:tabs>
          <w:tab w:leader="none" w:pos="820" w:val="left"/>
          <w:tab w:leader="none" w:pos="46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April 7, 2020</w:t>
      </w:r>
      <w:r>
        <w:rPr>
          <w:sz w:val="20"/>
          <w:szCs w:val="20"/>
          <w:color w:val="auto"/>
        </w:rPr>
        <w:tab/>
      </w:r>
      <w:r>
        <w:rPr>
          <w:rFonts w:ascii="Arial" w:cs="Arial" w:eastAsia="Arial" w:hAnsi="Arial"/>
          <w:sz w:val="18"/>
          <w:szCs w:val="18"/>
          <w:u w:val="single" w:color="auto"/>
          <w:color w:val="auto"/>
        </w:rPr>
        <w:t>/s/ Dawn M. Becker</w:t>
      </w:r>
    </w:p>
    <w:p>
      <w:pPr>
        <w:spacing w:after="0" w:line="37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Dawn M. Becker</w:t>
      </w:r>
    </w:p>
    <w:p>
      <w:pPr>
        <w:spacing w:after="0" w:line="54"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Executive Vice President-General Counsel and Secretary</w:t>
      </w:r>
    </w:p>
    <w:p>
      <w:pPr>
        <w:sectPr>
          <w:pgSz w:w="11900" w:h="16838" w:orient="portrait"/>
          <w:cols w:equalWidth="0" w:num="1">
            <w:col w:w="10880"/>
          </w:cols>
          <w:pgMar w:left="320" w:top="549" w:right="69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Section 1. PLACE. All meetings of shareholders shall be held at the principal executive office of the Trust or at such other place within the United States as shall be stated in the notice of the meeting. In determining the location of any meeting of shareholders, the Board of Trustees may determine that the meeting not be held at any place, but instead may be held solely by means of remote communication. If a meeting is held solely by means of remote communication, the Trust shall implement reasonable measures (a) to verify that each person considered present and authorized to vote at the meeting by means of remote communication is a shareholder or proxy holder and (b) to provide the shareholders and proxy holders a reasonable opportunity to participate in the meeting and to vote on matters submitted to the shareholders, including an opportunity to read or hear the proceedings of the meeting substantially concurrently with the proceedings.</w:t>
      </w:r>
    </w:p>
    <w:sectPr>
      <w:pgSz w:w="11900" w:h="16838" w:orient="portrait"/>
      <w:cols w:equalWidth="0" w:num="1">
        <w:col w:w="11240"/>
      </w:cols>
      <w:pgMar w:left="320" w:top="5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2020-04-07T15:22:01Z</dcterms:created>
  <dcterms:modified xsi:type="dcterms:W3CDTF">2020-04-07T15:22:01Z</dcterms:modified>
</cp:coreProperties>
</file>