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IJKR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Stacey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113,879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connection with estate planning, the shares were gifted from IJKR II, LLC, an entity benefitting Mr. Wood's children, to the Stacey Wood Revocable Trust, a trust over which Mr. Wood has indirect beneficial interest and control.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90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2025-09-30T07:39:47Z</dcterms:created>
  <dcterms:modified xsi:type="dcterms:W3CDTF">2025-09-30T07:39:47Z</dcterms:modified>
</cp:coreProperties>
</file>