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153670</wp:posOffset>
            </wp:positionV>
            <wp:extent cx="725487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29210"/>
                    </a:xfrm>
                    <a:prstGeom prst="rect">
                      <a:avLst/>
                    </a:prstGeom>
                    <a:noFill/>
                  </pic:spPr>
                </pic:pic>
              </a:graphicData>
            </a:graphic>
          </wp:anchor>
        </w:drawing>
        <w:t>SECURITIES AND EXCHANGE COMMISSION</w:t>
      </w:r>
    </w:p>
    <w:p>
      <w:pPr>
        <w:spacing w:after="0" w:line="36" w:lineRule="exact"/>
        <w:rPr>
          <w:sz w:val="24"/>
          <w:szCs w:val="24"/>
          <w:color w:val="auto"/>
        </w:rPr>
      </w:pP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156845</wp:posOffset>
            </wp:positionV>
            <wp:extent cx="125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94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182880</wp:posOffset>
            </wp:positionV>
            <wp:extent cx="1250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699"/>
        <w:spacing w:after="0"/>
        <w:rPr>
          <w:sz w:val="20"/>
          <w:szCs w:val="20"/>
          <w:color w:val="auto"/>
        </w:rPr>
      </w:pPr>
      <w:r>
        <w:rPr>
          <w:rFonts w:ascii="Arial" w:cs="Arial" w:eastAsia="Arial" w:hAnsi="Arial"/>
          <w:sz w:val="21"/>
          <w:szCs w:val="21"/>
          <w:b w:val="1"/>
          <w:bCs w:val="1"/>
          <w:color w:val="auto"/>
        </w:rPr>
        <w:t>CURRENT REPORT</w:t>
      </w:r>
    </w:p>
    <w:p>
      <w:pPr>
        <w:spacing w:after="0" w:line="139" w:lineRule="exact"/>
        <w:rPr>
          <w:sz w:val="24"/>
          <w:szCs w:val="24"/>
          <w:color w:val="auto"/>
        </w:rPr>
      </w:pPr>
    </w:p>
    <w:p>
      <w:pPr>
        <w:jc w:val="center"/>
        <w:ind w:right="-69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65" w:lineRule="exact"/>
        <w:rPr>
          <w:sz w:val="24"/>
          <w:szCs w:val="24"/>
          <w:color w:val="auto"/>
        </w:rPr>
      </w:pPr>
    </w:p>
    <w:p>
      <w:pPr>
        <w:ind w:left="3500"/>
        <w:spacing w:after="0"/>
        <w:rPr>
          <w:sz w:val="20"/>
          <w:szCs w:val="20"/>
          <w:color w:val="auto"/>
        </w:rPr>
      </w:pPr>
      <w:r>
        <w:rPr>
          <w:rFonts w:ascii="Arial" w:cs="Arial" w:eastAsia="Arial" w:hAnsi="Arial"/>
          <w:sz w:val="17"/>
          <w:szCs w:val="17"/>
          <w:b w:val="1"/>
          <w:bCs w:val="1"/>
          <w:color w:val="auto"/>
        </w:rPr>
        <w:t>Date of Report (Date of earliest event reported) July 28,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175260</wp:posOffset>
            </wp:positionV>
            <wp:extent cx="1250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699"/>
        <w:spacing w:after="0"/>
        <w:rPr>
          <w:sz w:val="20"/>
          <w:szCs w:val="20"/>
          <w:color w:val="auto"/>
        </w:rPr>
      </w:pPr>
      <w:r>
        <w:rPr>
          <w:rFonts w:ascii="Arial" w:cs="Arial" w:eastAsia="Arial" w:hAnsi="Arial"/>
          <w:sz w:val="42"/>
          <w:szCs w:val="42"/>
          <w:b w:val="1"/>
          <w:bCs w:val="1"/>
          <w:color w:val="auto"/>
        </w:rPr>
        <w:t>Federal Realty Investment Trust</w:t>
      </w:r>
    </w:p>
    <w:p>
      <w:pPr>
        <w:spacing w:after="0" w:line="45"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154305</wp:posOffset>
            </wp:positionV>
            <wp:extent cx="1250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ectPr>
          <w:pgSz w:w="11900" w:h="16838" w:orient="portrait"/>
          <w:cols w:equalWidth="0" w:num="1">
            <w:col w:w="10720"/>
          </w:cols>
          <w:pgMar w:left="240" w:top="348" w:right="939" w:bottom="1440" w:gutter="0" w:footer="0" w:header="0"/>
        </w:sectPr>
      </w:pPr>
    </w:p>
    <w:p>
      <w:pPr>
        <w:spacing w:after="0" w:line="200" w:lineRule="exact"/>
        <w:rPr>
          <w:sz w:val="24"/>
          <w:szCs w:val="24"/>
          <w:color w:val="auto"/>
        </w:rPr>
      </w:pPr>
    </w:p>
    <w:p>
      <w:pPr>
        <w:spacing w:after="0" w:line="29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40" w:space="720"/>
            <w:col w:w="2900" w:space="720"/>
            <w:col w:w="1540"/>
          </w:cols>
          <w:pgMar w:left="240" w:top="348" w:right="939" w:bottom="1440" w:gutter="0" w:footer="0" w:header="0"/>
          <w:type w:val="continuous"/>
        </w:sectPr>
      </w:pP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11"/>
          <w:szCs w:val="11"/>
          <w:b w:val="1"/>
          <w:bCs w:val="1"/>
          <w:color w:val="auto"/>
        </w:rPr>
        <w:t>(State or other jurisdiction</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Arial" w:cs="Arial" w:eastAsia="Arial" w:hAnsi="Arial"/>
          <w:sz w:val="13"/>
          <w:szCs w:val="13"/>
          <w:b w:val="1"/>
          <w:bCs w:val="1"/>
          <w:color w:val="auto"/>
        </w:rPr>
        <w:t>(IRS Employer</w:t>
      </w:r>
    </w:p>
    <w:p>
      <w:pPr>
        <w:jc w:val="center"/>
        <w:ind w:right="600"/>
        <w:spacing w:after="0"/>
        <w:rPr>
          <w:sz w:val="20"/>
          <w:szCs w:val="20"/>
          <w:color w:val="auto"/>
        </w:rPr>
      </w:pPr>
      <w:r>
        <w:rPr>
          <w:rFonts w:ascii="Arial" w:cs="Arial" w:eastAsia="Arial" w:hAnsi="Arial"/>
          <w:sz w:val="12"/>
          <w:szCs w:val="12"/>
          <w:b w:val="1"/>
          <w:bCs w:val="1"/>
          <w:color w:val="auto"/>
        </w:rPr>
        <w:t>Identification No.)</w:t>
      </w:r>
    </w:p>
    <w:p>
      <w:pPr>
        <w:spacing w:after="0" w:line="150" w:lineRule="exact"/>
        <w:rPr>
          <w:sz w:val="24"/>
          <w:szCs w:val="24"/>
          <w:color w:val="auto"/>
        </w:rPr>
      </w:pPr>
    </w:p>
    <w:p>
      <w:pPr>
        <w:sectPr>
          <w:pgSz w:w="11900" w:h="16838" w:orient="portrait"/>
          <w:cols w:equalWidth="0" w:num="3">
            <w:col w:w="4360" w:space="720"/>
            <w:col w:w="3280" w:space="720"/>
            <w:col w:w="1640"/>
          </w:cols>
          <w:pgMar w:left="240" w:top="348" w:right="93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48" w:lineRule="exact"/>
        <w:rPr>
          <w:sz w:val="24"/>
          <w:szCs w:val="24"/>
          <w:color w:val="auto"/>
        </w:rPr>
      </w:pPr>
    </w:p>
    <w:p>
      <w:pPr>
        <w:sectPr>
          <w:pgSz w:w="11900" w:h="16838" w:orient="portrait"/>
          <w:cols w:equalWidth="0" w:num="2">
            <w:col w:w="7560" w:space="720"/>
            <w:col w:w="2440"/>
          </w:cols>
          <w:pgMar w:left="240" w:top="348" w:right="93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1" w:lineRule="exact"/>
        <w:rPr>
          <w:sz w:val="24"/>
          <w:szCs w:val="24"/>
          <w:color w:val="auto"/>
        </w:rPr>
      </w:pPr>
    </w:p>
    <w:p>
      <w:pPr>
        <w:sectPr>
          <w:pgSz w:w="11900" w:h="16838" w:orient="portrait"/>
          <w:cols w:equalWidth="0" w:num="2">
            <w:col w:w="7660" w:space="720"/>
            <w:col w:w="2340"/>
          </w:cols>
          <w:pgMar w:left="240" w:top="348" w:right="939" w:bottom="1440" w:gutter="0" w:footer="0" w:header="0"/>
          <w:type w:val="continuous"/>
        </w:sectPr>
      </w:pPr>
    </w:p>
    <w:p>
      <w:pPr>
        <w:ind w:left="334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175260</wp:posOffset>
            </wp:positionV>
            <wp:extent cx="1250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5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5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4875"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9210"/>
                    </a:xfrm>
                    <a:prstGeom prst="rect">
                      <a:avLst/>
                    </a:prstGeom>
                    <a:noFill/>
                  </pic:spPr>
                </pic:pic>
              </a:graphicData>
            </a:graphic>
          </wp:anchor>
        </w:drawing>
      </w:r>
    </w:p>
    <w:p>
      <w:pPr>
        <w:sectPr>
          <w:pgSz w:w="11900" w:h="16838" w:orient="portrait"/>
          <w:cols w:equalWidth="0" w:num="1">
            <w:col w:w="10720"/>
          </w:cols>
          <w:pgMar w:left="240" w:top="348" w:right="9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Item 2.02. Results of Operations and Financial Condition.</w:t>
      </w:r>
    </w:p>
    <w:p>
      <w:pPr>
        <w:spacing w:after="0" w:line="84" w:lineRule="exact"/>
        <w:rPr>
          <w:sz w:val="20"/>
          <w:szCs w:val="20"/>
          <w:color w:val="auto"/>
        </w:rPr>
      </w:pPr>
    </w:p>
    <w:p>
      <w:pPr>
        <w:ind w:right="140" w:firstLine="457"/>
        <w:spacing w:after="0" w:line="312"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87"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On July 28, 2005, Federal Realty Investment Trust issued supplemental data pertaining to its operations, as well as a press release, to report its financial results for the quarter ended June 30, 2005. The supplemental data and press release are furnished as Exhibit 99.1 hereto.</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84" w:lineRule="exact"/>
        <w:rPr>
          <w:sz w:val="20"/>
          <w:szCs w:val="20"/>
          <w:color w:val="auto"/>
        </w:rPr>
      </w:pPr>
    </w:p>
    <w:p>
      <w:pPr>
        <w:ind w:left="900" w:hanging="449"/>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159"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June 30, 2005 (including press release dated July 28, 2005)</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271"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SIGNATURES</w:t>
      </w:r>
    </w:p>
    <w:p>
      <w:pPr>
        <w:spacing w:after="0" w:line="163"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FEDERAL REALTY INVESTMENT TRUST</w:t>
      </w:r>
    </w:p>
    <w:p>
      <w:pPr>
        <w:spacing w:after="0" w:line="228"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 July 28, 2005</w:t>
      </w:r>
      <w:r>
        <w:rPr>
          <w:sz w:val="20"/>
          <w:szCs w:val="20"/>
          <w:color w:val="auto"/>
        </w:rPr>
        <w:tab/>
      </w:r>
      <w:r>
        <w:rPr>
          <w:rFonts w:ascii="Arial" w:cs="Arial" w:eastAsia="Arial" w:hAnsi="Arial"/>
          <w:sz w:val="15"/>
          <w:szCs w:val="15"/>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81280</wp:posOffset>
            </wp:positionV>
            <wp:extent cx="32499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9930" cy="8255"/>
                    </a:xfrm>
                    <a:prstGeom prst="rect">
                      <a:avLst/>
                    </a:prstGeom>
                    <a:noFill/>
                  </pic:spPr>
                </pic:pic>
              </a:graphicData>
            </a:graphic>
          </wp:anchor>
        </w:drawing>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Larry E. Finger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Executive Vice President,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Financial Officer and Treasurer</w:t>
      </w:r>
    </w:p>
    <w:p>
      <w:pPr>
        <w:spacing w:after="0" w:line="15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80"/>
          </w:cols>
          <w:pgMar w:left="240" w:top="271" w:right="57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EXHIBIT INDEX</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Exh No.</w:t>
      </w:r>
      <w:r>
        <w:rPr>
          <w:sz w:val="20"/>
          <w:szCs w:val="20"/>
          <w:color w:val="auto"/>
        </w:rPr>
        <w:tab/>
      </w:r>
      <w:r>
        <w:rPr>
          <w:rFonts w:ascii="Arial" w:cs="Arial" w:eastAsia="Arial" w:hAnsi="Arial"/>
          <w:sz w:val="11"/>
          <w:szCs w:val="11"/>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71755</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2"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June 30, 2005</w:t>
      </w:r>
    </w:p>
    <w:p>
      <w:pPr>
        <w:spacing w:after="0" w:line="15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39"/>
          </w:cols>
          <w:pgMar w:left="320" w:top="27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276"/>
        </w:trPr>
        <w:tc>
          <w:tcPr>
            <w:tcW w:w="340" w:type="dxa"/>
            <w:vAlign w:val="bottom"/>
          </w:tcPr>
          <w:p>
            <w:pPr>
              <w:spacing w:after="0"/>
              <w:rPr>
                <w:sz w:val="23"/>
                <w:szCs w:val="23"/>
                <w:color w:val="auto"/>
              </w:rPr>
            </w:pPr>
          </w:p>
        </w:tc>
        <w:tc>
          <w:tcPr>
            <w:tcW w:w="8620" w:type="dxa"/>
            <w:vAlign w:val="bottom"/>
          </w:tcPr>
          <w:p>
            <w:pPr>
              <w:jc w:val="center"/>
              <w:ind w:left="2055"/>
              <w:spacing w:after="0"/>
              <w:rPr>
                <w:sz w:val="20"/>
                <w:szCs w:val="20"/>
                <w:color w:val="auto"/>
              </w:rPr>
            </w:pPr>
            <w:r>
              <w:rPr>
                <w:rFonts w:ascii="Arial" w:cs="Arial" w:eastAsia="Arial" w:hAnsi="Arial"/>
                <w:sz w:val="17"/>
                <w:szCs w:val="17"/>
                <w:b w:val="1"/>
                <w:bCs w:val="1"/>
                <w:color w:val="auto"/>
              </w:rPr>
              <w:t>FEDERAL REALTY INVESTMENT TRUST</w:t>
            </w:r>
          </w:p>
        </w:tc>
        <w:tc>
          <w:tcPr>
            <w:tcW w:w="2460" w:type="dxa"/>
            <w:vAlign w:val="bottom"/>
          </w:tcPr>
          <w:p>
            <w:pPr>
              <w:spacing w:after="0"/>
              <w:rPr>
                <w:sz w:val="23"/>
                <w:szCs w:val="23"/>
                <w:color w:val="auto"/>
              </w:rPr>
            </w:pPr>
          </w:p>
        </w:tc>
      </w:tr>
      <w:tr>
        <w:trPr>
          <w:trHeight w:val="348"/>
        </w:trPr>
        <w:tc>
          <w:tcPr>
            <w:tcW w:w="340" w:type="dxa"/>
            <w:vAlign w:val="bottom"/>
          </w:tcPr>
          <w:p>
            <w:pPr>
              <w:spacing w:after="0"/>
              <w:rPr>
                <w:sz w:val="24"/>
                <w:szCs w:val="24"/>
                <w:color w:val="auto"/>
              </w:rPr>
            </w:pPr>
          </w:p>
        </w:tc>
        <w:tc>
          <w:tcPr>
            <w:tcW w:w="8620" w:type="dxa"/>
            <w:vAlign w:val="bottom"/>
          </w:tcPr>
          <w:p>
            <w:pPr>
              <w:jc w:val="center"/>
              <w:ind w:left="2055"/>
              <w:spacing w:after="0"/>
              <w:rPr>
                <w:sz w:val="20"/>
                <w:szCs w:val="20"/>
                <w:color w:val="auto"/>
              </w:rPr>
            </w:pPr>
            <w:r>
              <w:rPr>
                <w:rFonts w:ascii="Arial" w:cs="Arial" w:eastAsia="Arial" w:hAnsi="Arial"/>
                <w:sz w:val="17"/>
                <w:szCs w:val="17"/>
                <w:color w:val="auto"/>
                <w:w w:val="92"/>
              </w:rPr>
              <w:t>Supplemental Information</w:t>
            </w:r>
          </w:p>
        </w:tc>
        <w:tc>
          <w:tcPr>
            <w:tcW w:w="24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8620" w:type="dxa"/>
            <w:vAlign w:val="bottom"/>
          </w:tcPr>
          <w:p>
            <w:pPr>
              <w:jc w:val="center"/>
              <w:ind w:left="2055"/>
              <w:spacing w:after="0"/>
              <w:rPr>
                <w:sz w:val="20"/>
                <w:szCs w:val="20"/>
                <w:color w:val="auto"/>
              </w:rPr>
            </w:pPr>
            <w:r>
              <w:rPr>
                <w:rFonts w:ascii="Arial" w:cs="Arial" w:eastAsia="Arial" w:hAnsi="Arial"/>
                <w:sz w:val="17"/>
                <w:szCs w:val="17"/>
                <w:color w:val="auto"/>
                <w:w w:val="89"/>
              </w:rPr>
              <w:t>June 30, 2005</w:t>
            </w:r>
          </w:p>
        </w:tc>
        <w:tc>
          <w:tcPr>
            <w:tcW w:w="2460" w:type="dxa"/>
            <w:vAlign w:val="bottom"/>
          </w:tcPr>
          <w:p>
            <w:pPr>
              <w:spacing w:after="0"/>
              <w:rPr>
                <w:sz w:val="18"/>
                <w:szCs w:val="18"/>
                <w:color w:val="auto"/>
              </w:rPr>
            </w:pPr>
          </w:p>
        </w:tc>
      </w:tr>
      <w:tr>
        <w:trPr>
          <w:trHeight w:val="354"/>
        </w:trPr>
        <w:tc>
          <w:tcPr>
            <w:tcW w:w="340" w:type="dxa"/>
            <w:vAlign w:val="bottom"/>
          </w:tcPr>
          <w:p>
            <w:pPr>
              <w:spacing w:after="0"/>
              <w:rPr>
                <w:sz w:val="24"/>
                <w:szCs w:val="24"/>
                <w:color w:val="auto"/>
              </w:rPr>
            </w:pPr>
          </w:p>
        </w:tc>
        <w:tc>
          <w:tcPr>
            <w:tcW w:w="8620" w:type="dxa"/>
            <w:vAlign w:val="bottom"/>
          </w:tcPr>
          <w:p>
            <w:pPr>
              <w:jc w:val="center"/>
              <w:ind w:left="2035"/>
              <w:spacing w:after="0"/>
              <w:rPr>
                <w:sz w:val="20"/>
                <w:szCs w:val="20"/>
                <w:color w:val="auto"/>
              </w:rPr>
            </w:pPr>
            <w:r>
              <w:rPr>
                <w:rFonts w:ascii="Arial" w:cs="Arial" w:eastAsia="Arial" w:hAnsi="Arial"/>
                <w:sz w:val="17"/>
                <w:szCs w:val="17"/>
                <w:b w:val="1"/>
                <w:bCs w:val="1"/>
                <w:color w:val="auto"/>
                <w:w w:val="99"/>
              </w:rPr>
              <w:t>TABLE OF CONTENTS</w:t>
            </w:r>
          </w:p>
        </w:tc>
        <w:tc>
          <w:tcPr>
            <w:tcW w:w="2460" w:type="dxa"/>
            <w:vAlign w:val="bottom"/>
          </w:tcPr>
          <w:p>
            <w:pPr>
              <w:spacing w:after="0"/>
              <w:rPr>
                <w:sz w:val="24"/>
                <w:szCs w:val="24"/>
                <w:color w:val="auto"/>
              </w:rPr>
            </w:pPr>
          </w:p>
        </w:tc>
      </w:tr>
      <w:tr>
        <w:trPr>
          <w:trHeight w:val="354"/>
        </w:trPr>
        <w:tc>
          <w:tcPr>
            <w:tcW w:w="340" w:type="dxa"/>
            <w:vAlign w:val="bottom"/>
          </w:tcPr>
          <w:p>
            <w:pPr>
              <w:jc w:val="right"/>
              <w:ind w:right="115"/>
              <w:spacing w:after="0"/>
              <w:rPr>
                <w:sz w:val="20"/>
                <w:szCs w:val="20"/>
                <w:color w:val="auto"/>
              </w:rPr>
            </w:pPr>
            <w:r>
              <w:rPr>
                <w:rFonts w:ascii="Arial" w:cs="Arial" w:eastAsia="Arial" w:hAnsi="Arial"/>
                <w:sz w:val="17"/>
                <w:szCs w:val="17"/>
                <w:color w:val="auto"/>
                <w:w w:val="84"/>
              </w:rPr>
              <w:t>1.</w:t>
            </w:r>
          </w:p>
        </w:tc>
        <w:tc>
          <w:tcPr>
            <w:tcW w:w="8620" w:type="dxa"/>
            <w:vAlign w:val="bottom"/>
          </w:tcPr>
          <w:p>
            <w:pPr>
              <w:ind w:left="220"/>
              <w:spacing w:after="0"/>
              <w:rPr>
                <w:sz w:val="20"/>
                <w:szCs w:val="20"/>
                <w:color w:val="auto"/>
              </w:rPr>
            </w:pPr>
            <w:r>
              <w:rPr>
                <w:rFonts w:ascii="Arial" w:cs="Arial" w:eastAsia="Arial" w:hAnsi="Arial"/>
                <w:sz w:val="17"/>
                <w:szCs w:val="17"/>
                <w:color w:val="auto"/>
              </w:rPr>
              <w:t>Second Quarter 2005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9"/>
        </w:trPr>
        <w:tc>
          <w:tcPr>
            <w:tcW w:w="340" w:type="dxa"/>
            <w:vAlign w:val="bottom"/>
          </w:tcPr>
          <w:p>
            <w:pPr>
              <w:jc w:val="right"/>
              <w:ind w:right="115"/>
              <w:spacing w:after="0"/>
              <w:rPr>
                <w:sz w:val="20"/>
                <w:szCs w:val="20"/>
                <w:color w:val="auto"/>
              </w:rPr>
            </w:pPr>
            <w:r>
              <w:rPr>
                <w:rFonts w:ascii="Arial" w:cs="Arial" w:eastAsia="Arial" w:hAnsi="Arial"/>
                <w:sz w:val="17"/>
                <w:szCs w:val="17"/>
                <w:color w:val="auto"/>
                <w:w w:val="84"/>
              </w:rPr>
              <w:t>2.</w:t>
            </w:r>
          </w:p>
        </w:tc>
        <w:tc>
          <w:tcPr>
            <w:tcW w:w="8620" w:type="dxa"/>
            <w:vAlign w:val="bottom"/>
          </w:tcPr>
          <w:p>
            <w:pPr>
              <w:ind w:left="220"/>
              <w:spacing w:after="0"/>
              <w:rPr>
                <w:sz w:val="20"/>
                <w:szCs w:val="20"/>
                <w:color w:val="auto"/>
              </w:rPr>
            </w:pPr>
            <w:r>
              <w:rPr>
                <w:rFonts w:ascii="Arial" w:cs="Arial" w:eastAsia="Arial" w:hAnsi="Arial"/>
                <w:sz w:val="17"/>
                <w:szCs w:val="17"/>
                <w:color w:val="auto"/>
              </w:rPr>
              <w:t>Financial Highlights</w:t>
            </w:r>
          </w:p>
        </w:tc>
        <w:tc>
          <w:tcPr>
            <w:tcW w:w="24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8620" w:type="dxa"/>
            <w:vAlign w:val="bottom"/>
          </w:tcPr>
          <w:p>
            <w:pPr>
              <w:ind w:left="640"/>
              <w:spacing w:after="0"/>
              <w:rPr>
                <w:sz w:val="20"/>
                <w:szCs w:val="20"/>
                <w:color w:val="auto"/>
              </w:rPr>
            </w:pPr>
            <w:r>
              <w:rPr>
                <w:rFonts w:ascii="Arial" w:cs="Arial" w:eastAsia="Arial" w:hAnsi="Arial"/>
                <w:sz w:val="17"/>
                <w:szCs w:val="17"/>
                <w:color w:val="auto"/>
              </w:rPr>
              <w:t>Summarized Operating Results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340" w:type="dxa"/>
            <w:vAlign w:val="bottom"/>
          </w:tcPr>
          <w:p>
            <w:pPr>
              <w:spacing w:after="0"/>
              <w:rPr>
                <w:sz w:val="18"/>
                <w:szCs w:val="18"/>
                <w:color w:val="auto"/>
              </w:rPr>
            </w:pPr>
          </w:p>
        </w:tc>
        <w:tc>
          <w:tcPr>
            <w:tcW w:w="8620" w:type="dxa"/>
            <w:vAlign w:val="bottom"/>
          </w:tcPr>
          <w:p>
            <w:pPr>
              <w:ind w:left="64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340" w:type="dxa"/>
            <w:vAlign w:val="bottom"/>
          </w:tcPr>
          <w:p>
            <w:pPr>
              <w:spacing w:after="0"/>
              <w:rPr>
                <w:sz w:val="18"/>
                <w:szCs w:val="18"/>
                <w:color w:val="auto"/>
              </w:rPr>
            </w:pPr>
          </w:p>
        </w:tc>
        <w:tc>
          <w:tcPr>
            <w:tcW w:w="8620" w:type="dxa"/>
            <w:vAlign w:val="bottom"/>
          </w:tcPr>
          <w:p>
            <w:pPr>
              <w:ind w:left="64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340" w:type="dxa"/>
            <w:vAlign w:val="bottom"/>
          </w:tcPr>
          <w:p>
            <w:pPr>
              <w:spacing w:after="0"/>
              <w:rPr>
                <w:sz w:val="18"/>
                <w:szCs w:val="18"/>
                <w:color w:val="auto"/>
              </w:rPr>
            </w:pPr>
          </w:p>
        </w:tc>
        <w:tc>
          <w:tcPr>
            <w:tcW w:w="8620" w:type="dxa"/>
            <w:vAlign w:val="bottom"/>
          </w:tcPr>
          <w:p>
            <w:pPr>
              <w:ind w:left="640"/>
              <w:spacing w:after="0"/>
              <w:rPr>
                <w:sz w:val="20"/>
                <w:szCs w:val="20"/>
                <w:color w:val="auto"/>
              </w:rPr>
            </w:pPr>
            <w:r>
              <w:rPr>
                <w:rFonts w:ascii="Arial" w:cs="Arial" w:eastAsia="Arial" w:hAnsi="Arial"/>
                <w:sz w:val="17"/>
                <w:szCs w:val="17"/>
                <w:color w:val="auto"/>
              </w:rPr>
              <w:t>Market Data / Capital Availability</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340" w:type="dxa"/>
            <w:vAlign w:val="bottom"/>
          </w:tcPr>
          <w:p>
            <w:pPr>
              <w:spacing w:after="0"/>
              <w:rPr>
                <w:sz w:val="18"/>
                <w:szCs w:val="18"/>
                <w:color w:val="auto"/>
              </w:rPr>
            </w:pPr>
          </w:p>
        </w:tc>
        <w:tc>
          <w:tcPr>
            <w:tcW w:w="8620" w:type="dxa"/>
            <w:vAlign w:val="bottom"/>
          </w:tcPr>
          <w:p>
            <w:pPr>
              <w:ind w:left="64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99" w:lineRule="exact"/>
        <w:rPr>
          <w:sz w:val="20"/>
          <w:szCs w:val="20"/>
          <w:color w:val="auto"/>
        </w:rPr>
      </w:pPr>
    </w:p>
    <w:p>
      <w:pPr>
        <w:ind w:left="560" w:hanging="555"/>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7140" w:type="dxa"/>
            <w:vAlign w:val="bottom"/>
          </w:tcPr>
          <w:p>
            <w:pPr>
              <w:ind w:left="600"/>
              <w:spacing w:after="0"/>
              <w:rPr>
                <w:sz w:val="20"/>
                <w:szCs w:val="20"/>
                <w:color w:val="auto"/>
              </w:rPr>
            </w:pPr>
            <w:r>
              <w:rPr>
                <w:rFonts w:ascii="Arial" w:cs="Arial" w:eastAsia="Arial" w:hAnsi="Arial"/>
                <w:sz w:val="17"/>
                <w:szCs w:val="17"/>
                <w:color w:val="auto"/>
              </w:rPr>
              <w:t>Summary of Outstanding Debt</w:t>
            </w:r>
          </w:p>
        </w:tc>
        <w:tc>
          <w:tcPr>
            <w:tcW w:w="39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38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7"/>
                <w:szCs w:val="17"/>
                <w:color w:val="auto"/>
              </w:rPr>
              <w:t>Summary of Debt Maturities</w:t>
            </w:r>
          </w:p>
        </w:tc>
        <w:tc>
          <w:tcPr>
            <w:tcW w:w="39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4.</w:t>
            </w:r>
          </w:p>
        </w:tc>
        <w:tc>
          <w:tcPr>
            <w:tcW w:w="7140" w:type="dxa"/>
            <w:vAlign w:val="bottom"/>
          </w:tcPr>
          <w:p>
            <w:pPr>
              <w:ind w:left="180"/>
              <w:spacing w:after="0"/>
              <w:rPr>
                <w:sz w:val="20"/>
                <w:szCs w:val="20"/>
                <w:color w:val="auto"/>
              </w:rPr>
            </w:pPr>
            <w:r>
              <w:rPr>
                <w:rFonts w:ascii="Arial" w:cs="Arial" w:eastAsia="Arial" w:hAnsi="Arial"/>
                <w:sz w:val="17"/>
                <w:szCs w:val="17"/>
                <w:color w:val="auto"/>
              </w:rPr>
              <w:t>Summary of Redevelopment Opportunities</w:t>
            </w:r>
          </w:p>
        </w:tc>
        <w:tc>
          <w:tcPr>
            <w:tcW w:w="39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5.</w:t>
            </w:r>
          </w:p>
        </w:tc>
        <w:tc>
          <w:tcPr>
            <w:tcW w:w="7140" w:type="dxa"/>
            <w:vAlign w:val="bottom"/>
          </w:tcPr>
          <w:p>
            <w:pPr>
              <w:ind w:left="180"/>
              <w:spacing w:after="0"/>
              <w:rPr>
                <w:sz w:val="20"/>
                <w:szCs w:val="20"/>
                <w:color w:val="auto"/>
              </w:rPr>
            </w:pPr>
            <w:r>
              <w:rPr>
                <w:rFonts w:ascii="Arial" w:cs="Arial" w:eastAsia="Arial" w:hAnsi="Arial"/>
                <w:sz w:val="17"/>
                <w:szCs w:val="17"/>
                <w:color w:val="auto"/>
              </w:rPr>
              <w:t>Santana Row Summary</w:t>
            </w:r>
          </w:p>
        </w:tc>
        <w:tc>
          <w:tcPr>
            <w:tcW w:w="39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6.</w:t>
            </w:r>
          </w:p>
        </w:tc>
        <w:tc>
          <w:tcPr>
            <w:tcW w:w="7140" w:type="dxa"/>
            <w:vAlign w:val="bottom"/>
          </w:tcPr>
          <w:p>
            <w:pPr>
              <w:ind w:left="180"/>
              <w:spacing w:after="0"/>
              <w:rPr>
                <w:sz w:val="20"/>
                <w:szCs w:val="20"/>
                <w:color w:val="auto"/>
              </w:rPr>
            </w:pPr>
            <w:r>
              <w:rPr>
                <w:rFonts w:ascii="Arial" w:cs="Arial" w:eastAsia="Arial" w:hAnsi="Arial"/>
                <w:sz w:val="17"/>
                <w:szCs w:val="17"/>
                <w:color w:val="auto"/>
              </w:rPr>
              <w:t>2005 Acquisitions and Dispositions</w:t>
            </w:r>
          </w:p>
        </w:tc>
        <w:tc>
          <w:tcPr>
            <w:tcW w:w="3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7.</w:t>
            </w:r>
          </w:p>
        </w:tc>
        <w:tc>
          <w:tcPr>
            <w:tcW w:w="7140" w:type="dxa"/>
            <w:vAlign w:val="bottom"/>
          </w:tcPr>
          <w:p>
            <w:pPr>
              <w:ind w:left="180"/>
              <w:spacing w:after="0"/>
              <w:rPr>
                <w:sz w:val="20"/>
                <w:szCs w:val="20"/>
                <w:color w:val="auto"/>
              </w:rPr>
            </w:pPr>
            <w:r>
              <w:rPr>
                <w:rFonts w:ascii="Arial" w:cs="Arial" w:eastAsia="Arial" w:hAnsi="Arial"/>
                <w:sz w:val="17"/>
                <w:szCs w:val="17"/>
                <w:color w:val="auto"/>
              </w:rPr>
              <w:t>Real Estate Status Report</w:t>
            </w:r>
          </w:p>
        </w:tc>
        <w:tc>
          <w:tcPr>
            <w:tcW w:w="39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8.</w:t>
            </w:r>
          </w:p>
        </w:tc>
        <w:tc>
          <w:tcPr>
            <w:tcW w:w="7140" w:type="dxa"/>
            <w:vAlign w:val="bottom"/>
          </w:tcPr>
          <w:p>
            <w:pPr>
              <w:ind w:left="180"/>
              <w:spacing w:after="0"/>
              <w:rPr>
                <w:sz w:val="20"/>
                <w:szCs w:val="20"/>
                <w:color w:val="auto"/>
              </w:rPr>
            </w:pPr>
            <w:r>
              <w:rPr>
                <w:rFonts w:ascii="Arial" w:cs="Arial" w:eastAsia="Arial" w:hAnsi="Arial"/>
                <w:sz w:val="17"/>
                <w:szCs w:val="17"/>
                <w:color w:val="auto"/>
              </w:rPr>
              <w:t>Retail Leasing Summary</w:t>
            </w:r>
          </w:p>
        </w:tc>
        <w:tc>
          <w:tcPr>
            <w:tcW w:w="3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9.</w:t>
            </w:r>
          </w:p>
        </w:tc>
        <w:tc>
          <w:tcPr>
            <w:tcW w:w="7140" w:type="dxa"/>
            <w:vAlign w:val="bottom"/>
          </w:tcPr>
          <w:p>
            <w:pPr>
              <w:ind w:left="180"/>
              <w:spacing w:after="0"/>
              <w:rPr>
                <w:sz w:val="20"/>
                <w:szCs w:val="20"/>
                <w:color w:val="auto"/>
              </w:rPr>
            </w:pPr>
            <w:r>
              <w:rPr>
                <w:rFonts w:ascii="Arial" w:cs="Arial" w:eastAsia="Arial" w:hAnsi="Arial"/>
                <w:sz w:val="17"/>
                <w:szCs w:val="17"/>
                <w:color w:val="auto"/>
              </w:rPr>
              <w:t>Lease Expirations</w:t>
            </w:r>
          </w:p>
        </w:tc>
        <w:tc>
          <w:tcPr>
            <w:tcW w:w="39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10.</w:t>
            </w:r>
          </w:p>
        </w:tc>
        <w:tc>
          <w:tcPr>
            <w:tcW w:w="7140" w:type="dxa"/>
            <w:vAlign w:val="bottom"/>
          </w:tcPr>
          <w:p>
            <w:pPr>
              <w:ind w:left="180"/>
              <w:spacing w:after="0"/>
              <w:rPr>
                <w:sz w:val="20"/>
                <w:szCs w:val="20"/>
                <w:color w:val="auto"/>
              </w:rPr>
            </w:pPr>
            <w:r>
              <w:rPr>
                <w:rFonts w:ascii="Arial" w:cs="Arial" w:eastAsia="Arial" w:hAnsi="Arial"/>
                <w:sz w:val="17"/>
                <w:szCs w:val="17"/>
                <w:color w:val="auto"/>
              </w:rPr>
              <w:t>Portfolio Leased Statistics</w:t>
            </w:r>
          </w:p>
        </w:tc>
        <w:tc>
          <w:tcPr>
            <w:tcW w:w="3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11.</w:t>
            </w:r>
          </w:p>
        </w:tc>
        <w:tc>
          <w:tcPr>
            <w:tcW w:w="7140" w:type="dxa"/>
            <w:vAlign w:val="bottom"/>
          </w:tcPr>
          <w:p>
            <w:pPr>
              <w:ind w:left="180"/>
              <w:spacing w:after="0"/>
              <w:rPr>
                <w:sz w:val="20"/>
                <w:szCs w:val="20"/>
                <w:color w:val="auto"/>
              </w:rPr>
            </w:pPr>
            <w:r>
              <w:rPr>
                <w:rFonts w:ascii="Arial" w:cs="Arial" w:eastAsia="Arial" w:hAnsi="Arial"/>
                <w:sz w:val="17"/>
                <w:szCs w:val="17"/>
                <w:color w:val="auto"/>
              </w:rPr>
              <w:t>Summary of Top 25 Tenants</w:t>
            </w:r>
          </w:p>
        </w:tc>
        <w:tc>
          <w:tcPr>
            <w:tcW w:w="39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5"/>
        </w:trPr>
        <w:tc>
          <w:tcPr>
            <w:tcW w:w="380" w:type="dxa"/>
            <w:vAlign w:val="bottom"/>
          </w:tcPr>
          <w:p>
            <w:pPr>
              <w:spacing w:after="0"/>
              <w:rPr>
                <w:sz w:val="20"/>
                <w:szCs w:val="20"/>
                <w:color w:val="auto"/>
              </w:rPr>
            </w:pPr>
            <w:r>
              <w:rPr>
                <w:rFonts w:ascii="Arial" w:cs="Arial" w:eastAsia="Arial" w:hAnsi="Arial"/>
                <w:sz w:val="17"/>
                <w:szCs w:val="17"/>
                <w:color w:val="auto"/>
              </w:rPr>
              <w:t>12.</w:t>
            </w:r>
          </w:p>
        </w:tc>
        <w:tc>
          <w:tcPr>
            <w:tcW w:w="7140" w:type="dxa"/>
            <w:vAlign w:val="bottom"/>
          </w:tcPr>
          <w:p>
            <w:pPr>
              <w:ind w:left="180"/>
              <w:spacing w:after="0"/>
              <w:rPr>
                <w:sz w:val="20"/>
                <w:szCs w:val="20"/>
                <w:color w:val="auto"/>
              </w:rPr>
            </w:pPr>
            <w:r>
              <w:rPr>
                <w:rFonts w:ascii="Arial" w:cs="Arial" w:eastAsia="Arial" w:hAnsi="Arial"/>
                <w:sz w:val="17"/>
                <w:szCs w:val="17"/>
                <w:color w:val="auto"/>
              </w:rPr>
              <w:t>Reconciliation of Net Income to FFO Guidance</w:t>
            </w:r>
          </w:p>
        </w:tc>
        <w:tc>
          <w:tcPr>
            <w:tcW w:w="390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99" w:lineRule="exact"/>
        <w:rPr>
          <w:sz w:val="20"/>
          <w:szCs w:val="20"/>
          <w:color w:val="auto"/>
        </w:rPr>
      </w:pPr>
    </w:p>
    <w:p>
      <w:pPr>
        <w:ind w:left="560" w:hanging="555"/>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Joint Venture Disclosure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7480" w:type="dxa"/>
            <w:vAlign w:val="bottom"/>
          </w:tcPr>
          <w:p>
            <w:pPr>
              <w:ind w:left="600"/>
              <w:spacing w:after="0"/>
              <w:rPr>
                <w:sz w:val="20"/>
                <w:szCs w:val="20"/>
                <w:color w:val="auto"/>
              </w:rPr>
            </w:pPr>
            <w:r>
              <w:rPr>
                <w:rFonts w:ascii="Arial" w:cs="Arial" w:eastAsia="Arial" w:hAnsi="Arial"/>
                <w:sz w:val="17"/>
                <w:szCs w:val="17"/>
                <w:color w:val="auto"/>
              </w:rPr>
              <w:t>Summarized Operating Results and Balance Sheet</w:t>
            </w:r>
          </w:p>
        </w:tc>
        <w:tc>
          <w:tcPr>
            <w:tcW w:w="35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380" w:type="dxa"/>
            <w:vAlign w:val="bottom"/>
          </w:tcPr>
          <w:p>
            <w:pPr>
              <w:spacing w:after="0"/>
              <w:rPr>
                <w:sz w:val="18"/>
                <w:szCs w:val="18"/>
                <w:color w:val="auto"/>
              </w:rPr>
            </w:pPr>
          </w:p>
        </w:tc>
        <w:tc>
          <w:tcPr>
            <w:tcW w:w="7480" w:type="dxa"/>
            <w:vAlign w:val="bottom"/>
          </w:tcPr>
          <w:p>
            <w:pPr>
              <w:ind w:left="600"/>
              <w:spacing w:after="0"/>
              <w:rPr>
                <w:sz w:val="20"/>
                <w:szCs w:val="20"/>
                <w:color w:val="auto"/>
              </w:rPr>
            </w:pPr>
            <w:r>
              <w:rPr>
                <w:rFonts w:ascii="Arial" w:cs="Arial" w:eastAsia="Arial" w:hAnsi="Arial"/>
                <w:sz w:val="17"/>
                <w:szCs w:val="17"/>
                <w:color w:val="auto"/>
              </w:rPr>
              <w:t>Summary of Outstanding Debt and Debt Maturities</w:t>
            </w:r>
          </w:p>
        </w:tc>
        <w:tc>
          <w:tcPr>
            <w:tcW w:w="3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380" w:type="dxa"/>
            <w:vAlign w:val="bottom"/>
          </w:tcPr>
          <w:p>
            <w:pPr>
              <w:spacing w:after="0"/>
              <w:rPr>
                <w:sz w:val="18"/>
                <w:szCs w:val="18"/>
                <w:color w:val="auto"/>
              </w:rPr>
            </w:pPr>
          </w:p>
        </w:tc>
        <w:tc>
          <w:tcPr>
            <w:tcW w:w="7480" w:type="dxa"/>
            <w:vAlign w:val="bottom"/>
          </w:tcPr>
          <w:p>
            <w:pPr>
              <w:ind w:left="600"/>
              <w:spacing w:after="0"/>
              <w:rPr>
                <w:sz w:val="20"/>
                <w:szCs w:val="20"/>
                <w:color w:val="auto"/>
              </w:rPr>
            </w:pPr>
            <w:r>
              <w:rPr>
                <w:rFonts w:ascii="Arial" w:cs="Arial" w:eastAsia="Arial" w:hAnsi="Arial"/>
                <w:sz w:val="17"/>
                <w:szCs w:val="17"/>
                <w:color w:val="auto"/>
              </w:rPr>
              <w:t>Real Estate Status Report</w:t>
            </w:r>
          </w:p>
        </w:tc>
        <w:tc>
          <w:tcPr>
            <w:tcW w:w="3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5"/>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84"/>
              </w:rPr>
              <w:t>14.</w:t>
            </w:r>
          </w:p>
        </w:tc>
        <w:tc>
          <w:tcPr>
            <w:tcW w:w="7480" w:type="dxa"/>
            <w:vAlign w:val="bottom"/>
          </w:tcPr>
          <w:p>
            <w:pPr>
              <w:ind w:left="180"/>
              <w:spacing w:after="0"/>
              <w:rPr>
                <w:sz w:val="20"/>
                <w:szCs w:val="20"/>
                <w:color w:val="auto"/>
              </w:rPr>
            </w:pPr>
            <w:r>
              <w:rPr>
                <w:rFonts w:ascii="Arial" w:cs="Arial" w:eastAsia="Arial" w:hAnsi="Arial"/>
                <w:sz w:val="17"/>
                <w:szCs w:val="17"/>
                <w:color w:val="auto"/>
              </w:rPr>
              <w:t>Glossary of Terms</w:t>
            </w:r>
          </w:p>
        </w:tc>
        <w:tc>
          <w:tcPr>
            <w:tcW w:w="356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Safe Harbor Language</w:t>
      </w:r>
    </w:p>
    <w:p>
      <w:pPr>
        <w:spacing w:after="0" w:line="8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39" w:lineRule="exact"/>
        <w:rPr>
          <w:sz w:val="20"/>
          <w:szCs w:val="20"/>
          <w:color w:val="auto"/>
        </w:rPr>
      </w:pPr>
    </w:p>
    <w:p>
      <w:pPr>
        <w:ind w:left="780" w:hanging="329"/>
        <w:spacing w:after="0"/>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106" w:lineRule="exact"/>
        <w:rPr>
          <w:rFonts w:ascii="Arial" w:cs="Arial" w:eastAsia="Arial" w:hAnsi="Arial"/>
          <w:sz w:val="17"/>
          <w:szCs w:val="17"/>
          <w:i w:val="1"/>
          <w:iCs w:val="1"/>
          <w:color w:val="auto"/>
        </w:rPr>
      </w:pPr>
    </w:p>
    <w:p>
      <w:pPr>
        <w:ind w:left="780" w:right="100" w:hanging="329"/>
        <w:spacing w:after="0" w:line="283" w:lineRule="auto"/>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24" w:lineRule="exact"/>
        <w:rPr>
          <w:rFonts w:ascii="Arial" w:cs="Arial" w:eastAsia="Arial" w:hAnsi="Arial"/>
          <w:sz w:val="17"/>
          <w:szCs w:val="17"/>
          <w:i w:val="1"/>
          <w:iCs w:val="1"/>
          <w:color w:val="auto"/>
        </w:rPr>
      </w:pPr>
    </w:p>
    <w:p>
      <w:pPr>
        <w:ind w:left="780" w:hanging="329"/>
        <w:spacing w:after="0" w:line="283" w:lineRule="auto"/>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24" w:lineRule="exact"/>
        <w:rPr>
          <w:rFonts w:ascii="Arial" w:cs="Arial" w:eastAsia="Arial" w:hAnsi="Arial"/>
          <w:sz w:val="17"/>
          <w:szCs w:val="17"/>
          <w:i w:val="1"/>
          <w:iCs w:val="1"/>
          <w:color w:val="auto"/>
        </w:rPr>
      </w:pPr>
    </w:p>
    <w:p>
      <w:pPr>
        <w:ind w:left="780" w:right="20" w:hanging="329"/>
        <w:spacing w:after="0" w:line="266" w:lineRule="auto"/>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8" w:lineRule="exact"/>
        <w:rPr>
          <w:rFonts w:ascii="Arial" w:cs="Arial" w:eastAsia="Arial" w:hAnsi="Arial"/>
          <w:sz w:val="17"/>
          <w:szCs w:val="17"/>
          <w:i w:val="1"/>
          <w:iCs w:val="1"/>
          <w:color w:val="auto"/>
        </w:rPr>
      </w:pPr>
    </w:p>
    <w:p>
      <w:pPr>
        <w:ind w:left="780" w:hanging="329"/>
        <w:spacing w:after="0"/>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106" w:lineRule="exact"/>
        <w:rPr>
          <w:rFonts w:ascii="Arial" w:cs="Arial" w:eastAsia="Arial" w:hAnsi="Arial"/>
          <w:sz w:val="17"/>
          <w:szCs w:val="17"/>
          <w:i w:val="1"/>
          <w:iCs w:val="1"/>
          <w:color w:val="auto"/>
        </w:rPr>
      </w:pPr>
    </w:p>
    <w:p>
      <w:pPr>
        <w:ind w:left="780" w:right="160" w:hanging="329"/>
        <w:spacing w:after="0" w:line="270" w:lineRule="auto"/>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5" w:lineRule="exact"/>
        <w:rPr>
          <w:rFonts w:ascii="Arial" w:cs="Arial" w:eastAsia="Arial" w:hAnsi="Arial"/>
          <w:sz w:val="17"/>
          <w:szCs w:val="17"/>
          <w:i w:val="1"/>
          <w:iCs w:val="1"/>
          <w:color w:val="auto"/>
        </w:rPr>
      </w:pPr>
    </w:p>
    <w:p>
      <w:pPr>
        <w:ind w:left="780" w:right="100" w:hanging="329"/>
        <w:spacing w:after="0" w:line="270" w:lineRule="auto"/>
        <w:tabs>
          <w:tab w:leader="none" w:pos="7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ectPr>
          <w:pgSz w:w="11900" w:h="16838" w:orient="portrait"/>
          <w:cols w:equalWidth="0" w:num="1">
            <w:col w:w="11300"/>
          </w:cols>
          <w:pgMar w:left="240" w:top="27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480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080" w:type="dxa"/>
            <w:vAlign w:val="bottom"/>
          </w:tcPr>
          <w:p>
            <w:pPr>
              <w:spacing w:after="0"/>
              <w:rPr>
                <w:sz w:val="19"/>
                <w:szCs w:val="19"/>
                <w:color w:val="auto"/>
              </w:rPr>
            </w:pPr>
          </w:p>
        </w:tc>
      </w:tr>
      <w:tr>
        <w:trPr>
          <w:trHeight w:val="383"/>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2"/>
              </w:rPr>
              <w:t>Investor and Media Inquiries</w:t>
            </w:r>
          </w:p>
        </w:tc>
        <w:tc>
          <w:tcPr>
            <w:tcW w:w="28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7"/>
                <w:szCs w:val="17"/>
                <w:color w:val="auto"/>
              </w:rPr>
              <w:t>Andrew Blocher</w:t>
            </w:r>
          </w:p>
        </w:tc>
        <w:tc>
          <w:tcPr>
            <w:tcW w:w="3080" w:type="dxa"/>
            <w:vAlign w:val="bottom"/>
          </w:tcPr>
          <w:p>
            <w:pPr>
              <w:ind w:left="1160"/>
              <w:spacing w:after="0"/>
              <w:rPr>
                <w:sz w:val="20"/>
                <w:szCs w:val="20"/>
                <w:color w:val="auto"/>
              </w:rPr>
            </w:pPr>
            <w:r>
              <w:rPr>
                <w:rFonts w:ascii="Arial" w:cs="Arial" w:eastAsia="Arial" w:hAnsi="Arial"/>
                <w:sz w:val="17"/>
                <w:szCs w:val="17"/>
                <w:color w:val="auto"/>
              </w:rPr>
              <w:t>Suzanne O’Neill</w:t>
            </w:r>
          </w:p>
        </w:tc>
      </w:tr>
      <w:tr>
        <w:trPr>
          <w:trHeight w:val="210"/>
        </w:trPr>
        <w:tc>
          <w:tcPr>
            <w:tcW w:w="4800" w:type="dxa"/>
            <w:vAlign w:val="bottom"/>
            <w:gridSpan w:val="2"/>
          </w:tcPr>
          <w:p>
            <w:pPr>
              <w:spacing w:after="0"/>
              <w:rPr>
                <w:sz w:val="20"/>
                <w:szCs w:val="20"/>
                <w:color w:val="auto"/>
              </w:rPr>
            </w:pPr>
            <w:r>
              <w:rPr>
                <w:rFonts w:ascii="Arial" w:cs="Arial" w:eastAsia="Arial" w:hAnsi="Arial"/>
                <w:sz w:val="17"/>
                <w:szCs w:val="17"/>
                <w:color w:val="auto"/>
              </w:rPr>
              <w:t>Vice President, Capital Markets &amp; Investor Relations</w:t>
            </w:r>
          </w:p>
        </w:tc>
        <w:tc>
          <w:tcPr>
            <w:tcW w:w="3080" w:type="dxa"/>
            <w:vAlign w:val="bottom"/>
          </w:tcPr>
          <w:p>
            <w:pPr>
              <w:ind w:left="1160"/>
              <w:spacing w:after="0"/>
              <w:rPr>
                <w:sz w:val="20"/>
                <w:szCs w:val="20"/>
                <w:color w:val="auto"/>
              </w:rPr>
            </w:pPr>
            <w:r>
              <w:rPr>
                <w:rFonts w:ascii="Arial" w:cs="Arial" w:eastAsia="Arial" w:hAnsi="Arial"/>
                <w:sz w:val="17"/>
                <w:szCs w:val="17"/>
                <w:color w:val="auto"/>
                <w:w w:val="89"/>
              </w:rPr>
              <w:t>Manager, Investor Relations</w:t>
            </w:r>
          </w:p>
        </w:tc>
      </w:tr>
      <w:tr>
        <w:trPr>
          <w:trHeight w:val="210"/>
        </w:trPr>
        <w:tc>
          <w:tcPr>
            <w:tcW w:w="2000" w:type="dxa"/>
            <w:vAlign w:val="bottom"/>
          </w:tcPr>
          <w:p>
            <w:pPr>
              <w:spacing w:after="0"/>
              <w:rPr>
                <w:sz w:val="20"/>
                <w:szCs w:val="20"/>
                <w:color w:val="auto"/>
              </w:rPr>
            </w:pPr>
            <w:r>
              <w:rPr>
                <w:rFonts w:ascii="Arial" w:cs="Arial" w:eastAsia="Arial" w:hAnsi="Arial"/>
                <w:sz w:val="17"/>
                <w:szCs w:val="17"/>
                <w:color w:val="auto"/>
              </w:rPr>
              <w:t>301/998-8166</w:t>
            </w:r>
          </w:p>
        </w:tc>
        <w:tc>
          <w:tcPr>
            <w:tcW w:w="2800" w:type="dxa"/>
            <w:vAlign w:val="bottom"/>
          </w:tcPr>
          <w:p>
            <w:pPr>
              <w:spacing w:after="0"/>
              <w:rPr>
                <w:sz w:val="18"/>
                <w:szCs w:val="18"/>
                <w:color w:val="auto"/>
              </w:rPr>
            </w:pPr>
          </w:p>
        </w:tc>
        <w:tc>
          <w:tcPr>
            <w:tcW w:w="3080" w:type="dxa"/>
            <w:vAlign w:val="bottom"/>
          </w:tcPr>
          <w:p>
            <w:pPr>
              <w:ind w:left="1160"/>
              <w:spacing w:after="0"/>
              <w:rPr>
                <w:sz w:val="20"/>
                <w:szCs w:val="20"/>
                <w:color w:val="auto"/>
              </w:rPr>
            </w:pPr>
            <w:r>
              <w:rPr>
                <w:rFonts w:ascii="Arial" w:cs="Arial" w:eastAsia="Arial" w:hAnsi="Arial"/>
                <w:sz w:val="17"/>
                <w:szCs w:val="17"/>
                <w:color w:val="auto"/>
              </w:rPr>
              <w:t>301/998-8358</w:t>
            </w:r>
          </w:p>
        </w:tc>
      </w:tr>
      <w:tr>
        <w:trPr>
          <w:trHeight w:val="216"/>
        </w:trPr>
        <w:tc>
          <w:tcPr>
            <w:tcW w:w="480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3080" w:type="dxa"/>
            <w:vAlign w:val="bottom"/>
          </w:tcPr>
          <w:p>
            <w:pPr>
              <w:ind w:left="1160"/>
              <w:spacing w:after="0"/>
              <w:rPr>
                <w:sz w:val="20"/>
                <w:szCs w:val="20"/>
                <w:color w:val="auto"/>
              </w:rPr>
            </w:pPr>
            <w:r>
              <w:rPr>
                <w:rFonts w:ascii="Arial" w:cs="Arial" w:eastAsia="Arial" w:hAnsi="Arial"/>
                <w:sz w:val="17"/>
                <w:szCs w:val="17"/>
                <w:i w:val="1"/>
                <w:iCs w:val="1"/>
                <w:color w:val="auto"/>
                <w:w w:val="97"/>
              </w:rPr>
              <w:t>soneill@federalrealty.com</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FEDERAL REALTY INVESTMENT TRUST ANNOUNCES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SECOND QUARTER 2005 OPERATING RESULTS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ROCKVILLE, Md. (July 28, 2005) – Federal Realty Investment Trust (NYSE:FRT) today reported operating results for its second quarter ended June 30, 2005.</w:t>
      </w:r>
    </w:p>
    <w:p>
      <w:pPr>
        <w:spacing w:after="0" w:line="88" w:lineRule="exact"/>
        <w:rPr>
          <w:sz w:val="20"/>
          <w:szCs w:val="20"/>
          <w:color w:val="auto"/>
        </w:rPr>
      </w:pPr>
    </w:p>
    <w:p>
      <w:pPr>
        <w:ind w:left="780" w:right="80" w:hanging="329"/>
        <w:spacing w:after="0" w:line="31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Funds from operations available for common shareholders (FFO) per diluted share was $0.77 and net income available for common shareholders per diluted share was $0.41 for the quarter ended June 30, 2005 versus $0.73 and $0.45 for second quarter 2004.</w:t>
      </w:r>
    </w:p>
    <w:p>
      <w:pPr>
        <w:spacing w:after="0" w:line="1" w:lineRule="exact"/>
        <w:rPr>
          <w:rFonts w:ascii="Arial" w:cs="Arial" w:eastAsia="Arial" w:hAnsi="Arial"/>
          <w:sz w:val="16"/>
          <w:szCs w:val="16"/>
          <w:color w:val="auto"/>
        </w:rPr>
      </w:pPr>
    </w:p>
    <w:p>
      <w:pPr>
        <w:ind w:left="780" w:hanging="329"/>
        <w:spacing w:after="0" w:line="287"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FFO per diluted share was $1.51 and net income available for common shareholders per diluted share was $0.81 for the six months ended June 30, 2005.</w:t>
      </w:r>
    </w:p>
    <w:p>
      <w:pPr>
        <w:spacing w:after="0" w:line="18" w:lineRule="exact"/>
        <w:rPr>
          <w:rFonts w:ascii="Arial" w:cs="Arial" w:eastAsia="Arial" w:hAnsi="Arial"/>
          <w:sz w:val="17"/>
          <w:szCs w:val="17"/>
          <w:color w:val="auto"/>
        </w:rPr>
      </w:pPr>
    </w:p>
    <w:p>
      <w:pPr>
        <w:ind w:left="780" w:hanging="329"/>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When compared to second quarter 2004, same-center property operating income increased 4.9% including redevelopments and expansions.</w:t>
      </w:r>
    </w:p>
    <w:p>
      <w:pPr>
        <w:spacing w:after="0" w:line="129" w:lineRule="exact"/>
        <w:rPr>
          <w:rFonts w:ascii="Arial" w:cs="Arial" w:eastAsia="Arial" w:hAnsi="Arial"/>
          <w:sz w:val="15"/>
          <w:szCs w:val="15"/>
          <w:color w:val="auto"/>
        </w:rPr>
      </w:pPr>
    </w:p>
    <w:p>
      <w:pPr>
        <w:ind w:left="780" w:right="180" w:hanging="329"/>
        <w:spacing w:after="0" w:line="287"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Rent increases on lease rollovers for retail space for which there was a prior tenant were 34% on a cash-basis and 51% on a GAAP-basis for the quarter ended June 30, 2005.</w:t>
      </w:r>
    </w:p>
    <w:p>
      <w:pPr>
        <w:spacing w:after="0" w:line="18" w:lineRule="exact"/>
        <w:rPr>
          <w:rFonts w:ascii="Arial" w:cs="Arial" w:eastAsia="Arial" w:hAnsi="Arial"/>
          <w:sz w:val="17"/>
          <w:szCs w:val="17"/>
          <w:color w:val="auto"/>
        </w:rPr>
      </w:pPr>
    </w:p>
    <w:p>
      <w:pPr>
        <w:ind w:left="780" w:hanging="329"/>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The Trust’s portfolio was 95.0% leased as of June 30, 2005.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84"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Federal Realty reported FFO of $41.2 million, or $0.77 per diluted share, in second quarter 2005. This compares to FFO of $38.6 million, or $0.73 per diluted share, reported in second quarter 2004, which included $1.0 million ($0.02 per diluted share) of insurance recovery for lost income from the Santana Row fire. For the six months ended June 30, 2005, Federal Realty reported FFO of $80.5 million, or $1.51 per diluted share. This compares to FFO of $73.4 million, or $1.42 per diluted share, for the same six-month period in 2004, which included $2.1 million ($0.04 per diluted share) of Santana Row insurance proceeds.</w:t>
      </w:r>
    </w:p>
    <w:p>
      <w:pPr>
        <w:spacing w:after="0" w:line="104" w:lineRule="exact"/>
        <w:rPr>
          <w:sz w:val="20"/>
          <w:szCs w:val="20"/>
          <w:color w:val="auto"/>
        </w:rPr>
      </w:pPr>
    </w:p>
    <w:p>
      <w:pPr>
        <w:jc w:val="both"/>
        <w:ind w:right="340"/>
        <w:spacing w:after="0" w:line="266" w:lineRule="auto"/>
        <w:rPr>
          <w:sz w:val="20"/>
          <w:szCs w:val="20"/>
          <w:color w:val="auto"/>
        </w:rPr>
      </w:pPr>
      <w:r>
        <w:rPr>
          <w:rFonts w:ascii="Arial" w:cs="Arial" w:eastAsia="Arial" w:hAnsi="Arial"/>
          <w:sz w:val="17"/>
          <w:szCs w:val="17"/>
          <w:color w:val="auto"/>
        </w:rPr>
        <w:t>Net income available for common shareholders was $21.9 million, and net income available for common shareholders per diluted share was $0.41 for the quarter ended June 30, 2005, versus $23.5 million and $0.45, respectively, for the second quarter of 2004. Year-to-date, Federal Realty reported net income available for common shareholders of $43.1 million, or $0.81 per diluted share. This compares to net income available for common shareholders of $37.8 million, or $0.75 per diluted share, for the six months ended June 30,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00"/>
          </w:cols>
          <w:pgMar w:left="240" w:top="271"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2005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July 28, 2005</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53"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available for common shareholders and FFO per diluted share to net income available for common shareholders and net income available for common shareholders per diluted share, respectively, is attached to this press release.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84"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On a same-center basis, including redevelopment and expansion properties, property operating income increased 4.9% over second quarter 2004. When redevelopment and expansion properties are excluded from the same-center results, property operating income increased 4.2% from second quarter 2004.</w:t>
      </w:r>
    </w:p>
    <w:p>
      <w:pPr>
        <w:spacing w:after="0" w:line="8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Overall, the Trust’s portfolio was 95.0% leased as of June 30, 2005, compared to 94.2% on June 30, 2004. Federal Realty’s same-center portfolio was 96.4% leased on June 30, 2005, compared to 96.7% on June 30, 2004.</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During the second quarter of 2005, the Trust signed 84 leases for approximately 269,000 square feet of retail space. On a comparable space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spaces for which there was a former tenant), the Trust leased 241,000 square feet at a weighted-average cash-basis contractual rent increase per square foot (</w:t>
      </w:r>
      <w:r>
        <w:rPr>
          <w:rFonts w:ascii="Arial" w:cs="Arial" w:eastAsia="Arial" w:hAnsi="Arial"/>
          <w:sz w:val="15"/>
          <w:szCs w:val="15"/>
          <w:i w:val="1"/>
          <w:iCs w:val="1"/>
          <w:color w:val="auto"/>
        </w:rPr>
        <w:t>i.e.</w:t>
      </w:r>
      <w:r>
        <w:rPr>
          <w:rFonts w:ascii="Arial" w:cs="Arial" w:eastAsia="Arial" w:hAnsi="Arial"/>
          <w:sz w:val="15"/>
          <w:szCs w:val="15"/>
          <w:color w:val="auto"/>
        </w:rPr>
        <w:t xml:space="preserve"> excluding the impact of straight-line rents) of 34%. The weighted-average contractual rent on this comparable space for the first year of the new lease is $30.43 per square foot compared to the weighted-average contractual rent of $22.63 per square foot for the last year of the prior lease. The previous weighted-average contractual rent is calculated by including both the minimum rent and the percentage rent actually paid during the last year of the lease term for the re-leased space. On a GAAP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including the impact of straight-line rents), rent increases per square foot for comparable retail space averaged 51% for the second quarter of 2005. As of June 30, 2005, Federal Realty’s weighted-average contractual rent for retail and commercial space in its portfolio is $18.43 per square foot.</w:t>
      </w:r>
    </w:p>
    <w:p>
      <w:pPr>
        <w:spacing w:after="0" w:line="9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“Aggressive management of the portfolio, the strong rent increases on lease rollovers we have achieved over the past two years, and effective execution of the Trust’s large redevelopment pipeline were essential components of our strong second quarter performance,” commented Donald Wood, Federal Realty’s President and Chief Executive Officer. “We also continue to create and capture value at Santana Row, as initial occupancy of the first apartment units in Building Seven occurred in the second quarter, and closings on the first condominium units are anticipated to occur in the current quarter.”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27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2005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July 28, 2005</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At Santana Row, Federal Realty’s mixed-use community in San Jose, Calif., 93% of the retail space was leased to 104 tenants, with 100 stores open and operating as of June 30, 2005. As previously announced, Federal Realty is pursuing the potential sale of up to 219 residential condominiums in Buildings Three, Four and Six at Santana Row. Through July 24, 2005, the Trust currently has 43 units under contract, and expects initial closings to commence in Building Four in August 2005. Initial occupancy of the 256 residential rental units on the podium of Building Seven commenced in April 2005, with 71 units leased as of July 24, 2005, and lease-up expected to continue through mid-2006.</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84"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Federal Realty today reconfirmed guidance for 2005 FFO per diluted share to a range of $3.03 to $3.05, and increased guidance for 2005 net income available for common shareholders per diluted share to a range of $1.47 to $1.49.</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84" w:lineRule="exact"/>
        <w:rPr>
          <w:sz w:val="20"/>
          <w:szCs w:val="20"/>
          <w:color w:val="auto"/>
        </w:rPr>
      </w:pPr>
    </w:p>
    <w:p>
      <w:pPr>
        <w:ind w:left="340" w:right="100" w:hanging="335"/>
        <w:spacing w:after="0" w:line="270"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June 6, 2005 – Federal Realty declared a regular quarterly cash dividend of $0.555 per common share, resulting in an indicated annual rate of $2.22 per share, an increase of $0.20 per share annualized. The dividend increase represents the largest dividend increase in Federal Realty’s 43-year history, and the largest percentage increase in the common dividend since 1988.</w:t>
      </w:r>
    </w:p>
    <w:p>
      <w:pPr>
        <w:spacing w:after="0" w:line="35" w:lineRule="exact"/>
        <w:rPr>
          <w:rFonts w:ascii="Arial" w:cs="Arial" w:eastAsia="Arial" w:hAnsi="Arial"/>
          <w:sz w:val="17"/>
          <w:szCs w:val="17"/>
          <w:color w:val="auto"/>
        </w:rPr>
      </w:pPr>
    </w:p>
    <w:p>
      <w:pPr>
        <w:ind w:left="340" w:right="760" w:hanging="335"/>
        <w:spacing w:after="0" w:line="31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June 30, 2005 – Federal Realty announced the appointment of Jon E. Bortz, chairman, chief executive officer and president of LaSalle Hotel Properties (NYSE:LHO), to Federal Realty’s board of trustees. Mr. Bortz will serve on Federal Realty’s audit and compensation committees.</w:t>
      </w: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8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second quarter 2005 earnings conference call, which is scheduled for July 29, 2005, at 11 a.m. Eastern Daylight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Monday, August 29, 2005, by dialing (866) 448-4809.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275"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2005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July 28, 2005</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8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17.4 million square feet located primarily in strategic metropolitan markets in the Northeast, Mid-Atlantic, and California. In addition, the Trust has an ownership interest in approximately 0.5 million square feet of retail space through its joint venture with Clarion Lion Properties Fund in which the Trust has a 30% interest. Our operating portfolio (excluding joint venture properties) was 95.0% leased to national, regional, and local retailers as of June 30, 2005, with no single tenant accounting for more than 2.2% of rental revenue. Federal Realty has paid quarterly dividends to its shareholders continuously since its founding in 1962, and, through 2004, has increased its dividend rate for 37 consecutive years, the longest consecutive record in the REIT industry. Shares of Federal Realty are traded on the NYSE under the symbol FRT.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8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39" w:lineRule="exact"/>
        <w:rPr>
          <w:sz w:val="20"/>
          <w:szCs w:val="20"/>
          <w:color w:val="auto"/>
        </w:rPr>
      </w:pPr>
    </w:p>
    <w:p>
      <w:pPr>
        <w:ind w:left="780" w:hanging="329"/>
        <w:spacing w:after="0"/>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106" w:lineRule="exact"/>
        <w:rPr>
          <w:rFonts w:ascii="Arial" w:cs="Arial" w:eastAsia="Arial" w:hAnsi="Arial"/>
          <w:sz w:val="17"/>
          <w:szCs w:val="17"/>
          <w:i w:val="1"/>
          <w:iCs w:val="1"/>
          <w:color w:val="auto"/>
        </w:rPr>
      </w:pPr>
    </w:p>
    <w:p>
      <w:pPr>
        <w:ind w:left="780" w:right="180" w:hanging="329"/>
        <w:spacing w:after="0" w:line="283" w:lineRule="auto"/>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24" w:lineRule="exact"/>
        <w:rPr>
          <w:rFonts w:ascii="Arial" w:cs="Arial" w:eastAsia="Arial" w:hAnsi="Arial"/>
          <w:sz w:val="17"/>
          <w:szCs w:val="17"/>
          <w:i w:val="1"/>
          <w:iCs w:val="1"/>
          <w:color w:val="auto"/>
        </w:rPr>
      </w:pPr>
    </w:p>
    <w:p>
      <w:pPr>
        <w:ind w:left="780" w:right="80" w:hanging="329"/>
        <w:spacing w:after="0" w:line="283" w:lineRule="auto"/>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24" w:lineRule="exact"/>
        <w:rPr>
          <w:rFonts w:ascii="Arial" w:cs="Arial" w:eastAsia="Arial" w:hAnsi="Arial"/>
          <w:sz w:val="17"/>
          <w:szCs w:val="17"/>
          <w:i w:val="1"/>
          <w:iCs w:val="1"/>
          <w:color w:val="auto"/>
        </w:rPr>
      </w:pPr>
    </w:p>
    <w:p>
      <w:pPr>
        <w:ind w:left="780" w:right="100" w:hanging="329"/>
        <w:spacing w:after="0" w:line="266" w:lineRule="auto"/>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8" w:lineRule="exact"/>
        <w:rPr>
          <w:rFonts w:ascii="Arial" w:cs="Arial" w:eastAsia="Arial" w:hAnsi="Arial"/>
          <w:sz w:val="17"/>
          <w:szCs w:val="17"/>
          <w:i w:val="1"/>
          <w:iCs w:val="1"/>
          <w:color w:val="auto"/>
        </w:rPr>
      </w:pPr>
    </w:p>
    <w:p>
      <w:pPr>
        <w:ind w:left="780" w:hanging="329"/>
        <w:spacing w:after="0"/>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106" w:lineRule="exact"/>
        <w:rPr>
          <w:rFonts w:ascii="Arial" w:cs="Arial" w:eastAsia="Arial" w:hAnsi="Arial"/>
          <w:sz w:val="17"/>
          <w:szCs w:val="17"/>
          <w:i w:val="1"/>
          <w:iCs w:val="1"/>
          <w:color w:val="auto"/>
        </w:rPr>
      </w:pPr>
    </w:p>
    <w:p>
      <w:pPr>
        <w:ind w:left="780" w:right="240" w:hanging="329"/>
        <w:spacing w:after="0" w:line="270" w:lineRule="auto"/>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5" w:lineRule="exact"/>
        <w:rPr>
          <w:rFonts w:ascii="Arial" w:cs="Arial" w:eastAsia="Arial" w:hAnsi="Arial"/>
          <w:sz w:val="17"/>
          <w:szCs w:val="17"/>
          <w:i w:val="1"/>
          <w:iCs w:val="1"/>
          <w:color w:val="auto"/>
        </w:rPr>
      </w:pPr>
    </w:p>
    <w:p>
      <w:pPr>
        <w:ind w:left="780" w:right="180" w:hanging="329"/>
        <w:spacing w:after="0" w:line="270" w:lineRule="auto"/>
        <w:tabs>
          <w:tab w:leader="none" w:pos="7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80"/>
          </w:cols>
          <w:pgMar w:left="240" w:top="275"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88"/>
              </w:rPr>
              <w:t>Three months ended 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87"/>
              </w:rPr>
              <w:t>Six months ended June 30,</w:t>
            </w:r>
          </w:p>
        </w:tc>
      </w:tr>
      <w:tr>
        <w:trPr>
          <w:trHeight w:val="93"/>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4"/>
        </w:trPr>
        <w:tc>
          <w:tcPr>
            <w:tcW w:w="3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2005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75"/>
              <w:spacing w:after="0"/>
              <w:rPr>
                <w:sz w:val="20"/>
                <w:szCs w:val="20"/>
                <w:color w:val="auto"/>
              </w:rPr>
            </w:pPr>
            <w:r>
              <w:rPr>
                <w:rFonts w:ascii="Arial" w:cs="Arial" w:eastAsia="Arial" w:hAnsi="Arial"/>
                <w:sz w:val="13"/>
                <w:szCs w:val="13"/>
                <w:b w:val="1"/>
                <w:bCs w:val="1"/>
                <w:color w:val="auto"/>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5"/>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22"/>
                <w:szCs w:val="22"/>
                <w:color w:val="auto"/>
              </w:rPr>
            </w:pPr>
          </w:p>
        </w:tc>
      </w:tr>
      <w:tr>
        <w:trPr>
          <w:trHeight w:val="93"/>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90"/>
        </w:trPr>
        <w:tc>
          <w:tcPr>
            <w:tcW w:w="76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CONSOLIDATED OPERATING RESULTS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14"/>
        </w:trPr>
        <w:tc>
          <w:tcPr>
            <w:tcW w:w="30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Revenues</w:t>
            </w:r>
          </w:p>
        </w:tc>
        <w:tc>
          <w:tcPr>
            <w:tcW w:w="4540" w:type="dxa"/>
            <w:vAlign w:val="bottom"/>
            <w:tcBorders>
              <w:top w:val="single" w:sz="8" w:color="CCEEFF"/>
            </w:tcBorders>
            <w:gridSpan w:val="5"/>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211"/>
        </w:trPr>
        <w:tc>
          <w:tcPr>
            <w:tcW w:w="76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94,771</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197,882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185,550</w:t>
            </w:r>
          </w:p>
        </w:tc>
        <w:tc>
          <w:tcPr>
            <w:tcW w:w="60" w:type="dxa"/>
            <w:vAlign w:val="bottom"/>
            <w:shd w:val="clear" w:color="auto" w:fill="CCEEFF"/>
          </w:tcPr>
          <w:p>
            <w:pPr>
              <w:spacing w:after="0"/>
              <w:rPr>
                <w:sz w:val="18"/>
                <w:szCs w:val="18"/>
                <w:color w:val="auto"/>
              </w:rPr>
            </w:pPr>
          </w:p>
        </w:tc>
      </w:tr>
      <w:tr>
        <w:trPr>
          <w:trHeight w:val="210"/>
        </w:trPr>
        <w:tc>
          <w:tcPr>
            <w:tcW w:w="7600" w:type="dxa"/>
            <w:vAlign w:val="bottom"/>
            <w:gridSpan w:val="6"/>
          </w:tcPr>
          <w:p>
            <w:pPr>
              <w:ind w:left="420"/>
              <w:spacing w:after="0"/>
              <w:rPr>
                <w:sz w:val="20"/>
                <w:szCs w:val="20"/>
                <w:color w:val="auto"/>
              </w:rPr>
            </w:pPr>
            <w:r>
              <w:rPr>
                <w:rFonts w:ascii="Arial" w:cs="Arial" w:eastAsia="Arial" w:hAnsi="Arial"/>
                <w:sz w:val="17"/>
                <w:szCs w:val="17"/>
                <w:color w:val="auto"/>
              </w:rPr>
              <w:t>Other property income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2,082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4,592</w:t>
            </w:r>
          </w:p>
        </w:tc>
        <w:tc>
          <w:tcPr>
            <w:tcW w:w="60" w:type="dxa"/>
            <w:vAlign w:val="bottom"/>
          </w:tcPr>
          <w:p>
            <w:pPr>
              <w:spacing w:after="0"/>
              <w:rPr>
                <w:sz w:val="18"/>
                <w:szCs w:val="18"/>
                <w:color w:val="auto"/>
              </w:rPr>
            </w:pPr>
          </w:p>
        </w:tc>
      </w:tr>
      <w:tr>
        <w:trPr>
          <w:trHeight w:val="210"/>
        </w:trPr>
        <w:tc>
          <w:tcPr>
            <w:tcW w:w="76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Mortgage interest income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w:t>
            </w:r>
          </w:p>
        </w:tc>
        <w:tc>
          <w:tcPr>
            <w:tcW w:w="60" w:type="dxa"/>
            <w:vAlign w:val="bottom"/>
            <w:shd w:val="clear" w:color="auto" w:fill="CCEEFF"/>
          </w:tcPr>
          <w:p>
            <w:pPr>
              <w:spacing w:after="0"/>
              <w:rPr>
                <w:sz w:val="18"/>
                <w:szCs w:val="18"/>
                <w:color w:val="auto"/>
              </w:rPr>
            </w:pPr>
          </w:p>
        </w:tc>
      </w:tr>
      <w:tr>
        <w:trPr>
          <w:trHeight w:val="105"/>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3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204,642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192,523</w:t>
            </w:r>
          </w:p>
        </w:tc>
        <w:tc>
          <w:tcPr>
            <w:tcW w:w="60" w:type="dxa"/>
            <w:vAlign w:val="bottom"/>
            <w:shd w:val="clear" w:color="auto" w:fill="CCEEFF"/>
          </w:tcPr>
          <w:p>
            <w:pPr>
              <w:spacing w:after="0"/>
              <w:rPr>
                <w:sz w:val="18"/>
                <w:szCs w:val="18"/>
                <w:color w:val="auto"/>
              </w:rPr>
            </w:pPr>
          </w:p>
        </w:tc>
      </w:tr>
      <w:tr>
        <w:trPr>
          <w:trHeight w:val="210"/>
        </w:trPr>
        <w:tc>
          <w:tcPr>
            <w:tcW w:w="7600" w:type="dxa"/>
            <w:vAlign w:val="bottom"/>
            <w:gridSpan w:val="6"/>
          </w:tcPr>
          <w:p>
            <w:pPr>
              <w:spacing w:after="0"/>
              <w:rPr>
                <w:sz w:val="20"/>
                <w:szCs w:val="20"/>
                <w:color w:val="auto"/>
              </w:rPr>
            </w:pPr>
            <w:r>
              <w:rPr>
                <w:rFonts w:ascii="Arial" w:cs="Arial" w:eastAsia="Arial" w:hAnsi="Arial"/>
                <w:sz w:val="17"/>
                <w:szCs w:val="17"/>
                <w:b w:val="1"/>
                <w:bCs w:val="1"/>
                <w:color w:val="auto"/>
              </w:rPr>
              <w:t>Expenses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6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43,959</w:t>
            </w:r>
          </w:p>
        </w:tc>
        <w:tc>
          <w:tcPr>
            <w:tcW w:w="60" w:type="dxa"/>
            <w:vAlign w:val="bottom"/>
            <w:shd w:val="clear" w:color="auto" w:fill="CCEEFF"/>
          </w:tcPr>
          <w:p>
            <w:pPr>
              <w:spacing w:after="0"/>
              <w:rPr>
                <w:sz w:val="18"/>
                <w:szCs w:val="18"/>
                <w:color w:val="auto"/>
              </w:rPr>
            </w:pPr>
          </w:p>
        </w:tc>
      </w:tr>
      <w:tr>
        <w:trPr>
          <w:trHeight w:val="210"/>
        </w:trPr>
        <w:tc>
          <w:tcPr>
            <w:tcW w:w="7600" w:type="dxa"/>
            <w:vAlign w:val="bottom"/>
            <w:gridSpan w:val="6"/>
          </w:tcPr>
          <w:p>
            <w:pPr>
              <w:ind w:left="420"/>
              <w:spacing w:after="0"/>
              <w:rPr>
                <w:sz w:val="20"/>
                <w:szCs w:val="20"/>
                <w:color w:val="auto"/>
              </w:rPr>
            </w:pPr>
            <w:r>
              <w:rPr>
                <w:rFonts w:ascii="Arial" w:cs="Arial" w:eastAsia="Arial" w:hAnsi="Arial"/>
                <w:sz w:val="17"/>
                <w:szCs w:val="17"/>
                <w:color w:val="auto"/>
              </w:rPr>
              <w:t>Real estate taxes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10,822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9,369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20,577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18,412</w:t>
            </w:r>
          </w:p>
        </w:tc>
        <w:tc>
          <w:tcPr>
            <w:tcW w:w="60" w:type="dxa"/>
            <w:vAlign w:val="bottom"/>
          </w:tcPr>
          <w:p>
            <w:pPr>
              <w:spacing w:after="0"/>
              <w:rPr>
                <w:sz w:val="18"/>
                <w:szCs w:val="18"/>
                <w:color w:val="auto"/>
              </w:rPr>
            </w:pPr>
          </w:p>
        </w:tc>
      </w:tr>
      <w:tr>
        <w:trPr>
          <w:trHeight w:val="210"/>
        </w:trPr>
        <w:tc>
          <w:tcPr>
            <w:tcW w:w="76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8,770</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6"/>
          </w:tcPr>
          <w:p>
            <w:pPr>
              <w:ind w:left="420"/>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22,956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22,856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45,463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43,103</w:t>
            </w:r>
          </w:p>
        </w:tc>
        <w:tc>
          <w:tcPr>
            <w:tcW w:w="60" w:type="dxa"/>
            <w:vAlign w:val="bottom"/>
          </w:tcPr>
          <w:p>
            <w:pPr>
              <w:spacing w:after="0"/>
              <w:rPr>
                <w:sz w:val="18"/>
                <w:szCs w:val="18"/>
                <w:color w:val="auto"/>
              </w:rPr>
            </w:pPr>
          </w:p>
        </w:tc>
      </w:tr>
      <w:tr>
        <w:trPr>
          <w:trHeight w:val="99"/>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3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119,044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114,244</w:t>
            </w:r>
          </w:p>
        </w:tc>
        <w:tc>
          <w:tcPr>
            <w:tcW w:w="60" w:type="dxa"/>
            <w:vAlign w:val="bottom"/>
            <w:shd w:val="clear" w:color="auto" w:fill="CCEEFF"/>
          </w:tcPr>
          <w:p>
            <w:pPr>
              <w:spacing w:after="0"/>
              <w:rPr>
                <w:sz w:val="18"/>
                <w:szCs w:val="18"/>
                <w:color w:val="auto"/>
              </w:rPr>
            </w:pPr>
          </w:p>
        </w:tc>
      </w:tr>
      <w:tr>
        <w:trPr>
          <w:trHeight w:val="105"/>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78,279</w:t>
            </w:r>
          </w:p>
        </w:tc>
        <w:tc>
          <w:tcPr>
            <w:tcW w:w="60" w:type="dxa"/>
            <w:vAlign w:val="bottom"/>
            <w:shd w:val="clear" w:color="auto" w:fill="CCEEFF"/>
          </w:tcPr>
          <w:p>
            <w:pPr>
              <w:spacing w:after="0"/>
              <w:rPr>
                <w:sz w:val="18"/>
                <w:szCs w:val="18"/>
                <w:color w:val="auto"/>
              </w:rPr>
            </w:pPr>
          </w:p>
        </w:tc>
      </w:tr>
      <w:tr>
        <w:trPr>
          <w:trHeight w:val="314"/>
        </w:trPr>
        <w:tc>
          <w:tcPr>
            <w:tcW w:w="7600" w:type="dxa"/>
            <w:vAlign w:val="bottom"/>
            <w:gridSpan w:val="6"/>
          </w:tcPr>
          <w:p>
            <w:pPr>
              <w:spacing w:after="0"/>
              <w:rPr>
                <w:sz w:val="20"/>
                <w:szCs w:val="20"/>
                <w:color w:val="auto"/>
              </w:rPr>
            </w:pPr>
            <w:r>
              <w:rPr>
                <w:rFonts w:ascii="Arial" w:cs="Arial" w:eastAsia="Arial" w:hAnsi="Arial"/>
                <w:sz w:val="17"/>
                <w:szCs w:val="17"/>
                <w:color w:val="auto"/>
              </w:rPr>
              <w:t>Other interest income</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1,302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1,693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662</w:t>
            </w:r>
          </w:p>
        </w:tc>
        <w:tc>
          <w:tcPr>
            <w:tcW w:w="60" w:type="dxa"/>
            <w:vAlign w:val="bottom"/>
          </w:tcPr>
          <w:p>
            <w:pPr>
              <w:spacing w:after="0"/>
              <w:rPr>
                <w:sz w:val="24"/>
                <w:szCs w:val="24"/>
                <w:color w:val="auto"/>
              </w:rPr>
            </w:pPr>
          </w:p>
        </w:tc>
      </w:tr>
      <w:tr>
        <w:trPr>
          <w:trHeight w:val="211"/>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(21,827)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(21,391)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7"/>
              </w:rPr>
              <w:t>(43,890)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(42,710)</w:t>
            </w:r>
          </w:p>
        </w:tc>
      </w:tr>
      <w:tr>
        <w:trPr>
          <w:trHeight w:val="210"/>
        </w:trPr>
        <w:tc>
          <w:tcPr>
            <w:tcW w:w="7600" w:type="dxa"/>
            <w:vAlign w:val="bottom"/>
            <w:gridSpan w:val="6"/>
          </w:tcPr>
          <w:p>
            <w:pPr>
              <w:spacing w:after="0"/>
              <w:rPr>
                <w:sz w:val="20"/>
                <w:szCs w:val="20"/>
                <w:color w:val="auto"/>
              </w:rPr>
            </w:pPr>
            <w:r>
              <w:rPr>
                <w:rFonts w:ascii="Arial" w:cs="Arial" w:eastAsia="Arial" w:hAnsi="Arial"/>
                <w:sz w:val="17"/>
                <w:szCs w:val="17"/>
                <w:color w:val="auto"/>
              </w:rPr>
              <w:t>Income from real estate partnership</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(2,381)</w:t>
            </w:r>
          </w:p>
        </w:tc>
      </w:tr>
      <w:tr>
        <w:trPr>
          <w:trHeight w:val="105"/>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33,850</w:t>
            </w:r>
          </w:p>
        </w:tc>
        <w:tc>
          <w:tcPr>
            <w:tcW w:w="60" w:type="dxa"/>
            <w:vAlign w:val="bottom"/>
            <w:shd w:val="clear" w:color="auto" w:fill="CCEEFF"/>
          </w:tcPr>
          <w:p>
            <w:pPr>
              <w:spacing w:after="0"/>
              <w:rPr>
                <w:sz w:val="18"/>
                <w:szCs w:val="18"/>
                <w:color w:val="auto"/>
              </w:rPr>
            </w:pPr>
          </w:p>
        </w:tc>
      </w:tr>
      <w:tr>
        <w:trPr>
          <w:trHeight w:val="314"/>
        </w:trPr>
        <w:tc>
          <w:tcPr>
            <w:tcW w:w="7600" w:type="dxa"/>
            <w:vAlign w:val="bottom"/>
            <w:gridSpan w:val="6"/>
          </w:tcPr>
          <w:p>
            <w:pPr>
              <w:spacing w:after="0"/>
              <w:rPr>
                <w:sz w:val="20"/>
                <w:szCs w:val="20"/>
                <w:color w:val="auto"/>
              </w:rPr>
            </w:pPr>
            <w:r>
              <w:rPr>
                <w:rFonts w:ascii="Arial" w:cs="Arial" w:eastAsia="Arial" w:hAnsi="Arial"/>
                <w:sz w:val="17"/>
                <w:szCs w:val="17"/>
                <w:color w:val="auto"/>
              </w:rPr>
              <w:t>Discontinued operations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76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Operating income from discontinued operations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6"/>
          </w:tcPr>
          <w:p>
            <w:pPr>
              <w:ind w:left="420"/>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7,884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8,334</w:t>
            </w:r>
          </w:p>
        </w:tc>
        <w:tc>
          <w:tcPr>
            <w:tcW w:w="60" w:type="dxa"/>
            <w:vAlign w:val="bottom"/>
          </w:tcPr>
          <w:p>
            <w:pPr>
              <w:spacing w:after="0"/>
              <w:rPr>
                <w:sz w:val="18"/>
                <w:szCs w:val="18"/>
                <w:color w:val="auto"/>
              </w:rPr>
            </w:pPr>
          </w:p>
        </w:tc>
      </w:tr>
      <w:tr>
        <w:trPr>
          <w:trHeight w:val="99"/>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9,728</w:t>
            </w:r>
          </w:p>
        </w:tc>
        <w:tc>
          <w:tcPr>
            <w:tcW w:w="60" w:type="dxa"/>
            <w:vAlign w:val="bottom"/>
            <w:shd w:val="clear" w:color="auto" w:fill="CCEEFF"/>
          </w:tcPr>
          <w:p>
            <w:pPr>
              <w:spacing w:after="0"/>
              <w:rPr>
                <w:sz w:val="18"/>
                <w:szCs w:val="18"/>
                <w:color w:val="auto"/>
              </w:rPr>
            </w:pPr>
          </w:p>
        </w:tc>
      </w:tr>
      <w:tr>
        <w:trPr>
          <w:trHeight w:val="105"/>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24,807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26,332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48,804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43,578</w:t>
            </w:r>
          </w:p>
        </w:tc>
        <w:tc>
          <w:tcPr>
            <w:tcW w:w="60" w:type="dxa"/>
            <w:vAlign w:val="bottom"/>
            <w:shd w:val="clear" w:color="auto" w:fill="CCEEFF"/>
          </w:tcPr>
          <w:p>
            <w:pPr>
              <w:spacing w:after="0"/>
              <w:rPr>
                <w:sz w:val="18"/>
                <w:szCs w:val="18"/>
                <w:color w:val="auto"/>
              </w:rPr>
            </w:pPr>
          </w:p>
        </w:tc>
      </w:tr>
      <w:tr>
        <w:trPr>
          <w:trHeight w:val="312"/>
        </w:trPr>
        <w:tc>
          <w:tcPr>
            <w:tcW w:w="7600" w:type="dxa"/>
            <w:vAlign w:val="bottom"/>
            <w:gridSpan w:val="6"/>
          </w:tcPr>
          <w:p>
            <w:pPr>
              <w:ind w:left="420"/>
              <w:spacing w:after="0"/>
              <w:rPr>
                <w:sz w:val="20"/>
                <w:szCs w:val="20"/>
                <w:color w:val="auto"/>
              </w:rPr>
            </w:pPr>
            <w:r>
              <w:rPr>
                <w:rFonts w:ascii="Arial" w:cs="Arial" w:eastAsia="Arial" w:hAnsi="Arial"/>
                <w:sz w:val="17"/>
                <w:szCs w:val="17"/>
                <w:color w:val="auto"/>
              </w:rPr>
              <w:t>Dividends on preferred stock</w:t>
            </w:r>
          </w:p>
        </w:tc>
        <w:tc>
          <w:tcPr>
            <w:tcW w:w="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(2,869)</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(5,738)</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(5,738)</w:t>
            </w:r>
          </w:p>
        </w:tc>
      </w:tr>
      <w:tr>
        <w:trPr>
          <w:trHeight w:val="107"/>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ind w:left="1260"/>
              <w:spacing w:after="0"/>
              <w:rPr>
                <w:sz w:val="20"/>
                <w:szCs w:val="20"/>
                <w:color w:val="auto"/>
              </w:rPr>
            </w:pPr>
            <w:r>
              <w:rPr>
                <w:rFonts w:ascii="Arial" w:cs="Arial" w:eastAsia="Arial" w:hAnsi="Arial"/>
                <w:sz w:val="17"/>
                <w:szCs w:val="17"/>
                <w:color w:val="auto"/>
              </w:rPr>
              <w:t>Net income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23,463</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37,840</w:t>
            </w:r>
          </w:p>
        </w:tc>
        <w:tc>
          <w:tcPr>
            <w:tcW w:w="60" w:type="dxa"/>
            <w:vAlign w:val="bottom"/>
            <w:shd w:val="clear" w:color="auto" w:fill="CCEEFF"/>
          </w:tcPr>
          <w:p>
            <w:pPr>
              <w:spacing w:after="0"/>
              <w:rPr>
                <w:sz w:val="18"/>
                <w:szCs w:val="18"/>
                <w:color w:val="auto"/>
              </w:rPr>
            </w:pPr>
          </w:p>
        </w:tc>
      </w:tr>
      <w:tr>
        <w:trPr>
          <w:trHeight w:val="128"/>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90"/>
        </w:trPr>
        <w:tc>
          <w:tcPr>
            <w:tcW w:w="76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FUNDS FROM OPERATIONS AVAILABLE FOR COMMON SHAREHOLDERS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0"/>
        </w:trPr>
        <w:tc>
          <w:tcPr>
            <w:tcW w:w="574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Net income</w:t>
            </w:r>
          </w:p>
        </w:tc>
        <w:tc>
          <w:tcPr>
            <w:tcW w:w="186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24,807</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26,332</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48,804</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43,578</w:t>
            </w:r>
          </w:p>
        </w:tc>
        <w:tc>
          <w:tcPr>
            <w:tcW w:w="60" w:type="dxa"/>
            <w:vAlign w:val="bottom"/>
            <w:tcBorders>
              <w:top w:val="single" w:sz="8" w:color="CCEEFF"/>
            </w:tcBorders>
          </w:tcPr>
          <w:p>
            <w:pPr>
              <w:spacing w:after="0"/>
              <w:rPr>
                <w:sz w:val="18"/>
                <w:szCs w:val="1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(8,334)</w:t>
            </w:r>
          </w:p>
        </w:tc>
      </w:tr>
      <w:tr>
        <w:trPr>
          <w:trHeight w:val="210"/>
        </w:trPr>
        <w:tc>
          <w:tcPr>
            <w:tcW w:w="7600" w:type="dxa"/>
            <w:vAlign w:val="bottom"/>
            <w:gridSpan w:val="6"/>
          </w:tcPr>
          <w:p>
            <w:pPr>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20,735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21,261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41,253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39,987</w:t>
            </w:r>
          </w:p>
        </w:tc>
        <w:tc>
          <w:tcPr>
            <w:tcW w:w="60" w:type="dxa"/>
            <w:vAlign w:val="bottom"/>
          </w:tcPr>
          <w:p>
            <w:pPr>
              <w:spacing w:after="0"/>
              <w:rPr>
                <w:sz w:val="18"/>
                <w:szCs w:val="1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6"/>
          </w:tcPr>
          <w:p>
            <w:pPr>
              <w:spacing w:after="0"/>
              <w:rPr>
                <w:sz w:val="20"/>
                <w:szCs w:val="20"/>
                <w:color w:val="auto"/>
              </w:rPr>
            </w:pPr>
            <w:r>
              <w:rPr>
                <w:rFonts w:ascii="Arial" w:cs="Arial" w:eastAsia="Arial" w:hAnsi="Arial"/>
                <w:sz w:val="17"/>
                <w:szCs w:val="17"/>
                <w:color w:val="auto"/>
              </w:rPr>
              <w:t>Depreciation on real estate partnership assets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99"/>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78,516</w:t>
            </w:r>
          </w:p>
        </w:tc>
        <w:tc>
          <w:tcPr>
            <w:tcW w:w="60" w:type="dxa"/>
            <w:vAlign w:val="bottom"/>
            <w:shd w:val="clear" w:color="auto" w:fill="CCEEFF"/>
          </w:tcPr>
          <w:p>
            <w:pPr>
              <w:spacing w:after="0"/>
              <w:rPr>
                <w:sz w:val="18"/>
                <w:szCs w:val="18"/>
                <w:color w:val="auto"/>
              </w:rPr>
            </w:pPr>
          </w:p>
        </w:tc>
      </w:tr>
      <w:tr>
        <w:trPr>
          <w:trHeight w:val="210"/>
        </w:trPr>
        <w:tc>
          <w:tcPr>
            <w:tcW w:w="7600" w:type="dxa"/>
            <w:vAlign w:val="bottom"/>
            <w:gridSpan w:val="6"/>
          </w:tcPr>
          <w:p>
            <w:pPr>
              <w:spacing w:after="0"/>
              <w:rPr>
                <w:sz w:val="20"/>
                <w:szCs w:val="20"/>
                <w:color w:val="auto"/>
              </w:rPr>
            </w:pPr>
            <w:r>
              <w:rPr>
                <w:rFonts w:ascii="Arial" w:cs="Arial" w:eastAsia="Arial" w:hAnsi="Arial"/>
                <w:sz w:val="17"/>
                <w:szCs w:val="17"/>
                <w:color w:val="auto"/>
              </w:rPr>
              <w:t>Dividends on preferred stock</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(2,869)</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(5,738)</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(5,738)</w:t>
            </w: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60" w:type="dxa"/>
            <w:vAlign w:val="bottom"/>
            <w:shd w:val="clear" w:color="auto" w:fill="CCEEFF"/>
          </w:tcPr>
          <w:p>
            <w:pPr>
              <w:spacing w:after="0"/>
              <w:rPr>
                <w:sz w:val="18"/>
                <w:szCs w:val="18"/>
                <w:color w:val="auto"/>
              </w:rPr>
            </w:pPr>
          </w:p>
        </w:tc>
      </w:tr>
      <w:tr>
        <w:trPr>
          <w:trHeight w:val="105"/>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38,638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73,416</w:t>
            </w:r>
          </w:p>
        </w:tc>
        <w:tc>
          <w:tcPr>
            <w:tcW w:w="60" w:type="dxa"/>
            <w:vAlign w:val="bottom"/>
            <w:shd w:val="clear" w:color="auto" w:fill="CCEEFF"/>
          </w:tcPr>
          <w:p>
            <w:pPr>
              <w:spacing w:after="0"/>
              <w:rPr>
                <w:sz w:val="18"/>
                <w:szCs w:val="18"/>
                <w:color w:val="auto"/>
              </w:rPr>
            </w:pPr>
          </w:p>
        </w:tc>
      </w:tr>
      <w:tr>
        <w:trPr>
          <w:trHeight w:val="128"/>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51,593</w:t>
            </w:r>
          </w:p>
        </w:tc>
        <w:tc>
          <w:tcPr>
            <w:tcW w:w="60" w:type="dxa"/>
            <w:vAlign w:val="bottom"/>
            <w:shd w:val="clear" w:color="auto" w:fill="CCEEFF"/>
          </w:tcPr>
          <w:p>
            <w:pPr>
              <w:spacing w:after="0"/>
              <w:rPr>
                <w:sz w:val="18"/>
                <w:szCs w:val="18"/>
                <w:color w:val="auto"/>
              </w:rPr>
            </w:pPr>
          </w:p>
        </w:tc>
      </w:tr>
      <w:tr>
        <w:trPr>
          <w:trHeight w:val="128"/>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60" w:type="dxa"/>
            <w:vAlign w:val="bottom"/>
            <w:shd w:val="clear" w:color="auto" w:fill="CCEEFF"/>
          </w:tcPr>
          <w:p>
            <w:pPr>
              <w:spacing w:after="0"/>
              <w:rPr>
                <w:sz w:val="18"/>
                <w:szCs w:val="18"/>
                <w:color w:val="auto"/>
              </w:rPr>
            </w:pPr>
          </w:p>
        </w:tc>
      </w:tr>
      <w:tr>
        <w:trPr>
          <w:trHeight w:val="128"/>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71"/>
        </w:trPr>
        <w:tc>
          <w:tcPr>
            <w:tcW w:w="76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NET INCOME PER COMMON SHARE, BASIC</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39"/>
        </w:trPr>
        <w:tc>
          <w:tcPr>
            <w:tcW w:w="30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10"/>
        </w:trPr>
        <w:tc>
          <w:tcPr>
            <w:tcW w:w="7600" w:type="dxa"/>
            <w:vAlign w:val="bottom"/>
            <w:gridSpan w:val="6"/>
          </w:tcPr>
          <w:p>
            <w:pPr>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0.34</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0.28</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0.56</w:t>
            </w:r>
          </w:p>
        </w:tc>
        <w:tc>
          <w:tcPr>
            <w:tcW w:w="60" w:type="dxa"/>
            <w:vAlign w:val="bottom"/>
          </w:tcPr>
          <w:p>
            <w:pPr>
              <w:spacing w:after="0"/>
              <w:rPr>
                <w:sz w:val="18"/>
                <w:szCs w:val="1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6"/>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0.16</w:t>
            </w:r>
          </w:p>
        </w:tc>
        <w:tc>
          <w:tcPr>
            <w:tcW w:w="60" w:type="dxa"/>
            <w:vAlign w:val="bottom"/>
          </w:tcPr>
          <w:p>
            <w:pPr>
              <w:spacing w:after="0"/>
              <w:rPr>
                <w:sz w:val="18"/>
                <w:szCs w:val="18"/>
                <w:color w:val="auto"/>
              </w:rPr>
            </w:pPr>
          </w:p>
        </w:tc>
      </w:tr>
      <w:tr>
        <w:trPr>
          <w:trHeight w:val="99"/>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ind w:left="840"/>
              <w:spacing w:after="0"/>
              <w:rPr>
                <w:sz w:val="20"/>
                <w:szCs w:val="20"/>
                <w:color w:val="auto"/>
              </w:rPr>
            </w:pPr>
            <w:r>
              <w:rPr>
                <w:rFonts w:ascii="Arial" w:cs="Arial" w:eastAsia="Arial" w:hAnsi="Arial"/>
                <w:sz w:val="17"/>
                <w:szCs w:val="17"/>
                <w:color w:val="auto"/>
              </w:rPr>
              <w:t>Net income available for common shareholders,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60" w:type="dxa"/>
            <w:vAlign w:val="bottom"/>
            <w:shd w:val="clear" w:color="auto" w:fill="CCEEFF"/>
          </w:tcPr>
          <w:p>
            <w:pPr>
              <w:spacing w:after="0"/>
              <w:rPr>
                <w:sz w:val="18"/>
                <w:szCs w:val="18"/>
                <w:color w:val="auto"/>
              </w:rPr>
            </w:pPr>
          </w:p>
        </w:tc>
      </w:tr>
      <w:tr>
        <w:trPr>
          <w:trHeight w:val="128"/>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Weighted average number of common shares, basic</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50,207</w:t>
            </w:r>
          </w:p>
        </w:tc>
        <w:tc>
          <w:tcPr>
            <w:tcW w:w="60" w:type="dxa"/>
            <w:vAlign w:val="bottom"/>
            <w:shd w:val="clear" w:color="auto" w:fill="CCEEFF"/>
          </w:tcPr>
          <w:p>
            <w:pPr>
              <w:spacing w:after="0"/>
              <w:rPr>
                <w:sz w:val="18"/>
                <w:szCs w:val="18"/>
                <w:color w:val="auto"/>
              </w:rPr>
            </w:pPr>
          </w:p>
        </w:tc>
      </w:tr>
      <w:tr>
        <w:trPr>
          <w:trHeight w:val="128"/>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71"/>
        </w:trPr>
        <w:tc>
          <w:tcPr>
            <w:tcW w:w="76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color w:val="auto"/>
              </w:rPr>
              <w:t>NET INCOME PER COMMON SHARE, DILUTED</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39"/>
        </w:trPr>
        <w:tc>
          <w:tcPr>
            <w:tcW w:w="30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10"/>
        </w:trPr>
        <w:tc>
          <w:tcPr>
            <w:tcW w:w="7600" w:type="dxa"/>
            <w:vAlign w:val="bottom"/>
            <w:gridSpan w:val="6"/>
          </w:tcPr>
          <w:p>
            <w:pPr>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0.34</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0.28</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0.66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0.56</w:t>
            </w:r>
          </w:p>
        </w:tc>
        <w:tc>
          <w:tcPr>
            <w:tcW w:w="60" w:type="dxa"/>
            <w:vAlign w:val="bottom"/>
          </w:tcPr>
          <w:p>
            <w:pPr>
              <w:spacing w:after="0"/>
              <w:rPr>
                <w:sz w:val="18"/>
                <w:szCs w:val="18"/>
                <w:color w:val="auto"/>
              </w:rPr>
            </w:pPr>
          </w:p>
        </w:tc>
      </w:tr>
      <w:tr>
        <w:trPr>
          <w:trHeight w:val="210"/>
        </w:trPr>
        <w:tc>
          <w:tcPr>
            <w:tcW w:w="760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gridSpan w:val="6"/>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0.16</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-4247515</wp:posOffset>
            </wp:positionV>
            <wp:extent cx="12700"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-4247515</wp:posOffset>
            </wp:positionV>
            <wp:extent cx="20955"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-4247515</wp:posOffset>
            </wp:positionV>
            <wp:extent cx="37465"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-4247515</wp:posOffset>
            </wp:positionV>
            <wp:extent cx="12700"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-4247515</wp:posOffset>
            </wp:positionV>
            <wp:extent cx="20955"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-4247515</wp:posOffset>
            </wp:positionV>
            <wp:extent cx="37465"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-4247515</wp:posOffset>
            </wp:positionV>
            <wp:extent cx="12700"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-4247515</wp:posOffset>
            </wp:positionV>
            <wp:extent cx="20955"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-4247515</wp:posOffset>
            </wp:positionV>
            <wp:extent cx="37465"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-4247515</wp:posOffset>
            </wp:positionV>
            <wp:extent cx="12700"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-4247515</wp:posOffset>
            </wp:positionV>
            <wp:extent cx="20955"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-4247515</wp:posOffset>
            </wp:positionV>
            <wp:extent cx="3746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-2472055</wp:posOffset>
            </wp:positionV>
            <wp:extent cx="12700"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-2472055</wp:posOffset>
            </wp:positionV>
            <wp:extent cx="20955"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-2472055</wp:posOffset>
            </wp:positionV>
            <wp:extent cx="3746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-2472055</wp:posOffset>
            </wp:positionV>
            <wp:extent cx="12700"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-2472055</wp:posOffset>
            </wp:positionV>
            <wp:extent cx="2095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-2472055</wp:posOffset>
            </wp:positionV>
            <wp:extent cx="3746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-2472055</wp:posOffset>
            </wp:positionV>
            <wp:extent cx="12700"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-2472055</wp:posOffset>
            </wp:positionV>
            <wp:extent cx="20955"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-2472055</wp:posOffset>
            </wp:positionV>
            <wp:extent cx="662940"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940" cy="2921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-2180590</wp:posOffset>
            </wp:positionV>
            <wp:extent cx="12700"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-2180590</wp:posOffset>
            </wp:positionV>
            <wp:extent cx="20955"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-2180590</wp:posOffset>
            </wp:positionV>
            <wp:extent cx="3746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-2180590</wp:posOffset>
            </wp:positionV>
            <wp:extent cx="12700"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-2180590</wp:posOffset>
            </wp:positionV>
            <wp:extent cx="2095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-2180590</wp:posOffset>
            </wp:positionV>
            <wp:extent cx="3746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-2180590</wp:posOffset>
            </wp:positionV>
            <wp:extent cx="12700"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-2180590</wp:posOffset>
            </wp:positionV>
            <wp:extent cx="2095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-2180590</wp:posOffset>
            </wp:positionV>
            <wp:extent cx="3746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-2180590</wp:posOffset>
            </wp:positionV>
            <wp:extent cx="12700"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-2180590</wp:posOffset>
            </wp:positionV>
            <wp:extent cx="2095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-2180590</wp:posOffset>
            </wp:positionV>
            <wp:extent cx="3746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-1889125</wp:posOffset>
            </wp:positionV>
            <wp:extent cx="12700"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-1889125</wp:posOffset>
            </wp:positionV>
            <wp:extent cx="20955"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-1889125</wp:posOffset>
            </wp:positionV>
            <wp:extent cx="3746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-1889125</wp:posOffset>
            </wp:positionV>
            <wp:extent cx="12700"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-1889125</wp:posOffset>
            </wp:positionV>
            <wp:extent cx="20955"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-1889125</wp:posOffset>
            </wp:positionV>
            <wp:extent cx="37465"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-1889125</wp:posOffset>
            </wp:positionV>
            <wp:extent cx="12700"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-1889125</wp:posOffset>
            </wp:positionV>
            <wp:extent cx="20955"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-1889125</wp:posOffset>
            </wp:positionV>
            <wp:extent cx="3746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-1889125</wp:posOffset>
            </wp:positionV>
            <wp:extent cx="12700"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-1889125</wp:posOffset>
            </wp:positionV>
            <wp:extent cx="20955"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-1889125</wp:posOffset>
            </wp:positionV>
            <wp:extent cx="37465"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-922020</wp:posOffset>
            </wp:positionV>
            <wp:extent cx="12700"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-922020</wp:posOffset>
            </wp:positionV>
            <wp:extent cx="20955"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-922020</wp:posOffset>
            </wp:positionV>
            <wp:extent cx="3746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-922020</wp:posOffset>
            </wp:positionV>
            <wp:extent cx="12700"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-922020</wp:posOffset>
            </wp:positionV>
            <wp:extent cx="20955"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-922020</wp:posOffset>
            </wp:positionV>
            <wp:extent cx="37465"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-922020</wp:posOffset>
            </wp:positionV>
            <wp:extent cx="12700"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-922020</wp:posOffset>
            </wp:positionV>
            <wp:extent cx="2095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-922020</wp:posOffset>
            </wp:positionV>
            <wp:extent cx="3746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-922020</wp:posOffset>
            </wp:positionV>
            <wp:extent cx="12700"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-922020</wp:posOffset>
            </wp:positionV>
            <wp:extent cx="20955"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-922020</wp:posOffset>
            </wp:positionV>
            <wp:extent cx="37465"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-630555</wp:posOffset>
            </wp:positionV>
            <wp:extent cx="12700"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-630555</wp:posOffset>
            </wp:positionV>
            <wp:extent cx="20955"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-630555</wp:posOffset>
            </wp:positionV>
            <wp:extent cx="37465"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-630555</wp:posOffset>
            </wp:positionV>
            <wp:extent cx="12700"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-630555</wp:posOffset>
            </wp:positionV>
            <wp:extent cx="20955"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-630555</wp:posOffset>
            </wp:positionV>
            <wp:extent cx="862965"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296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-630555</wp:posOffset>
            </wp:positionV>
            <wp:extent cx="37465"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62865</wp:posOffset>
            </wp:positionV>
            <wp:extent cx="239204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92045" cy="6350"/>
                    </a:xfrm>
                    <a:prstGeom prst="rect">
                      <a:avLst/>
                    </a:prstGeom>
                    <a:noFill/>
                  </pic:spPr>
                </pic:pic>
              </a:graphicData>
            </a:graphic>
          </wp:anchor>
        </w:drawing>
      </w:r>
    </w:p>
    <w:p>
      <w:pPr>
        <w:sectPr>
          <w:pgSz w:w="11900" w:h="16838" w:orient="portrait"/>
          <w:cols w:equalWidth="0" w:num="1">
            <w:col w:w="11420"/>
          </w:cols>
          <w:pgMar w:left="240" w:top="271"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76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Net income available for common shareholders, diluted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60" w:type="dxa"/>
            <w:vAlign w:val="bottom"/>
            <w:shd w:val="clear" w:color="auto" w:fill="CCEEFF"/>
          </w:tcPr>
          <w:p>
            <w:pPr>
              <w:spacing w:after="0"/>
              <w:rPr>
                <w:sz w:val="18"/>
                <w:szCs w:val="18"/>
                <w:color w:val="auto"/>
              </w:rPr>
            </w:pPr>
          </w:p>
        </w:tc>
      </w:tr>
      <w:tr>
        <w:trPr>
          <w:trHeight w:val="128"/>
        </w:trPr>
        <w:tc>
          <w:tcPr>
            <w:tcW w:w="7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7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9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51,593</w:t>
            </w:r>
          </w:p>
        </w:tc>
        <w:tc>
          <w:tcPr>
            <w:tcW w:w="60" w:type="dxa"/>
            <w:vAlign w:val="bottom"/>
            <w:shd w:val="clear" w:color="auto" w:fill="CCEEFF"/>
          </w:tcPr>
          <w:p>
            <w:pPr>
              <w:spacing w:after="0"/>
              <w:rPr>
                <w:sz w:val="18"/>
                <w:szCs w:val="18"/>
                <w:color w:val="auto"/>
              </w:rPr>
            </w:pPr>
          </w:p>
        </w:tc>
      </w:tr>
      <w:tr>
        <w:trPr>
          <w:trHeight w:val="128"/>
        </w:trPr>
        <w:tc>
          <w:tcPr>
            <w:tcW w:w="7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-320675</wp:posOffset>
            </wp:positionV>
            <wp:extent cx="12700"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-320675</wp:posOffset>
            </wp:positionV>
            <wp:extent cx="20955"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-320675</wp:posOffset>
            </wp:positionV>
            <wp:extent cx="921385"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138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-320675</wp:posOffset>
            </wp:positionV>
            <wp:extent cx="662940"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940" cy="2921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-28575</wp:posOffset>
            </wp:positionV>
            <wp:extent cx="12700"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-28575</wp:posOffset>
            </wp:positionV>
            <wp:extent cx="20955"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-28575</wp:posOffset>
            </wp:positionV>
            <wp:extent cx="37465"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-28575</wp:posOffset>
            </wp:positionV>
            <wp:extent cx="12700"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-28575</wp:posOffset>
            </wp:positionV>
            <wp:extent cx="20955"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-28575</wp:posOffset>
            </wp:positionV>
            <wp:extent cx="37465"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-28575</wp:posOffset>
            </wp:positionV>
            <wp:extent cx="12700"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-28575</wp:posOffset>
            </wp:positionV>
            <wp:extent cx="20955" cy="29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-28575</wp:posOffset>
            </wp:positionV>
            <wp:extent cx="37465"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-28575</wp:posOffset>
            </wp:positionV>
            <wp:extent cx="12700"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-28575</wp:posOffset>
            </wp:positionV>
            <wp:extent cx="20955"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-28575</wp:posOffset>
            </wp:positionV>
            <wp:extent cx="37465"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June 30,</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r>
      <w:tr>
        <w:trPr>
          <w:trHeight w:val="169"/>
        </w:trPr>
        <w:tc>
          <w:tcPr>
            <w:tcW w:w="9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5"/>
              <w:spacing w:after="0"/>
              <w:rPr>
                <w:sz w:val="20"/>
                <w:szCs w:val="20"/>
                <w:color w:val="auto"/>
              </w:rPr>
            </w:pPr>
            <w:r>
              <w:rPr>
                <w:rFonts w:ascii="Arial" w:cs="Arial" w:eastAsia="Arial" w:hAnsi="Arial"/>
                <w:sz w:val="13"/>
                <w:szCs w:val="13"/>
                <w:b w:val="1"/>
                <w:bCs w:val="1"/>
                <w:color w:val="auto"/>
                <w:w w:val="89"/>
              </w:rPr>
              <w:t>2005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4"/>
                <w:szCs w:val="14"/>
                <w:color w:val="auto"/>
              </w:rPr>
            </w:pPr>
          </w:p>
        </w:tc>
      </w:tr>
      <w:tr>
        <w:trPr>
          <w:trHeight w:val="93"/>
        </w:trPr>
        <w:tc>
          <w:tcPr>
            <w:tcW w:w="95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42"/>
        </w:trPr>
        <w:tc>
          <w:tcPr>
            <w:tcW w:w="9520" w:type="dxa"/>
            <w:vAlign w:val="bottom"/>
          </w:tcPr>
          <w:p>
            <w:pPr>
              <w:spacing w:after="0"/>
              <w:rPr>
                <w:sz w:val="21"/>
                <w:szCs w:val="21"/>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14"/>
        </w:trPr>
        <w:tc>
          <w:tcPr>
            <w:tcW w:w="9520" w:type="dxa"/>
            <w:vAlign w:val="bottom"/>
          </w:tcPr>
          <w:p>
            <w:pPr>
              <w:spacing w:after="0"/>
              <w:rPr>
                <w:sz w:val="20"/>
                <w:szCs w:val="20"/>
                <w:color w:val="auto"/>
              </w:rPr>
            </w:pPr>
            <w:r>
              <w:rPr>
                <w:rFonts w:ascii="Arial" w:cs="Arial" w:eastAsia="Arial" w:hAnsi="Arial"/>
                <w:sz w:val="17"/>
                <w:szCs w:val="17"/>
                <w:color w:val="auto"/>
              </w:rPr>
              <w:t>Real estate, at cost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9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2,614,198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2,516,610</w:t>
            </w:r>
          </w:p>
        </w:tc>
        <w:tc>
          <w:tcPr>
            <w:tcW w:w="60" w:type="dxa"/>
            <w:vAlign w:val="bottom"/>
            <w:shd w:val="clear" w:color="auto" w:fill="CCEEFF"/>
          </w:tcPr>
          <w:p>
            <w:pPr>
              <w:spacing w:after="0"/>
              <w:rPr>
                <w:sz w:val="18"/>
                <w:szCs w:val="18"/>
                <w:color w:val="auto"/>
              </w:rPr>
            </w:pPr>
          </w:p>
        </w:tc>
      </w:tr>
      <w:tr>
        <w:trPr>
          <w:trHeight w:val="210"/>
        </w:trPr>
        <w:tc>
          <w:tcPr>
            <w:tcW w:w="952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140,632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130,286</w:t>
            </w:r>
          </w:p>
        </w:tc>
        <w:tc>
          <w:tcPr>
            <w:tcW w:w="60" w:type="dxa"/>
            <w:vAlign w:val="bottom"/>
          </w:tcPr>
          <w:p>
            <w:pPr>
              <w:spacing w:after="0"/>
              <w:rPr>
                <w:sz w:val="18"/>
                <w:szCs w:val="18"/>
                <w:color w:val="auto"/>
              </w:rPr>
            </w:pPr>
          </w:p>
        </w:tc>
      </w:tr>
      <w:tr>
        <w:trPr>
          <w:trHeight w:val="210"/>
        </w:trPr>
        <w:tc>
          <w:tcPr>
            <w:tcW w:w="9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19,380</w:t>
            </w:r>
          </w:p>
        </w:tc>
        <w:tc>
          <w:tcPr>
            <w:tcW w:w="60" w:type="dxa"/>
            <w:vAlign w:val="bottom"/>
            <w:shd w:val="clear" w:color="auto" w:fill="CCEEFF"/>
          </w:tcPr>
          <w:p>
            <w:pPr>
              <w:spacing w:after="0"/>
              <w:rPr>
                <w:sz w:val="18"/>
                <w:szCs w:val="18"/>
                <w:color w:val="auto"/>
              </w:rPr>
            </w:pPr>
          </w:p>
        </w:tc>
      </w:tr>
      <w:tr>
        <w:trPr>
          <w:trHeight w:val="105"/>
        </w:trPr>
        <w:tc>
          <w:tcPr>
            <w:tcW w:w="9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2,754,830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2,666,276</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7"/>
                <w:szCs w:val="17"/>
                <w:color w:val="auto"/>
              </w:rPr>
              <w:t>(630,861)</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8"/>
              </w:rPr>
              <w:t>(595,338)</w:t>
            </w:r>
          </w:p>
        </w:tc>
      </w:tr>
      <w:tr>
        <w:trPr>
          <w:trHeight w:val="99"/>
        </w:trPr>
        <w:tc>
          <w:tcPr>
            <w:tcW w:w="9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2,123,969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2,070,938</w:t>
            </w:r>
          </w:p>
        </w:tc>
        <w:tc>
          <w:tcPr>
            <w:tcW w:w="60" w:type="dxa"/>
            <w:vAlign w:val="bottom"/>
            <w:shd w:val="clear" w:color="auto" w:fill="CCEEFF"/>
          </w:tcPr>
          <w:p>
            <w:pPr>
              <w:spacing w:after="0"/>
              <w:rPr>
                <w:sz w:val="18"/>
                <w:szCs w:val="18"/>
                <w:color w:val="auto"/>
              </w:rPr>
            </w:pPr>
          </w:p>
        </w:tc>
      </w:tr>
      <w:tr>
        <w:trPr>
          <w:trHeight w:val="314"/>
        </w:trPr>
        <w:tc>
          <w:tcPr>
            <w:tcW w:w="95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13,625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30,475</w:t>
            </w:r>
          </w:p>
        </w:tc>
        <w:tc>
          <w:tcPr>
            <w:tcW w:w="60" w:type="dxa"/>
            <w:vAlign w:val="bottom"/>
          </w:tcPr>
          <w:p>
            <w:pPr>
              <w:spacing w:after="0"/>
              <w:rPr>
                <w:sz w:val="24"/>
                <w:szCs w:val="24"/>
                <w:color w:val="auto"/>
              </w:rPr>
            </w:pPr>
          </w:p>
        </w:tc>
      </w:tr>
      <w:tr>
        <w:trPr>
          <w:trHeight w:val="211"/>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Accounts and notes receivable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34,849</w:t>
            </w:r>
          </w:p>
        </w:tc>
        <w:tc>
          <w:tcPr>
            <w:tcW w:w="60" w:type="dxa"/>
            <w:vAlign w:val="bottom"/>
            <w:shd w:val="clear" w:color="auto" w:fill="CCEEFF"/>
          </w:tcPr>
          <w:p>
            <w:pPr>
              <w:spacing w:after="0"/>
              <w:rPr>
                <w:sz w:val="18"/>
                <w:szCs w:val="18"/>
                <w:color w:val="auto"/>
              </w:rPr>
            </w:pPr>
          </w:p>
        </w:tc>
      </w:tr>
      <w:tr>
        <w:trPr>
          <w:trHeight w:val="210"/>
        </w:trPr>
        <w:tc>
          <w:tcPr>
            <w:tcW w:w="9520" w:type="dxa"/>
            <w:vAlign w:val="bottom"/>
          </w:tcPr>
          <w:p>
            <w:pPr>
              <w:spacing w:after="0"/>
              <w:rPr>
                <w:sz w:val="20"/>
                <w:szCs w:val="20"/>
                <w:color w:val="auto"/>
              </w:rPr>
            </w:pPr>
            <w:r>
              <w:rPr>
                <w:rFonts w:ascii="Arial" w:cs="Arial" w:eastAsia="Arial" w:hAnsi="Arial"/>
                <w:sz w:val="17"/>
                <w:szCs w:val="17"/>
                <w:color w:val="auto"/>
              </w:rPr>
              <w:t>Mortgage notes receivable</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41,882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42,909</w:t>
            </w:r>
          </w:p>
        </w:tc>
        <w:tc>
          <w:tcPr>
            <w:tcW w:w="60" w:type="dxa"/>
            <w:vAlign w:val="bottom"/>
          </w:tcPr>
          <w:p>
            <w:pPr>
              <w:spacing w:after="0"/>
              <w:rPr>
                <w:sz w:val="18"/>
                <w:szCs w:val="1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Investment in real estate partnership</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9,631</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73,204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78,094</w:t>
            </w:r>
          </w:p>
        </w:tc>
        <w:tc>
          <w:tcPr>
            <w:tcW w:w="60" w:type="dxa"/>
            <w:vAlign w:val="bottom"/>
          </w:tcPr>
          <w:p>
            <w:pPr>
              <w:spacing w:after="0"/>
              <w:rPr>
                <w:sz w:val="18"/>
                <w:szCs w:val="18"/>
                <w:color w:val="auto"/>
              </w:rPr>
            </w:pPr>
          </w:p>
        </w:tc>
      </w:tr>
      <w:tr>
        <w:trPr>
          <w:trHeight w:val="99"/>
        </w:trPr>
        <w:tc>
          <w:tcPr>
            <w:tcW w:w="9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2,297,022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2,266,896</w:t>
            </w:r>
          </w:p>
        </w:tc>
        <w:tc>
          <w:tcPr>
            <w:tcW w:w="60" w:type="dxa"/>
            <w:vAlign w:val="bottom"/>
            <w:shd w:val="clear" w:color="auto" w:fill="CCEEFF"/>
          </w:tcPr>
          <w:p>
            <w:pPr>
              <w:spacing w:after="0"/>
              <w:rPr>
                <w:sz w:val="18"/>
                <w:szCs w:val="18"/>
                <w:color w:val="auto"/>
              </w:rPr>
            </w:pPr>
          </w:p>
        </w:tc>
      </w:tr>
      <w:tr>
        <w:trPr>
          <w:trHeight w:val="128"/>
        </w:trPr>
        <w:tc>
          <w:tcPr>
            <w:tcW w:w="9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14"/>
        </w:trPr>
        <w:tc>
          <w:tcPr>
            <w:tcW w:w="9520" w:type="dxa"/>
            <w:vAlign w:val="bottom"/>
          </w:tcPr>
          <w:p>
            <w:pPr>
              <w:spacing w:after="0"/>
              <w:rPr>
                <w:sz w:val="20"/>
                <w:szCs w:val="20"/>
                <w:color w:val="auto"/>
              </w:rPr>
            </w:pPr>
            <w:r>
              <w:rPr>
                <w:rFonts w:ascii="Arial" w:cs="Arial" w:eastAsia="Arial" w:hAnsi="Arial"/>
                <w:sz w:val="17"/>
                <w:szCs w:val="17"/>
                <w:color w:val="auto"/>
              </w:rPr>
              <w:t>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9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Obligations under capital leases and mortgage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408,748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410,885</w:t>
            </w:r>
          </w:p>
        </w:tc>
        <w:tc>
          <w:tcPr>
            <w:tcW w:w="60" w:type="dxa"/>
            <w:vAlign w:val="bottom"/>
            <w:shd w:val="clear" w:color="auto" w:fill="CCEEFF"/>
          </w:tcPr>
          <w:p>
            <w:pPr>
              <w:spacing w:after="0"/>
              <w:rPr>
                <w:sz w:val="18"/>
                <w:szCs w:val="18"/>
                <w:color w:val="auto"/>
              </w:rPr>
            </w:pPr>
          </w:p>
        </w:tc>
      </w:tr>
      <w:tr>
        <w:trPr>
          <w:trHeight w:val="210"/>
        </w:trPr>
        <w:tc>
          <w:tcPr>
            <w:tcW w:w="952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365,340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325,051</w:t>
            </w:r>
          </w:p>
        </w:tc>
        <w:tc>
          <w:tcPr>
            <w:tcW w:w="60" w:type="dxa"/>
            <w:vAlign w:val="bottom"/>
          </w:tcPr>
          <w:p>
            <w:pPr>
              <w:spacing w:after="0"/>
              <w:rPr>
                <w:sz w:val="18"/>
                <w:szCs w:val="18"/>
                <w:color w:val="auto"/>
              </w:rPr>
            </w:pPr>
          </w:p>
        </w:tc>
      </w:tr>
      <w:tr>
        <w:trPr>
          <w:trHeight w:val="210"/>
        </w:trPr>
        <w:tc>
          <w:tcPr>
            <w:tcW w:w="9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568,404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568,121</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157,812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153,351</w:t>
            </w:r>
          </w:p>
        </w:tc>
        <w:tc>
          <w:tcPr>
            <w:tcW w:w="60" w:type="dxa"/>
            <w:vAlign w:val="bottom"/>
          </w:tcPr>
          <w:p>
            <w:pPr>
              <w:spacing w:after="0"/>
              <w:rPr>
                <w:sz w:val="18"/>
                <w:szCs w:val="18"/>
                <w:color w:val="auto"/>
              </w:rPr>
            </w:pPr>
          </w:p>
        </w:tc>
      </w:tr>
      <w:tr>
        <w:trPr>
          <w:trHeight w:val="99"/>
        </w:trPr>
        <w:tc>
          <w:tcPr>
            <w:tcW w:w="9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1,500,304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1,457,408</w:t>
            </w:r>
          </w:p>
        </w:tc>
        <w:tc>
          <w:tcPr>
            <w:tcW w:w="60" w:type="dxa"/>
            <w:vAlign w:val="bottom"/>
            <w:shd w:val="clear" w:color="auto" w:fill="CCEEFF"/>
          </w:tcPr>
          <w:p>
            <w:pPr>
              <w:spacing w:after="0"/>
              <w:rPr>
                <w:sz w:val="18"/>
                <w:szCs w:val="18"/>
                <w:color w:val="auto"/>
              </w:rPr>
            </w:pPr>
          </w:p>
        </w:tc>
      </w:tr>
      <w:tr>
        <w:trPr>
          <w:trHeight w:val="312"/>
        </w:trPr>
        <w:tc>
          <w:tcPr>
            <w:tcW w:w="9520" w:type="dxa"/>
            <w:vAlign w:val="bottom"/>
          </w:tcPr>
          <w:p>
            <w:pPr>
              <w:spacing w:after="0"/>
              <w:rPr>
                <w:sz w:val="20"/>
                <w:szCs w:val="20"/>
                <w:color w:val="auto"/>
              </w:rPr>
            </w:pPr>
            <w:r>
              <w:rPr>
                <w:rFonts w:ascii="Arial" w:cs="Arial" w:eastAsia="Arial" w:hAnsi="Arial"/>
                <w:sz w:val="17"/>
                <w:szCs w:val="17"/>
                <w:color w:val="auto"/>
              </w:rPr>
              <w:t>Minority interests</w:t>
            </w: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19,134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18,954</w:t>
            </w:r>
          </w:p>
        </w:tc>
        <w:tc>
          <w:tcPr>
            <w:tcW w:w="60" w:type="dxa"/>
            <w:vAlign w:val="bottom"/>
          </w:tcPr>
          <w:p>
            <w:pPr>
              <w:spacing w:after="0"/>
              <w:rPr>
                <w:sz w:val="24"/>
                <w:szCs w:val="24"/>
                <w:color w:val="auto"/>
              </w:rPr>
            </w:pPr>
          </w:p>
        </w:tc>
      </w:tr>
      <w:tr>
        <w:trPr>
          <w:trHeight w:val="107"/>
        </w:trPr>
        <w:tc>
          <w:tcPr>
            <w:tcW w:w="9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9520" w:type="dxa"/>
            <w:vAlign w:val="bottom"/>
          </w:tcPr>
          <w:p>
            <w:pPr>
              <w:ind w:left="420"/>
              <w:spacing w:after="0"/>
              <w:rPr>
                <w:sz w:val="20"/>
                <w:szCs w:val="20"/>
                <w:color w:val="auto"/>
              </w:rPr>
            </w:pPr>
            <w:r>
              <w:rPr>
                <w:rFonts w:ascii="Arial" w:cs="Arial" w:eastAsia="Arial" w:hAnsi="Arial"/>
                <w:sz w:val="17"/>
                <w:szCs w:val="17"/>
                <w:color w:val="auto"/>
              </w:rPr>
              <w:t>Preferred stock</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18"/>
                <w:szCs w:val="18"/>
                <w:color w:val="auto"/>
              </w:rPr>
            </w:pPr>
          </w:p>
        </w:tc>
      </w:tr>
      <w:tr>
        <w:trPr>
          <w:trHeight w:val="210"/>
        </w:trPr>
        <w:tc>
          <w:tcPr>
            <w:tcW w:w="9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642,584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655,534</w:t>
            </w:r>
          </w:p>
        </w:tc>
        <w:tc>
          <w:tcPr>
            <w:tcW w:w="60" w:type="dxa"/>
            <w:vAlign w:val="bottom"/>
            <w:shd w:val="clear" w:color="auto" w:fill="CCEEFF"/>
          </w:tcPr>
          <w:p>
            <w:pPr>
              <w:spacing w:after="0"/>
              <w:rPr>
                <w:sz w:val="18"/>
                <w:szCs w:val="18"/>
                <w:color w:val="auto"/>
              </w:rPr>
            </w:pPr>
          </w:p>
        </w:tc>
      </w:tr>
      <w:tr>
        <w:trPr>
          <w:trHeight w:val="105"/>
        </w:trPr>
        <w:tc>
          <w:tcPr>
            <w:tcW w:w="9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777,584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790,534</w:t>
            </w:r>
          </w:p>
        </w:tc>
        <w:tc>
          <w:tcPr>
            <w:tcW w:w="60" w:type="dxa"/>
            <w:vAlign w:val="bottom"/>
            <w:shd w:val="clear" w:color="auto" w:fill="CCEEFF"/>
          </w:tcPr>
          <w:p>
            <w:pPr>
              <w:spacing w:after="0"/>
              <w:rPr>
                <w:sz w:val="18"/>
                <w:szCs w:val="18"/>
                <w:color w:val="auto"/>
              </w:rPr>
            </w:pPr>
          </w:p>
        </w:tc>
      </w:tr>
      <w:tr>
        <w:trPr>
          <w:trHeight w:val="105"/>
        </w:trPr>
        <w:tc>
          <w:tcPr>
            <w:tcW w:w="9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9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2,297,022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2,266,896</w:t>
            </w:r>
          </w:p>
        </w:tc>
        <w:tc>
          <w:tcPr>
            <w:tcW w:w="60" w:type="dxa"/>
            <w:vAlign w:val="bottom"/>
            <w:shd w:val="clear" w:color="auto" w:fill="CCEEFF"/>
          </w:tcPr>
          <w:p>
            <w:pPr>
              <w:spacing w:after="0"/>
              <w:rPr>
                <w:sz w:val="18"/>
                <w:szCs w:val="18"/>
                <w:color w:val="auto"/>
              </w:rPr>
            </w:pPr>
          </w:p>
        </w:tc>
      </w:tr>
      <w:tr>
        <w:trPr>
          <w:trHeight w:val="128"/>
        </w:trPr>
        <w:tc>
          <w:tcPr>
            <w:tcW w:w="9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-2545715</wp:posOffset>
            </wp:positionV>
            <wp:extent cx="12700"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-2545715</wp:posOffset>
            </wp:positionV>
            <wp:extent cx="20955"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-2545715</wp:posOffset>
            </wp:positionV>
            <wp:extent cx="37465"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-2545715</wp:posOffset>
            </wp:positionV>
            <wp:extent cx="12700"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-2545715</wp:posOffset>
            </wp:positionV>
            <wp:extent cx="20955"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-2545715</wp:posOffset>
            </wp:positionV>
            <wp:extent cx="37465"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-28575</wp:posOffset>
            </wp:positionV>
            <wp:extent cx="74612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6125" cy="29210"/>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-28575</wp:posOffset>
            </wp:positionV>
            <wp:extent cx="3746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990" w:type="dxa"/>
            <w:vAlign w:val="bottom"/>
            <w:gridSpan w:val="7"/>
          </w:tcPr>
          <w:p>
            <w:pPr>
              <w:jc w:val="right"/>
              <w:ind w:right="104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4"/>
                <w:szCs w:val="14"/>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Six months ended June 30,</w:t>
            </w:r>
          </w:p>
        </w:tc>
      </w:tr>
      <w:tr>
        <w:trPr>
          <w:trHeight w:val="93"/>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4"/>
        </w:trPr>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30" w:type="dxa"/>
            <w:vAlign w:val="bottom"/>
          </w:tcPr>
          <w:p>
            <w:pPr>
              <w:jc w:val="right"/>
              <w:ind w:right="217"/>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2004</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b w:val="1"/>
                <w:bCs w:val="1"/>
                <w:color w:val="auto"/>
              </w:rPr>
              <w:t>2005</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140" w:type="dxa"/>
            <w:vAlign w:val="bottom"/>
          </w:tcPr>
          <w:p>
            <w:pPr>
              <w:spacing w:after="0"/>
              <w:rPr>
                <w:sz w:val="22"/>
                <w:szCs w:val="22"/>
                <w:color w:val="auto"/>
              </w:rPr>
            </w:pPr>
          </w:p>
        </w:tc>
      </w:tr>
      <w:tr>
        <w:trPr>
          <w:trHeight w:val="93"/>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42"/>
        </w:trPr>
        <w:tc>
          <w:tcPr>
            <w:tcW w:w="9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990" w:type="dxa"/>
            <w:vAlign w:val="bottom"/>
            <w:gridSpan w:val="7"/>
          </w:tcPr>
          <w:p>
            <w:pPr>
              <w:jc w:val="right"/>
              <w:ind w:right="840"/>
              <w:spacing w:after="0"/>
              <w:rPr>
                <w:sz w:val="20"/>
                <w:szCs w:val="20"/>
                <w:color w:val="auto"/>
              </w:rPr>
            </w:pPr>
            <w:r>
              <w:rPr>
                <w:rFonts w:ascii="Arial" w:cs="Arial" w:eastAsia="Arial" w:hAnsi="Arial"/>
                <w:sz w:val="13"/>
                <w:szCs w:val="13"/>
                <w:b w:val="1"/>
                <w:bCs w:val="1"/>
                <w:color w:val="auto"/>
                <w:w w:val="91"/>
              </w:rPr>
              <w:t>(in thousands, except per share data)</w:t>
            </w:r>
          </w:p>
        </w:tc>
        <w:tc>
          <w:tcPr>
            <w:tcW w:w="140" w:type="dxa"/>
            <w:vAlign w:val="bottom"/>
          </w:tcPr>
          <w:p>
            <w:pPr>
              <w:spacing w:after="0"/>
              <w:rPr>
                <w:sz w:val="21"/>
                <w:szCs w:val="21"/>
                <w:color w:val="auto"/>
              </w:rPr>
            </w:pPr>
          </w:p>
        </w:tc>
        <w:tc>
          <w:tcPr>
            <w:tcW w:w="25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1"/>
              </w:rPr>
              <w:t>(in thousands, except per share data)</w:t>
            </w:r>
          </w:p>
        </w:tc>
      </w:tr>
      <w:tr>
        <w:trPr>
          <w:trHeight w:val="190"/>
        </w:trPr>
        <w:tc>
          <w:tcPr>
            <w:tcW w:w="5060" w:type="dxa"/>
            <w:vAlign w:val="bottom"/>
            <w:tcBorders>
              <w:bottom w:val="single" w:sz="8" w:color="auto"/>
            </w:tcBorders>
            <w:gridSpan w:val="4"/>
            <w:shd w:val="clear" w:color="auto" w:fill="CCEEFF"/>
          </w:tcPr>
          <w:p>
            <w:pPr>
              <w:spacing w:after="0" w:line="171" w:lineRule="exact"/>
              <w:rPr>
                <w:sz w:val="20"/>
                <w:szCs w:val="20"/>
                <w:color w:val="auto"/>
              </w:rPr>
            </w:pPr>
            <w:r>
              <w:rPr>
                <w:rFonts w:ascii="Arial" w:cs="Arial" w:eastAsia="Arial" w:hAnsi="Arial"/>
                <w:sz w:val="17"/>
                <w:szCs w:val="17"/>
                <w:b w:val="1"/>
                <w:bCs w:val="1"/>
                <w:color w:val="auto"/>
                <w:w w:val="90"/>
              </w:rPr>
              <w:t>Funds from Operations available for common shareholders (FFO) (1)</w:t>
            </w:r>
          </w:p>
        </w:tc>
        <w:tc>
          <w:tcPr>
            <w:tcW w:w="600" w:type="dxa"/>
            <w:vAlign w:val="bottom"/>
            <w:tcBorders>
              <w:bottom w:val="single" w:sz="8" w:color="CCEEFF"/>
            </w:tcBorders>
            <w:shd w:val="clear" w:color="auto" w:fill="CCEEFF"/>
          </w:tcPr>
          <w:p>
            <w:pPr>
              <w:spacing w:after="0"/>
              <w:rPr>
                <w:sz w:val="16"/>
                <w:szCs w:val="16"/>
                <w:color w:val="auto"/>
              </w:rPr>
            </w:pPr>
          </w:p>
        </w:tc>
        <w:tc>
          <w:tcPr>
            <w:tcW w:w="130" w:type="dxa"/>
            <w:vAlign w:val="bottom"/>
            <w:tcBorders>
              <w:bottom w:val="single" w:sz="8" w:color="CCEEFF"/>
            </w:tcBorders>
            <w:shd w:val="clear" w:color="auto" w:fill="CCEEFF"/>
          </w:tcPr>
          <w:p>
            <w:pPr>
              <w:spacing w:after="0"/>
              <w:rPr>
                <w:sz w:val="16"/>
                <w:szCs w:val="16"/>
                <w:color w:val="auto"/>
              </w:rPr>
            </w:pPr>
          </w:p>
        </w:tc>
        <w:tc>
          <w:tcPr>
            <w:tcW w:w="73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314"/>
        </w:trPr>
        <w:tc>
          <w:tcPr>
            <w:tcW w:w="5660" w:type="dxa"/>
            <w:vAlign w:val="bottom"/>
            <w:gridSpan w:val="5"/>
          </w:tcPr>
          <w:p>
            <w:pPr>
              <w:spacing w:after="0"/>
              <w:rPr>
                <w:sz w:val="20"/>
                <w:szCs w:val="20"/>
                <w:color w:val="auto"/>
              </w:rPr>
            </w:pPr>
            <w:r>
              <w:rPr>
                <w:rFonts w:ascii="Arial" w:cs="Arial" w:eastAsia="Arial" w:hAnsi="Arial"/>
                <w:sz w:val="17"/>
                <w:szCs w:val="17"/>
                <w:color w:val="auto"/>
              </w:rPr>
              <w:t>Net income</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tcPr>
          <w:p>
            <w:pPr>
              <w:jc w:val="right"/>
              <w:spacing w:after="0"/>
              <w:rPr>
                <w:sz w:val="20"/>
                <w:szCs w:val="20"/>
                <w:color w:val="auto"/>
              </w:rPr>
            </w:pPr>
            <w:r>
              <w:rPr>
                <w:rFonts w:ascii="Arial" w:cs="Arial" w:eastAsia="Arial" w:hAnsi="Arial"/>
                <w:sz w:val="17"/>
                <w:szCs w:val="17"/>
                <w:color w:val="auto"/>
              </w:rPr>
              <w:t>24,807</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26,332</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48,804</w:t>
            </w:r>
          </w:p>
        </w:tc>
        <w:tc>
          <w:tcPr>
            <w:tcW w:w="70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43,578</w:t>
            </w:r>
          </w:p>
        </w:tc>
        <w:tc>
          <w:tcPr>
            <w:tcW w:w="140" w:type="dxa"/>
            <w:vAlign w:val="bottom"/>
          </w:tcPr>
          <w:p>
            <w:pPr>
              <w:spacing w:after="0"/>
              <w:rPr>
                <w:sz w:val="24"/>
                <w:szCs w:val="24"/>
                <w:color w:val="auto"/>
              </w:rPr>
            </w:pPr>
          </w:p>
        </w:tc>
      </w:tr>
      <w:tr>
        <w:trPr>
          <w:trHeight w:val="211"/>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30" w:type="dxa"/>
            <w:vAlign w:val="bottom"/>
            <w:shd w:val="clear" w:color="auto" w:fill="CCEEFF"/>
          </w:tcPr>
          <w:p>
            <w:pPr>
              <w:spacing w:after="0"/>
              <w:rPr>
                <w:sz w:val="18"/>
                <w:szCs w:val="18"/>
                <w:color w:val="auto"/>
              </w:rPr>
            </w:pPr>
          </w:p>
        </w:tc>
        <w:tc>
          <w:tcPr>
            <w:tcW w:w="145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(3,602)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(8,276)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(7,884)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(8,334)</w:t>
            </w:r>
          </w:p>
        </w:tc>
      </w:tr>
      <w:tr>
        <w:trPr>
          <w:trHeight w:val="210"/>
        </w:trPr>
        <w:tc>
          <w:tcPr>
            <w:tcW w:w="5660" w:type="dxa"/>
            <w:vAlign w:val="bottom"/>
            <w:gridSpan w:val="5"/>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7"/>
                <w:szCs w:val="17"/>
                <w:color w:val="auto"/>
              </w:rPr>
              <w:t>20,735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21,261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41,253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39,987</w:t>
            </w:r>
          </w:p>
        </w:tc>
        <w:tc>
          <w:tcPr>
            <w:tcW w:w="140" w:type="dxa"/>
            <w:vAlign w:val="bottom"/>
          </w:tcPr>
          <w:p>
            <w:pPr>
              <w:spacing w:after="0"/>
              <w:rPr>
                <w:sz w:val="18"/>
                <w:szCs w:val="18"/>
                <w:color w:val="auto"/>
              </w:rPr>
            </w:pPr>
          </w:p>
        </w:tc>
      </w:tr>
      <w:tr>
        <w:trPr>
          <w:trHeight w:val="210"/>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5"/>
          </w:tcPr>
          <w:p>
            <w:pPr>
              <w:spacing w:after="0"/>
              <w:rPr>
                <w:sz w:val="20"/>
                <w:szCs w:val="20"/>
                <w:color w:val="auto"/>
              </w:rPr>
            </w:pPr>
            <w:r>
              <w:rPr>
                <w:rFonts w:ascii="Arial" w:cs="Arial" w:eastAsia="Arial" w:hAnsi="Arial"/>
                <w:sz w:val="17"/>
                <w:szCs w:val="17"/>
                <w:color w:val="auto"/>
              </w:rPr>
              <w:t>Depreciation of real estate partnership assets</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7"/>
                <w:szCs w:val="17"/>
                <w:color w:val="auto"/>
              </w:rPr>
              <w:t>157</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314</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99"/>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85,915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78,516</w:t>
            </w:r>
          </w:p>
        </w:tc>
        <w:tc>
          <w:tcPr>
            <w:tcW w:w="140" w:type="dxa"/>
            <w:vAlign w:val="bottom"/>
            <w:shd w:val="clear" w:color="auto" w:fill="CCEEFF"/>
          </w:tcPr>
          <w:p>
            <w:pPr>
              <w:spacing w:after="0"/>
              <w:rPr>
                <w:sz w:val="18"/>
                <w:szCs w:val="18"/>
                <w:color w:val="auto"/>
              </w:rPr>
            </w:pPr>
          </w:p>
        </w:tc>
      </w:tr>
      <w:tr>
        <w:trPr>
          <w:trHeight w:val="210"/>
        </w:trPr>
        <w:tc>
          <w:tcPr>
            <w:tcW w:w="5660" w:type="dxa"/>
            <w:vAlign w:val="bottom"/>
            <w:gridSpan w:val="5"/>
          </w:tcPr>
          <w:p>
            <w:pPr>
              <w:spacing w:after="0"/>
              <w:rPr>
                <w:sz w:val="20"/>
                <w:szCs w:val="20"/>
                <w:color w:val="auto"/>
              </w:rPr>
            </w:pPr>
            <w:r>
              <w:rPr>
                <w:rFonts w:ascii="Arial" w:cs="Arial" w:eastAsia="Arial" w:hAnsi="Arial"/>
                <w:sz w:val="17"/>
                <w:szCs w:val="17"/>
                <w:color w:val="auto"/>
              </w:rPr>
              <w:t>Dividends on preferred stock</w:t>
            </w:r>
          </w:p>
        </w:tc>
        <w:tc>
          <w:tcPr>
            <w:tcW w:w="130" w:type="dxa"/>
            <w:vAlign w:val="bottom"/>
          </w:tcPr>
          <w:p>
            <w:pPr>
              <w:spacing w:after="0"/>
              <w:rPr>
                <w:sz w:val="18"/>
                <w:szCs w:val="18"/>
                <w:color w:val="auto"/>
              </w:rPr>
            </w:pPr>
          </w:p>
        </w:tc>
        <w:tc>
          <w:tcPr>
            <w:tcW w:w="1450" w:type="dxa"/>
            <w:vAlign w:val="bottom"/>
            <w:gridSpan w:val="3"/>
          </w:tcPr>
          <w:p>
            <w:pPr>
              <w:jc w:val="right"/>
              <w:ind w:right="660"/>
              <w:spacing w:after="0"/>
              <w:rPr>
                <w:sz w:val="20"/>
                <w:szCs w:val="20"/>
                <w:color w:val="auto"/>
              </w:rPr>
            </w:pPr>
            <w:r>
              <w:rPr>
                <w:rFonts w:ascii="Arial" w:cs="Arial" w:eastAsia="Arial" w:hAnsi="Arial"/>
                <w:sz w:val="17"/>
                <w:szCs w:val="17"/>
                <w:color w:val="auto"/>
              </w:rPr>
              <w:t>(2,869)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(2,869)</w:t>
            </w:r>
          </w:p>
        </w:tc>
        <w:tc>
          <w:tcPr>
            <w:tcW w:w="14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(5,738)</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(5,738)</w:t>
            </w:r>
          </w:p>
        </w:tc>
      </w:tr>
      <w:tr>
        <w:trPr>
          <w:trHeight w:val="210"/>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40" w:type="dxa"/>
            <w:vAlign w:val="bottom"/>
            <w:shd w:val="clear" w:color="auto" w:fill="CCEEFF"/>
          </w:tcPr>
          <w:p>
            <w:pPr>
              <w:spacing w:after="0"/>
              <w:rPr>
                <w:sz w:val="18"/>
                <w:szCs w:val="18"/>
                <w:color w:val="auto"/>
              </w:rPr>
            </w:pPr>
          </w:p>
        </w:tc>
      </w:tr>
      <w:tr>
        <w:trPr>
          <w:trHeight w:val="105"/>
        </w:trPr>
        <w:tc>
          <w:tcPr>
            <w:tcW w:w="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Funds from operations available for common shareholders (2)</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41,224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38,638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80,529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73,416</w:t>
            </w:r>
          </w:p>
        </w:tc>
        <w:tc>
          <w:tcPr>
            <w:tcW w:w="140" w:type="dxa"/>
            <w:vAlign w:val="bottom"/>
            <w:shd w:val="clear" w:color="auto" w:fill="CCEEFF"/>
          </w:tcPr>
          <w:p>
            <w:pPr>
              <w:spacing w:after="0"/>
              <w:rPr>
                <w:sz w:val="18"/>
                <w:szCs w:val="18"/>
                <w:color w:val="auto"/>
              </w:rPr>
            </w:pPr>
          </w:p>
        </w:tc>
      </w:tr>
      <w:tr>
        <w:trPr>
          <w:trHeight w:val="128"/>
        </w:trPr>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2"/>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56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51,593</w:t>
            </w:r>
          </w:p>
        </w:tc>
        <w:tc>
          <w:tcPr>
            <w:tcW w:w="140" w:type="dxa"/>
            <w:vAlign w:val="bottom"/>
            <w:shd w:val="clear" w:color="auto" w:fill="CCEEFF"/>
          </w:tcPr>
          <w:p>
            <w:pPr>
              <w:spacing w:after="0"/>
              <w:rPr>
                <w:sz w:val="18"/>
                <w:szCs w:val="18"/>
                <w:color w:val="auto"/>
              </w:rPr>
            </w:pPr>
          </w:p>
        </w:tc>
      </w:tr>
      <w:tr>
        <w:trPr>
          <w:trHeight w:val="302"/>
        </w:trPr>
        <w:tc>
          <w:tcPr>
            <w:tcW w:w="5660" w:type="dxa"/>
            <w:vAlign w:val="bottom"/>
            <w:gridSpan w:val="5"/>
          </w:tcPr>
          <w:p>
            <w:pPr>
              <w:spacing w:after="0"/>
              <w:rPr>
                <w:sz w:val="20"/>
                <w:szCs w:val="20"/>
                <w:color w:val="auto"/>
              </w:rPr>
            </w:pPr>
            <w:r>
              <w:rPr>
                <w:rFonts w:ascii="Arial" w:cs="Arial" w:eastAsia="Arial" w:hAnsi="Arial"/>
                <w:sz w:val="17"/>
                <w:szCs w:val="17"/>
                <w:b w:val="1"/>
                <w:bCs w:val="1"/>
                <w:color w:val="auto"/>
                <w:w w:val="99"/>
              </w:rPr>
              <w:t>Funds from operations available for common shareholders per diluted</w:t>
            </w:r>
          </w:p>
        </w:tc>
        <w:tc>
          <w:tcPr>
            <w:tcW w:w="1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5660" w:type="dxa"/>
            <w:vAlign w:val="bottom"/>
            <w:gridSpan w:val="5"/>
          </w:tcPr>
          <w:p>
            <w:pPr>
              <w:ind w:left="220"/>
              <w:spacing w:after="0"/>
              <w:rPr>
                <w:sz w:val="20"/>
                <w:szCs w:val="20"/>
                <w:color w:val="auto"/>
              </w:rPr>
            </w:pPr>
            <w:r>
              <w:rPr>
                <w:rFonts w:ascii="Arial" w:cs="Arial" w:eastAsia="Arial" w:hAnsi="Arial"/>
                <w:sz w:val="17"/>
                <w:szCs w:val="17"/>
                <w:b w:val="1"/>
                <w:bCs w:val="1"/>
                <w:color w:val="auto"/>
              </w:rPr>
              <w:t>share (2)</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tcPr>
          <w:p>
            <w:pPr>
              <w:jc w:val="right"/>
              <w:spacing w:after="0"/>
              <w:rPr>
                <w:sz w:val="20"/>
                <w:szCs w:val="20"/>
                <w:color w:val="auto"/>
              </w:rPr>
            </w:pPr>
            <w:r>
              <w:rPr>
                <w:rFonts w:ascii="Arial" w:cs="Arial" w:eastAsia="Arial" w:hAnsi="Arial"/>
                <w:sz w:val="17"/>
                <w:szCs w:val="17"/>
                <w:color w:val="auto"/>
              </w:rPr>
              <w:t>0.77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0.73</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1.51</w:t>
            </w:r>
          </w:p>
        </w:tc>
        <w:tc>
          <w:tcPr>
            <w:tcW w:w="7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1.42</w:t>
            </w:r>
          </w:p>
        </w:tc>
        <w:tc>
          <w:tcPr>
            <w:tcW w:w="140" w:type="dxa"/>
            <w:vAlign w:val="bottom"/>
          </w:tcPr>
          <w:p>
            <w:pPr>
              <w:spacing w:after="0"/>
              <w:rPr>
                <w:sz w:val="19"/>
                <w:szCs w:val="19"/>
                <w:color w:val="auto"/>
              </w:rPr>
            </w:pPr>
          </w:p>
        </w:tc>
      </w:tr>
      <w:tr>
        <w:trPr>
          <w:trHeight w:val="130"/>
        </w:trPr>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2"/>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71"/>
        </w:trPr>
        <w:tc>
          <w:tcPr>
            <w:tcW w:w="566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Summary of Capital Expenditures</w:t>
            </w: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39"/>
        </w:trPr>
        <w:tc>
          <w:tcPr>
            <w:tcW w:w="940" w:type="dxa"/>
            <w:vAlign w:val="bottom"/>
            <w:shd w:val="clear" w:color="auto" w:fill="000000"/>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30" w:type="dxa"/>
            <w:vAlign w:val="bottom"/>
            <w:shd w:val="clear" w:color="auto" w:fill="CCEEFF"/>
          </w:tcPr>
          <w:p>
            <w:pPr>
              <w:spacing w:after="0"/>
              <w:rPr>
                <w:sz w:val="3"/>
                <w:szCs w:val="3"/>
                <w:color w:val="auto"/>
              </w:rPr>
            </w:pPr>
          </w:p>
        </w:tc>
        <w:tc>
          <w:tcPr>
            <w:tcW w:w="73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r>
        <w:trPr>
          <w:trHeight w:val="314"/>
        </w:trPr>
        <w:tc>
          <w:tcPr>
            <w:tcW w:w="5660" w:type="dxa"/>
            <w:vAlign w:val="bottom"/>
            <w:gridSpan w:val="5"/>
          </w:tcPr>
          <w:p>
            <w:pPr>
              <w:spacing w:after="0"/>
              <w:rPr>
                <w:sz w:val="20"/>
                <w:szCs w:val="20"/>
                <w:color w:val="auto"/>
              </w:rPr>
            </w:pPr>
            <w:r>
              <w:rPr>
                <w:rFonts w:ascii="Arial" w:cs="Arial" w:eastAsia="Arial" w:hAnsi="Arial"/>
                <w:sz w:val="17"/>
                <w:szCs w:val="17"/>
                <w:color w:val="auto"/>
              </w:rPr>
              <w:t>Non-maintenance capital expenditures</w:t>
            </w:r>
          </w:p>
        </w:tc>
        <w:tc>
          <w:tcPr>
            <w:tcW w:w="1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56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Acquisition related (3)</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10,098</w:t>
            </w:r>
          </w:p>
        </w:tc>
        <w:tc>
          <w:tcPr>
            <w:tcW w:w="140" w:type="dxa"/>
            <w:vAlign w:val="bottom"/>
            <w:shd w:val="clear" w:color="auto" w:fill="CCEEFF"/>
          </w:tcPr>
          <w:p>
            <w:pPr>
              <w:spacing w:after="0"/>
              <w:rPr>
                <w:sz w:val="18"/>
                <w:szCs w:val="18"/>
                <w:color w:val="auto"/>
              </w:rPr>
            </w:pPr>
          </w:p>
        </w:tc>
      </w:tr>
      <w:tr>
        <w:trPr>
          <w:trHeight w:val="210"/>
        </w:trPr>
        <w:tc>
          <w:tcPr>
            <w:tcW w:w="5660" w:type="dxa"/>
            <w:vAlign w:val="bottom"/>
            <w:gridSpan w:val="5"/>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7"/>
                <w:szCs w:val="17"/>
                <w:color w:val="auto"/>
              </w:rPr>
              <w:t>17,335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14,133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26,571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25,822</w:t>
            </w:r>
          </w:p>
        </w:tc>
        <w:tc>
          <w:tcPr>
            <w:tcW w:w="140" w:type="dxa"/>
            <w:vAlign w:val="bottom"/>
          </w:tcPr>
          <w:p>
            <w:pPr>
              <w:spacing w:after="0"/>
              <w:rPr>
                <w:sz w:val="18"/>
                <w:szCs w:val="18"/>
                <w:color w:val="auto"/>
              </w:rPr>
            </w:pPr>
          </w:p>
        </w:tc>
      </w:tr>
      <w:tr>
        <w:trPr>
          <w:trHeight w:val="210"/>
        </w:trPr>
        <w:tc>
          <w:tcPr>
            <w:tcW w:w="56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Tenant improvements and incentives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12,552</w:t>
            </w:r>
          </w:p>
        </w:tc>
        <w:tc>
          <w:tcPr>
            <w:tcW w:w="140" w:type="dxa"/>
            <w:vAlign w:val="bottom"/>
            <w:shd w:val="clear" w:color="auto" w:fill="CCEEFF"/>
          </w:tcPr>
          <w:p>
            <w:pPr>
              <w:spacing w:after="0"/>
              <w:rPr>
                <w:sz w:val="18"/>
                <w:szCs w:val="18"/>
                <w:color w:val="auto"/>
              </w:rPr>
            </w:pPr>
          </w:p>
        </w:tc>
      </w:tr>
      <w:tr>
        <w:trPr>
          <w:trHeight w:val="105"/>
        </w:trPr>
        <w:tc>
          <w:tcPr>
            <w:tcW w:w="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43,925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64,626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48,472</w:t>
            </w: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5"/>
          </w:tcPr>
          <w:p>
            <w:pPr>
              <w:spacing w:after="0"/>
              <w:rPr>
                <w:sz w:val="20"/>
                <w:szCs w:val="20"/>
                <w:color w:val="auto"/>
              </w:rPr>
            </w:pPr>
            <w:r>
              <w:rPr>
                <w:rFonts w:ascii="Arial" w:cs="Arial" w:eastAsia="Arial" w:hAnsi="Arial"/>
                <w:sz w:val="17"/>
                <w:szCs w:val="17"/>
                <w:color w:val="auto"/>
              </w:rPr>
              <w:t>Maintenance capital expenditures</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7"/>
                <w:szCs w:val="17"/>
                <w:color w:val="auto"/>
              </w:rPr>
              <w:t>833</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1,661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1,540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4,468</w:t>
            </w:r>
          </w:p>
        </w:tc>
        <w:tc>
          <w:tcPr>
            <w:tcW w:w="140" w:type="dxa"/>
            <w:vAlign w:val="bottom"/>
          </w:tcPr>
          <w:p>
            <w:pPr>
              <w:spacing w:after="0"/>
              <w:rPr>
                <w:sz w:val="18"/>
                <w:szCs w:val="18"/>
                <w:color w:val="auto"/>
              </w:rPr>
            </w:pPr>
          </w:p>
        </w:tc>
      </w:tr>
      <w:tr>
        <w:trPr>
          <w:trHeight w:val="99"/>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5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44,758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23,208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66,166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52,940</w:t>
            </w:r>
          </w:p>
        </w:tc>
        <w:tc>
          <w:tcPr>
            <w:tcW w:w="140" w:type="dxa"/>
            <w:vAlign w:val="bottom"/>
            <w:shd w:val="clear" w:color="auto" w:fill="CCEEFF"/>
          </w:tcPr>
          <w:p>
            <w:pPr>
              <w:spacing w:after="0"/>
              <w:rPr>
                <w:sz w:val="18"/>
                <w:szCs w:val="18"/>
                <w:color w:val="auto"/>
              </w:rPr>
            </w:pPr>
          </w:p>
        </w:tc>
      </w:tr>
      <w:tr>
        <w:trPr>
          <w:trHeight w:val="128"/>
        </w:trPr>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2"/>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90"/>
        </w:trPr>
        <w:tc>
          <w:tcPr>
            <w:tcW w:w="212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b w:val="1"/>
                <w:bCs w:val="1"/>
                <w:color w:val="auto"/>
                <w:w w:val="89"/>
              </w:rPr>
              <w:t>Dividends and Payout Ratios</w:t>
            </w:r>
          </w:p>
        </w:tc>
        <w:tc>
          <w:tcPr>
            <w:tcW w:w="3540" w:type="dxa"/>
            <w:vAlign w:val="bottom"/>
            <w:tcBorders>
              <w:bottom w:val="single" w:sz="8" w:color="CCEEFF"/>
            </w:tcBorders>
            <w:gridSpan w:val="3"/>
            <w:shd w:val="clear" w:color="auto" w:fill="CCEEFF"/>
          </w:tcPr>
          <w:p>
            <w:pPr>
              <w:spacing w:after="0"/>
              <w:rPr>
                <w:sz w:val="16"/>
                <w:szCs w:val="16"/>
                <w:color w:val="auto"/>
              </w:rPr>
            </w:pPr>
          </w:p>
        </w:tc>
        <w:tc>
          <w:tcPr>
            <w:tcW w:w="130" w:type="dxa"/>
            <w:vAlign w:val="bottom"/>
            <w:tcBorders>
              <w:bottom w:val="single" w:sz="8" w:color="CCEEFF"/>
            </w:tcBorders>
            <w:shd w:val="clear" w:color="auto" w:fill="CCEEFF"/>
          </w:tcPr>
          <w:p>
            <w:pPr>
              <w:spacing w:after="0"/>
              <w:rPr>
                <w:sz w:val="16"/>
                <w:szCs w:val="16"/>
                <w:color w:val="auto"/>
              </w:rPr>
            </w:pPr>
          </w:p>
        </w:tc>
        <w:tc>
          <w:tcPr>
            <w:tcW w:w="73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216"/>
        </w:trPr>
        <w:tc>
          <w:tcPr>
            <w:tcW w:w="5660" w:type="dxa"/>
            <w:vAlign w:val="bottom"/>
            <w:gridSpan w:val="5"/>
          </w:tcPr>
          <w:p>
            <w:pPr>
              <w:ind w:left="420"/>
              <w:spacing w:after="0"/>
              <w:rPr>
                <w:sz w:val="20"/>
                <w:szCs w:val="20"/>
                <w:color w:val="auto"/>
              </w:rPr>
            </w:pPr>
            <w:r>
              <w:rPr>
                <w:rFonts w:ascii="Arial" w:cs="Arial" w:eastAsia="Arial" w:hAnsi="Arial"/>
                <w:sz w:val="17"/>
                <w:szCs w:val="17"/>
                <w:color w:val="auto"/>
              </w:rPr>
              <w:t>Common dividends declared</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tcPr>
          <w:p>
            <w:pPr>
              <w:jc w:val="right"/>
              <w:spacing w:after="0"/>
              <w:rPr>
                <w:sz w:val="20"/>
                <w:szCs w:val="20"/>
                <w:color w:val="auto"/>
              </w:rPr>
            </w:pPr>
            <w:r>
              <w:rPr>
                <w:rFonts w:ascii="Arial" w:cs="Arial" w:eastAsia="Arial" w:hAnsi="Arial"/>
                <w:sz w:val="17"/>
                <w:szCs w:val="17"/>
                <w:color w:val="auto"/>
              </w:rPr>
              <w:t>29,229</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25,321</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55,735</w:t>
            </w:r>
          </w:p>
        </w:tc>
        <w:tc>
          <w:tcPr>
            <w:tcW w:w="7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49,488</w:t>
            </w:r>
          </w:p>
        </w:tc>
        <w:tc>
          <w:tcPr>
            <w:tcW w:w="140" w:type="dxa"/>
            <w:vAlign w:val="bottom"/>
          </w:tcPr>
          <w:p>
            <w:pPr>
              <w:spacing w:after="0"/>
              <w:rPr>
                <w:sz w:val="18"/>
                <w:szCs w:val="18"/>
                <w:color w:val="auto"/>
              </w:rPr>
            </w:pPr>
          </w:p>
        </w:tc>
      </w:tr>
      <w:tr>
        <w:trPr>
          <w:trHeight w:val="99"/>
        </w:trPr>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56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Dividend payout ratio % - FFO</w:t>
            </w:r>
          </w:p>
        </w:tc>
        <w:tc>
          <w:tcPr>
            <w:tcW w:w="130" w:type="dxa"/>
            <w:vAlign w:val="bottom"/>
            <w:shd w:val="clear" w:color="auto" w:fill="CCEEFF"/>
          </w:tcPr>
          <w:p>
            <w:pPr>
              <w:spacing w:after="0"/>
              <w:rPr>
                <w:sz w:val="18"/>
                <w:szCs w:val="18"/>
                <w:color w:val="auto"/>
              </w:rPr>
            </w:pPr>
          </w:p>
        </w:tc>
        <w:tc>
          <w:tcPr>
            <w:tcW w:w="145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105"/>
        </w:trPr>
        <w:tc>
          <w:tcPr>
            <w:tcW w:w="94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-2835275</wp:posOffset>
            </wp:positionV>
            <wp:extent cx="12700"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-2835275</wp:posOffset>
            </wp:positionV>
            <wp:extent cx="20955"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-2835275</wp:posOffset>
            </wp:positionV>
            <wp:extent cx="37465"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-2835275</wp:posOffset>
            </wp:positionV>
            <wp:extent cx="12700"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-2835275</wp:posOffset>
            </wp:positionV>
            <wp:extent cx="20955"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-2835275</wp:posOffset>
            </wp:positionV>
            <wp:extent cx="3746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-2835275</wp:posOffset>
            </wp:positionV>
            <wp:extent cx="12700"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-2835275</wp:posOffset>
            </wp:positionV>
            <wp:extent cx="20955"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-2835275</wp:posOffset>
            </wp:positionV>
            <wp:extent cx="37465"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-2835275</wp:posOffset>
            </wp:positionV>
            <wp:extent cx="12700"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-2835275</wp:posOffset>
            </wp:positionV>
            <wp:extent cx="20955"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-2835275</wp:posOffset>
            </wp:positionV>
            <wp:extent cx="37465"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-2209800</wp:posOffset>
            </wp:positionV>
            <wp:extent cx="12700" cy="29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-2209800</wp:posOffset>
            </wp:positionV>
            <wp:extent cx="20955"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-2209800</wp:posOffset>
            </wp:positionV>
            <wp:extent cx="37465"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-2209800</wp:posOffset>
            </wp:positionV>
            <wp:extent cx="612775"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2775" cy="2921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-2209800</wp:posOffset>
            </wp:positionV>
            <wp:extent cx="12700"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-2209800</wp:posOffset>
            </wp:positionV>
            <wp:extent cx="20955"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-2209800</wp:posOffset>
            </wp:positionV>
            <wp:extent cx="37465"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-2209800</wp:posOffset>
            </wp:positionV>
            <wp:extent cx="12700"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-2209800</wp:posOffset>
            </wp:positionV>
            <wp:extent cx="20955"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-2209800</wp:posOffset>
            </wp:positionV>
            <wp:extent cx="37465"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-635000</wp:posOffset>
            </wp:positionV>
            <wp:extent cx="12700" cy="292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-635000</wp:posOffset>
            </wp:positionV>
            <wp:extent cx="20955" cy="29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-635000</wp:posOffset>
            </wp:positionV>
            <wp:extent cx="37465"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-635000</wp:posOffset>
            </wp:positionV>
            <wp:extent cx="12700"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-635000</wp:posOffset>
            </wp:positionV>
            <wp:extent cx="20955" cy="29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-635000</wp:posOffset>
            </wp:positionV>
            <wp:extent cx="37465"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-635000</wp:posOffset>
            </wp:positionV>
            <wp:extent cx="579120"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120" cy="2921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-635000</wp:posOffset>
            </wp:positionV>
            <wp:extent cx="1270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-635000</wp:posOffset>
            </wp:positionV>
            <wp:extent cx="20955"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-635000</wp:posOffset>
            </wp:positionV>
            <wp:extent cx="37465"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right="40" w:hanging="455"/>
        <w:spacing w:after="0" w:line="257"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three and six months ended June 30, 2004, includes $1.0 million ($.02 per dilutive share) and $2.1 million ($.04 per dilutive share) for Santana Row fire insurance proceeds. For the three and six months ended June 30, 2005, the amount of insurance proceeds were insignificant and had no per dilutive share impact.</w:t>
      </w:r>
    </w:p>
    <w:p>
      <w:pPr>
        <w:spacing w:after="0" w:line="2" w:lineRule="exact"/>
        <w:rPr>
          <w:rFonts w:ascii="Arial" w:cs="Arial" w:eastAsia="Arial" w:hAnsi="Arial"/>
          <w:sz w:val="17"/>
          <w:szCs w:val="17"/>
          <w:color w:val="auto"/>
        </w:rPr>
      </w:pPr>
    </w:p>
    <w:p>
      <w:pPr>
        <w:ind w:left="460" w:right="340" w:hanging="455"/>
        <w:spacing w:after="0" w:line="27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 / Capital Availability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720" w:type="dxa"/>
            <w:vAlign w:val="bottom"/>
            <w:gridSpan w:val="3"/>
          </w:tcPr>
          <w:p>
            <w:pPr>
              <w:jc w:val="right"/>
              <w:ind w:right="880"/>
              <w:spacing w:after="0"/>
              <w:rPr>
                <w:sz w:val="20"/>
                <w:szCs w:val="20"/>
                <w:color w:val="auto"/>
              </w:rPr>
            </w:pPr>
            <w:r>
              <w:rPr>
                <w:rFonts w:ascii="Arial" w:cs="Arial" w:eastAsia="Arial" w:hAnsi="Arial"/>
                <w:sz w:val="13"/>
                <w:szCs w:val="13"/>
                <w:b w:val="1"/>
                <w:bCs w:val="1"/>
                <w:color w:val="auto"/>
                <w:w w:val="96"/>
              </w:rPr>
              <w:t>June 30, 2005</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June 30, 2004</w:t>
            </w:r>
          </w:p>
        </w:tc>
      </w:tr>
      <w:tr>
        <w:trPr>
          <w:trHeight w:val="93"/>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42"/>
        </w:trPr>
        <w:tc>
          <w:tcPr>
            <w:tcW w:w="94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6"/>
              </w:rPr>
              <w:t>(in thousands, except per share data)</w:t>
            </w: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8620" w:type="dxa"/>
            <w:vAlign w:val="bottom"/>
            <w:gridSpan w:val="2"/>
          </w:tcPr>
          <w:p>
            <w:pPr>
              <w:ind w:left="420"/>
              <w:spacing w:after="0"/>
              <w:rPr>
                <w:sz w:val="20"/>
                <w:szCs w:val="20"/>
                <w:color w:val="auto"/>
              </w:rPr>
            </w:pPr>
            <w:r>
              <w:rPr>
                <w:rFonts w:ascii="Arial" w:cs="Arial" w:eastAsia="Arial" w:hAnsi="Arial"/>
                <w:sz w:val="17"/>
                <w:szCs w:val="17"/>
                <w:color w:val="auto"/>
              </w:rPr>
              <w:t>Common shares outstanding (1)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52,665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51,686</w:t>
            </w:r>
          </w:p>
        </w:tc>
        <w:tc>
          <w:tcPr>
            <w:tcW w:w="140" w:type="dxa"/>
            <w:vAlign w:val="bottom"/>
          </w:tcPr>
          <w:p>
            <w:pPr>
              <w:spacing w:after="0"/>
              <w:rPr>
                <w:sz w:val="18"/>
                <w:szCs w:val="18"/>
                <w:color w:val="auto"/>
              </w:rPr>
            </w:pPr>
          </w:p>
        </w:tc>
      </w:tr>
      <w:tr>
        <w:trPr>
          <w:trHeight w:val="210"/>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140" w:type="dxa"/>
            <w:vAlign w:val="bottom"/>
            <w:shd w:val="clear" w:color="auto" w:fill="CCEEFF"/>
          </w:tcPr>
          <w:p>
            <w:pPr>
              <w:spacing w:after="0"/>
              <w:rPr>
                <w:sz w:val="18"/>
                <w:szCs w:val="18"/>
                <w:color w:val="auto"/>
              </w:rPr>
            </w:pPr>
          </w:p>
        </w:tc>
      </w:tr>
      <w:tr>
        <w:trPr>
          <w:trHeight w:val="105"/>
        </w:trPr>
        <w:tc>
          <w:tcPr>
            <w:tcW w:w="94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86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Common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3,107,235</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2,149,621</w:t>
            </w:r>
          </w:p>
        </w:tc>
        <w:tc>
          <w:tcPr>
            <w:tcW w:w="140" w:type="dxa"/>
            <w:vAlign w:val="bottom"/>
            <w:shd w:val="clear" w:color="auto" w:fill="CCEEFF"/>
          </w:tcPr>
          <w:p>
            <w:pPr>
              <w:spacing w:after="0"/>
              <w:rPr>
                <w:sz w:val="18"/>
                <w:szCs w:val="18"/>
                <w:color w:val="auto"/>
              </w:rPr>
            </w:pPr>
          </w:p>
        </w:tc>
      </w:tr>
      <w:tr>
        <w:trPr>
          <w:trHeight w:val="314"/>
        </w:trPr>
        <w:tc>
          <w:tcPr>
            <w:tcW w:w="8620" w:type="dxa"/>
            <w:vAlign w:val="bottom"/>
            <w:gridSpan w:val="2"/>
          </w:tcPr>
          <w:p>
            <w:pPr>
              <w:ind w:left="420"/>
              <w:spacing w:after="0"/>
              <w:rPr>
                <w:sz w:val="20"/>
                <w:szCs w:val="20"/>
                <w:color w:val="auto"/>
              </w:rPr>
            </w:pPr>
            <w:r>
              <w:rPr>
                <w:rFonts w:ascii="Arial" w:cs="Arial" w:eastAsia="Arial" w:hAnsi="Arial"/>
                <w:sz w:val="17"/>
                <w:szCs w:val="17"/>
                <w:color w:val="auto"/>
              </w:rPr>
              <w:t>Series B preferred shares outstanding</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5,400</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5,400</w:t>
            </w:r>
          </w:p>
        </w:tc>
        <w:tc>
          <w:tcPr>
            <w:tcW w:w="140" w:type="dxa"/>
            <w:vAlign w:val="bottom"/>
          </w:tcPr>
          <w:p>
            <w:pPr>
              <w:spacing w:after="0"/>
              <w:rPr>
                <w:sz w:val="24"/>
                <w:szCs w:val="24"/>
                <w:color w:val="auto"/>
              </w:rPr>
            </w:pPr>
          </w:p>
        </w:tc>
      </w:tr>
      <w:tr>
        <w:trPr>
          <w:trHeight w:val="211"/>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Market price per Series B preferred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26.54</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w:t>
            </w:r>
          </w:p>
        </w:tc>
        <w:tc>
          <w:tcPr>
            <w:tcW w:w="140" w:type="dxa"/>
            <w:vAlign w:val="bottom"/>
            <w:shd w:val="clear" w:color="auto" w:fill="CCEEFF"/>
          </w:tcPr>
          <w:p>
            <w:pPr>
              <w:spacing w:after="0"/>
              <w:rPr>
                <w:sz w:val="18"/>
                <w:szCs w:val="18"/>
                <w:color w:val="auto"/>
              </w:rPr>
            </w:pPr>
          </w:p>
        </w:tc>
      </w:tr>
      <w:tr>
        <w:trPr>
          <w:trHeight w:val="105"/>
        </w:trPr>
        <w:tc>
          <w:tcPr>
            <w:tcW w:w="94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86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143,316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142,830</w:t>
            </w:r>
          </w:p>
        </w:tc>
        <w:tc>
          <w:tcPr>
            <w:tcW w:w="140" w:type="dxa"/>
            <w:vAlign w:val="bottom"/>
            <w:shd w:val="clear" w:color="auto" w:fill="CCEEFF"/>
          </w:tcPr>
          <w:p>
            <w:pPr>
              <w:spacing w:after="0"/>
              <w:rPr>
                <w:sz w:val="18"/>
                <w:szCs w:val="18"/>
                <w:color w:val="auto"/>
              </w:rPr>
            </w:pPr>
          </w:p>
        </w:tc>
      </w:tr>
      <w:tr>
        <w:trPr>
          <w:trHeight w:val="105"/>
        </w:trPr>
        <w:tc>
          <w:tcPr>
            <w:tcW w:w="94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3,250,551</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2,292,451</w:t>
            </w:r>
          </w:p>
        </w:tc>
        <w:tc>
          <w:tcPr>
            <w:tcW w:w="140" w:type="dxa"/>
            <w:vAlign w:val="bottom"/>
            <w:shd w:val="clear" w:color="auto" w:fill="CCEEFF"/>
          </w:tcPr>
          <w:p>
            <w:pPr>
              <w:spacing w:after="0"/>
              <w:rPr>
                <w:sz w:val="18"/>
                <w:szCs w:val="18"/>
                <w:color w:val="auto"/>
              </w:rPr>
            </w:pPr>
          </w:p>
        </w:tc>
      </w:tr>
      <w:tr>
        <w:trPr>
          <w:trHeight w:val="312"/>
        </w:trPr>
        <w:tc>
          <w:tcPr>
            <w:tcW w:w="8620" w:type="dxa"/>
            <w:vAlign w:val="bottom"/>
            <w:gridSpan w:val="2"/>
          </w:tcPr>
          <w:p>
            <w:pPr>
              <w:ind w:left="420"/>
              <w:spacing w:after="0"/>
              <w:rPr>
                <w:sz w:val="20"/>
                <w:szCs w:val="20"/>
                <w:color w:val="auto"/>
              </w:rPr>
            </w:pPr>
            <w:r>
              <w:rPr>
                <w:rFonts w:ascii="Arial" w:cs="Arial" w:eastAsia="Arial" w:hAnsi="Arial"/>
                <w:sz w:val="17"/>
                <w:szCs w:val="17"/>
                <w:color w:val="auto"/>
              </w:rPr>
              <w:t>Total debt (2)</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1,342,492</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1,319,010</w:t>
            </w:r>
          </w:p>
        </w:tc>
        <w:tc>
          <w:tcPr>
            <w:tcW w:w="140" w:type="dxa"/>
            <w:vAlign w:val="bottom"/>
          </w:tcPr>
          <w:p>
            <w:pPr>
              <w:spacing w:after="0"/>
              <w:rPr>
                <w:sz w:val="24"/>
                <w:szCs w:val="24"/>
                <w:color w:val="auto"/>
              </w:rPr>
            </w:pPr>
          </w:p>
        </w:tc>
      </w:tr>
      <w:tr>
        <w:trPr>
          <w:trHeight w:val="107"/>
        </w:trPr>
        <w:tc>
          <w:tcPr>
            <w:tcW w:w="94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4,593,043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3,611,461</w:t>
            </w:r>
          </w:p>
        </w:tc>
        <w:tc>
          <w:tcPr>
            <w:tcW w:w="140" w:type="dxa"/>
            <w:vAlign w:val="bottom"/>
            <w:shd w:val="clear" w:color="auto" w:fill="CCEEFF"/>
          </w:tcPr>
          <w:p>
            <w:pPr>
              <w:spacing w:after="0"/>
              <w:rPr>
                <w:sz w:val="18"/>
                <w:szCs w:val="18"/>
                <w:color w:val="auto"/>
              </w:rPr>
            </w:pPr>
          </w:p>
        </w:tc>
      </w:tr>
      <w:tr>
        <w:trPr>
          <w:trHeight w:val="128"/>
        </w:trPr>
        <w:tc>
          <w:tcPr>
            <w:tcW w:w="9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2"/>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312"/>
        </w:trPr>
        <w:tc>
          <w:tcPr>
            <w:tcW w:w="862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$41.59</w:t>
            </w:r>
          </w:p>
        </w:tc>
        <w:tc>
          <w:tcPr>
            <w:tcW w:w="12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37%</w:t>
            </w:r>
          </w:p>
        </w:tc>
      </w:tr>
      <w:tr>
        <w:trPr>
          <w:trHeight w:val="107"/>
        </w:trPr>
        <w:tc>
          <w:tcPr>
            <w:tcW w:w="94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0"/>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8620" w:type="dxa"/>
            <w:vAlign w:val="bottom"/>
            <w:gridSpan w:val="2"/>
          </w:tcPr>
          <w:p>
            <w:pPr>
              <w:ind w:left="840"/>
              <w:spacing w:after="0"/>
              <w:rPr>
                <w:sz w:val="20"/>
                <w:szCs w:val="20"/>
                <w:color w:val="auto"/>
              </w:rPr>
            </w:pPr>
            <w:r>
              <w:rPr>
                <w:rFonts w:ascii="Arial" w:cs="Arial" w:eastAsia="Arial" w:hAnsi="Arial"/>
                <w:sz w:val="17"/>
                <w:szCs w:val="17"/>
                <w:color w:val="auto"/>
              </w:rPr>
              <w:t>Fixed rate debt</w:t>
            </w:r>
          </w:p>
        </w:tc>
        <w:tc>
          <w:tcPr>
            <w:tcW w:w="12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86%</w:t>
            </w:r>
          </w:p>
        </w:tc>
      </w:tr>
      <w:tr>
        <w:trPr>
          <w:trHeight w:val="210"/>
        </w:trPr>
        <w:tc>
          <w:tcPr>
            <w:tcW w:w="86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105"/>
        </w:trPr>
        <w:tc>
          <w:tcPr>
            <w:tcW w:w="94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94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128"/>
        </w:trPr>
        <w:tc>
          <w:tcPr>
            <w:tcW w:w="9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2"/>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availability: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8620" w:type="dxa"/>
            <w:vAlign w:val="bottom"/>
            <w:gridSpan w:val="2"/>
          </w:tcPr>
          <w:p>
            <w:pPr>
              <w:ind w:left="420"/>
              <w:spacing w:after="0"/>
              <w:rPr>
                <w:sz w:val="20"/>
                <w:szCs w:val="20"/>
                <w:color w:val="auto"/>
              </w:rPr>
            </w:pPr>
            <w:r>
              <w:rPr>
                <w:rFonts w:ascii="Arial" w:cs="Arial" w:eastAsia="Arial" w:hAnsi="Arial"/>
                <w:sz w:val="17"/>
                <w:szCs w:val="17"/>
                <w:color w:val="auto"/>
              </w:rPr>
              <w:t>Cash and cash equivalents on hand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13,625</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45,103</w:t>
            </w:r>
          </w:p>
        </w:tc>
        <w:tc>
          <w:tcPr>
            <w:tcW w:w="140" w:type="dxa"/>
            <w:vAlign w:val="bottom"/>
          </w:tcPr>
          <w:p>
            <w:pPr>
              <w:spacing w:after="0"/>
              <w:rPr>
                <w:sz w:val="18"/>
                <w:szCs w:val="18"/>
                <w:color w:val="auto"/>
              </w:rPr>
            </w:pPr>
          </w:p>
        </w:tc>
      </w:tr>
      <w:tr>
        <w:trPr>
          <w:trHeight w:val="210"/>
        </w:trPr>
        <w:tc>
          <w:tcPr>
            <w:tcW w:w="8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Available capacity under line of credit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223,000</w:t>
            </w:r>
          </w:p>
        </w:tc>
        <w:tc>
          <w:tcPr>
            <w:tcW w:w="14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420"/>
              <w:spacing w:after="0"/>
              <w:rPr>
                <w:sz w:val="20"/>
                <w:szCs w:val="20"/>
                <w:color w:val="auto"/>
              </w:rPr>
            </w:pPr>
            <w:r>
              <w:rPr>
                <w:rFonts w:ascii="Arial" w:cs="Arial" w:eastAsia="Arial" w:hAnsi="Arial"/>
                <w:sz w:val="17"/>
                <w:szCs w:val="17"/>
                <w:color w:val="auto"/>
              </w:rPr>
              <w:t>Available for issuance under shelf registration statement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225,000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225,000</w:t>
            </w:r>
          </w:p>
        </w:tc>
        <w:tc>
          <w:tcPr>
            <w:tcW w:w="140" w:type="dxa"/>
            <w:vAlign w:val="bottom"/>
          </w:tcPr>
          <w:p>
            <w:pPr>
              <w:spacing w:after="0"/>
              <w:rPr>
                <w:sz w:val="18"/>
                <w:szCs w:val="18"/>
                <w:color w:val="auto"/>
              </w:rPr>
            </w:pPr>
          </w:p>
        </w:tc>
      </w:tr>
      <w:tr>
        <w:trPr>
          <w:trHeight w:val="99"/>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94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434,625</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493,103</w:t>
            </w:r>
          </w:p>
        </w:tc>
        <w:tc>
          <w:tcPr>
            <w:tcW w:w="140" w:type="dxa"/>
            <w:vAlign w:val="bottom"/>
            <w:shd w:val="clear" w:color="auto" w:fill="CCEEFF"/>
          </w:tcPr>
          <w:p>
            <w:pPr>
              <w:spacing w:after="0"/>
              <w:rPr>
                <w:sz w:val="18"/>
                <w:szCs w:val="18"/>
                <w:color w:val="auto"/>
              </w:rPr>
            </w:pPr>
          </w:p>
        </w:tc>
      </w:tr>
      <w:tr>
        <w:trPr>
          <w:trHeight w:val="128"/>
        </w:trPr>
        <w:tc>
          <w:tcPr>
            <w:tcW w:w="94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7"/>
        </w:trPr>
        <w:tc>
          <w:tcPr>
            <w:tcW w:w="940" w:type="dxa"/>
            <w:vAlign w:val="bottom"/>
            <w:tcBorders>
              <w:bottom w:val="single" w:sz="8" w:color="auto"/>
            </w:tcBorders>
          </w:tcPr>
          <w:p>
            <w:pPr>
              <w:spacing w:after="0"/>
              <w:rPr>
                <w:sz w:val="17"/>
                <w:szCs w:val="17"/>
                <w:color w:val="auto"/>
              </w:rPr>
            </w:pPr>
          </w:p>
        </w:tc>
        <w:tc>
          <w:tcPr>
            <w:tcW w:w="7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-2368550</wp:posOffset>
            </wp:positionV>
            <wp:extent cx="12700"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-2368550</wp:posOffset>
            </wp:positionV>
            <wp:extent cx="20955"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-2368550</wp:posOffset>
            </wp:positionV>
            <wp:extent cx="37465" cy="29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-2368550</wp:posOffset>
            </wp:positionV>
            <wp:extent cx="12700"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-2368550</wp:posOffset>
            </wp:positionV>
            <wp:extent cx="20955" cy="2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-2368550</wp:posOffset>
            </wp:positionV>
            <wp:extent cx="37465" cy="29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-1134745</wp:posOffset>
            </wp:positionV>
            <wp:extent cx="604520" cy="29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4520" cy="29210"/>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-1134745</wp:posOffset>
            </wp:positionV>
            <wp:extent cx="12700" cy="29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-1134745</wp:posOffset>
            </wp:positionV>
            <wp:extent cx="20955"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-1134745</wp:posOffset>
            </wp:positionV>
            <wp:extent cx="37465"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-168275</wp:posOffset>
            </wp:positionV>
            <wp:extent cx="12700"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-168275</wp:posOffset>
            </wp:positionV>
            <wp:extent cx="20955"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-168275</wp:posOffset>
            </wp:positionV>
            <wp:extent cx="37465"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-168275</wp:posOffset>
            </wp:positionV>
            <wp:extent cx="12700"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-168275</wp:posOffset>
            </wp:positionV>
            <wp:extent cx="20955" cy="29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-168275</wp:posOffset>
            </wp:positionV>
            <wp:extent cx="37465" cy="29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40" w:hanging="455"/>
        <w:spacing w:after="0" w:line="257"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54,145,519 shares issued net of 1,480,201 shares held in Treasury as of June 30, 2005. As of June 30, 2004, consists of 53,156,349 shares issued net of 1,470,275 shares held in Treasury. Amounts do not include 423,576 and 842,455 Operating Units outstanding at June 30, 2005 and June 30, 2004, respectively.</w:t>
      </w:r>
    </w:p>
    <w:p>
      <w:pPr>
        <w:spacing w:after="0" w:line="2" w:lineRule="exact"/>
        <w:rPr>
          <w:rFonts w:ascii="Arial" w:cs="Arial" w:eastAsia="Arial" w:hAnsi="Arial"/>
          <w:sz w:val="17"/>
          <w:szCs w:val="17"/>
          <w:color w:val="auto"/>
        </w:rPr>
      </w:pPr>
    </w:p>
    <w:p>
      <w:pPr>
        <w:ind w:left="460" w:right="400" w:hanging="455"/>
        <w:spacing w:after="0" w:line="27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ectPr>
          <w:pgSz w:w="11900" w:h="16838" w:orient="portrait"/>
          <w:cols w:equalWidth="0" w:num="1">
            <w:col w:w="11420"/>
          </w:cols>
          <w:pgMar w:left="240" w:top="271"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38"/>
              <w:spacing w:after="0"/>
              <w:rPr>
                <w:sz w:val="20"/>
                <w:szCs w:val="20"/>
                <w:color w:val="auto"/>
              </w:rPr>
            </w:pPr>
            <w:r>
              <w:rPr>
                <w:rFonts w:ascii="Arial" w:cs="Arial" w:eastAsia="Arial" w:hAnsi="Arial"/>
                <w:sz w:val="13"/>
                <w:szCs w:val="13"/>
                <w:b w:val="1"/>
                <w:bCs w:val="1"/>
                <w:color w:val="auto"/>
                <w:w w:val="89"/>
              </w:rPr>
              <w:t>Three months ended</w:t>
            </w:r>
          </w:p>
        </w:tc>
        <w:tc>
          <w:tcPr>
            <w:tcW w:w="220" w:type="dxa"/>
            <w:vAlign w:val="bottom"/>
          </w:tcPr>
          <w:p>
            <w:pPr>
              <w:spacing w:after="0"/>
              <w:rPr>
                <w:sz w:val="13"/>
                <w:szCs w:val="13"/>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Six months ended</w:t>
            </w:r>
          </w:p>
        </w:tc>
      </w:tr>
      <w:tr>
        <w:trPr>
          <w:trHeight w:val="169"/>
        </w:trPr>
        <w:tc>
          <w:tcPr>
            <w:tcW w:w="9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378"/>
              <w:spacing w:after="0"/>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4"/>
                <w:szCs w:val="14"/>
                <w:color w:val="auto"/>
              </w:rPr>
            </w:pPr>
          </w:p>
        </w:tc>
        <w:tc>
          <w:tcPr>
            <w:tcW w:w="160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June 30,</w:t>
            </w:r>
          </w:p>
        </w:tc>
      </w:tr>
      <w:tr>
        <w:trPr>
          <w:trHeight w:val="93"/>
        </w:trPr>
        <w:tc>
          <w:tcPr>
            <w:tcW w:w="9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54"/>
        </w:trPr>
        <w:tc>
          <w:tcPr>
            <w:tcW w:w="94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58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b w:val="1"/>
                <w:bCs w:val="1"/>
                <w:color w:val="auto"/>
              </w:rPr>
              <w:t>2004</w:t>
            </w:r>
          </w:p>
        </w:tc>
        <w:tc>
          <w:tcPr>
            <w:tcW w:w="90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auto"/>
              </w:rPr>
              <w:t>2005</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2004</w:t>
            </w:r>
          </w:p>
        </w:tc>
      </w:tr>
      <w:tr>
        <w:trPr>
          <w:trHeight w:val="93"/>
        </w:trPr>
        <w:tc>
          <w:tcPr>
            <w:tcW w:w="9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Rental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314"/>
        </w:trPr>
        <w:tc>
          <w:tcPr>
            <w:tcW w:w="8220" w:type="dxa"/>
            <w:vAlign w:val="bottom"/>
            <w:gridSpan w:val="2"/>
          </w:tcPr>
          <w:p>
            <w:pPr>
              <w:ind w:left="420"/>
              <w:spacing w:after="0"/>
              <w:rPr>
                <w:sz w:val="20"/>
                <w:szCs w:val="20"/>
                <w:color w:val="auto"/>
              </w:rPr>
            </w:pPr>
            <w:r>
              <w:rPr>
                <w:rFonts w:ascii="Arial" w:cs="Arial" w:eastAsia="Arial" w:hAnsi="Arial"/>
                <w:sz w:val="17"/>
                <w:szCs w:val="17"/>
                <w:color w:val="auto"/>
              </w:rPr>
              <w:t>Minimum rents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1"/>
        </w:trPr>
        <w:tc>
          <w:tcPr>
            <w:tcW w:w="8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Retail and commercial properties (1)</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w w:val="84"/>
              </w:rPr>
              <w:t>$ 74,043</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$ 69,649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$ 147,556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$ 137,217</w:t>
            </w:r>
          </w:p>
        </w:tc>
      </w:tr>
      <w:tr>
        <w:trPr>
          <w:trHeight w:val="210"/>
        </w:trPr>
        <w:tc>
          <w:tcPr>
            <w:tcW w:w="8220" w:type="dxa"/>
            <w:vAlign w:val="bottom"/>
            <w:gridSpan w:val="2"/>
          </w:tcPr>
          <w:p>
            <w:pPr>
              <w:ind w:left="840"/>
              <w:spacing w:after="0"/>
              <w:rPr>
                <w:sz w:val="20"/>
                <w:szCs w:val="20"/>
                <w:color w:val="auto"/>
              </w:rPr>
            </w:pPr>
            <w:r>
              <w:rPr>
                <w:rFonts w:ascii="Arial" w:cs="Arial" w:eastAsia="Arial" w:hAnsi="Arial"/>
                <w:sz w:val="17"/>
                <w:szCs w:val="17"/>
                <w:color w:val="auto"/>
              </w:rPr>
              <w:t>Residential (2)</w:t>
            </w:r>
          </w:p>
        </w:tc>
        <w:tc>
          <w:tcPr>
            <w:tcW w:w="800" w:type="dxa"/>
            <w:vAlign w:val="bottom"/>
            <w:gridSpan w:val="3"/>
          </w:tcPr>
          <w:p>
            <w:pPr>
              <w:jc w:val="right"/>
              <w:ind w:right="220"/>
              <w:spacing w:after="0"/>
              <w:rPr>
                <w:sz w:val="20"/>
                <w:szCs w:val="20"/>
                <w:color w:val="auto"/>
              </w:rPr>
            </w:pPr>
            <w:r>
              <w:rPr>
                <w:rFonts w:ascii="Arial" w:cs="Arial" w:eastAsia="Arial" w:hAnsi="Arial"/>
                <w:sz w:val="17"/>
                <w:szCs w:val="17"/>
                <w:color w:val="auto"/>
              </w:rPr>
              <w:t>3,115</w:t>
            </w:r>
          </w:p>
        </w:tc>
        <w:tc>
          <w:tcPr>
            <w:tcW w:w="580" w:type="dxa"/>
            <w:vAlign w:val="bottom"/>
          </w:tcPr>
          <w:p>
            <w:pPr>
              <w:jc w:val="right"/>
              <w:spacing w:after="0"/>
              <w:rPr>
                <w:sz w:val="20"/>
                <w:szCs w:val="20"/>
                <w:color w:val="auto"/>
              </w:rPr>
            </w:pPr>
            <w:r>
              <w:rPr>
                <w:rFonts w:ascii="Arial" w:cs="Arial" w:eastAsia="Arial" w:hAnsi="Arial"/>
                <w:sz w:val="17"/>
                <w:szCs w:val="17"/>
                <w:color w:val="auto"/>
              </w:rPr>
              <w:t>3,170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6,324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6,146</w:t>
            </w:r>
          </w:p>
        </w:tc>
      </w:tr>
      <w:tr>
        <w:trPr>
          <w:trHeight w:val="210"/>
        </w:trPr>
        <w:tc>
          <w:tcPr>
            <w:tcW w:w="82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Cost reimbursements</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18,119</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36,069</w:t>
            </w:r>
          </w:p>
        </w:tc>
      </w:tr>
      <w:tr>
        <w:trPr>
          <w:trHeight w:val="210"/>
        </w:trPr>
        <w:tc>
          <w:tcPr>
            <w:tcW w:w="8220" w:type="dxa"/>
            <w:vAlign w:val="bottom"/>
            <w:gridSpan w:val="2"/>
          </w:tcPr>
          <w:p>
            <w:pPr>
              <w:ind w:left="420"/>
              <w:spacing w:after="0"/>
              <w:rPr>
                <w:sz w:val="20"/>
                <w:szCs w:val="20"/>
                <w:color w:val="auto"/>
              </w:rPr>
            </w:pPr>
            <w:r>
              <w:rPr>
                <w:rFonts w:ascii="Arial" w:cs="Arial" w:eastAsia="Arial" w:hAnsi="Arial"/>
                <w:sz w:val="17"/>
                <w:szCs w:val="17"/>
                <w:color w:val="auto"/>
              </w:rPr>
              <w:t>Percentage rents</w:t>
            </w:r>
          </w:p>
        </w:tc>
        <w:tc>
          <w:tcPr>
            <w:tcW w:w="800" w:type="dxa"/>
            <w:vAlign w:val="bottom"/>
            <w:gridSpan w:val="3"/>
          </w:tcPr>
          <w:p>
            <w:pPr>
              <w:jc w:val="right"/>
              <w:ind w:right="220"/>
              <w:spacing w:after="0"/>
              <w:rPr>
                <w:sz w:val="20"/>
                <w:szCs w:val="20"/>
                <w:color w:val="auto"/>
              </w:rPr>
            </w:pPr>
            <w:r>
              <w:rPr>
                <w:rFonts w:ascii="Arial" w:cs="Arial" w:eastAsia="Arial" w:hAnsi="Arial"/>
                <w:sz w:val="17"/>
                <w:szCs w:val="17"/>
                <w:color w:val="auto"/>
              </w:rPr>
              <w:t>1,266</w:t>
            </w:r>
          </w:p>
        </w:tc>
        <w:tc>
          <w:tcPr>
            <w:tcW w:w="580" w:type="dxa"/>
            <w:vAlign w:val="bottom"/>
          </w:tcPr>
          <w:p>
            <w:pPr>
              <w:jc w:val="right"/>
              <w:spacing w:after="0"/>
              <w:rPr>
                <w:sz w:val="20"/>
                <w:szCs w:val="20"/>
                <w:color w:val="auto"/>
              </w:rPr>
            </w:pPr>
            <w:r>
              <w:rPr>
                <w:rFonts w:ascii="Arial" w:cs="Arial" w:eastAsia="Arial" w:hAnsi="Arial"/>
                <w:sz w:val="17"/>
                <w:szCs w:val="17"/>
                <w:color w:val="auto"/>
              </w:rPr>
              <w:t>1,504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3,063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2,865</w:t>
            </w:r>
          </w:p>
        </w:tc>
      </w:tr>
      <w:tr>
        <w:trPr>
          <w:trHeight w:val="210"/>
        </w:trPr>
        <w:tc>
          <w:tcPr>
            <w:tcW w:w="82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rental income</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1,256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3,253</w:t>
            </w:r>
          </w:p>
        </w:tc>
      </w:tr>
      <w:tr>
        <w:trPr>
          <w:trHeight w:val="105"/>
        </w:trPr>
        <w:tc>
          <w:tcPr>
            <w:tcW w:w="9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0"/>
        </w:trPr>
        <w:tc>
          <w:tcPr>
            <w:tcW w:w="82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rental income</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w w:val="84"/>
              </w:rPr>
              <w:t>$ 97,799</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$ 94,771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$ 197,882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$ 185,550</w:t>
            </w:r>
          </w:p>
        </w:tc>
      </w:tr>
      <w:tr>
        <w:trPr>
          <w:trHeight w:val="128"/>
        </w:trPr>
        <w:tc>
          <w:tcPr>
            <w:tcW w:w="94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07"/>
        </w:trPr>
        <w:tc>
          <w:tcPr>
            <w:tcW w:w="940" w:type="dxa"/>
            <w:vAlign w:val="bottom"/>
            <w:tcBorders>
              <w:bottom w:val="single" w:sz="8" w:color="auto"/>
            </w:tcBorders>
          </w:tcPr>
          <w:p>
            <w:pPr>
              <w:spacing w:after="0"/>
              <w:rPr>
                <w:sz w:val="17"/>
                <w:szCs w:val="17"/>
                <w:color w:val="auto"/>
              </w:rPr>
            </w:pPr>
          </w:p>
        </w:tc>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-168275</wp:posOffset>
            </wp:positionV>
            <wp:extent cx="370840"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0840" cy="2921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-168275</wp:posOffset>
            </wp:positionV>
            <wp:extent cx="12700" cy="29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-168275</wp:posOffset>
            </wp:positionV>
            <wp:extent cx="12700"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-168275</wp:posOffset>
            </wp:positionV>
            <wp:extent cx="20955" cy="29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6234430</wp:posOffset>
            </wp:positionH>
            <wp:positionV relativeFrom="paragraph">
              <wp:posOffset>-168275</wp:posOffset>
            </wp:positionV>
            <wp:extent cx="12700" cy="29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-168275</wp:posOffset>
            </wp:positionV>
            <wp:extent cx="12700"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-168275</wp:posOffset>
            </wp:positionV>
            <wp:extent cx="20955" cy="29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-168275</wp:posOffset>
            </wp:positionV>
            <wp:extent cx="12700" cy="29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-168275</wp:posOffset>
            </wp:positionV>
            <wp:extent cx="12700" cy="29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6859905</wp:posOffset>
            </wp:positionH>
            <wp:positionV relativeFrom="paragraph">
              <wp:posOffset>-168275</wp:posOffset>
            </wp:positionV>
            <wp:extent cx="20955" cy="292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100" w:hanging="455"/>
        <w:spacing w:after="0" w:line="27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Minimum rents include $3.8 million and $2.4 million for the six months ended June 30, 2005 and 2004, respectively, and $1.7 million and $1.6 million for the three months ended June 30, 2005 and 2004, respectively, that represent amounts included in minimum rents in order to reflect the recognition of minimum rents on a straight line basis as required by GAAP. Minimum rents include $0.8 million and $0.6 million for the six months ended June 30, 2005 and 2004, respectively and $0.4 million for both the three months ended June 30, 2005 and 2004, that represent amounts included in minimum rents in order to reflect the recognition of income attributable to market lease adjustments on acquired properties in accordance with SFAS 141. Minimum rents include fire insurance proceeds attributable to rental income lost at Santana Row as a result of the August 2002 fire of $2.1 million for the six months ended June 30, 2004 and $1.0 million for the three months ended June 30, 2004. For 2005, the amount of insurance proceeds was insignificant.</w:t>
      </w:r>
    </w:p>
    <w:p>
      <w:pPr>
        <w:spacing w:after="0" w:line="4" w:lineRule="exact"/>
        <w:rPr>
          <w:rFonts w:ascii="Arial" w:cs="Arial" w:eastAsia="Arial" w:hAnsi="Arial"/>
          <w:sz w:val="16"/>
          <w:szCs w:val="16"/>
          <w:color w:val="auto"/>
        </w:rPr>
      </w:pPr>
    </w:p>
    <w:p>
      <w:pPr>
        <w:ind w:left="460" w:hanging="455"/>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Residential minimum rents comprise the rents at Rollingwood Apartments, The Crest at Congressional Apartments and the residential units at Santana Row.</w:t>
      </w:r>
    </w:p>
    <w:p>
      <w:pPr>
        <w:sectPr>
          <w:pgSz w:w="11900" w:h="16838" w:orient="portrait"/>
          <w:cols w:equalWidth="0" w:num="1">
            <w:col w:w="11420"/>
          </w:cols>
          <w:pgMar w:left="240" w:top="271"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40" w:type="dxa"/>
            <w:vAlign w:val="bottom"/>
            <w:gridSpan w:val="4"/>
          </w:tcPr>
          <w:p>
            <w:pPr>
              <w:jc w:val="center"/>
              <w:ind w:right="294"/>
              <w:spacing w:after="0"/>
              <w:rPr>
                <w:sz w:val="20"/>
                <w:szCs w:val="20"/>
                <w:color w:val="auto"/>
              </w:rPr>
            </w:pPr>
            <w:r>
              <w:rPr>
                <w:rFonts w:ascii="Arial" w:cs="Arial" w:eastAsia="Arial" w:hAnsi="Arial"/>
                <w:sz w:val="13"/>
                <w:szCs w:val="13"/>
                <w:b w:val="1"/>
                <w:bCs w:val="1"/>
                <w:color w:val="auto"/>
                <w:w w:val="90"/>
              </w:rPr>
              <w:t>Interest Rate as of June 30,</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3"/>
                <w:szCs w:val="13"/>
                <w:b w:val="1"/>
                <w:bCs w:val="1"/>
                <w:color w:val="auto"/>
              </w:rPr>
              <w:t>2005</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9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Mortgage Loans (a)</w:t>
            </w:r>
          </w:p>
        </w:tc>
        <w:tc>
          <w:tcPr>
            <w:tcW w:w="1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9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b w:val="1"/>
                <w:bCs w:val="1"/>
                <w:i w:val="1"/>
                <w:iCs w:val="1"/>
                <w:color w:val="auto"/>
              </w:rPr>
              <w:t>Secured Fixed Rate</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10/01/08</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6.510%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164 E Houston Street</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3"/>
              </w:rPr>
              <w:t>10/06/08</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7.500%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Mercer Mall</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04/01/09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8.375%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Federal Plaza</w:t>
            </w:r>
          </w:p>
        </w:tc>
        <w:tc>
          <w:tcPr>
            <w:tcW w:w="1540" w:type="dxa"/>
            <w:vAlign w:val="bottom"/>
          </w:tcPr>
          <w:p>
            <w:pPr>
              <w:jc w:val="center"/>
              <w:ind w:left="455"/>
              <w:spacing w:after="0"/>
              <w:rPr>
                <w:sz w:val="20"/>
                <w:szCs w:val="20"/>
                <w:color w:val="auto"/>
              </w:rPr>
            </w:pPr>
            <w:r>
              <w:rPr>
                <w:rFonts w:ascii="Arial" w:cs="Arial" w:eastAsia="Arial" w:hAnsi="Arial"/>
                <w:sz w:val="17"/>
                <w:szCs w:val="17"/>
                <w:color w:val="auto"/>
                <w:w w:val="90"/>
              </w:rPr>
              <w:t>06/01/11</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6.750%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34,895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154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90"/>
              </w:rPr>
              <w:t>09/01/11</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7.400%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Barracks Road</w:t>
            </w:r>
          </w:p>
        </w:tc>
        <w:tc>
          <w:tcPr>
            <w:tcW w:w="1540" w:type="dxa"/>
            <w:vAlign w:val="bottom"/>
          </w:tcPr>
          <w:p>
            <w:pPr>
              <w:jc w:val="center"/>
              <w:ind w:left="455"/>
              <w:spacing w:after="0"/>
              <w:rPr>
                <w:sz w:val="20"/>
                <w:szCs w:val="20"/>
                <w:color w:val="auto"/>
              </w:rPr>
            </w:pPr>
            <w:r>
              <w:rPr>
                <w:rFonts w:ascii="Arial" w:cs="Arial" w:eastAsia="Arial" w:hAnsi="Arial"/>
                <w:sz w:val="17"/>
                <w:szCs w:val="17"/>
                <w:color w:val="auto"/>
                <w:w w:val="90"/>
              </w:rPr>
              <w:t>11/01/15</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7.950%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43,465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Hauppauge</w:t>
            </w:r>
          </w:p>
        </w:tc>
        <w:tc>
          <w:tcPr>
            <w:tcW w:w="154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90"/>
              </w:rPr>
              <w:t>11/01/15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7.950%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Lawrence Park</w:t>
            </w:r>
          </w:p>
        </w:tc>
        <w:tc>
          <w:tcPr>
            <w:tcW w:w="1540" w:type="dxa"/>
            <w:vAlign w:val="bottom"/>
          </w:tcPr>
          <w:p>
            <w:pPr>
              <w:jc w:val="center"/>
              <w:ind w:left="455"/>
              <w:spacing w:after="0"/>
              <w:rPr>
                <w:sz w:val="20"/>
                <w:szCs w:val="20"/>
                <w:color w:val="auto"/>
              </w:rPr>
            </w:pPr>
            <w:r>
              <w:rPr>
                <w:rFonts w:ascii="Arial" w:cs="Arial" w:eastAsia="Arial" w:hAnsi="Arial"/>
                <w:sz w:val="17"/>
                <w:szCs w:val="17"/>
                <w:color w:val="auto"/>
                <w:w w:val="90"/>
              </w:rPr>
              <w:t>11/01/15</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7.950%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30,809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Wildwood</w:t>
            </w:r>
          </w:p>
        </w:tc>
        <w:tc>
          <w:tcPr>
            <w:tcW w:w="154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90"/>
              </w:rPr>
              <w:t>11/01/15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7.950%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Wynnewood</w:t>
            </w:r>
          </w:p>
        </w:tc>
        <w:tc>
          <w:tcPr>
            <w:tcW w:w="1540" w:type="dxa"/>
            <w:vAlign w:val="bottom"/>
          </w:tcPr>
          <w:p>
            <w:pPr>
              <w:jc w:val="center"/>
              <w:ind w:left="455"/>
              <w:spacing w:after="0"/>
              <w:rPr>
                <w:sz w:val="20"/>
                <w:szCs w:val="20"/>
                <w:color w:val="auto"/>
              </w:rPr>
            </w:pPr>
            <w:r>
              <w:rPr>
                <w:rFonts w:ascii="Arial" w:cs="Arial" w:eastAsia="Arial" w:hAnsi="Arial"/>
                <w:sz w:val="17"/>
                <w:szCs w:val="17"/>
                <w:color w:val="auto"/>
                <w:w w:val="90"/>
              </w:rPr>
              <w:t>11/01/15</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7.950%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31,397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Mount Vernon</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04/15/28</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5.660%</w:t>
            </w:r>
          </w:p>
        </w:tc>
        <w:tc>
          <w:tcPr>
            <w:tcW w:w="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Brick Plaza</w:t>
            </w:r>
          </w:p>
        </w:tc>
        <w:tc>
          <w:tcPr>
            <w:tcW w:w="1540" w:type="dxa"/>
            <w:vAlign w:val="bottom"/>
          </w:tcPr>
          <w:p>
            <w:pPr>
              <w:jc w:val="center"/>
              <w:ind w:left="455"/>
              <w:spacing w:after="0"/>
              <w:rPr>
                <w:sz w:val="20"/>
                <w:szCs w:val="20"/>
                <w:color w:val="auto"/>
              </w:rPr>
            </w:pPr>
            <w:r>
              <w:rPr>
                <w:rFonts w:ascii="Arial" w:cs="Arial" w:eastAsia="Arial" w:hAnsi="Arial"/>
                <w:sz w:val="17"/>
                <w:szCs w:val="17"/>
                <w:color w:val="auto"/>
                <w:w w:val="90"/>
              </w:rPr>
              <w:t>11/01/15</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7.415%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32,320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250,291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b w:val="1"/>
                <w:bCs w:val="1"/>
                <w:color w:val="auto"/>
                <w:w w:val="87"/>
              </w:rPr>
              <w:t>Notes Payable</w:t>
            </w:r>
          </w:p>
        </w:tc>
        <w:tc>
          <w:tcPr>
            <w:tcW w:w="3860" w:type="dxa"/>
            <w:vAlign w:val="bottom"/>
            <w:tcBorders>
              <w:bottom w:val="single" w:sz="8" w:color="CCEEFF"/>
            </w:tcBorders>
            <w:gridSpan w:val="4"/>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b w:val="1"/>
                <w:bCs w:val="1"/>
                <w:i w:val="1"/>
                <w:iCs w:val="1"/>
                <w:color w:val="auto"/>
              </w:rPr>
              <w:t>Unsecured Fixed Rate</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Perring Plaza Renovation</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01/31/13</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10.000%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Other</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1"/>
              </w:rPr>
              <w:t>various</w:t>
            </w: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various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Unsecured Variable Rate</w:t>
            </w: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Revolving credit facility</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3"/>
              </w:rPr>
              <w:t>10/08/06</w:t>
            </w:r>
          </w:p>
        </w:tc>
        <w:tc>
          <w:tcPr>
            <w:tcW w:w="1280" w:type="dxa"/>
            <w:vAlign w:val="bottom"/>
          </w:tcPr>
          <w:p>
            <w:pPr>
              <w:jc w:val="center"/>
              <w:spacing w:after="0"/>
              <w:rPr>
                <w:sz w:val="20"/>
                <w:szCs w:val="20"/>
                <w:color w:val="auto"/>
              </w:rPr>
            </w:pPr>
            <w:r>
              <w:rPr>
                <w:rFonts w:ascii="Arial" w:cs="Arial" w:eastAsia="Arial" w:hAnsi="Arial"/>
                <w:sz w:val="17"/>
                <w:szCs w:val="17"/>
                <w:color w:val="auto"/>
                <w:w w:val="97"/>
              </w:rPr>
              <w:t>LIBOR + .75%</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(c)</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Term note with banks</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10/08/06</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LIBOR + .95%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Term note with banks</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3"/>
              </w:rPr>
              <w:t>10/08/08</w:t>
            </w:r>
          </w:p>
        </w:tc>
        <w:tc>
          <w:tcPr>
            <w:tcW w:w="1280" w:type="dxa"/>
            <w:vAlign w:val="bottom"/>
          </w:tcPr>
          <w:p>
            <w:pPr>
              <w:jc w:val="center"/>
              <w:spacing w:after="0"/>
              <w:rPr>
                <w:sz w:val="20"/>
                <w:szCs w:val="20"/>
                <w:color w:val="auto"/>
              </w:rPr>
            </w:pPr>
            <w:r>
              <w:rPr>
                <w:rFonts w:ascii="Arial" w:cs="Arial" w:eastAsia="Arial" w:hAnsi="Arial"/>
                <w:sz w:val="17"/>
                <w:szCs w:val="17"/>
                <w:color w:val="auto"/>
                <w:w w:val="97"/>
              </w:rPr>
              <w:t>LIBOR + .95%</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(d)</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Escondido (Municipal bonds)</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10/01/16</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2.300%</w:t>
            </w:r>
          </w:p>
        </w:tc>
        <w:tc>
          <w:tcPr>
            <w:tcW w:w="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365,340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9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Notes and Debentures</w:t>
            </w:r>
          </w:p>
        </w:tc>
        <w:tc>
          <w:tcPr>
            <w:tcW w:w="1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9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b w:val="1"/>
                <w:bCs w:val="1"/>
                <w:i w:val="1"/>
                <w:iCs w:val="1"/>
                <w:color w:val="auto"/>
              </w:rPr>
              <w:t>Unsecured Fixed Rate</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6.625% Notes (fixed)</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12/01/05</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6.625%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6.99% Medium Term Notes</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3"/>
              </w:rPr>
              <w:t>03/10/06</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6.894%</w:t>
            </w:r>
          </w:p>
        </w:tc>
        <w:tc>
          <w:tcPr>
            <w:tcW w:w="760" w:type="dxa"/>
            <w:vAlign w:val="bottom"/>
            <w:gridSpan w:val="3"/>
          </w:tcPr>
          <w:p>
            <w:pPr>
              <w:ind w:left="180"/>
              <w:spacing w:after="0"/>
              <w:rPr>
                <w:sz w:val="20"/>
                <w:szCs w:val="20"/>
                <w:color w:val="auto"/>
              </w:rPr>
            </w:pPr>
            <w:r>
              <w:rPr>
                <w:rFonts w:ascii="Arial" w:cs="Arial" w:eastAsia="Arial" w:hAnsi="Arial"/>
                <w:sz w:val="17"/>
                <w:szCs w:val="17"/>
                <w:color w:val="auto"/>
              </w:rPr>
              <w:t>(f)</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40,500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6.125% Notes</w:t>
            </w:r>
          </w:p>
        </w:tc>
        <w:tc>
          <w:tcPr>
            <w:tcW w:w="154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90"/>
              </w:rPr>
              <w:t>11/15/07</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6.325%</w:t>
            </w:r>
          </w:p>
        </w:tc>
        <w:tc>
          <w:tcPr>
            <w:tcW w:w="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8.75% Notes</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3"/>
              </w:rPr>
              <w:t>12/01/09</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8.750%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175,000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4.50% Notes</w:t>
            </w:r>
          </w:p>
        </w:tc>
        <w:tc>
          <w:tcPr>
            <w:tcW w:w="154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90"/>
              </w:rPr>
              <w:t>02/15/11</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4.500%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7.48% Debentures</w:t>
            </w:r>
          </w:p>
        </w:tc>
        <w:tc>
          <w:tcPr>
            <w:tcW w:w="1540" w:type="dxa"/>
            <w:vAlign w:val="bottom"/>
          </w:tcPr>
          <w:p>
            <w:pPr>
              <w:jc w:val="center"/>
              <w:ind w:left="435"/>
              <w:spacing w:after="0"/>
              <w:rPr>
                <w:sz w:val="20"/>
                <w:szCs w:val="20"/>
                <w:color w:val="auto"/>
              </w:rPr>
            </w:pPr>
            <w:r>
              <w:rPr>
                <w:rFonts w:ascii="Arial" w:cs="Arial" w:eastAsia="Arial" w:hAnsi="Arial"/>
                <w:sz w:val="17"/>
                <w:szCs w:val="17"/>
                <w:color w:val="auto"/>
                <w:w w:val="93"/>
              </w:rPr>
              <w:t>08/15/26</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7.480%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154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08/01/27</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6.820%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Subtotal</w:t>
            </w: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570,500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6"/>
          </w:tcPr>
          <w:p>
            <w:pPr>
              <w:ind w:left="420"/>
              <w:spacing w:after="0"/>
              <w:rPr>
                <w:sz w:val="20"/>
                <w:szCs w:val="20"/>
                <w:color w:val="auto"/>
              </w:rPr>
            </w:pPr>
            <w:r>
              <w:rPr>
                <w:rFonts w:ascii="Arial" w:cs="Arial" w:eastAsia="Arial" w:hAnsi="Arial"/>
                <w:sz w:val="17"/>
                <w:szCs w:val="17"/>
                <w:color w:val="auto"/>
              </w:rPr>
              <w:t>Less: Unamortized Debt Discount</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
              <w:spacing w:after="0"/>
              <w:rPr>
                <w:sz w:val="20"/>
                <w:szCs w:val="20"/>
                <w:color w:val="auto"/>
              </w:rPr>
            </w:pPr>
            <w:r>
              <w:rPr>
                <w:rFonts w:ascii="Arial" w:cs="Arial" w:eastAsia="Arial" w:hAnsi="Arial"/>
                <w:sz w:val="17"/>
                <w:szCs w:val="17"/>
                <w:color w:val="auto"/>
              </w:rPr>
              <w:t>(2,096)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568,404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9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Capital Lease Obligations</w:t>
            </w:r>
          </w:p>
        </w:tc>
        <w:tc>
          <w:tcPr>
            <w:tcW w:w="1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91"/>
              </w:rPr>
              <w:t>various</w:t>
            </w:r>
          </w:p>
        </w:tc>
        <w:tc>
          <w:tcPr>
            <w:tcW w:w="4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through 2077</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(h)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158,457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840"/>
              <w:spacing w:after="0"/>
              <w:rPr>
                <w:sz w:val="20"/>
                <w:szCs w:val="20"/>
                <w:color w:val="auto"/>
              </w:rPr>
            </w:pPr>
            <w:r>
              <w:rPr>
                <w:rFonts w:ascii="Arial" w:cs="Arial" w:eastAsia="Arial" w:hAnsi="Arial"/>
                <w:sz w:val="17"/>
                <w:szCs w:val="17"/>
                <w:b w:val="1"/>
                <w:bCs w:val="1"/>
                <w:color w:val="auto"/>
              </w:rPr>
              <w:t>Total Debt and Capital Lease Obligations</w:t>
            </w: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1,342,492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Effective Rate at</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1"/>
              </w:rPr>
              <w:t>June 30, 2005 (i)</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840"/>
              <w:spacing w:after="0"/>
              <w:rPr>
                <w:sz w:val="20"/>
                <w:szCs w:val="20"/>
                <w:color w:val="auto"/>
              </w:rPr>
            </w:pPr>
            <w:r>
              <w:rPr>
                <w:rFonts w:ascii="Arial" w:cs="Arial" w:eastAsia="Arial" w:hAnsi="Arial"/>
                <w:sz w:val="17"/>
                <w:szCs w:val="17"/>
                <w:color w:val="auto"/>
              </w:rPr>
              <w:t>Total fixed rate debt and capital lease obligations</w:t>
            </w: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1,129,092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84.10%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7.08%</w:t>
            </w:r>
          </w:p>
        </w:tc>
        <w:tc>
          <w:tcPr>
            <w:tcW w:w="0" w:type="dxa"/>
            <w:vAlign w:val="bottom"/>
          </w:tcPr>
          <w:p>
            <w:pPr>
              <w:spacing w:after="0"/>
              <w:rPr>
                <w:sz w:val="1"/>
                <w:szCs w:val="1"/>
                <w:color w:val="auto"/>
              </w:rPr>
            </w:pPr>
          </w:p>
        </w:tc>
      </w:tr>
      <w:tr>
        <w:trPr>
          <w:trHeight w:val="216"/>
        </w:trPr>
        <w:tc>
          <w:tcPr>
            <w:tcW w:w="4900" w:type="dxa"/>
            <w:vAlign w:val="bottom"/>
            <w:gridSpan w:val="6"/>
          </w:tcPr>
          <w:p>
            <w:pPr>
              <w:ind w:left="840"/>
              <w:spacing w:after="0"/>
              <w:rPr>
                <w:sz w:val="20"/>
                <w:szCs w:val="20"/>
                <w:color w:val="auto"/>
              </w:rPr>
            </w:pPr>
            <w:r>
              <w:rPr>
                <w:rFonts w:ascii="Arial" w:cs="Arial" w:eastAsia="Arial" w:hAnsi="Arial"/>
                <w:sz w:val="17"/>
                <w:szCs w:val="17"/>
                <w:color w:val="auto"/>
              </w:rPr>
              <w:t>Total variable rate debt</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213,400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7"/>
                <w:szCs w:val="17"/>
                <w:color w:val="auto"/>
              </w:rPr>
              <w:t>15.90%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91"/>
              </w:rPr>
              <w:t>4.14%</w:t>
            </w: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900" w:type="dxa"/>
            <w:vAlign w:val="bottom"/>
            <w:gridSpan w:val="6"/>
            <w:shd w:val="clear" w:color="auto" w:fill="CCEEFF"/>
          </w:tcPr>
          <w:p>
            <w:pPr>
              <w:ind w:left="840"/>
              <w:spacing w:after="0"/>
              <w:rPr>
                <w:sz w:val="20"/>
                <w:szCs w:val="20"/>
                <w:color w:val="auto"/>
              </w:rPr>
            </w:pPr>
            <w:r>
              <w:rPr>
                <w:rFonts w:ascii="Arial" w:cs="Arial" w:eastAsia="Arial" w:hAnsi="Arial"/>
                <w:sz w:val="17"/>
                <w:szCs w:val="17"/>
                <w:color w:val="auto"/>
              </w:rPr>
              <w:t>TOTAL DEBT AND CAPITAL LEASES</w:t>
            </w: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1,342,492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9"/>
              </w:rPr>
              <w:t>100.00%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6.61%</w:t>
            </w: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89"/>
              </w:rPr>
              <w:t>Three months ended</w:t>
            </w:r>
          </w:p>
        </w:tc>
        <w:tc>
          <w:tcPr>
            <w:tcW w:w="4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6"/>
          </w:tcPr>
          <w:p>
            <w:pPr>
              <w:jc w:val="center"/>
              <w:ind w:right="580"/>
              <w:spacing w:after="0"/>
              <w:rPr>
                <w:sz w:val="20"/>
                <w:szCs w:val="20"/>
                <w:color w:val="auto"/>
              </w:rPr>
            </w:pPr>
            <w:r>
              <w:rPr>
                <w:rFonts w:ascii="Arial" w:cs="Arial" w:eastAsia="Arial" w:hAnsi="Arial"/>
                <w:sz w:val="13"/>
                <w:szCs w:val="13"/>
                <w:b w:val="1"/>
                <w:bCs w:val="1"/>
                <w:color w:val="auto"/>
                <w:w w:val="88"/>
              </w:rPr>
              <w:t>June 30,</w:t>
            </w:r>
          </w:p>
        </w:tc>
        <w:tc>
          <w:tcPr>
            <w:tcW w:w="40" w:type="dxa"/>
            <w:vAlign w:val="bottom"/>
          </w:tcPr>
          <w:p>
            <w:pPr>
              <w:spacing w:after="0"/>
              <w:rPr>
                <w:sz w:val="14"/>
                <w:szCs w:val="14"/>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74"/>
              <w:spacing w:after="0"/>
              <w:rPr>
                <w:sz w:val="20"/>
                <w:szCs w:val="20"/>
                <w:color w:val="auto"/>
              </w:rPr>
            </w:pPr>
            <w:r>
              <w:rPr>
                <w:rFonts w:ascii="Arial" w:cs="Arial" w:eastAsia="Arial" w:hAnsi="Arial"/>
                <w:sz w:val="13"/>
                <w:szCs w:val="13"/>
                <w:b w:val="1"/>
                <w:bCs w:val="1"/>
                <w:color w:val="auto"/>
              </w:rPr>
              <w:t>2005</w:t>
            </w:r>
          </w:p>
        </w:tc>
        <w:tc>
          <w:tcPr>
            <w:tcW w:w="120" w:type="dxa"/>
            <w:vAlign w:val="bottom"/>
          </w:tcPr>
          <w:p>
            <w:pPr>
              <w:spacing w:after="0"/>
              <w:rPr>
                <w:sz w:val="22"/>
                <w:szCs w:val="22"/>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2004</w:t>
            </w:r>
          </w:p>
        </w:tc>
        <w:tc>
          <w:tcPr>
            <w:tcW w:w="180" w:type="dxa"/>
            <w:vAlign w:val="bottom"/>
          </w:tcPr>
          <w:p>
            <w:pPr>
              <w:spacing w:after="0"/>
              <w:rPr>
                <w:sz w:val="22"/>
                <w:szCs w:val="22"/>
                <w:color w:val="auto"/>
              </w:rPr>
            </w:pPr>
          </w:p>
        </w:tc>
        <w:tc>
          <w:tcPr>
            <w:tcW w:w="480" w:type="dxa"/>
            <w:vAlign w:val="bottom"/>
            <w:gridSpan w:val="2"/>
          </w:tcPr>
          <w:p>
            <w:pPr>
              <w:ind w:left="120"/>
              <w:spacing w:after="0"/>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900" w:type="dxa"/>
            <w:vAlign w:val="bottom"/>
            <w:gridSpan w:val="6"/>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Operational Statistics</w:t>
            </w:r>
          </w:p>
        </w:tc>
        <w:tc>
          <w:tcPr>
            <w:tcW w:w="1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9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7"/>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(j)</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2.74</w:t>
            </w:r>
          </w:p>
        </w:tc>
        <w:tc>
          <w:tcPr>
            <w:tcW w:w="18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7"/>
                <w:szCs w:val="17"/>
                <w:color w:val="auto"/>
              </w:rPr>
              <w:t>2.58</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4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44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w w:val="92"/>
              </w:rPr>
              <w:t>Ratio of Adjusted EBITDA to combined fixed charges and preferred share dividends (j)</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5318125</wp:posOffset>
            </wp:positionH>
            <wp:positionV relativeFrom="paragraph">
              <wp:posOffset>-2401570</wp:posOffset>
            </wp:positionV>
            <wp:extent cx="12700" cy="29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-2401570</wp:posOffset>
            </wp:positionV>
            <wp:extent cx="20955" cy="29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-2401570</wp:posOffset>
            </wp:positionV>
            <wp:extent cx="37465" cy="29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-1285240</wp:posOffset>
            </wp:positionV>
            <wp:extent cx="12700" cy="29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-1285240</wp:posOffset>
            </wp:positionV>
            <wp:extent cx="20955" cy="29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-1285240</wp:posOffset>
            </wp:positionV>
            <wp:extent cx="37465" cy="29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-1285240</wp:posOffset>
            </wp:positionV>
            <wp:extent cx="12700" cy="29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-1285240</wp:posOffset>
            </wp:positionV>
            <wp:extent cx="37465" cy="29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-1285240</wp:posOffset>
            </wp:positionV>
            <wp:extent cx="12700" cy="29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7151370</wp:posOffset>
            </wp:positionH>
            <wp:positionV relativeFrom="paragraph">
              <wp:posOffset>-1285240</wp:posOffset>
            </wp:positionV>
            <wp:extent cx="37465" cy="29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($14.2 million) of the $47.2 million debt of the partnership with Clarion Lion Properties Fund.</w:t>
      </w:r>
    </w:p>
    <w:p>
      <w:pPr>
        <w:sectPr>
          <w:pgSz w:w="11900" w:h="16838" w:orient="portrait"/>
          <w:cols w:equalWidth="0" w:num="1">
            <w:col w:w="11420"/>
          </w:cols>
          <w:pgMar w:left="240" w:top="271" w:right="239" w:bottom="0" w:gutter="0" w:footer="0" w:header="0"/>
        </w:sectPr>
      </w:pPr>
    </w:p>
    <w:bookmarkStart w:id="17" w:name="page18"/>
    <w:bookmarkEnd w:id="17"/>
    <w:p>
      <w:pPr>
        <w:ind w:left="455" w:hanging="455"/>
        <w:spacing w:after="0"/>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lender has the option to call the loan on April 15, 2013 or anytime thereafter.</w:t>
      </w:r>
    </w:p>
    <w:p>
      <w:pPr>
        <w:spacing w:after="0" w:line="20" w:lineRule="exact"/>
        <w:rPr>
          <w:rFonts w:ascii="Arial" w:cs="Arial" w:eastAsia="Arial" w:hAnsi="Arial"/>
          <w:sz w:val="17"/>
          <w:szCs w:val="17"/>
          <w:color w:val="auto"/>
        </w:rPr>
      </w:pPr>
    </w:p>
    <w:p>
      <w:pPr>
        <w:ind w:left="455" w:hanging="455"/>
        <w:spacing w:after="0" w:line="257"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$300 million three-year revolving credit facility, with a one-year extension option. The weighted average effective rate, including the amortization of deferred financing fees, was 3.52% for the three months ended June 30, 2005.</w:t>
      </w:r>
    </w:p>
    <w:p>
      <w:pPr>
        <w:spacing w:after="0" w:line="1" w:lineRule="exact"/>
        <w:rPr>
          <w:rFonts w:ascii="Arial" w:cs="Arial" w:eastAsia="Arial" w:hAnsi="Arial"/>
          <w:sz w:val="17"/>
          <w:szCs w:val="17"/>
          <w:color w:val="auto"/>
        </w:rPr>
      </w:pPr>
    </w:p>
    <w:p>
      <w:pPr>
        <w:ind w:left="455" w:right="340" w:hanging="455"/>
        <w:spacing w:after="0" w:line="257"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January 2004, the Trust purchased an interest rate swap on this note thereby locking in the LIBOR portion of the interest rate at 2.401% through October 2006.</w:t>
      </w:r>
    </w:p>
    <w:p>
      <w:pPr>
        <w:spacing w:after="0" w:line="1" w:lineRule="exact"/>
        <w:rPr>
          <w:rFonts w:ascii="Arial" w:cs="Arial" w:eastAsia="Arial" w:hAnsi="Arial"/>
          <w:sz w:val="17"/>
          <w:szCs w:val="17"/>
          <w:color w:val="auto"/>
        </w:rPr>
      </w:pPr>
    </w:p>
    <w:p>
      <w:pPr>
        <w:ind w:left="455" w:right="160" w:hanging="455"/>
        <w:spacing w:after="0" w:line="273" w:lineRule="auto"/>
        <w:tabs>
          <w:tab w:leader="none" w:pos="4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 The weighted average effective interest rate, including the amortization of deferred financing fees, was 3.68% for the three months ended June 30, 2005.</w:t>
      </w:r>
    </w:p>
    <w:p>
      <w:pPr>
        <w:spacing w:after="0" w:line="1" w:lineRule="exact"/>
        <w:rPr>
          <w:rFonts w:ascii="Arial" w:cs="Arial" w:eastAsia="Arial" w:hAnsi="Arial"/>
          <w:sz w:val="16"/>
          <w:szCs w:val="16"/>
          <w:color w:val="auto"/>
        </w:rPr>
      </w:pPr>
    </w:p>
    <w:p>
      <w:pPr>
        <w:ind w:left="455" w:hanging="455"/>
        <w:spacing w:after="0"/>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 purchased interest rate swaps at issuance, thereby reducing the effective interest on these notes.</w:t>
      </w:r>
    </w:p>
    <w:p>
      <w:pPr>
        <w:spacing w:after="0" w:line="14" w:lineRule="exact"/>
        <w:rPr>
          <w:rFonts w:ascii="Arial" w:cs="Arial" w:eastAsia="Arial" w:hAnsi="Arial"/>
          <w:sz w:val="17"/>
          <w:szCs w:val="17"/>
          <w:color w:val="auto"/>
        </w:rPr>
      </w:pPr>
    </w:p>
    <w:p>
      <w:pPr>
        <w:ind w:left="455" w:right="140" w:hanging="455"/>
        <w:spacing w:after="0" w:line="257"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7"/>
          <w:szCs w:val="17"/>
          <w:color w:val="auto"/>
        </w:rPr>
      </w:pPr>
    </w:p>
    <w:p>
      <w:pPr>
        <w:ind w:left="455" w:right="180" w:hanging="455"/>
        <w:spacing w:after="0" w:line="257"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June 30, 2005 is 8.84% on a basis of minimum rent and 11.31% including performance-based participation rent paid by the Trust.</w:t>
      </w:r>
    </w:p>
    <w:p>
      <w:pPr>
        <w:spacing w:after="0" w:line="1" w:lineRule="exact"/>
        <w:rPr>
          <w:rFonts w:ascii="Arial" w:cs="Arial" w:eastAsia="Arial" w:hAnsi="Arial"/>
          <w:sz w:val="17"/>
          <w:szCs w:val="17"/>
          <w:color w:val="auto"/>
        </w:rPr>
      </w:pPr>
    </w:p>
    <w:p>
      <w:pPr>
        <w:ind w:left="455" w:hanging="455"/>
        <w:spacing w:after="0"/>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and discounts, if applicable.</w:t>
      </w:r>
    </w:p>
    <w:p>
      <w:pPr>
        <w:spacing w:after="0" w:line="14" w:lineRule="exact"/>
        <w:rPr>
          <w:rFonts w:ascii="Arial" w:cs="Arial" w:eastAsia="Arial" w:hAnsi="Arial"/>
          <w:sz w:val="17"/>
          <w:szCs w:val="17"/>
          <w:color w:val="auto"/>
        </w:rPr>
      </w:pPr>
    </w:p>
    <w:p>
      <w:pPr>
        <w:jc w:val="both"/>
        <w:ind w:left="455" w:right="160" w:hanging="455"/>
        <w:spacing w:after="0" w:line="266"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B preferred shares. Adjusted EBITDA is defined and reconciled to net income in the Glossary of Terms.</w:t>
      </w:r>
    </w:p>
    <w:p>
      <w:pPr>
        <w:sectPr>
          <w:pgSz w:w="11900" w:h="16838" w:orient="portrait"/>
          <w:cols w:equalWidth="0" w:num="1">
            <w:col w:w="11395"/>
          </w:cols>
          <w:pgMar w:left="245" w:top="131"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r>
      <w:tr>
        <w:trPr>
          <w:trHeight w:val="144"/>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Scheduled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2"/>
          </w:tcPr>
          <w:p>
            <w:pPr>
              <w:jc w:val="right"/>
              <w:ind w:right="720"/>
              <w:spacing w:after="0" w:line="144" w:lineRule="exact"/>
              <w:rPr>
                <w:sz w:val="20"/>
                <w:szCs w:val="20"/>
                <w:color w:val="auto"/>
              </w:rPr>
            </w:pPr>
            <w:r>
              <w:rPr>
                <w:rFonts w:ascii="Arial" w:cs="Arial" w:eastAsia="Arial" w:hAnsi="Arial"/>
                <w:sz w:val="13"/>
                <w:szCs w:val="13"/>
                <w:b w:val="1"/>
                <w:bCs w:val="1"/>
                <w:color w:val="auto"/>
              </w:rPr>
              <w:t>Percent of</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Percent of</w:t>
            </w:r>
          </w:p>
        </w:tc>
      </w:tr>
      <w:tr>
        <w:trPr>
          <w:trHeight w:val="169"/>
        </w:trPr>
        <w:tc>
          <w:tcPr>
            <w:tcW w:w="510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Maturities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Total</w:t>
            </w:r>
          </w:p>
        </w:tc>
        <w:tc>
          <w:tcPr>
            <w:tcW w:w="14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3"/>
              </w:rPr>
              <w:t>Debt Maturing</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Debt Maturing</w:t>
            </w:r>
          </w:p>
        </w:tc>
      </w:tr>
      <w:tr>
        <w:trPr>
          <w:trHeight w:val="93"/>
        </w:trPr>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2005</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42,138</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2006</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244,500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7"/>
                <w:szCs w:val="17"/>
                <w:color w:val="auto"/>
              </w:rPr>
              <w:t>249,537(1)</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18.6%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21.7%</w:t>
            </w:r>
          </w:p>
        </w:tc>
      </w:tr>
      <w:tr>
        <w:trPr>
          <w:trHeight w:val="210"/>
        </w:trPr>
        <w:tc>
          <w:tcPr>
            <w:tcW w:w="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2007</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154,841</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1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2008</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159,541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165,370</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12.3%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45.5%</w:t>
            </w:r>
          </w:p>
        </w:tc>
      </w:tr>
      <w:tr>
        <w:trPr>
          <w:trHeight w:val="210"/>
        </w:trPr>
        <w:tc>
          <w:tcPr>
            <w:tcW w:w="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2009</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184,603</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59.3%</w:t>
            </w:r>
          </w:p>
        </w:tc>
      </w:tr>
      <w:tr>
        <w:trPr>
          <w:trHeight w:val="21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2010</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6,639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6,639</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0.5%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59.8%</w:t>
            </w:r>
          </w:p>
        </w:tc>
      </w:tr>
      <w:tr>
        <w:trPr>
          <w:trHeight w:val="210"/>
        </w:trPr>
        <w:tc>
          <w:tcPr>
            <w:tcW w:w="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2011</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118,350</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w:t>
            </w:r>
          </w:p>
        </w:tc>
      </w:tr>
      <w:tr>
        <w:trPr>
          <w:trHeight w:val="21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2012</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6,801</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0.5%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69.1%</w:t>
            </w:r>
          </w:p>
        </w:tc>
      </w:tr>
      <w:tr>
        <w:trPr>
          <w:trHeight w:val="210"/>
        </w:trPr>
        <w:tc>
          <w:tcPr>
            <w:tcW w:w="9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2013</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5,361</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69.5%</w:t>
            </w:r>
          </w:p>
        </w:tc>
      </w:tr>
      <w:tr>
        <w:trPr>
          <w:trHeight w:val="21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2014</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5,771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5,771</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0.4%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69.9%</w:t>
            </w:r>
          </w:p>
        </w:tc>
      </w:tr>
      <w:tr>
        <w:trPr>
          <w:trHeight w:val="210"/>
        </w:trPr>
        <w:tc>
          <w:tcPr>
            <w:tcW w:w="5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403,081</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105"/>
        </w:trPr>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36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1,128,772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87"/>
              </w:rPr>
              <w:t>1,342,492</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100.0%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28"/>
        </w:trPr>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7"/>
        </w:trPr>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-168275</wp:posOffset>
            </wp:positionV>
            <wp:extent cx="12700" cy="29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-168275</wp:posOffset>
            </wp:positionV>
            <wp:extent cx="12700" cy="29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-168275</wp:posOffset>
            </wp:positionV>
            <wp:extent cx="20955" cy="29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-168275</wp:posOffset>
            </wp:positionV>
            <wp:extent cx="2263140" cy="29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63140"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Maturities in 2006 include a $100 million term loan and $104 million drawn under the Trust’s $300 million three-year revolving credit facility.</w:t>
      </w:r>
    </w:p>
    <w:p>
      <w:pPr>
        <w:sectPr>
          <w:pgSz w:w="11900" w:h="16838" w:orient="portrait"/>
          <w:cols w:equalWidth="0" w:num="1">
            <w:col w:w="11420"/>
          </w:cols>
          <w:pgMar w:left="240" w:top="27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87"/>
              </w:rPr>
              <w:t>Projected</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400" w:type="dxa"/>
            <w:vAlign w:val="bottom"/>
            <w:gridSpan w:val="2"/>
          </w:tcPr>
          <w:p>
            <w:pPr>
              <w:spacing w:after="0"/>
              <w:rPr>
                <w:sz w:val="20"/>
                <w:szCs w:val="20"/>
                <w:color w:val="auto"/>
              </w:rPr>
            </w:pPr>
            <w:r>
              <w:rPr>
                <w:rFonts w:ascii="Arial" w:cs="Arial" w:eastAsia="Arial" w:hAnsi="Arial"/>
                <w:sz w:val="13"/>
                <w:szCs w:val="13"/>
                <w:b w:val="1"/>
                <w:bCs w:val="1"/>
                <w:color w:val="auto"/>
                <w:w w:val="84"/>
              </w:rPr>
              <w:t>Cost to</w:t>
            </w:r>
          </w:p>
        </w:tc>
        <w:tc>
          <w:tcPr>
            <w:tcW w:w="0" w:type="dxa"/>
            <w:vAlign w:val="bottom"/>
          </w:tcPr>
          <w:p>
            <w:pPr>
              <w:spacing w:after="0"/>
              <w:rPr>
                <w:sz w:val="1"/>
                <w:szCs w:val="1"/>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860" w:type="dxa"/>
            <w:vAlign w:val="bottom"/>
            <w:gridSpan w:val="3"/>
          </w:tcPr>
          <w:p>
            <w:pPr>
              <w:ind w:left="320"/>
              <w:spacing w:after="0"/>
              <w:rPr>
                <w:sz w:val="20"/>
                <w:szCs w:val="20"/>
                <w:color w:val="auto"/>
              </w:rPr>
            </w:pPr>
            <w:r>
              <w:rPr>
                <w:rFonts w:ascii="Arial" w:cs="Arial" w:eastAsia="Arial" w:hAnsi="Arial"/>
                <w:sz w:val="13"/>
                <w:szCs w:val="13"/>
                <w:b w:val="1"/>
                <w:bCs w:val="1"/>
                <w:color w:val="auto"/>
              </w:rPr>
              <w:t>Location</w:t>
            </w:r>
          </w:p>
        </w:tc>
        <w:tc>
          <w:tcPr>
            <w:tcW w:w="5040" w:type="dxa"/>
            <w:vAlign w:val="bottom"/>
            <w:gridSpan w:val="3"/>
          </w:tcPr>
          <w:p>
            <w:pPr>
              <w:ind w:left="180"/>
              <w:spacing w:after="0"/>
              <w:rPr>
                <w:sz w:val="20"/>
                <w:szCs w:val="20"/>
                <w:color w:val="auto"/>
              </w:rPr>
            </w:pPr>
            <w:r>
              <w:rPr>
                <w:rFonts w:ascii="Arial" w:cs="Arial" w:eastAsia="Arial" w:hAnsi="Arial"/>
                <w:sz w:val="13"/>
                <w:szCs w:val="13"/>
                <w:b w:val="1"/>
                <w:bCs w:val="1"/>
                <w:color w:val="auto"/>
              </w:rPr>
              <w:t>Opportunity</w:t>
            </w: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ROI (2)</w:t>
            </w: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 (1)</w:t>
            </w: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93"/>
        </w:trPr>
        <w:tc>
          <w:tcPr>
            <w:tcW w:w="660" w:type="dxa"/>
            <w:vAlign w:val="bottom"/>
            <w:tcBorders>
              <w:bottom w:val="single" w:sz="8" w:color="auto"/>
            </w:tcBorders>
          </w:tcPr>
          <w:p>
            <w:pPr>
              <w:spacing w:after="0"/>
              <w:rPr>
                <w:sz w:val="8"/>
                <w:szCs w:val="8"/>
                <w:color w:val="auto"/>
              </w:rPr>
            </w:pPr>
          </w:p>
        </w:tc>
        <w:tc>
          <w:tcPr>
            <w:tcW w:w="194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1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Anticipated to Stabilize in 2005 (3)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80" w:type="dxa"/>
            <w:vAlign w:val="bottom"/>
            <w:gridSpan w:val="2"/>
          </w:tcPr>
          <w:p>
            <w:pPr>
              <w:spacing w:after="0"/>
              <w:rPr>
                <w:sz w:val="20"/>
                <w:szCs w:val="20"/>
                <w:color w:val="auto"/>
              </w:rPr>
            </w:pPr>
            <w:r>
              <w:rPr>
                <w:rFonts w:ascii="Arial" w:cs="Arial" w:eastAsia="Arial" w:hAnsi="Arial"/>
                <w:sz w:val="17"/>
                <w:szCs w:val="17"/>
                <w:color w:val="auto"/>
              </w:rPr>
              <w:t>Bala Cynwyd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Grocer re-location and expansion and re-tenanting (new health</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Philadelphia, PA</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club)</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&gt;20%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Andorra</w:t>
            </w: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Philadelphia, PA</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Re-tenanting (new health club)</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Pan Am</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Fairfax, VA</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w w:val="97"/>
              </w:rPr>
              <w:t>Grocer expansion, small shop re-tenanting and site improvements</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Greenlawn Plaza</w:t>
            </w: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Greenlawn, NY</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Re-tenanting and new pad site (child care)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&gt;20%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Bristol Plaza</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Bristol, CT</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Grocer relocation, canopy and façade renovation</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01"/>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Brunswick</w:t>
            </w: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North Brunswick,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NJ</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Re-tenanting (new health club)</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2280" w:type="dxa"/>
            <w:vAlign w:val="bottom"/>
            <w:gridSpan w:val="2"/>
          </w:tcPr>
          <w:p>
            <w:pPr>
              <w:spacing w:after="0"/>
              <w:rPr>
                <w:sz w:val="20"/>
                <w:szCs w:val="20"/>
                <w:color w:val="auto"/>
              </w:rPr>
            </w:pPr>
            <w:r>
              <w:rPr>
                <w:rFonts w:ascii="Arial" w:cs="Arial" w:eastAsia="Arial" w:hAnsi="Arial"/>
                <w:sz w:val="17"/>
                <w:szCs w:val="17"/>
                <w:color w:val="auto"/>
              </w:rPr>
              <w:t>Rutgers Plaza</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Grocer re-location and expansion and backfill of existing grocer</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Franklin, NJ</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space</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11"/>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Lancaster</w:t>
            </w: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Lancaster, PA</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New pad site (bank)</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19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180" w:type="dxa"/>
            <w:vAlign w:val="bottom"/>
            <w:gridSpan w:val="8"/>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2005 (3) (4)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17%</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19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1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Anticipated to Stabilize in 2006 (3)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Santana Phase IV</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San Jose, CA</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Building Seven residential re-build</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67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1"/>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Mount Vernon /South Valley</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Grocer expansion, anchor &amp; small shop re-tenanting, four new</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Alexandria, VA</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“main street” buildings &amp; a bank pad.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Mercer Mall</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Lawrenceville, NJ</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Demolish, redevelop and re-tenant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Leesburg Plaza</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Re-demise the former Kmart &amp; Peebles buildings, re-tenant, and</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Leesburg, VA</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add three pad sites.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Village at Shirlington</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Arlington, VA</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New ground floor retail and parking garage</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Brick Plaza</w:t>
            </w:r>
          </w:p>
        </w:tc>
        <w:tc>
          <w:tcPr>
            <w:tcW w:w="18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Brick, NJ</w:t>
            </w: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Re-tenanting (electronics)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7"/>
                <w:szCs w:val="17"/>
                <w:color w:val="auto"/>
              </w:rPr>
              <w:t>Hauppauge Shopping Center</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Hauppauge, NY</w:t>
            </w:r>
          </w:p>
        </w:tc>
        <w:tc>
          <w:tcPr>
            <w:tcW w:w="5040" w:type="dxa"/>
            <w:vAlign w:val="bottom"/>
            <w:gridSpan w:val="3"/>
          </w:tcPr>
          <w:p>
            <w:pPr>
              <w:ind w:left="180"/>
              <w:spacing w:after="0"/>
              <w:rPr>
                <w:sz w:val="20"/>
                <w:szCs w:val="20"/>
                <w:color w:val="auto"/>
              </w:rPr>
            </w:pPr>
            <w:r>
              <w:rPr>
                <w:rFonts w:ascii="Arial" w:cs="Arial" w:eastAsia="Arial" w:hAnsi="Arial"/>
                <w:sz w:val="17"/>
                <w:szCs w:val="17"/>
                <w:color w:val="auto"/>
              </w:rPr>
              <w:t>Pad site re-tenanting (restaurant)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&lt;1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99"/>
        </w:trPr>
        <w:tc>
          <w:tcPr>
            <w:tcW w:w="66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9180" w:type="dxa"/>
            <w:vAlign w:val="bottom"/>
            <w:gridSpan w:val="8"/>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2006 (3) (4)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w:t>
            </w: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19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1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Total: Projects Anticipated to Stabilize in 2005 and 2006</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12%</w:t>
            </w:r>
          </w:p>
        </w:tc>
        <w:tc>
          <w:tcPr>
            <w:tcW w:w="18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174</w:t>
            </w:r>
          </w:p>
        </w:tc>
        <w:tc>
          <w:tcPr>
            <w:tcW w:w="3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ind w:left="220"/>
              <w:spacing w:after="0"/>
              <w:rPr>
                <w:sz w:val="20"/>
                <w:szCs w:val="20"/>
                <w:color w:val="auto"/>
              </w:rPr>
            </w:pPr>
            <w:r>
              <w:rPr>
                <w:rFonts w:ascii="Arial" w:cs="Arial" w:eastAsia="Arial" w:hAnsi="Arial"/>
                <w:sz w:val="17"/>
                <w:szCs w:val="17"/>
                <w:b w:val="1"/>
                <w:bCs w:val="1"/>
                <w:i w:val="1"/>
                <w:iCs w:val="1"/>
                <w:color w:val="auto"/>
                <w:w w:val="90"/>
              </w:rPr>
              <w:t>(3) (4)</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-454025</wp:posOffset>
            </wp:positionV>
            <wp:extent cx="12700" cy="29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-454025</wp:posOffset>
            </wp:positionV>
            <wp:extent cx="37465" cy="29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-454025</wp:posOffset>
            </wp:positionV>
            <wp:extent cx="12700" cy="29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-454025</wp:posOffset>
            </wp:positionV>
            <wp:extent cx="12700" cy="292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-454025</wp:posOffset>
            </wp:positionV>
            <wp:extent cx="20955" cy="29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6993255</wp:posOffset>
            </wp:positionH>
            <wp:positionV relativeFrom="paragraph">
              <wp:posOffset>-454025</wp:posOffset>
            </wp:positionV>
            <wp:extent cx="12700" cy="292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-454025</wp:posOffset>
            </wp:positionV>
            <wp:extent cx="12700" cy="29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7068185</wp:posOffset>
            </wp:positionH>
            <wp:positionV relativeFrom="paragraph">
              <wp:posOffset>-454025</wp:posOffset>
            </wp:positionV>
            <wp:extent cx="20955" cy="29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-28575</wp:posOffset>
            </wp:positionV>
            <wp:extent cx="12700" cy="29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-28575</wp:posOffset>
            </wp:positionV>
            <wp:extent cx="37465" cy="29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-28575</wp:posOffset>
            </wp:positionV>
            <wp:extent cx="12700" cy="29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-28575</wp:posOffset>
            </wp:positionV>
            <wp:extent cx="12700" cy="29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-28575</wp:posOffset>
            </wp:positionV>
            <wp:extent cx="20955" cy="29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6993255</wp:posOffset>
            </wp:positionH>
            <wp:positionV relativeFrom="paragraph">
              <wp:posOffset>-28575</wp:posOffset>
            </wp:positionV>
            <wp:extent cx="12700" cy="29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7068185</wp:posOffset>
            </wp:positionH>
            <wp:positionV relativeFrom="paragraph">
              <wp:posOffset>-28575</wp:posOffset>
            </wp:positionV>
            <wp:extent cx="20955" cy="29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pacing w:after="0" w:line="2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color w:val="auto"/>
        </w:rPr>
        <w:t>Redevelopments anticipated to stabilize in 2007 and 2008 include the final phase of Bethesda Row, Galaxy Building, Rockville Town Square, Shops at Willow Lawn, Loehmann’s Plaza, and Flourtown representing $150 million to $200 million of redevelopment capital. Projects anticipated to stabilize after 2008 include future phases of Santana Row, redevelopment phases of Assembly Square, and future phases of Bala Cynwyd. (3)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6000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Notes:</w:t>
      </w:r>
    </w:p>
    <w:p>
      <w:pPr>
        <w:spacing w:after="0" w:line="21" w:lineRule="exact"/>
        <w:rPr>
          <w:sz w:val="20"/>
          <w:szCs w:val="20"/>
          <w:color w:val="auto"/>
        </w:rPr>
      </w:pPr>
    </w:p>
    <w:p>
      <w:pPr>
        <w:jc w:val="both"/>
        <w:ind w:left="460" w:right="180" w:hanging="455"/>
        <w:spacing w:after="0" w:line="292" w:lineRule="auto"/>
        <w:tabs>
          <w:tab w:leader="none" w:pos="460" w:val="left"/>
        </w:tabs>
        <w:numPr>
          <w:ilvl w:val="0"/>
          <w:numId w:val="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460" w:right="220" w:hanging="455"/>
        <w:spacing w:after="0" w:line="292" w:lineRule="auto"/>
        <w:tabs>
          <w:tab w:leader="none" w:pos="460" w:val="left"/>
        </w:tabs>
        <w:numPr>
          <w:ilvl w:val="0"/>
          <w:numId w:val="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ind w:left="460" w:right="20" w:hanging="455"/>
        <w:spacing w:after="0" w:line="257" w:lineRule="auto"/>
        <w:tabs>
          <w:tab w:leader="none" w:pos="46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Anticipated Stabilization is the year in which 95% occupancy of the redeveloped space is anticipated to be achieved. Individual items may not sum to total as a result of rounding.</w:t>
      </w:r>
    </w:p>
    <w:p>
      <w:pPr>
        <w:spacing w:after="0" w:line="1" w:lineRule="exact"/>
        <w:rPr>
          <w:rFonts w:ascii="Arial" w:cs="Arial" w:eastAsia="Arial" w:hAnsi="Arial"/>
          <w:sz w:val="17"/>
          <w:szCs w:val="17"/>
          <w:b w:val="1"/>
          <w:bCs w:val="1"/>
          <w:i w:val="1"/>
          <w:iCs w:val="1"/>
          <w:color w:val="auto"/>
        </w:rPr>
      </w:pPr>
    </w:p>
    <w:p>
      <w:pPr>
        <w:ind w:left="460" w:hanging="455"/>
        <w:spacing w:after="0"/>
        <w:tabs>
          <w:tab w:leader="none" w:pos="46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subtotals and totals reflect cost weighted-average ROIs.</w:t>
      </w:r>
    </w:p>
    <w:p>
      <w:pPr>
        <w:spacing w:after="0" w:line="14" w:lineRule="exact"/>
        <w:rPr>
          <w:rFonts w:ascii="Arial" w:cs="Arial" w:eastAsia="Arial" w:hAnsi="Arial"/>
          <w:sz w:val="17"/>
          <w:szCs w:val="17"/>
          <w:b w:val="1"/>
          <w:bCs w:val="1"/>
          <w:i w:val="1"/>
          <w:iCs w:val="1"/>
          <w:color w:val="auto"/>
        </w:rPr>
      </w:pPr>
    </w:p>
    <w:p>
      <w:pPr>
        <w:ind w:left="460" w:right="100" w:hanging="455"/>
        <w:spacing w:after="0" w:line="275" w:lineRule="auto"/>
        <w:tabs>
          <w:tab w:leader="none" w:pos="46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 (1)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jc w:val="both"/>
        <w:ind w:left="4100"/>
        <w:spacing w:after="0"/>
        <w:tabs>
          <w:tab w:leader="none" w:pos="8200" w:val="left"/>
        </w:tabs>
        <w:rPr>
          <w:sz w:val="20"/>
          <w:szCs w:val="20"/>
          <w:color w:val="auto"/>
        </w:rPr>
      </w:pPr>
      <w:r>
        <w:rPr>
          <w:rFonts w:ascii="Arial" w:cs="Arial" w:eastAsia="Arial" w:hAnsi="Arial"/>
          <w:sz w:val="13"/>
          <w:szCs w:val="13"/>
          <w:b w:val="1"/>
          <w:bCs w:val="1"/>
          <w:color w:val="auto"/>
        </w:rPr>
        <w:t>Description</w:t>
      </w:r>
      <w:r>
        <w:rPr>
          <w:sz w:val="20"/>
          <w:szCs w:val="20"/>
          <w:color w:val="auto"/>
        </w:rPr>
        <w:tab/>
      </w:r>
      <w:r>
        <w:rPr>
          <w:rFonts w:ascii="Arial" w:cs="Arial" w:eastAsia="Arial" w:hAnsi="Arial"/>
          <w:sz w:val="13"/>
          <w:szCs w:val="13"/>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71755</wp:posOffset>
            </wp:positionV>
            <wp:extent cx="5581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71755</wp:posOffset>
            </wp:positionV>
            <wp:extent cx="516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 Phases I, II and III (2)</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Retail</w:t>
      </w: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Residential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Progress (3)</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Residential - for rent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Phase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Residential -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Commitments:</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(as of July 24,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160" w:hanging="824"/>
        <w:spacing w:after="0" w:line="322" w:lineRule="auto"/>
        <w:rPr>
          <w:sz w:val="20"/>
          <w:szCs w:val="20"/>
          <w:color w:val="auto"/>
        </w:rPr>
      </w:pPr>
      <w:r>
        <w:rPr>
          <w:rFonts w:ascii="Arial" w:cs="Arial" w:eastAsia="Arial" w:hAnsi="Arial"/>
          <w:sz w:val="15"/>
          <w:szCs w:val="15"/>
          <w:color w:val="auto"/>
        </w:rPr>
        <w:t>558,000 sf Retail was 93% leased as of June 30, 2005. New store openings from May through July 2005 include Brooks Brothers, Tumi, Thea, El Jardin, Style &amp; Form and Lavande. Sino and Vintage Wine Bar are scheduled to open in third quarter 2005.</w:t>
      </w:r>
    </w:p>
    <w:p>
      <w:pPr>
        <w:spacing w:after="0" w:line="41" w:lineRule="exact"/>
        <w:rPr>
          <w:sz w:val="20"/>
          <w:szCs w:val="20"/>
          <w:color w:val="auto"/>
        </w:rPr>
      </w:pPr>
    </w:p>
    <w:p>
      <w:pPr>
        <w:ind w:hanging="734"/>
        <w:spacing w:after="0" w:line="312" w:lineRule="auto"/>
        <w:rPr>
          <w:sz w:val="20"/>
          <w:szCs w:val="20"/>
          <w:color w:val="auto"/>
        </w:rPr>
      </w:pPr>
      <w:r>
        <w:rPr>
          <w:rFonts w:ascii="Arial" w:cs="Arial" w:eastAsia="Arial" w:hAnsi="Arial"/>
          <w:sz w:val="15"/>
          <w:szCs w:val="15"/>
          <w:color w:val="auto"/>
        </w:rPr>
        <w:t>255 units 219 loft and villa units are planned for sale as condominiums with the first closings expected in August 2005. Units in Buildings Three, Four and Six are being allowed to remain vacant as leases expire to facilitate condominium sales. 36 townhouse units in Building Eight will remain as rentals and were 92% leased on June 30, 2005.</w:t>
      </w:r>
    </w:p>
    <w:p>
      <w:pPr>
        <w:spacing w:after="0" w:line="153" w:lineRule="exact"/>
        <w:rPr>
          <w:sz w:val="20"/>
          <w:szCs w:val="20"/>
          <w:color w:val="auto"/>
        </w:rPr>
      </w:pPr>
    </w:p>
    <w:p>
      <w:pPr>
        <w:ind w:right="20" w:hanging="734"/>
        <w:spacing w:after="0" w:line="280" w:lineRule="auto"/>
        <w:rPr>
          <w:sz w:val="20"/>
          <w:szCs w:val="20"/>
          <w:color w:val="auto"/>
        </w:rPr>
      </w:pPr>
      <w:r>
        <w:rPr>
          <w:rFonts w:ascii="Arial" w:cs="Arial" w:eastAsia="Arial" w:hAnsi="Arial"/>
          <w:sz w:val="16"/>
          <w:szCs w:val="16"/>
          <w:color w:val="auto"/>
        </w:rPr>
        <w:t>256 units 256 rental units being built on the Building Seven podium. Initial occupancy commenced in April 2005 with lease-up expected to continue through mid-2006. As of July 24, 2005, 71 units (37 townhomes and 34 flats) have been leased at an average rental rate of $2.58 per square foot per month. 31 residents of Buildings Three, Four and Six (the buildings planned to be sold as condominiums) have signed leases to relocate to new units in Building Seven. Projected cost of $67 million is expected to yield 11% upon stabilization in 2006.</w:t>
      </w:r>
    </w:p>
    <w:p>
      <w:pPr>
        <w:spacing w:after="0" w:line="72" w:lineRule="exact"/>
        <w:rPr>
          <w:sz w:val="20"/>
          <w:szCs w:val="20"/>
          <w:color w:val="auto"/>
        </w:rPr>
      </w:pPr>
    </w:p>
    <w:p>
      <w:pPr>
        <w:jc w:val="both"/>
        <w:ind w:right="200" w:hanging="734"/>
        <w:spacing w:after="0" w:line="284" w:lineRule="auto"/>
        <w:rPr>
          <w:sz w:val="20"/>
          <w:szCs w:val="20"/>
          <w:color w:val="auto"/>
        </w:rPr>
      </w:pPr>
      <w:r>
        <w:rPr>
          <w:rFonts w:ascii="Arial" w:cs="Arial" w:eastAsia="Arial" w:hAnsi="Arial"/>
          <w:sz w:val="16"/>
          <w:szCs w:val="16"/>
          <w:color w:val="auto"/>
        </w:rPr>
        <w:t>219 units Currently seeking approval from the California Department of Real Estate to sell 219 loft and villa units as condominiums, with closings expected to commence in August 2005. Projected gross sales proceeds of approximately $135 million. Over 4,300 people have registered as “interested” in owning units and over 400 of these people have been pre-qualified by approved lenders. (4)</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43 units are under binding contracts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 units are reserved and being converted to contracts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Four units are currently being marketed</w:t>
      </w:r>
    </w:p>
    <w:p>
      <w:pPr>
        <w:spacing w:after="0" w:line="1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18 of the units that are reserved or under contract are with existing Santana Row tenants</w:t>
      </w:r>
    </w:p>
    <w:p>
      <w:pPr>
        <w:spacing w:after="0" w:line="67" w:lineRule="exact"/>
        <w:rPr>
          <w:sz w:val="20"/>
          <w:szCs w:val="20"/>
          <w:color w:val="auto"/>
        </w:rPr>
      </w:pPr>
    </w:p>
    <w:p>
      <w:pPr>
        <w:sectPr>
          <w:pgSz w:w="11900" w:h="16838" w:orient="portrait"/>
          <w:cols w:equalWidth="0" w:num="2">
            <w:col w:w="4880" w:space="720"/>
            <w:col w:w="5820"/>
          </w:cols>
          <w:pgMar w:left="240" w:top="271"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820" w:type="dxa"/>
            <w:vAlign w:val="bottom"/>
          </w:tcPr>
          <w:p>
            <w:pPr>
              <w:ind w:left="1100"/>
              <w:spacing w:after="0"/>
              <w:rPr>
                <w:sz w:val="20"/>
                <w:szCs w:val="20"/>
                <w:color w:val="auto"/>
              </w:rPr>
            </w:pPr>
            <w:r>
              <w:rPr>
                <w:rFonts w:ascii="Arial" w:cs="Arial" w:eastAsia="Arial" w:hAnsi="Arial"/>
                <w:sz w:val="17"/>
                <w:szCs w:val="17"/>
                <w:b w:val="1"/>
                <w:bCs w:val="1"/>
                <w:color w:val="auto"/>
              </w:rPr>
              <w:t>Approvals:</w:t>
            </w:r>
          </w:p>
        </w:tc>
        <w:tc>
          <w:tcPr>
            <w:tcW w:w="7260" w:type="dxa"/>
            <w:vAlign w:val="bottom"/>
            <w:gridSpan w:val="2"/>
          </w:tcPr>
          <w:p>
            <w:pPr>
              <w:ind w:left="900"/>
              <w:spacing w:after="0"/>
              <w:rPr>
                <w:sz w:val="20"/>
                <w:szCs w:val="20"/>
                <w:color w:val="auto"/>
              </w:rPr>
            </w:pPr>
            <w:r>
              <w:rPr>
                <w:rFonts w:ascii="Arial" w:cs="Arial" w:eastAsia="Arial" w:hAnsi="Arial"/>
                <w:sz w:val="17"/>
                <w:szCs w:val="17"/>
                <w:i w:val="1"/>
                <w:iCs w:val="1"/>
                <w:color w:val="auto"/>
              </w:rPr>
              <w:t xml:space="preserve">Building Four (100 lofts):  </w:t>
            </w:r>
            <w:r>
              <w:rPr>
                <w:rFonts w:ascii="Arial" w:cs="Arial" w:eastAsia="Arial" w:hAnsi="Arial"/>
                <w:sz w:val="17"/>
                <w:szCs w:val="17"/>
                <w:color w:val="auto"/>
              </w:rPr>
              <w:t>Approval in place to sign contracts</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Approval to close sales expected in August 2005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rPr>
              <w:t>Closings expected to commence in August 2005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7"/>
                <w:szCs w:val="17"/>
                <w:i w:val="1"/>
                <w:iCs w:val="1"/>
                <w:color w:val="auto"/>
              </w:rPr>
              <w:t>Building Six (21 villas):</w:t>
            </w:r>
          </w:p>
        </w:tc>
        <w:tc>
          <w:tcPr>
            <w:tcW w:w="4520" w:type="dxa"/>
            <w:vAlign w:val="bottom"/>
          </w:tcPr>
          <w:p>
            <w:pPr>
              <w:ind w:left="40"/>
              <w:spacing w:after="0"/>
              <w:rPr>
                <w:sz w:val="20"/>
                <w:szCs w:val="20"/>
                <w:color w:val="auto"/>
              </w:rPr>
            </w:pPr>
            <w:r>
              <w:rPr>
                <w:rFonts w:ascii="Arial" w:cs="Arial" w:eastAsia="Arial" w:hAnsi="Arial"/>
                <w:sz w:val="17"/>
                <w:szCs w:val="17"/>
                <w:color w:val="auto"/>
              </w:rPr>
              <w:t>Approval in place to sign contracts</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w w:val="96"/>
              </w:rPr>
              <w:t>Approval to close sales expected in September/October 2005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w w:val="97"/>
              </w:rPr>
              <w:t>Closings expected to commence in September/October 2005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7260" w:type="dxa"/>
            <w:vAlign w:val="bottom"/>
            <w:gridSpan w:val="2"/>
          </w:tcPr>
          <w:p>
            <w:pPr>
              <w:ind w:left="940"/>
              <w:spacing w:after="0"/>
              <w:rPr>
                <w:sz w:val="20"/>
                <w:szCs w:val="20"/>
                <w:color w:val="auto"/>
              </w:rPr>
            </w:pPr>
            <w:r>
              <w:rPr>
                <w:rFonts w:ascii="Arial" w:cs="Arial" w:eastAsia="Arial" w:hAnsi="Arial"/>
                <w:sz w:val="17"/>
                <w:szCs w:val="17"/>
                <w:i w:val="1"/>
                <w:iCs w:val="1"/>
                <w:color w:val="auto"/>
                <w:w w:val="92"/>
              </w:rPr>
              <w:t xml:space="preserve">Building Three (98 lofts):  </w:t>
            </w:r>
            <w:r>
              <w:rPr>
                <w:rFonts w:ascii="Arial" w:cs="Arial" w:eastAsia="Arial" w:hAnsi="Arial"/>
                <w:sz w:val="17"/>
                <w:szCs w:val="17"/>
                <w:color w:val="auto"/>
                <w:w w:val="92"/>
              </w:rPr>
              <w:t>Approval to sign contracts expected in September/October 2005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w w:val="93"/>
              </w:rPr>
              <w:t>Approval to close sales expected in November/December 2005</w:t>
            </w:r>
          </w:p>
        </w:tc>
        <w:tc>
          <w:tcPr>
            <w:tcW w:w="0" w:type="dxa"/>
            <w:vAlign w:val="bottom"/>
          </w:tcPr>
          <w:p>
            <w:pPr>
              <w:spacing w:after="0"/>
              <w:rPr>
                <w:sz w:val="1"/>
                <w:szCs w:val="1"/>
                <w:color w:val="auto"/>
              </w:rPr>
            </w:pPr>
          </w:p>
        </w:tc>
      </w:tr>
      <w:tr>
        <w:trPr>
          <w:trHeight w:val="216"/>
        </w:trPr>
        <w:tc>
          <w:tcPr>
            <w:tcW w:w="2820" w:type="dxa"/>
            <w:vAlign w:val="bottom"/>
            <w:vMerge w:val="restart"/>
          </w:tcPr>
          <w:p>
            <w:pPr>
              <w:spacing w:after="0"/>
              <w:rPr>
                <w:sz w:val="20"/>
                <w:szCs w:val="20"/>
                <w:color w:val="auto"/>
              </w:rPr>
            </w:pPr>
            <w:r>
              <w:rPr>
                <w:rFonts w:ascii="Arial" w:cs="Arial" w:eastAsia="Arial" w:hAnsi="Arial"/>
                <w:sz w:val="17"/>
                <w:szCs w:val="17"/>
                <w:b w:val="1"/>
                <w:bCs w:val="1"/>
                <w:color w:val="auto"/>
              </w:rPr>
              <w:t>Future (5)</w:t>
            </w:r>
          </w:p>
        </w:tc>
        <w:tc>
          <w:tcPr>
            <w:tcW w:w="274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7"/>
                <w:szCs w:val="17"/>
                <w:color w:val="auto"/>
                <w:w w:val="89"/>
              </w:rPr>
              <w:t>Closings expected to commence in December 2005/January 2006</w:t>
            </w:r>
          </w:p>
        </w:tc>
        <w:tc>
          <w:tcPr>
            <w:tcW w:w="0" w:type="dxa"/>
            <w:vAlign w:val="bottom"/>
          </w:tcPr>
          <w:p>
            <w:pPr>
              <w:spacing w:after="0"/>
              <w:rPr>
                <w:sz w:val="1"/>
                <w:szCs w:val="1"/>
                <w:color w:val="auto"/>
              </w:rPr>
            </w:pPr>
          </w:p>
        </w:tc>
      </w:tr>
      <w:tr>
        <w:trPr>
          <w:trHeight w:val="204"/>
        </w:trPr>
        <w:tc>
          <w:tcPr>
            <w:tcW w:w="282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420"/>
              <w:spacing w:after="0"/>
              <w:rPr>
                <w:sz w:val="20"/>
                <w:szCs w:val="20"/>
                <w:color w:val="auto"/>
              </w:rPr>
            </w:pPr>
            <w:r>
              <w:rPr>
                <w:rFonts w:ascii="Arial" w:cs="Arial" w:eastAsia="Arial" w:hAnsi="Arial"/>
                <w:sz w:val="17"/>
                <w:szCs w:val="17"/>
                <w:color w:val="auto"/>
              </w:rPr>
              <w:t>Retail</w:t>
            </w:r>
          </w:p>
        </w:tc>
        <w:tc>
          <w:tcPr>
            <w:tcW w:w="2740" w:type="dxa"/>
            <w:vAlign w:val="bottom"/>
          </w:tcPr>
          <w:p>
            <w:pPr>
              <w:jc w:val="right"/>
              <w:spacing w:after="0"/>
              <w:rPr>
                <w:sz w:val="20"/>
                <w:szCs w:val="20"/>
                <w:color w:val="auto"/>
              </w:rPr>
            </w:pPr>
            <w:r>
              <w:rPr>
                <w:rFonts w:ascii="Arial" w:cs="Arial" w:eastAsia="Arial" w:hAnsi="Arial"/>
                <w:sz w:val="17"/>
                <w:szCs w:val="17"/>
                <w:color w:val="auto"/>
              </w:rPr>
              <w:t>125,000 sf</w:t>
            </w:r>
          </w:p>
        </w:tc>
        <w:tc>
          <w:tcPr>
            <w:tcW w:w="4520" w:type="dxa"/>
            <w:vAlign w:val="bottom"/>
          </w:tcPr>
          <w:p>
            <w:pPr>
              <w:ind w:left="40"/>
              <w:spacing w:after="0"/>
              <w:rPr>
                <w:sz w:val="20"/>
                <w:szCs w:val="20"/>
                <w:color w:val="auto"/>
              </w:rPr>
            </w:pPr>
            <w:r>
              <w:rPr>
                <w:rFonts w:ascii="Arial" w:cs="Arial" w:eastAsia="Arial" w:hAnsi="Arial"/>
                <w:sz w:val="17"/>
                <w:szCs w:val="17"/>
                <w:color w:val="auto"/>
              </w:rPr>
              <w:t>Currently being master planned</w:t>
            </w:r>
          </w:p>
        </w:tc>
        <w:tc>
          <w:tcPr>
            <w:tcW w:w="0" w:type="dxa"/>
            <w:vAlign w:val="bottom"/>
          </w:tcPr>
          <w:p>
            <w:pPr>
              <w:spacing w:after="0"/>
              <w:rPr>
                <w:sz w:val="1"/>
                <w:szCs w:val="1"/>
                <w:color w:val="auto"/>
              </w:rPr>
            </w:pPr>
          </w:p>
        </w:tc>
      </w:tr>
      <w:tr>
        <w:trPr>
          <w:trHeight w:val="210"/>
        </w:trPr>
        <w:tc>
          <w:tcPr>
            <w:tcW w:w="2820" w:type="dxa"/>
            <w:vAlign w:val="bottom"/>
          </w:tcPr>
          <w:p>
            <w:pPr>
              <w:ind w:left="420"/>
              <w:spacing w:after="0"/>
              <w:rPr>
                <w:sz w:val="20"/>
                <w:szCs w:val="20"/>
                <w:color w:val="auto"/>
              </w:rPr>
            </w:pPr>
            <w:r>
              <w:rPr>
                <w:rFonts w:ascii="Arial" w:cs="Arial" w:eastAsia="Arial" w:hAnsi="Arial"/>
                <w:sz w:val="17"/>
                <w:szCs w:val="17"/>
                <w:color w:val="auto"/>
              </w:rPr>
              <w:t>Residential</w:t>
            </w:r>
          </w:p>
        </w:tc>
        <w:tc>
          <w:tcPr>
            <w:tcW w:w="2740" w:type="dxa"/>
            <w:vAlign w:val="bottom"/>
          </w:tcPr>
          <w:p>
            <w:pPr>
              <w:jc w:val="right"/>
              <w:spacing w:after="0"/>
              <w:rPr>
                <w:sz w:val="20"/>
                <w:szCs w:val="20"/>
                <w:color w:val="auto"/>
              </w:rPr>
            </w:pPr>
            <w:r>
              <w:rPr>
                <w:rFonts w:ascii="Arial" w:cs="Arial" w:eastAsia="Arial" w:hAnsi="Arial"/>
                <w:sz w:val="17"/>
                <w:szCs w:val="17"/>
                <w:color w:val="auto"/>
              </w:rPr>
              <w:t>690 units</w:t>
            </w:r>
          </w:p>
        </w:tc>
        <w:tc>
          <w:tcPr>
            <w:tcW w:w="4520" w:type="dxa"/>
            <w:vAlign w:val="bottom"/>
          </w:tcPr>
          <w:p>
            <w:pPr>
              <w:ind w:left="40"/>
              <w:spacing w:after="0"/>
              <w:rPr>
                <w:sz w:val="20"/>
                <w:szCs w:val="20"/>
                <w:color w:val="auto"/>
              </w:rPr>
            </w:pPr>
            <w:r>
              <w:rPr>
                <w:rFonts w:ascii="Arial" w:cs="Arial" w:eastAsia="Arial" w:hAnsi="Arial"/>
                <w:sz w:val="17"/>
                <w:szCs w:val="17"/>
                <w:color w:val="auto"/>
              </w:rPr>
              <w:t>Currently being master planned</w:t>
            </w:r>
          </w:p>
        </w:tc>
        <w:tc>
          <w:tcPr>
            <w:tcW w:w="0" w:type="dxa"/>
            <w:vAlign w:val="bottom"/>
          </w:tcPr>
          <w:p>
            <w:pPr>
              <w:spacing w:after="0"/>
              <w:rPr>
                <w:sz w:val="1"/>
                <w:szCs w:val="1"/>
                <w:color w:val="auto"/>
              </w:rPr>
            </w:pPr>
          </w:p>
        </w:tc>
      </w:tr>
      <w:tr>
        <w:trPr>
          <w:trHeight w:val="216"/>
        </w:trPr>
        <w:tc>
          <w:tcPr>
            <w:tcW w:w="2820" w:type="dxa"/>
            <w:vAlign w:val="bottom"/>
          </w:tcPr>
          <w:p>
            <w:pPr>
              <w:ind w:left="420"/>
              <w:spacing w:after="0"/>
              <w:rPr>
                <w:sz w:val="20"/>
                <w:szCs w:val="20"/>
                <w:color w:val="auto"/>
              </w:rPr>
            </w:pPr>
            <w:r>
              <w:rPr>
                <w:rFonts w:ascii="Arial" w:cs="Arial" w:eastAsia="Arial" w:hAnsi="Arial"/>
                <w:sz w:val="17"/>
                <w:szCs w:val="17"/>
                <w:color w:val="auto"/>
              </w:rPr>
              <w:t>Hotel</w:t>
            </w:r>
          </w:p>
        </w:tc>
        <w:tc>
          <w:tcPr>
            <w:tcW w:w="2740" w:type="dxa"/>
            <w:vAlign w:val="bottom"/>
          </w:tcPr>
          <w:p>
            <w:pPr>
              <w:jc w:val="right"/>
              <w:spacing w:after="0"/>
              <w:rPr>
                <w:sz w:val="20"/>
                <w:szCs w:val="20"/>
                <w:color w:val="auto"/>
              </w:rPr>
            </w:pPr>
            <w:r>
              <w:rPr>
                <w:rFonts w:ascii="Arial" w:cs="Arial" w:eastAsia="Arial" w:hAnsi="Arial"/>
                <w:sz w:val="17"/>
                <w:szCs w:val="17"/>
                <w:color w:val="auto"/>
              </w:rPr>
              <w:t>191 rooms</w:t>
            </w:r>
          </w:p>
        </w:tc>
        <w:tc>
          <w:tcPr>
            <w:tcW w:w="4520" w:type="dxa"/>
            <w:vAlign w:val="bottom"/>
          </w:tcPr>
          <w:p>
            <w:pPr>
              <w:ind w:left="40"/>
              <w:spacing w:after="0"/>
              <w:rPr>
                <w:sz w:val="20"/>
                <w:szCs w:val="20"/>
                <w:color w:val="auto"/>
              </w:rPr>
            </w:pPr>
            <w:r>
              <w:rPr>
                <w:rFonts w:ascii="Arial" w:cs="Arial" w:eastAsia="Arial" w:hAnsi="Arial"/>
                <w:sz w:val="17"/>
                <w:szCs w:val="17"/>
                <w:color w:val="auto"/>
              </w:rPr>
              <w:t>Currently being master planned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6000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All costs are projected final costs. Yield represents stabilized projected Property Operating Income divided by projected final costs.</w:t>
      </w:r>
    </w:p>
    <w:p>
      <w:pPr>
        <w:spacing w:after="0" w:line="14" w:lineRule="exact"/>
        <w:rPr>
          <w:rFonts w:ascii="Arial" w:cs="Arial" w:eastAsia="Arial" w:hAnsi="Arial"/>
          <w:sz w:val="17"/>
          <w:szCs w:val="17"/>
          <w:b w:val="1"/>
          <w:bCs w:val="1"/>
          <w:color w:val="auto"/>
        </w:rPr>
      </w:pPr>
    </w:p>
    <w:p>
      <w:pPr>
        <w:ind w:left="460" w:right="180" w:hanging="455"/>
        <w:spacing w:after="0" w:line="257" w:lineRule="auto"/>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portions of the property currently open and operating which include luxury and lifestyle retail components, loft, townhome and villa residential units, and the 213-room Hotel Valencia Santana Row. $480 million projected final cost (net of $129 million of fire insurance proceeds, $11 million of which was recognized as income in 2003 and 2004) is expected to yield 6% upon stabilization in 2005.</w:t>
      </w:r>
    </w:p>
    <w:p>
      <w:pPr>
        <w:spacing w:after="0" w:line="2" w:lineRule="exact"/>
        <w:rPr>
          <w:rFonts w:ascii="Arial" w:cs="Arial" w:eastAsia="Arial" w:hAnsi="Arial"/>
          <w:sz w:val="17"/>
          <w:szCs w:val="17"/>
          <w:b w:val="1"/>
          <w:bCs w:val="1"/>
          <w:color w:val="auto"/>
        </w:rPr>
      </w:pPr>
    </w:p>
    <w:p>
      <w:pPr>
        <w:ind w:left="460" w:hanging="455"/>
        <w:spacing w:after="0"/>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Developments and other significant activities being actively pursued at Santana Row.</w:t>
      </w:r>
    </w:p>
    <w:p>
      <w:pPr>
        <w:spacing w:after="0" w:line="14" w:lineRule="exact"/>
        <w:rPr>
          <w:rFonts w:ascii="Arial" w:cs="Arial" w:eastAsia="Arial" w:hAnsi="Arial"/>
          <w:sz w:val="17"/>
          <w:szCs w:val="17"/>
          <w:b w:val="1"/>
          <w:bCs w:val="1"/>
          <w:color w:val="auto"/>
        </w:rPr>
      </w:pPr>
    </w:p>
    <w:p>
      <w:pPr>
        <w:ind w:left="460" w:right="280" w:hanging="455"/>
        <w:spacing w:after="0" w:line="257" w:lineRule="auto"/>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Projected gross sales proceeds represent management’s current estimate of total sales prices for the 219 units expected to be sold without taking into account any costs of sale, including, without limitation, any income taxes that may be paid.</w:t>
      </w:r>
    </w:p>
    <w:p>
      <w:pPr>
        <w:spacing w:after="0" w:line="1" w:lineRule="exact"/>
        <w:rPr>
          <w:rFonts w:ascii="Arial" w:cs="Arial" w:eastAsia="Arial" w:hAnsi="Arial"/>
          <w:sz w:val="17"/>
          <w:szCs w:val="17"/>
          <w:b w:val="1"/>
          <w:bCs w:val="1"/>
          <w:color w:val="auto"/>
        </w:rPr>
      </w:pPr>
    </w:p>
    <w:p>
      <w:pPr>
        <w:ind w:left="460" w:hanging="455"/>
        <w:spacing w:after="0"/>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Remaining entitlements for development or sale.</w:t>
      </w:r>
    </w:p>
    <w:p>
      <w:pPr>
        <w:sectPr>
          <w:pgSz w:w="11900" w:h="16838" w:orient="portrait"/>
          <w:cols w:equalWidth="0" w:num="1">
            <w:col w:w="11420"/>
          </w:cols>
          <w:pgMar w:left="240" w:top="27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2005 Acquisitions and Dispositions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Federal Realty Investment Trust Acquisitions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Purchase</w:t>
            </w:r>
          </w:p>
        </w:tc>
        <w:tc>
          <w:tcPr>
            <w:tcW w:w="2600" w:type="dxa"/>
            <w:vAlign w:val="bottom"/>
          </w:tcPr>
          <w:p>
            <w:pPr>
              <w:spacing w:after="0"/>
              <w:rPr>
                <w:sz w:val="13"/>
                <w:szCs w:val="13"/>
                <w:color w:val="auto"/>
              </w:rPr>
            </w:pPr>
          </w:p>
        </w:tc>
      </w:tr>
      <w:tr>
        <w:trPr>
          <w:trHeight w:val="169"/>
        </w:trPr>
        <w:tc>
          <w:tcPr>
            <w:tcW w:w="172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3860" w:type="dxa"/>
            <w:vAlign w:val="bottom"/>
            <w:gridSpan w:val="3"/>
          </w:tcPr>
          <w:p>
            <w:pPr>
              <w:spacing w:after="0"/>
              <w:rPr>
                <w:sz w:val="20"/>
                <w:szCs w:val="20"/>
                <w:color w:val="auto"/>
              </w:rPr>
            </w:pPr>
            <w:r>
              <w:rPr>
                <w:rFonts w:ascii="Arial" w:cs="Arial" w:eastAsia="Arial" w:hAnsi="Arial"/>
                <w:sz w:val="13"/>
                <w:szCs w:val="13"/>
                <w:b w:val="1"/>
                <w:bCs w:val="1"/>
                <w:color w:val="auto"/>
              </w:rPr>
              <w:t>Property</w:t>
            </w:r>
          </w:p>
        </w:tc>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3"/>
                <w:szCs w:val="13"/>
                <w:b w:val="1"/>
                <w:bCs w:val="1"/>
                <w:color w:val="auto"/>
              </w:rPr>
              <w:t>GLA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price</w:t>
            </w: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0"/>
              </w:rPr>
              <w:t>Anchor tenants</w:t>
            </w:r>
          </w:p>
        </w:tc>
      </w:tr>
      <w:tr>
        <w:trPr>
          <w:trHeight w:val="93"/>
        </w:trPr>
        <w:tc>
          <w:tcPr>
            <w:tcW w:w="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r>
        <w:trPr>
          <w:trHeight w:val="242"/>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4"/>
          </w:tcPr>
          <w:p>
            <w:pPr>
              <w:spacing w:after="0"/>
              <w:rPr>
                <w:sz w:val="20"/>
                <w:szCs w:val="20"/>
                <w:color w:val="auto"/>
              </w:rPr>
            </w:pPr>
            <w:r>
              <w:rPr>
                <w:rFonts w:ascii="Arial" w:cs="Arial" w:eastAsia="Arial" w:hAnsi="Arial"/>
                <w:sz w:val="13"/>
                <w:szCs w:val="13"/>
                <w:b w:val="1"/>
                <w:bCs w:val="1"/>
                <w:color w:val="auto"/>
              </w:rPr>
              <w:t>(in thousands)</w:t>
            </w:r>
          </w:p>
        </w:tc>
        <w:tc>
          <w:tcPr>
            <w:tcW w:w="2600" w:type="dxa"/>
            <w:vAlign w:val="bottom"/>
          </w:tcPr>
          <w:p>
            <w:pPr>
              <w:spacing w:after="0"/>
              <w:rPr>
                <w:sz w:val="21"/>
                <w:szCs w:val="21"/>
                <w:color w:val="auto"/>
              </w:rPr>
            </w:pPr>
          </w:p>
        </w:tc>
      </w:tr>
      <w:tr>
        <w:trPr>
          <w:trHeight w:val="210"/>
        </w:trPr>
        <w:tc>
          <w:tcPr>
            <w:tcW w:w="1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March 1, 2005</w:t>
            </w:r>
          </w:p>
        </w:tc>
        <w:tc>
          <w:tcPr>
            <w:tcW w:w="3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Assembly Square/Sturtevant Street</w:t>
            </w: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w w:val="99"/>
              </w:rPr>
              <w:t>Somerville, MA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551,233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63,900</w:t>
            </w:r>
          </w:p>
        </w:tc>
        <w:tc>
          <w:tcPr>
            <w:tcW w:w="2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K-Mart /Good Times Emporium (1)</w:t>
            </w:r>
          </w:p>
        </w:tc>
      </w:tr>
      <w:tr>
        <w:trPr>
          <w:trHeight w:val="381"/>
        </w:trPr>
        <w:tc>
          <w:tcPr>
            <w:tcW w:w="5580" w:type="dxa"/>
            <w:vAlign w:val="bottom"/>
            <w:gridSpan w:val="6"/>
          </w:tcPr>
          <w:p>
            <w:pPr>
              <w:spacing w:after="0"/>
              <w:rPr>
                <w:sz w:val="20"/>
                <w:szCs w:val="20"/>
                <w:color w:val="auto"/>
              </w:rPr>
            </w:pPr>
            <w:r>
              <w:rPr>
                <w:rFonts w:ascii="Arial" w:cs="Arial" w:eastAsia="Arial" w:hAnsi="Arial"/>
                <w:sz w:val="17"/>
                <w:szCs w:val="17"/>
                <w:b w:val="1"/>
                <w:bCs w:val="1"/>
                <w:color w:val="auto"/>
              </w:rPr>
              <w:t>Federal Realty Investment Trust Dispositions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85"/>
        </w:trPr>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Date</w:t>
            </w: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Property</w:t>
            </w:r>
          </w:p>
        </w:tc>
        <w:tc>
          <w:tcPr>
            <w:tcW w:w="228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24"/>
                <w:szCs w:val="24"/>
                <w:color w:val="auto"/>
              </w:rPr>
            </w:pPr>
          </w:p>
        </w:tc>
        <w:tc>
          <w:tcPr>
            <w:tcW w:w="600" w:type="dxa"/>
            <w:vAlign w:val="bottom"/>
          </w:tcPr>
          <w:p>
            <w:pPr>
              <w:jc w:val="right"/>
              <w:ind w:right="94"/>
              <w:spacing w:after="0"/>
              <w:rPr>
                <w:sz w:val="20"/>
                <w:szCs w:val="20"/>
                <w:color w:val="auto"/>
              </w:rPr>
            </w:pPr>
            <w:r>
              <w:rPr>
                <w:rFonts w:ascii="Arial" w:cs="Arial" w:eastAsia="Arial" w:hAnsi="Arial"/>
                <w:sz w:val="13"/>
                <w:szCs w:val="13"/>
                <w:b w:val="1"/>
                <w:bCs w:val="1"/>
                <w:color w:val="auto"/>
              </w:rPr>
              <w:t>GLA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Sales price</w:t>
            </w:r>
          </w:p>
        </w:tc>
        <w:tc>
          <w:tcPr>
            <w:tcW w:w="2600" w:type="dxa"/>
            <w:vAlign w:val="bottom"/>
          </w:tcPr>
          <w:p>
            <w:pPr>
              <w:spacing w:after="0"/>
              <w:rPr>
                <w:sz w:val="24"/>
                <w:szCs w:val="24"/>
                <w:color w:val="auto"/>
              </w:rPr>
            </w:pPr>
          </w:p>
        </w:tc>
      </w:tr>
      <w:tr>
        <w:trPr>
          <w:trHeight w:val="93"/>
        </w:trPr>
        <w:tc>
          <w:tcPr>
            <w:tcW w:w="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242"/>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4"/>
          </w:tcPr>
          <w:p>
            <w:pPr>
              <w:spacing w:after="0"/>
              <w:rPr>
                <w:sz w:val="20"/>
                <w:szCs w:val="20"/>
                <w:color w:val="auto"/>
              </w:rPr>
            </w:pPr>
            <w:r>
              <w:rPr>
                <w:rFonts w:ascii="Arial" w:cs="Arial" w:eastAsia="Arial" w:hAnsi="Arial"/>
                <w:sz w:val="13"/>
                <w:szCs w:val="13"/>
                <w:b w:val="1"/>
                <w:bCs w:val="1"/>
                <w:color w:val="auto"/>
              </w:rPr>
              <w:t>(in thousands)</w:t>
            </w:r>
          </w:p>
        </w:tc>
        <w:tc>
          <w:tcPr>
            <w:tcW w:w="2600" w:type="dxa"/>
            <w:vAlign w:val="bottom"/>
          </w:tcPr>
          <w:p>
            <w:pPr>
              <w:spacing w:after="0"/>
              <w:rPr>
                <w:sz w:val="21"/>
                <w:szCs w:val="21"/>
                <w:color w:val="auto"/>
              </w:rPr>
            </w:pPr>
          </w:p>
        </w:tc>
      </w:tr>
      <w:tr>
        <w:trPr>
          <w:trHeight w:val="210"/>
        </w:trPr>
        <w:tc>
          <w:tcPr>
            <w:tcW w:w="1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February 15, 2005</w:t>
            </w:r>
          </w:p>
        </w:tc>
        <w:tc>
          <w:tcPr>
            <w:tcW w:w="3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420 South Mill Avenue</w:t>
            </w: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Tempe, AZ</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15,966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7,385</w:t>
            </w:r>
          </w:p>
        </w:tc>
        <w:tc>
          <w:tcPr>
            <w:tcW w:w="2600" w:type="dxa"/>
            <w:vAlign w:val="bottom"/>
            <w:shd w:val="clear" w:color="auto" w:fill="CCEEFF"/>
          </w:tcPr>
          <w:p>
            <w:pPr>
              <w:spacing w:after="0"/>
              <w:rPr>
                <w:sz w:val="18"/>
                <w:szCs w:val="18"/>
                <w:color w:val="auto"/>
              </w:rPr>
            </w:pPr>
          </w:p>
        </w:tc>
      </w:tr>
      <w:tr>
        <w:trPr>
          <w:trHeight w:val="210"/>
        </w:trPr>
        <w:tc>
          <w:tcPr>
            <w:tcW w:w="1720" w:type="dxa"/>
            <w:vAlign w:val="bottom"/>
            <w:gridSpan w:val="3"/>
          </w:tcPr>
          <w:p>
            <w:pPr>
              <w:spacing w:after="0"/>
              <w:rPr>
                <w:sz w:val="20"/>
                <w:szCs w:val="20"/>
                <w:color w:val="auto"/>
              </w:rPr>
            </w:pPr>
            <w:r>
              <w:rPr>
                <w:rFonts w:ascii="Arial" w:cs="Arial" w:eastAsia="Arial" w:hAnsi="Arial"/>
                <w:sz w:val="17"/>
                <w:szCs w:val="17"/>
                <w:color w:val="auto"/>
              </w:rPr>
              <w:t>February 15, 2005</w:t>
            </w:r>
          </w:p>
        </w:tc>
        <w:tc>
          <w:tcPr>
            <w:tcW w:w="3860" w:type="dxa"/>
            <w:vAlign w:val="bottom"/>
            <w:gridSpan w:val="3"/>
          </w:tcPr>
          <w:p>
            <w:pPr>
              <w:spacing w:after="0"/>
              <w:rPr>
                <w:sz w:val="20"/>
                <w:szCs w:val="20"/>
                <w:color w:val="auto"/>
              </w:rPr>
            </w:pPr>
            <w:r>
              <w:rPr>
                <w:rFonts w:ascii="Arial" w:cs="Arial" w:eastAsia="Arial" w:hAnsi="Arial"/>
                <w:sz w:val="17"/>
                <w:szCs w:val="17"/>
                <w:color w:val="auto"/>
              </w:rPr>
              <w:t>501 South Mill Avenue</w:t>
            </w:r>
          </w:p>
        </w:tc>
        <w:tc>
          <w:tcPr>
            <w:tcW w:w="1160" w:type="dxa"/>
            <w:vAlign w:val="bottom"/>
          </w:tcPr>
          <w:p>
            <w:pPr>
              <w:spacing w:after="0"/>
              <w:rPr>
                <w:sz w:val="20"/>
                <w:szCs w:val="20"/>
                <w:color w:val="auto"/>
              </w:rPr>
            </w:pPr>
            <w:r>
              <w:rPr>
                <w:rFonts w:ascii="Arial" w:cs="Arial" w:eastAsia="Arial" w:hAnsi="Arial"/>
                <w:sz w:val="17"/>
                <w:szCs w:val="17"/>
                <w:color w:val="auto"/>
              </w:rPr>
              <w:t>Tempe, AZ</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24,013</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6,265</w:t>
            </w:r>
          </w:p>
        </w:tc>
        <w:tc>
          <w:tcPr>
            <w:tcW w:w="2600" w:type="dxa"/>
            <w:vAlign w:val="bottom"/>
          </w:tcPr>
          <w:p>
            <w:pPr>
              <w:spacing w:after="0"/>
              <w:rPr>
                <w:sz w:val="18"/>
                <w:szCs w:val="18"/>
                <w:color w:val="auto"/>
              </w:rPr>
            </w:pPr>
          </w:p>
        </w:tc>
      </w:tr>
      <w:tr>
        <w:trPr>
          <w:trHeight w:val="210"/>
        </w:trPr>
        <w:tc>
          <w:tcPr>
            <w:tcW w:w="1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2, 2005</w:t>
            </w:r>
          </w:p>
        </w:tc>
        <w:tc>
          <w:tcPr>
            <w:tcW w:w="3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Andary Building</w:t>
            </w: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w w:val="96"/>
              </w:rPr>
              <w:t>Winter Park, FL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1,560</w:t>
            </w:r>
          </w:p>
        </w:tc>
        <w:tc>
          <w:tcPr>
            <w:tcW w:w="2600" w:type="dxa"/>
            <w:vAlign w:val="bottom"/>
            <w:shd w:val="clear" w:color="auto" w:fill="CCEEFF"/>
          </w:tcPr>
          <w:p>
            <w:pPr>
              <w:spacing w:after="0"/>
              <w:rPr>
                <w:sz w:val="18"/>
                <w:szCs w:val="18"/>
                <w:color w:val="auto"/>
              </w:rPr>
            </w:pPr>
          </w:p>
        </w:tc>
      </w:tr>
      <w:tr>
        <w:trPr>
          <w:trHeight w:val="210"/>
        </w:trPr>
        <w:tc>
          <w:tcPr>
            <w:tcW w:w="1720" w:type="dxa"/>
            <w:vAlign w:val="bottom"/>
            <w:gridSpan w:val="3"/>
          </w:tcPr>
          <w:p>
            <w:pPr>
              <w:spacing w:after="0"/>
              <w:rPr>
                <w:sz w:val="20"/>
                <w:szCs w:val="20"/>
                <w:color w:val="auto"/>
              </w:rPr>
            </w:pPr>
            <w:r>
              <w:rPr>
                <w:rFonts w:ascii="Arial" w:cs="Arial" w:eastAsia="Arial" w:hAnsi="Arial"/>
                <w:sz w:val="17"/>
                <w:szCs w:val="17"/>
                <w:color w:val="auto"/>
              </w:rPr>
              <w:t>June 2, 2005</w:t>
            </w:r>
          </w:p>
        </w:tc>
        <w:tc>
          <w:tcPr>
            <w:tcW w:w="3860" w:type="dxa"/>
            <w:vAlign w:val="bottom"/>
            <w:gridSpan w:val="3"/>
          </w:tcPr>
          <w:p>
            <w:pPr>
              <w:spacing w:after="0"/>
              <w:rPr>
                <w:sz w:val="20"/>
                <w:szCs w:val="20"/>
                <w:color w:val="auto"/>
              </w:rPr>
            </w:pPr>
            <w:r>
              <w:rPr>
                <w:rFonts w:ascii="Arial" w:cs="Arial" w:eastAsia="Arial" w:hAnsi="Arial"/>
                <w:sz w:val="17"/>
                <w:szCs w:val="17"/>
                <w:color w:val="auto"/>
              </w:rPr>
              <w:t>Cone Building</w:t>
            </w:r>
          </w:p>
        </w:tc>
        <w:tc>
          <w:tcPr>
            <w:tcW w:w="1160" w:type="dxa"/>
            <w:vAlign w:val="bottom"/>
          </w:tcPr>
          <w:p>
            <w:pPr>
              <w:spacing w:after="0"/>
              <w:rPr>
                <w:sz w:val="20"/>
                <w:szCs w:val="20"/>
                <w:color w:val="auto"/>
              </w:rPr>
            </w:pPr>
            <w:r>
              <w:rPr>
                <w:rFonts w:ascii="Arial" w:cs="Arial" w:eastAsia="Arial" w:hAnsi="Arial"/>
                <w:sz w:val="17"/>
                <w:szCs w:val="17"/>
                <w:color w:val="auto"/>
                <w:w w:val="96"/>
              </w:rPr>
              <w:t>Winter Park, FL</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24,846</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9,500</w:t>
            </w:r>
          </w:p>
        </w:tc>
        <w:tc>
          <w:tcPr>
            <w:tcW w:w="2600" w:type="dxa"/>
            <w:vAlign w:val="bottom"/>
          </w:tcPr>
          <w:p>
            <w:pPr>
              <w:spacing w:after="0"/>
              <w:rPr>
                <w:sz w:val="18"/>
                <w:szCs w:val="18"/>
                <w:color w:val="auto"/>
              </w:rPr>
            </w:pPr>
          </w:p>
        </w:tc>
      </w:tr>
      <w:tr>
        <w:trPr>
          <w:trHeight w:val="210"/>
        </w:trPr>
        <w:tc>
          <w:tcPr>
            <w:tcW w:w="1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Various</w:t>
            </w:r>
          </w:p>
        </w:tc>
        <w:tc>
          <w:tcPr>
            <w:tcW w:w="3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1,401</w:t>
            </w:r>
          </w:p>
        </w:tc>
        <w:tc>
          <w:tcPr>
            <w:tcW w:w="2600" w:type="dxa"/>
            <w:vAlign w:val="bottom"/>
            <w:shd w:val="clear" w:color="auto" w:fill="CCEEFF"/>
          </w:tcPr>
          <w:p>
            <w:pPr>
              <w:spacing w:after="0"/>
              <w:rPr>
                <w:sz w:val="18"/>
                <w:szCs w:val="18"/>
                <w:color w:val="auto"/>
              </w:rPr>
            </w:pPr>
          </w:p>
        </w:tc>
      </w:tr>
      <w:tr>
        <w:trPr>
          <w:trHeight w:val="105"/>
        </w:trPr>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0" w:type="dxa"/>
            <w:vAlign w:val="bottom"/>
          </w:tcPr>
          <w:p>
            <w:pPr>
              <w:spacing w:after="0"/>
              <w:rPr>
                <w:sz w:val="9"/>
                <w:szCs w:val="9"/>
                <w:color w:val="auto"/>
              </w:rPr>
            </w:pPr>
          </w:p>
        </w:tc>
      </w:tr>
      <w:tr>
        <w:trPr>
          <w:trHeight w:val="98"/>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210"/>
        </w:trPr>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68,425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26,111</w:t>
            </w:r>
          </w:p>
        </w:tc>
        <w:tc>
          <w:tcPr>
            <w:tcW w:w="2600" w:type="dxa"/>
            <w:vAlign w:val="bottom"/>
            <w:shd w:val="clear" w:color="auto" w:fill="CCEEFF"/>
          </w:tcPr>
          <w:p>
            <w:pPr>
              <w:spacing w:after="0"/>
              <w:rPr>
                <w:sz w:val="18"/>
                <w:szCs w:val="18"/>
                <w:color w:val="auto"/>
              </w:rPr>
            </w:pPr>
          </w:p>
        </w:tc>
      </w:tr>
      <w:tr>
        <w:trPr>
          <w:trHeight w:val="128"/>
        </w:trPr>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207"/>
        </w:trPr>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-168275</wp:posOffset>
            </wp:positionV>
            <wp:extent cx="1045845" cy="292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4584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460" w:right="260" w:hanging="455"/>
        <w:spacing w:after="0" w:line="27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currently under redevelopment. Tenants with signed leases who were not in occupancy as of June 30, 2005 include, TJ Maxx, Bed, Bath &amp; Beyond, Staples, Sports Authority and AC Moore.</w:t>
      </w:r>
    </w:p>
    <w:p>
      <w:pPr>
        <w:sectPr>
          <w:pgSz w:w="11900" w:h="16838" w:orient="portrait"/>
          <w:cols w:equalWidth="0" w:num="1">
            <w:col w:w="11420"/>
          </w:cols>
          <w:pgMar w:left="240" w:top="271" w:right="239" w:bottom="1440" w:gutter="0" w:footer="0" w:header="0"/>
        </w:sectPr>
      </w:pPr>
    </w:p>
    <w:bookmarkStart w:id="22" w:name="page23"/>
    <w:bookmarkEnd w:id="2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Mortgage or</w:t>
            </w:r>
          </w:p>
        </w:tc>
        <w:tc>
          <w:tcPr>
            <w:tcW w:w="8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w w:val="88"/>
              </w:rPr>
              <w:t>Grocery</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Year</w:t>
            </w: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Total</w:t>
            </w:r>
          </w:p>
        </w:tc>
        <w:tc>
          <w:tcPr>
            <w:tcW w:w="8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9"/>
              </w:rPr>
              <w:t>Ownership</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Capital Lease</w:t>
            </w:r>
          </w:p>
        </w:tc>
        <w:tc>
          <w:tcPr>
            <w:tcW w:w="80" w:type="dxa"/>
            <w:vAlign w:val="bottom"/>
          </w:tcPr>
          <w:p>
            <w:pPr>
              <w:spacing w:after="0"/>
              <w:rPr>
                <w:sz w:val="12"/>
                <w:szCs w:val="12"/>
                <w:color w:val="auto"/>
              </w:rPr>
            </w:pPr>
          </w:p>
        </w:tc>
        <w:tc>
          <w:tcPr>
            <w:tcW w:w="480" w:type="dxa"/>
            <w:vAlign w:val="bottom"/>
          </w:tcPr>
          <w:p>
            <w:pPr>
              <w:ind w:left="40"/>
              <w:spacing w:after="0" w:line="144" w:lineRule="exact"/>
              <w:rPr>
                <w:sz w:val="20"/>
                <w:szCs w:val="20"/>
                <w:color w:val="auto"/>
              </w:rPr>
            </w:pPr>
            <w:r>
              <w:rPr>
                <w:rFonts w:ascii="Arial" w:cs="Arial" w:eastAsia="Arial" w:hAnsi="Arial"/>
                <w:sz w:val="13"/>
                <w:szCs w:val="13"/>
                <w:b w:val="1"/>
                <w:bCs w:val="1"/>
                <w:color w:val="auto"/>
                <w:w w:val="92"/>
              </w:rPr>
              <w:t>Anchor</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Other Principal</w:t>
            </w:r>
          </w:p>
        </w:tc>
        <w:tc>
          <w:tcPr>
            <w:tcW w:w="0" w:type="dxa"/>
            <w:vAlign w:val="bottom"/>
          </w:tcPr>
          <w:p>
            <w:pPr>
              <w:spacing w:after="0"/>
              <w:rPr>
                <w:sz w:val="1"/>
                <w:szCs w:val="1"/>
                <w:color w:val="auto"/>
              </w:rPr>
            </w:pPr>
          </w:p>
        </w:tc>
      </w:tr>
      <w:tr>
        <w:trPr>
          <w:trHeight w:val="169"/>
        </w:trPr>
        <w:tc>
          <w:tcPr>
            <w:tcW w:w="2140" w:type="dxa"/>
            <w:vAlign w:val="bottom"/>
            <w:gridSpan w:val="6"/>
          </w:tcPr>
          <w:p>
            <w:pPr>
              <w:spacing w:after="0"/>
              <w:rPr>
                <w:sz w:val="20"/>
                <w:szCs w:val="20"/>
                <w:color w:val="auto"/>
              </w:rPr>
            </w:pPr>
            <w:r>
              <w:rPr>
                <w:rFonts w:ascii="Arial" w:cs="Arial" w:eastAsia="Arial" w:hAnsi="Arial"/>
                <w:sz w:val="13"/>
                <w:szCs w:val="13"/>
                <w:b w:val="1"/>
                <w:bCs w:val="1"/>
                <w:color w:val="auto"/>
              </w:rPr>
              <w:t>Property Name</w:t>
            </w:r>
          </w:p>
        </w:tc>
        <w:tc>
          <w:tcPr>
            <w:tcW w:w="1040" w:type="dxa"/>
            <w:vAlign w:val="bottom"/>
          </w:tcPr>
          <w:p>
            <w:pPr>
              <w:ind w:left="40"/>
              <w:spacing w:after="0"/>
              <w:rPr>
                <w:sz w:val="20"/>
                <w:szCs w:val="20"/>
                <w:color w:val="auto"/>
              </w:rPr>
            </w:pPr>
            <w:r>
              <w:rPr>
                <w:rFonts w:ascii="Arial" w:cs="Arial" w:eastAsia="Arial" w:hAnsi="Arial"/>
                <w:sz w:val="13"/>
                <w:szCs w:val="13"/>
                <w:b w:val="1"/>
                <w:bCs w:val="1"/>
                <w:color w:val="auto"/>
                <w:w w:val="94"/>
              </w:rPr>
              <w:t>MSA Description</w:t>
            </w: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Acquired</w:t>
            </w: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Investment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Percentage</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GLA (1)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 Leased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Obligation</w:t>
            </w:r>
          </w:p>
        </w:tc>
        <w:tc>
          <w:tcPr>
            <w:tcW w:w="8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w w:val="93"/>
              </w:rPr>
              <w:t>GLA (2)</w:t>
            </w:r>
          </w:p>
        </w:tc>
        <w:tc>
          <w:tcPr>
            <w:tcW w:w="10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b w:val="1"/>
                <w:bCs w:val="1"/>
                <w:color w:val="auto"/>
                <w:w w:val="96"/>
              </w:rPr>
              <w:t>Grocery Anchor (2)</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8"/>
              </w:rPr>
              <w:t>Tenants</w:t>
            </w:r>
          </w:p>
        </w:tc>
        <w:tc>
          <w:tcPr>
            <w:tcW w:w="0" w:type="dxa"/>
            <w:vAlign w:val="bottom"/>
          </w:tcPr>
          <w:p>
            <w:pPr>
              <w:spacing w:after="0"/>
              <w:rPr>
                <w:sz w:val="1"/>
                <w:szCs w:val="1"/>
                <w:color w:val="auto"/>
              </w:rPr>
            </w:pPr>
          </w:p>
        </w:tc>
      </w:tr>
      <w:tr>
        <w:trPr>
          <w:trHeight w:val="93"/>
        </w:trPr>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14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East Region</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 thousands)</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140" w:type="dxa"/>
            <w:vAlign w:val="bottom"/>
            <w:gridSpan w:val="6"/>
            <w:vMerge w:val="continue"/>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140" w:type="dxa"/>
            <w:vAlign w:val="bottom"/>
            <w:gridSpan w:val="6"/>
          </w:tcPr>
          <w:p>
            <w:pPr>
              <w:spacing w:after="0"/>
              <w:rPr>
                <w:sz w:val="20"/>
                <w:szCs w:val="20"/>
                <w:color w:val="auto"/>
              </w:rPr>
            </w:pPr>
            <w:r>
              <w:rPr>
                <w:rFonts w:ascii="Arial" w:cs="Arial" w:eastAsia="Arial" w:hAnsi="Arial"/>
                <w:sz w:val="17"/>
                <w:szCs w:val="17"/>
                <w:b w:val="1"/>
                <w:bCs w:val="1"/>
                <w:color w:val="auto"/>
              </w:rPr>
              <w:t>Washington Metropolitan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7"/>
                <w:szCs w:val="17"/>
                <w:b w:val="1"/>
                <w:bCs w:val="1"/>
                <w:color w:val="auto"/>
                <w:w w:val="89"/>
              </w:rPr>
              <w:t>Area</w:t>
            </w:r>
          </w:p>
        </w:tc>
        <w:tc>
          <w:tcPr>
            <w:tcW w:w="1300" w:type="dxa"/>
            <w:vAlign w:val="bottom"/>
            <w:tcBorders>
              <w:top w:val="single" w:sz="8" w:color="auto"/>
            </w:tcBorders>
            <w:gridSpan w:val="3"/>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40" w:type="dxa"/>
            <w:vAlign w:val="bottom"/>
            <w:gridSpan w:val="6"/>
          </w:tcPr>
          <w:p>
            <w:pPr>
              <w:spacing w:after="0"/>
              <w:rPr>
                <w:sz w:val="20"/>
                <w:szCs w:val="20"/>
                <w:color w:val="auto"/>
              </w:rPr>
            </w:pPr>
            <w:r>
              <w:rPr>
                <w:rFonts w:ascii="Arial" w:cs="Arial" w:eastAsia="Arial" w:hAnsi="Arial"/>
                <w:sz w:val="17"/>
                <w:szCs w:val="17"/>
                <w:color w:val="auto"/>
              </w:rPr>
              <w:t>Bethesda Row</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81,806</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440,000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800" w:type="dxa"/>
            <w:vAlign w:val="bottom"/>
          </w:tcPr>
          <w:p>
            <w:pPr>
              <w:jc w:val="right"/>
              <w:spacing w:after="0"/>
              <w:rPr>
                <w:sz w:val="20"/>
                <w:szCs w:val="20"/>
                <w:color w:val="auto"/>
              </w:rPr>
            </w:pPr>
            <w:r>
              <w:rPr>
                <w:rFonts w:ascii="Arial" w:cs="Arial" w:eastAsia="Arial" w:hAnsi="Arial"/>
                <w:sz w:val="17"/>
                <w:szCs w:val="17"/>
                <w:color w:val="auto"/>
              </w:rPr>
              <w:t>12,575</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40,000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Giant Food</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4"/>
              </w:rPr>
              <w:t>Barnes &amp; Noble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Landmark</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Theater</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Congressional Plaza</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1965</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68,019(4)</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64.1%</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334,000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28,000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Whole Foods</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Buy Buy Baby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4"/>
              </w:rPr>
              <w:t>Container Store /</w:t>
            </w:r>
          </w:p>
        </w:tc>
        <w:tc>
          <w:tcPr>
            <w:tcW w:w="0" w:type="dxa"/>
            <w:vAlign w:val="bottom"/>
          </w:tcPr>
          <w:p>
            <w:pPr>
              <w:spacing w:after="0"/>
              <w:rPr>
                <w:sz w:val="1"/>
                <w:szCs w:val="1"/>
                <w:color w:val="auto"/>
              </w:rPr>
            </w:pPr>
          </w:p>
        </w:tc>
      </w:tr>
      <w:tr>
        <w:trPr>
          <w:trHeight w:val="216"/>
        </w:trPr>
        <w:tc>
          <w:tcPr>
            <w:tcW w:w="2140" w:type="dxa"/>
            <w:vAlign w:val="bottom"/>
            <w:gridSpan w:val="6"/>
            <w:vMerge w:val="restart"/>
          </w:tcPr>
          <w:p>
            <w:pPr>
              <w:spacing w:after="0"/>
              <w:rPr>
                <w:sz w:val="20"/>
                <w:szCs w:val="20"/>
                <w:color w:val="auto"/>
              </w:rPr>
            </w:pPr>
            <w:r>
              <w:rPr>
                <w:rFonts w:ascii="Arial" w:cs="Arial" w:eastAsia="Arial" w:hAnsi="Arial"/>
                <w:sz w:val="17"/>
                <w:szCs w:val="17"/>
                <w:color w:val="auto"/>
              </w:rPr>
              <w:t>Courthouse Center</w:t>
            </w:r>
          </w:p>
        </w:tc>
        <w:tc>
          <w:tcPr>
            <w:tcW w:w="1040" w:type="dxa"/>
            <w:vAlign w:val="bottom"/>
            <w:vMerge w:val="restart"/>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auto"/>
              </w:rPr>
              <w:t>1997</w:t>
            </w:r>
          </w:p>
        </w:tc>
        <w:tc>
          <w:tcPr>
            <w:tcW w:w="80" w:type="dxa"/>
            <w:vAlign w:val="bottom"/>
          </w:tcPr>
          <w:p>
            <w:pPr>
              <w:spacing w:after="0"/>
              <w:rPr>
                <w:sz w:val="18"/>
                <w:szCs w:val="18"/>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4,576</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(5)</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38,000</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Tower Records</w:t>
            </w:r>
          </w:p>
        </w:tc>
        <w:tc>
          <w:tcPr>
            <w:tcW w:w="0" w:type="dxa"/>
            <w:vAlign w:val="bottom"/>
          </w:tcPr>
          <w:p>
            <w:pPr>
              <w:spacing w:after="0"/>
              <w:rPr>
                <w:sz w:val="1"/>
                <w:szCs w:val="1"/>
                <w:color w:val="auto"/>
              </w:rPr>
            </w:pPr>
          </w:p>
        </w:tc>
      </w:tr>
      <w:tr>
        <w:trPr>
          <w:trHeight w:val="204"/>
        </w:trPr>
        <w:tc>
          <w:tcPr>
            <w:tcW w:w="2140" w:type="dxa"/>
            <w:vAlign w:val="bottom"/>
            <w:gridSpan w:val="6"/>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Falls Plaza</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1967</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8,155</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73,000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51,000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Giant Food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Falls Plaza-East</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1972</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3,402</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71,000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CVS / Staples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Federal Plaza</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1989</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62,142</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247,000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800" w:type="dxa"/>
            <w:vAlign w:val="bottom"/>
          </w:tcPr>
          <w:p>
            <w:pPr>
              <w:jc w:val="right"/>
              <w:spacing w:after="0"/>
              <w:rPr>
                <w:sz w:val="20"/>
                <w:szCs w:val="20"/>
                <w:color w:val="auto"/>
              </w:rPr>
            </w:pPr>
            <w:r>
              <w:rPr>
                <w:rFonts w:ascii="Arial" w:cs="Arial" w:eastAsia="Arial" w:hAnsi="Arial"/>
                <w:sz w:val="17"/>
                <w:szCs w:val="17"/>
                <w:color w:val="auto"/>
              </w:rPr>
              <w:t>34,895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TJ Maxx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1"/>
              </w:rPr>
              <w:t>CompUSA / Ross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Friendship Center</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2001</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33,309</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119,000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8"/>
              </w:rPr>
              <w:t>Borders / Linens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‘n Things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Maggiano’s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Gaithersburg Square</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24,002</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204,000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2"/>
              </w:rPr>
              <w:t>Beyond / Borders</w:t>
            </w:r>
          </w:p>
        </w:tc>
        <w:tc>
          <w:tcPr>
            <w:tcW w:w="0" w:type="dxa"/>
            <w:vAlign w:val="bottom"/>
          </w:tcPr>
          <w:p>
            <w:pPr>
              <w:spacing w:after="0"/>
              <w:rPr>
                <w:sz w:val="1"/>
                <w:szCs w:val="1"/>
                <w:color w:val="auto"/>
              </w:rPr>
            </w:pPr>
          </w:p>
        </w:tc>
      </w:tr>
      <w:tr>
        <w:trPr>
          <w:trHeight w:val="216"/>
        </w:trPr>
        <w:tc>
          <w:tcPr>
            <w:tcW w:w="2140" w:type="dxa"/>
            <w:vAlign w:val="bottom"/>
            <w:gridSpan w:val="6"/>
            <w:vMerge w:val="restart"/>
          </w:tcPr>
          <w:p>
            <w:pPr>
              <w:spacing w:after="0"/>
              <w:rPr>
                <w:sz w:val="20"/>
                <w:szCs w:val="20"/>
                <w:color w:val="auto"/>
              </w:rPr>
            </w:pPr>
            <w:r>
              <w:rPr>
                <w:rFonts w:ascii="Arial" w:cs="Arial" w:eastAsia="Arial" w:hAnsi="Arial"/>
                <w:sz w:val="17"/>
                <w:szCs w:val="17"/>
                <w:color w:val="auto"/>
              </w:rPr>
              <w:t>Idylwood Plaza</w:t>
            </w:r>
          </w:p>
        </w:tc>
        <w:tc>
          <w:tcPr>
            <w:tcW w:w="1040" w:type="dxa"/>
            <w:vAlign w:val="bottom"/>
            <w:vMerge w:val="restart"/>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auto"/>
              </w:rPr>
              <w:t>1994</w:t>
            </w:r>
          </w:p>
        </w:tc>
        <w:tc>
          <w:tcPr>
            <w:tcW w:w="80" w:type="dxa"/>
            <w:vAlign w:val="bottom"/>
          </w:tcPr>
          <w:p>
            <w:pPr>
              <w:spacing w:after="0"/>
              <w:rPr>
                <w:sz w:val="18"/>
                <w:szCs w:val="18"/>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15,028</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73,000</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auto"/>
                <w:w w:val="88"/>
              </w:rPr>
              <w:t>30,000</w:t>
            </w:r>
          </w:p>
        </w:tc>
        <w:tc>
          <w:tcPr>
            <w:tcW w:w="1320" w:type="dxa"/>
            <w:vAlign w:val="bottom"/>
            <w:gridSpan w:val="2"/>
            <w:vMerge w:val="restart"/>
          </w:tcPr>
          <w:p>
            <w:pPr>
              <w:ind w:left="100"/>
              <w:spacing w:after="0"/>
              <w:rPr>
                <w:sz w:val="20"/>
                <w:szCs w:val="20"/>
                <w:color w:val="auto"/>
              </w:rPr>
            </w:pPr>
            <w:r>
              <w:rPr>
                <w:rFonts w:ascii="Arial" w:cs="Arial" w:eastAsia="Arial" w:hAnsi="Arial"/>
                <w:sz w:val="17"/>
                <w:szCs w:val="17"/>
                <w:color w:val="auto"/>
              </w:rPr>
              <w:t>Whole Foods</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 Ross</w:t>
            </w:r>
          </w:p>
        </w:tc>
        <w:tc>
          <w:tcPr>
            <w:tcW w:w="0" w:type="dxa"/>
            <w:vAlign w:val="bottom"/>
          </w:tcPr>
          <w:p>
            <w:pPr>
              <w:spacing w:after="0"/>
              <w:rPr>
                <w:sz w:val="1"/>
                <w:szCs w:val="1"/>
                <w:color w:val="auto"/>
              </w:rPr>
            </w:pPr>
          </w:p>
        </w:tc>
      </w:tr>
      <w:tr>
        <w:trPr>
          <w:trHeight w:val="204"/>
        </w:trPr>
        <w:tc>
          <w:tcPr>
            <w:tcW w:w="2140" w:type="dxa"/>
            <w:vAlign w:val="bottom"/>
            <w:gridSpan w:val="6"/>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Laurel</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1986</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46,340</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99.9%</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387,000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61,000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Giant Food</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8"/>
              </w:rPr>
              <w:t>Marshalls / Toys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R Us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Leesburg Plaza</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1998</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23,648</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235,000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89%</w:t>
            </w:r>
          </w:p>
        </w:tc>
        <w:tc>
          <w:tcPr>
            <w:tcW w:w="800" w:type="dxa"/>
            <w:vAlign w:val="bottom"/>
          </w:tcPr>
          <w:p>
            <w:pPr>
              <w:jc w:val="right"/>
              <w:spacing w:after="0"/>
              <w:rPr>
                <w:sz w:val="20"/>
                <w:szCs w:val="20"/>
                <w:color w:val="auto"/>
              </w:rPr>
            </w:pPr>
            <w:r>
              <w:rPr>
                <w:rFonts w:ascii="Arial" w:cs="Arial" w:eastAsia="Arial" w:hAnsi="Arial"/>
                <w:sz w:val="17"/>
                <w:szCs w:val="17"/>
                <w:color w:val="auto"/>
              </w:rPr>
              <w:t>9,900</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55,000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Giant Food</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7"/>
              </w:rPr>
              <w:t>Pier One / Office</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Depot</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Loehmann’s Plaza</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23,701</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251,000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Bally’s / Linens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‘n Things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Loehmann’s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Mid-Pike Plaza</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1982</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17,458</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309,000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jc w:val="right"/>
              <w:spacing w:after="0"/>
              <w:rPr>
                <w:sz w:val="20"/>
                <w:szCs w:val="20"/>
                <w:color w:val="auto"/>
              </w:rPr>
            </w:pPr>
            <w:r>
              <w:rPr>
                <w:rFonts w:ascii="Arial" w:cs="Arial" w:eastAsia="Arial" w:hAnsi="Arial"/>
                <w:sz w:val="17"/>
                <w:szCs w:val="17"/>
                <w:color w:val="auto"/>
              </w:rPr>
              <w:t>10,041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8"/>
              </w:rPr>
              <w:t>Linens ‘n Things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 Toys R Us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Bally’s / AC</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Moore / Filene’s</w:t>
            </w:r>
          </w:p>
        </w:tc>
        <w:tc>
          <w:tcPr>
            <w:tcW w:w="0" w:type="dxa"/>
            <w:vAlign w:val="bottom"/>
          </w:tcPr>
          <w:p>
            <w:pPr>
              <w:spacing w:after="0"/>
              <w:rPr>
                <w:sz w:val="1"/>
                <w:szCs w:val="1"/>
                <w:color w:val="auto"/>
              </w:rPr>
            </w:pPr>
          </w:p>
        </w:tc>
      </w:tr>
      <w:tr>
        <w:trPr>
          <w:trHeight w:val="216"/>
        </w:trPr>
        <w:tc>
          <w:tcPr>
            <w:tcW w:w="2140" w:type="dxa"/>
            <w:vAlign w:val="bottom"/>
            <w:gridSpan w:val="6"/>
            <w:vMerge w:val="restart"/>
          </w:tcPr>
          <w:p>
            <w:pPr>
              <w:spacing w:after="0"/>
              <w:rPr>
                <w:sz w:val="20"/>
                <w:szCs w:val="20"/>
                <w:color w:val="auto"/>
              </w:rPr>
            </w:pPr>
            <w:r>
              <w:rPr>
                <w:rFonts w:ascii="Arial" w:cs="Arial" w:eastAsia="Arial" w:hAnsi="Arial"/>
                <w:sz w:val="17"/>
                <w:szCs w:val="17"/>
                <w:color w:val="auto"/>
              </w:rPr>
              <w:t>Mount Vernon</w:t>
            </w:r>
          </w:p>
        </w:tc>
        <w:tc>
          <w:tcPr>
            <w:tcW w:w="1040" w:type="dxa"/>
            <w:vAlign w:val="bottom"/>
            <w:vMerge w:val="restart"/>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auto"/>
              </w:rPr>
              <w:t>2003</w:t>
            </w:r>
          </w:p>
        </w:tc>
        <w:tc>
          <w:tcPr>
            <w:tcW w:w="80" w:type="dxa"/>
            <w:vAlign w:val="bottom"/>
          </w:tcPr>
          <w:p>
            <w:pPr>
              <w:spacing w:after="0"/>
              <w:rPr>
                <w:sz w:val="18"/>
                <w:szCs w:val="18"/>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33,815</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(5)</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236,000</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95%</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12,694</w:t>
            </w: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auto"/>
                <w:w w:val="88"/>
              </w:rPr>
              <w:t>54,000</w:t>
            </w:r>
          </w:p>
        </w:tc>
        <w:tc>
          <w:tcPr>
            <w:tcW w:w="1320" w:type="dxa"/>
            <w:vAlign w:val="bottom"/>
            <w:gridSpan w:val="2"/>
            <w:vMerge w:val="restart"/>
          </w:tcPr>
          <w:p>
            <w:pPr>
              <w:ind w:left="100"/>
              <w:spacing w:after="0"/>
              <w:rPr>
                <w:sz w:val="20"/>
                <w:szCs w:val="20"/>
                <w:color w:val="auto"/>
              </w:rPr>
            </w:pPr>
            <w:r>
              <w:rPr>
                <w:rFonts w:ascii="Arial" w:cs="Arial" w:eastAsia="Arial" w:hAnsi="Arial"/>
                <w:sz w:val="17"/>
                <w:szCs w:val="17"/>
                <w:color w:val="auto"/>
              </w:rPr>
              <w:t>Shoppers Food</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Basement</w:t>
            </w:r>
          </w:p>
        </w:tc>
        <w:tc>
          <w:tcPr>
            <w:tcW w:w="0" w:type="dxa"/>
            <w:vAlign w:val="bottom"/>
          </w:tcPr>
          <w:p>
            <w:pPr>
              <w:spacing w:after="0"/>
              <w:rPr>
                <w:sz w:val="1"/>
                <w:szCs w:val="1"/>
                <w:color w:val="auto"/>
              </w:rPr>
            </w:pPr>
          </w:p>
        </w:tc>
      </w:tr>
      <w:tr>
        <w:trPr>
          <w:trHeight w:val="204"/>
        </w:trPr>
        <w:tc>
          <w:tcPr>
            <w:tcW w:w="2140" w:type="dxa"/>
            <w:vAlign w:val="bottom"/>
            <w:gridSpan w:val="6"/>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Warehouse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Old Keene Mill</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1976</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5,124</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92,000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24,000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Whole Foods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Pan Am</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26,804</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227,000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63,000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Safeway</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Micro Center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Pentagon Row</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1999</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87,365</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296,000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45,000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Harris Teeter</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Bally’s / Bed,</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9"/>
              </w:rPr>
              <w:t>Bath &amp; Beyond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6"/>
              </w:rPr>
              <w:t>DSW / Cost Plus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Pike 7</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33,613</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164,000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0"/>
              </w:rPr>
              <w:t>Staples / TJ Maxx</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7"/>
              </w:rPr>
              <w:t>/ Tower Records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Quince Orchard</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19,801</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252,000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96%</w:t>
            </w:r>
          </w:p>
        </w:tc>
        <w:tc>
          <w:tcPr>
            <w:tcW w:w="8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24,000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Magruders</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Circuit City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Rockville Town Square</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4,105</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760" w:type="dxa"/>
            <w:vAlign w:val="bottom"/>
            <w:gridSpan w:val="2"/>
          </w:tcPr>
          <w:p>
            <w:pPr>
              <w:ind w:left="380"/>
              <w:spacing w:after="0"/>
              <w:rPr>
                <w:sz w:val="20"/>
                <w:szCs w:val="20"/>
                <w:color w:val="auto"/>
              </w:rPr>
            </w:pPr>
            <w:r>
              <w:rPr>
                <w:rFonts w:ascii="Arial" w:cs="Arial" w:eastAsia="Arial" w:hAnsi="Arial"/>
                <w:sz w:val="17"/>
                <w:szCs w:val="17"/>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Magruders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(Signed)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Rollingwood Apartments</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1971</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6,764</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ind w:left="380"/>
              <w:spacing w:after="0"/>
              <w:rPr>
                <w:sz w:val="20"/>
                <w:szCs w:val="20"/>
                <w:color w:val="auto"/>
              </w:rPr>
            </w:pPr>
            <w:r>
              <w:rPr>
                <w:rFonts w:ascii="Arial" w:cs="Arial" w:eastAsia="Arial" w:hAnsi="Arial"/>
                <w:sz w:val="17"/>
                <w:szCs w:val="17"/>
                <w:color w:val="auto"/>
              </w:rPr>
              <w:t>N/A</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Sam’s Park &amp; Shop</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12,112</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51,000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Petco</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South Valley</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2003</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17,552</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218,000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93%</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4"/>
              </w:rPr>
              <w:t>Home Depot / TJ</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Maxx</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Tower</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1998</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18,882</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109,000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96%</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Virginia Fine</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Wine / Talbots</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Tyson’s Station</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1978</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3,482</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50,000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jc w:val="right"/>
              <w:spacing w:after="0"/>
              <w:rPr>
                <w:sz w:val="20"/>
                <w:szCs w:val="20"/>
                <w:color w:val="auto"/>
              </w:rPr>
            </w:pPr>
            <w:r>
              <w:rPr>
                <w:rFonts w:ascii="Arial" w:cs="Arial" w:eastAsia="Arial" w:hAnsi="Arial"/>
                <w:sz w:val="17"/>
                <w:szCs w:val="17"/>
                <w:color w:val="auto"/>
              </w:rPr>
              <w:t>6,570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Trader Joes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Village at Shirlington</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30,543</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201,000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w w:val="92"/>
              </w:rPr>
              <w:t>Cineplex Odeon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Carlyle Grand</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Café</w:t>
            </w:r>
          </w:p>
        </w:tc>
        <w:tc>
          <w:tcPr>
            <w:tcW w:w="0" w:type="dxa"/>
            <w:vAlign w:val="bottom"/>
          </w:tcPr>
          <w:p>
            <w:pPr>
              <w:spacing w:after="0"/>
              <w:rPr>
                <w:sz w:val="1"/>
                <w:szCs w:val="1"/>
                <w:color w:val="auto"/>
              </w:rPr>
            </w:pPr>
          </w:p>
        </w:tc>
      </w:tr>
      <w:tr>
        <w:trPr>
          <w:trHeight w:val="210"/>
        </w:trPr>
        <w:tc>
          <w:tcPr>
            <w:tcW w:w="2140" w:type="dxa"/>
            <w:vAlign w:val="bottom"/>
            <w:gridSpan w:val="6"/>
          </w:tcPr>
          <w:p>
            <w:pPr>
              <w:spacing w:after="0"/>
              <w:rPr>
                <w:sz w:val="20"/>
                <w:szCs w:val="20"/>
                <w:color w:val="auto"/>
              </w:rPr>
            </w:pPr>
            <w:r>
              <w:rPr>
                <w:rFonts w:ascii="Arial" w:cs="Arial" w:eastAsia="Arial" w:hAnsi="Arial"/>
                <w:sz w:val="17"/>
                <w:szCs w:val="17"/>
                <w:color w:val="auto"/>
              </w:rPr>
              <w:t>Wildwood</w:t>
            </w:r>
          </w:p>
        </w:tc>
        <w:tc>
          <w:tcPr>
            <w:tcW w:w="1040" w:type="dxa"/>
            <w:vAlign w:val="bottom"/>
          </w:tcPr>
          <w:p>
            <w:pPr>
              <w:spacing w:after="0"/>
              <w:rPr>
                <w:sz w:val="20"/>
                <w:szCs w:val="20"/>
                <w:color w:val="auto"/>
              </w:rPr>
            </w:pPr>
            <w:r>
              <w:rPr>
                <w:rFonts w:ascii="Arial" w:cs="Arial" w:eastAsia="Arial" w:hAnsi="Arial"/>
                <w:sz w:val="17"/>
                <w:szCs w:val="17"/>
                <w:color w:val="auto"/>
              </w:rPr>
              <w:t>Washington,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1969</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17,497</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86,000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tcPr>
          <w:p>
            <w:pPr>
              <w:jc w:val="right"/>
              <w:spacing w:after="0"/>
              <w:rPr>
                <w:sz w:val="20"/>
                <w:szCs w:val="20"/>
                <w:color w:val="auto"/>
              </w:rPr>
            </w:pPr>
            <w:r>
              <w:rPr>
                <w:rFonts w:ascii="Arial" w:cs="Arial" w:eastAsia="Arial" w:hAnsi="Arial"/>
                <w:sz w:val="17"/>
                <w:szCs w:val="17"/>
                <w:color w:val="auto"/>
              </w:rPr>
              <w:t>27,080</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w w:val="88"/>
              </w:rPr>
              <w:t>20,000</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Balducci’s</w:t>
            </w:r>
          </w:p>
        </w:tc>
        <w:tc>
          <w:tcPr>
            <w:tcW w:w="1340" w:type="dxa"/>
            <w:vAlign w:val="bottom"/>
            <w:gridSpan w:val="2"/>
          </w:tcPr>
          <w:p>
            <w:pPr>
              <w:ind w:left="100"/>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DC-MD-VA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729,045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4,763,000</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7"/>
                <w:szCs w:val="17"/>
                <w:b w:val="1"/>
                <w:bCs w:val="1"/>
                <w:color w:val="auto"/>
              </w:rPr>
              <w:t>Washington</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74" w:orient="portrait"/>
          <w:cols w:equalWidth="0" w:num="1">
            <w:col w:w="11420"/>
          </w:cols>
          <w:pgMar w:left="240" w:top="271" w:right="239" w:bottom="0" w:gutter="0" w:footer="0" w:header="0"/>
        </w:sectPr>
      </w:pPr>
    </w:p>
    <w:bookmarkStart w:id="23" w:name="page24"/>
    <w:bookmarkEnd w:id="23"/>
    <w:p>
      <w:pPr>
        <w:ind w:left="2140"/>
        <w:spacing w:after="0"/>
        <w:rPr>
          <w:sz w:val="20"/>
          <w:szCs w:val="20"/>
          <w:color w:val="auto"/>
        </w:rPr>
      </w:pPr>
      <w:r>
        <w:rPr>
          <w:rFonts w:ascii="Arial" w:cs="Arial" w:eastAsia="Arial" w:hAnsi="Arial"/>
          <w:sz w:val="17"/>
          <w:szCs w:val="17"/>
          <w:b w:val="1"/>
          <w:bCs w:val="1"/>
          <w:color w:val="auto"/>
        </w:rPr>
        <w:t>Metropolitan</w:t>
      </w:r>
    </w:p>
    <w:p>
      <w:pPr>
        <w:spacing w:after="0" w:line="25"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Area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gridSpan w:val="4"/>
          </w:tcPr>
          <w:p>
            <w:pPr>
              <w:spacing w:after="0"/>
              <w:rPr>
                <w:sz w:val="20"/>
                <w:szCs w:val="20"/>
                <w:color w:val="auto"/>
              </w:rPr>
            </w:pPr>
            <w:r>
              <w:rPr>
                <w:rFonts w:ascii="Arial" w:cs="Arial" w:eastAsia="Arial" w:hAnsi="Arial"/>
                <w:sz w:val="17"/>
                <w:szCs w:val="17"/>
                <w:b w:val="1"/>
                <w:bCs w:val="1"/>
                <w:color w:val="auto"/>
              </w:rPr>
              <w:t>New York / New Jersey</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Allwood</w:t>
            </w:r>
          </w:p>
        </w:tc>
        <w:tc>
          <w:tcPr>
            <w:tcW w:w="1260" w:type="dxa"/>
            <w:vAlign w:val="bottom"/>
          </w:tcPr>
          <w:p>
            <w:pPr>
              <w:ind w:left="100"/>
              <w:spacing w:after="0"/>
              <w:rPr>
                <w:sz w:val="20"/>
                <w:szCs w:val="20"/>
                <w:color w:val="auto"/>
              </w:rPr>
            </w:pPr>
            <w:r>
              <w:rPr>
                <w:rFonts w:ascii="Arial" w:cs="Arial" w:eastAsia="Arial" w:hAnsi="Arial"/>
                <w:sz w:val="17"/>
                <w:szCs w:val="17"/>
                <w:color w:val="auto"/>
              </w:rPr>
              <w:t>Bergen-</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4,298</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52,000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jc w:val="right"/>
              <w:spacing w:after="0"/>
              <w:rPr>
                <w:sz w:val="20"/>
                <w:szCs w:val="20"/>
                <w:color w:val="auto"/>
              </w:rPr>
            </w:pPr>
            <w:r>
              <w:rPr>
                <w:rFonts w:ascii="Arial" w:cs="Arial" w:eastAsia="Arial" w:hAnsi="Arial"/>
                <w:sz w:val="17"/>
                <w:szCs w:val="17"/>
                <w:color w:val="auto"/>
              </w:rPr>
              <w:t>3,482</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25,000</w:t>
            </w:r>
          </w:p>
        </w:tc>
        <w:tc>
          <w:tcPr>
            <w:tcW w:w="1300" w:type="dxa"/>
            <w:vAlign w:val="bottom"/>
          </w:tcPr>
          <w:p>
            <w:pPr>
              <w:ind w:left="60"/>
              <w:spacing w:after="0"/>
              <w:rPr>
                <w:sz w:val="20"/>
                <w:szCs w:val="20"/>
                <w:color w:val="auto"/>
              </w:rPr>
            </w:pPr>
            <w:r>
              <w:rPr>
                <w:rFonts w:ascii="Arial" w:cs="Arial" w:eastAsia="Arial" w:hAnsi="Arial"/>
                <w:sz w:val="17"/>
                <w:szCs w:val="17"/>
                <w:color w:val="auto"/>
              </w:rPr>
              <w:t>Stop &amp; Shop</w:t>
            </w:r>
          </w:p>
        </w:tc>
        <w:tc>
          <w:tcPr>
            <w:tcW w:w="1320" w:type="dxa"/>
            <w:vAlign w:val="bottom"/>
          </w:tcPr>
          <w:p>
            <w:pPr>
              <w:ind w:left="80"/>
              <w:spacing w:after="0"/>
              <w:rPr>
                <w:sz w:val="20"/>
                <w:szCs w:val="20"/>
                <w:color w:val="auto"/>
              </w:rPr>
            </w:pPr>
            <w:r>
              <w:rPr>
                <w:rFonts w:ascii="Arial" w:cs="Arial" w:eastAsia="Arial" w:hAnsi="Arial"/>
                <w:sz w:val="17"/>
                <w:szCs w:val="17"/>
                <w:color w:val="auto"/>
              </w:rPr>
              <w:t>Mandee Shop</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Passaic,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Blue Star</w:t>
            </w:r>
          </w:p>
        </w:tc>
        <w:tc>
          <w:tcPr>
            <w:tcW w:w="1260" w:type="dxa"/>
            <w:vAlign w:val="bottom"/>
          </w:tcPr>
          <w:p>
            <w:pPr>
              <w:ind w:left="100"/>
              <w:spacing w:after="0"/>
              <w:rPr>
                <w:sz w:val="20"/>
                <w:szCs w:val="20"/>
                <w:color w:val="auto"/>
              </w:rPr>
            </w:pPr>
            <w:r>
              <w:rPr>
                <w:rFonts w:ascii="Arial" w:cs="Arial" w:eastAsia="Arial" w:hAnsi="Arial"/>
                <w:sz w:val="17"/>
                <w:szCs w:val="17"/>
                <w:color w:val="auto"/>
              </w:rPr>
              <w:t>Middlesex-</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39,857</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407,000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jc w:val="right"/>
              <w:spacing w:after="0"/>
              <w:rPr>
                <w:sz w:val="20"/>
                <w:szCs w:val="20"/>
                <w:color w:val="auto"/>
              </w:rPr>
            </w:pPr>
            <w:r>
              <w:rPr>
                <w:rFonts w:ascii="Arial" w:cs="Arial" w:eastAsia="Arial" w:hAnsi="Arial"/>
                <w:sz w:val="17"/>
                <w:szCs w:val="17"/>
                <w:color w:val="auto"/>
              </w:rPr>
              <w:t>26,600</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43,000</w:t>
            </w:r>
          </w:p>
        </w:tc>
        <w:tc>
          <w:tcPr>
            <w:tcW w:w="1300" w:type="dxa"/>
            <w:vAlign w:val="bottom"/>
          </w:tcPr>
          <w:p>
            <w:pPr>
              <w:ind w:left="60"/>
              <w:spacing w:after="0"/>
              <w:rPr>
                <w:sz w:val="20"/>
                <w:szCs w:val="20"/>
                <w:color w:val="auto"/>
              </w:rPr>
            </w:pPr>
            <w:r>
              <w:rPr>
                <w:rFonts w:ascii="Arial" w:cs="Arial" w:eastAsia="Arial" w:hAnsi="Arial"/>
                <w:sz w:val="17"/>
                <w:szCs w:val="17"/>
                <w:color w:val="auto"/>
              </w:rPr>
              <w:t>Shop Rite</w:t>
            </w:r>
          </w:p>
        </w:tc>
        <w:tc>
          <w:tcPr>
            <w:tcW w:w="1320" w:type="dxa"/>
            <w:vAlign w:val="bottom"/>
          </w:tcPr>
          <w:p>
            <w:pPr>
              <w:ind w:left="80"/>
              <w:spacing w:after="0"/>
              <w:rPr>
                <w:sz w:val="20"/>
                <w:szCs w:val="20"/>
                <w:color w:val="auto"/>
              </w:rPr>
            </w:pPr>
            <w:r>
              <w:rPr>
                <w:rFonts w:ascii="Arial" w:cs="Arial" w:eastAsia="Arial" w:hAnsi="Arial"/>
                <w:sz w:val="17"/>
                <w:szCs w:val="17"/>
                <w:color w:val="auto"/>
                <w:w w:val="95"/>
              </w:rPr>
              <w:t>Kohl’s / Michaels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Somerset-</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 Toys R Us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Hunterdon,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Brick Plaza</w:t>
            </w:r>
          </w:p>
        </w:tc>
        <w:tc>
          <w:tcPr>
            <w:tcW w:w="1260" w:type="dxa"/>
            <w:vAlign w:val="bottom"/>
          </w:tcPr>
          <w:p>
            <w:pPr>
              <w:ind w:left="100"/>
              <w:spacing w:after="0"/>
              <w:rPr>
                <w:sz w:val="20"/>
                <w:szCs w:val="20"/>
                <w:color w:val="auto"/>
              </w:rPr>
            </w:pPr>
            <w:r>
              <w:rPr>
                <w:rFonts w:ascii="Arial" w:cs="Arial" w:eastAsia="Arial" w:hAnsi="Arial"/>
                <w:sz w:val="17"/>
                <w:szCs w:val="17"/>
                <w:color w:val="auto"/>
              </w:rPr>
              <w:t>Monmouth-</w:t>
            </w:r>
          </w:p>
        </w:tc>
        <w:tc>
          <w:tcPr>
            <w:tcW w:w="580" w:type="dxa"/>
            <w:vAlign w:val="bottom"/>
          </w:tcPr>
          <w:p>
            <w:pPr>
              <w:jc w:val="right"/>
              <w:spacing w:after="0"/>
              <w:rPr>
                <w:sz w:val="20"/>
                <w:szCs w:val="20"/>
                <w:color w:val="auto"/>
              </w:rPr>
            </w:pPr>
            <w:r>
              <w:rPr>
                <w:rFonts w:ascii="Arial" w:cs="Arial" w:eastAsia="Arial" w:hAnsi="Arial"/>
                <w:sz w:val="17"/>
                <w:szCs w:val="17"/>
                <w:color w:val="auto"/>
              </w:rPr>
              <w:t>1989</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55,306</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409,000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98%</w:t>
            </w:r>
          </w:p>
        </w:tc>
        <w:tc>
          <w:tcPr>
            <w:tcW w:w="720" w:type="dxa"/>
            <w:vAlign w:val="bottom"/>
          </w:tcPr>
          <w:p>
            <w:pPr>
              <w:jc w:val="right"/>
              <w:spacing w:after="0"/>
              <w:rPr>
                <w:sz w:val="20"/>
                <w:szCs w:val="20"/>
                <w:color w:val="auto"/>
              </w:rPr>
            </w:pPr>
            <w:r>
              <w:rPr>
                <w:rFonts w:ascii="Arial" w:cs="Arial" w:eastAsia="Arial" w:hAnsi="Arial"/>
                <w:sz w:val="17"/>
                <w:szCs w:val="17"/>
                <w:color w:val="auto"/>
              </w:rPr>
              <w:t>32,320</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66,000</w:t>
            </w:r>
          </w:p>
        </w:tc>
        <w:tc>
          <w:tcPr>
            <w:tcW w:w="1300" w:type="dxa"/>
            <w:vAlign w:val="bottom"/>
          </w:tcPr>
          <w:p>
            <w:pPr>
              <w:ind w:left="60"/>
              <w:spacing w:after="0"/>
              <w:rPr>
                <w:sz w:val="20"/>
                <w:szCs w:val="20"/>
                <w:color w:val="auto"/>
              </w:rPr>
            </w:pPr>
            <w:r>
              <w:rPr>
                <w:rFonts w:ascii="Arial" w:cs="Arial" w:eastAsia="Arial" w:hAnsi="Arial"/>
                <w:sz w:val="17"/>
                <w:szCs w:val="17"/>
                <w:color w:val="auto"/>
              </w:rPr>
              <w:t>A&amp;P</w:t>
            </w:r>
          </w:p>
        </w:tc>
        <w:tc>
          <w:tcPr>
            <w:tcW w:w="1320" w:type="dxa"/>
            <w:vAlign w:val="bottom"/>
          </w:tcPr>
          <w:p>
            <w:pPr>
              <w:ind w:left="80"/>
              <w:spacing w:after="0"/>
              <w:rPr>
                <w:sz w:val="20"/>
                <w:szCs w:val="20"/>
                <w:color w:val="auto"/>
              </w:rPr>
            </w:pPr>
            <w:r>
              <w:rPr>
                <w:rFonts w:ascii="Arial" w:cs="Arial" w:eastAsia="Arial" w:hAnsi="Arial"/>
                <w:sz w:val="17"/>
                <w:szCs w:val="17"/>
                <w:color w:val="auto"/>
              </w:rPr>
              <w:t>Loews Theatre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Ocean,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4"/>
              </w:rPr>
              <w:t>Barnes &amp; Noble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Sports Authority</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Brunswick</w:t>
            </w:r>
          </w:p>
        </w:tc>
        <w:tc>
          <w:tcPr>
            <w:tcW w:w="1260" w:type="dxa"/>
            <w:vAlign w:val="bottom"/>
          </w:tcPr>
          <w:p>
            <w:pPr>
              <w:ind w:left="100"/>
              <w:spacing w:after="0"/>
              <w:rPr>
                <w:sz w:val="20"/>
                <w:szCs w:val="20"/>
                <w:color w:val="auto"/>
              </w:rPr>
            </w:pPr>
            <w:r>
              <w:rPr>
                <w:rFonts w:ascii="Arial" w:cs="Arial" w:eastAsia="Arial" w:hAnsi="Arial"/>
                <w:sz w:val="17"/>
                <w:szCs w:val="17"/>
                <w:color w:val="auto"/>
              </w:rPr>
              <w:t>Middlesex-</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23,708</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303,000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96%</w:t>
            </w:r>
          </w:p>
        </w:tc>
        <w:tc>
          <w:tcPr>
            <w:tcW w:w="720" w:type="dxa"/>
            <w:vAlign w:val="bottom"/>
          </w:tcPr>
          <w:p>
            <w:pPr>
              <w:jc w:val="right"/>
              <w:spacing w:after="0"/>
              <w:rPr>
                <w:sz w:val="20"/>
                <w:szCs w:val="20"/>
                <w:color w:val="auto"/>
              </w:rPr>
            </w:pPr>
            <w:r>
              <w:rPr>
                <w:rFonts w:ascii="Arial" w:cs="Arial" w:eastAsia="Arial" w:hAnsi="Arial"/>
                <w:sz w:val="17"/>
                <w:szCs w:val="17"/>
                <w:color w:val="auto"/>
              </w:rPr>
              <w:t>11,062</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55,000</w:t>
            </w:r>
          </w:p>
        </w:tc>
        <w:tc>
          <w:tcPr>
            <w:tcW w:w="1300" w:type="dxa"/>
            <w:vAlign w:val="bottom"/>
          </w:tcPr>
          <w:p>
            <w:pPr>
              <w:ind w:left="60"/>
              <w:spacing w:after="0"/>
              <w:rPr>
                <w:sz w:val="20"/>
                <w:szCs w:val="20"/>
                <w:color w:val="auto"/>
              </w:rPr>
            </w:pPr>
            <w:r>
              <w:rPr>
                <w:rFonts w:ascii="Arial" w:cs="Arial" w:eastAsia="Arial" w:hAnsi="Arial"/>
                <w:sz w:val="17"/>
                <w:szCs w:val="17"/>
                <w:color w:val="auto"/>
              </w:rPr>
              <w:t>A&amp;P</w:t>
            </w:r>
          </w:p>
        </w:tc>
        <w:tc>
          <w:tcPr>
            <w:tcW w:w="1320" w:type="dxa"/>
            <w:vAlign w:val="bottom"/>
          </w:tcPr>
          <w:p>
            <w:pPr>
              <w:ind w:left="80"/>
              <w:spacing w:after="0"/>
              <w:rPr>
                <w:sz w:val="20"/>
                <w:szCs w:val="20"/>
                <w:color w:val="auto"/>
              </w:rPr>
            </w:pPr>
            <w:r>
              <w:rPr>
                <w:rFonts w:ascii="Arial" w:cs="Arial" w:eastAsia="Arial" w:hAnsi="Arial"/>
                <w:sz w:val="17"/>
                <w:szCs w:val="17"/>
                <w:color w:val="auto"/>
                <w:w w:val="95"/>
              </w:rPr>
              <w:t>A.J. Wright / L.A.</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Somerset-</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Fitness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Hunterdon,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Clifton</w:t>
            </w:r>
          </w:p>
        </w:tc>
        <w:tc>
          <w:tcPr>
            <w:tcW w:w="1260" w:type="dxa"/>
            <w:vAlign w:val="bottom"/>
          </w:tcPr>
          <w:p>
            <w:pPr>
              <w:ind w:left="100"/>
              <w:spacing w:after="0"/>
              <w:rPr>
                <w:sz w:val="20"/>
                <w:szCs w:val="20"/>
                <w:color w:val="auto"/>
              </w:rPr>
            </w:pPr>
            <w:r>
              <w:rPr>
                <w:rFonts w:ascii="Arial" w:cs="Arial" w:eastAsia="Arial" w:hAnsi="Arial"/>
                <w:sz w:val="17"/>
                <w:szCs w:val="17"/>
                <w:color w:val="auto"/>
              </w:rPr>
              <w:t>Bergen-</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5,372</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80,000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96%</w:t>
            </w:r>
          </w:p>
        </w:tc>
        <w:tc>
          <w:tcPr>
            <w:tcW w:w="720" w:type="dxa"/>
            <w:vAlign w:val="bottom"/>
          </w:tcPr>
          <w:p>
            <w:pPr>
              <w:jc w:val="right"/>
              <w:spacing w:after="0"/>
              <w:rPr>
                <w:sz w:val="20"/>
                <w:szCs w:val="20"/>
                <w:color w:val="auto"/>
              </w:rPr>
            </w:pPr>
            <w:r>
              <w:rPr>
                <w:rFonts w:ascii="Arial" w:cs="Arial" w:eastAsia="Arial" w:hAnsi="Arial"/>
                <w:sz w:val="17"/>
                <w:szCs w:val="17"/>
                <w:color w:val="auto"/>
              </w:rPr>
              <w:t>3,238</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4"/>
              </w:rPr>
              <w:t>Drug Fair / Dollar</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Passaic,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Express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Forest Hills</w:t>
            </w:r>
          </w:p>
        </w:tc>
        <w:tc>
          <w:tcPr>
            <w:tcW w:w="1260" w:type="dxa"/>
            <w:vAlign w:val="bottom"/>
          </w:tcPr>
          <w:p>
            <w:pPr>
              <w:ind w:left="100"/>
              <w:spacing w:after="0"/>
              <w:rPr>
                <w:sz w:val="20"/>
                <w:szCs w:val="20"/>
                <w:color w:val="auto"/>
              </w:rPr>
            </w:pPr>
            <w:r>
              <w:rPr>
                <w:rFonts w:ascii="Arial" w:cs="Arial" w:eastAsia="Arial" w:hAnsi="Arial"/>
                <w:sz w:val="17"/>
                <w:szCs w:val="17"/>
                <w:color w:val="auto"/>
              </w:rPr>
              <w:t>New York, NY</w:t>
            </w:r>
          </w:p>
        </w:tc>
        <w:tc>
          <w:tcPr>
            <w:tcW w:w="580" w:type="dxa"/>
            <w:vAlign w:val="bottom"/>
          </w:tcPr>
          <w:p>
            <w:pPr>
              <w:jc w:val="right"/>
              <w:spacing w:after="0"/>
              <w:rPr>
                <w:sz w:val="20"/>
                <w:szCs w:val="20"/>
                <w:color w:val="auto"/>
              </w:rPr>
            </w:pPr>
            <w:r>
              <w:rPr>
                <w:rFonts w:ascii="Arial" w:cs="Arial" w:eastAsia="Arial" w:hAnsi="Arial"/>
                <w:sz w:val="17"/>
                <w:szCs w:val="17"/>
                <w:color w:val="auto"/>
              </w:rPr>
              <w:t>1997</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24,000</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86,000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3"/>
              </w:rPr>
              <w:t>Midway Theatre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Duane Reade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Gap</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Fresh Meadows</w:t>
            </w:r>
          </w:p>
        </w:tc>
        <w:tc>
          <w:tcPr>
            <w:tcW w:w="1260" w:type="dxa"/>
            <w:vAlign w:val="bottom"/>
          </w:tcPr>
          <w:p>
            <w:pPr>
              <w:ind w:left="100"/>
              <w:spacing w:after="0"/>
              <w:rPr>
                <w:sz w:val="20"/>
                <w:szCs w:val="20"/>
                <w:color w:val="auto"/>
              </w:rPr>
            </w:pPr>
            <w:r>
              <w:rPr>
                <w:rFonts w:ascii="Arial" w:cs="Arial" w:eastAsia="Arial" w:hAnsi="Arial"/>
                <w:sz w:val="17"/>
                <w:szCs w:val="17"/>
                <w:color w:val="auto"/>
              </w:rPr>
              <w:t>New York, NY</w:t>
            </w:r>
          </w:p>
        </w:tc>
        <w:tc>
          <w:tcPr>
            <w:tcW w:w="580" w:type="dxa"/>
            <w:vAlign w:val="bottom"/>
          </w:tcPr>
          <w:p>
            <w:pPr>
              <w:jc w:val="right"/>
              <w:spacing w:after="0"/>
              <w:rPr>
                <w:sz w:val="20"/>
                <w:szCs w:val="20"/>
                <w:color w:val="auto"/>
              </w:rPr>
            </w:pPr>
            <w:r>
              <w:rPr>
                <w:rFonts w:ascii="Arial" w:cs="Arial" w:eastAsia="Arial" w:hAnsi="Arial"/>
                <w:sz w:val="17"/>
                <w:szCs w:val="17"/>
                <w:color w:val="auto"/>
              </w:rPr>
              <w:t>1997</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65,481</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403,000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90%</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Filene’s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Basement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6"/>
              </w:rPr>
              <w:t>Kohl’s / Cineplex</w:t>
            </w:r>
          </w:p>
        </w:tc>
        <w:tc>
          <w:tcPr>
            <w:tcW w:w="0" w:type="dxa"/>
            <w:vAlign w:val="bottom"/>
          </w:tcPr>
          <w:p>
            <w:pPr>
              <w:spacing w:after="0"/>
              <w:rPr>
                <w:sz w:val="1"/>
                <w:szCs w:val="1"/>
                <w:color w:val="auto"/>
              </w:rPr>
            </w:pPr>
          </w:p>
        </w:tc>
      </w:tr>
      <w:tr>
        <w:trPr>
          <w:trHeight w:val="216"/>
        </w:trPr>
        <w:tc>
          <w:tcPr>
            <w:tcW w:w="2040" w:type="dxa"/>
            <w:vAlign w:val="bottom"/>
            <w:gridSpan w:val="4"/>
            <w:vMerge w:val="restart"/>
          </w:tcPr>
          <w:p>
            <w:pPr>
              <w:spacing w:after="0"/>
              <w:rPr>
                <w:sz w:val="20"/>
                <w:szCs w:val="20"/>
                <w:color w:val="auto"/>
              </w:rPr>
            </w:pPr>
            <w:r>
              <w:rPr>
                <w:rFonts w:ascii="Arial" w:cs="Arial" w:eastAsia="Arial" w:hAnsi="Arial"/>
                <w:sz w:val="17"/>
                <w:szCs w:val="17"/>
                <w:color w:val="auto"/>
              </w:rPr>
              <w:t>Greenlawn Plaza</w:t>
            </w:r>
          </w:p>
        </w:tc>
        <w:tc>
          <w:tcPr>
            <w:tcW w:w="1260" w:type="dxa"/>
            <w:vAlign w:val="bottom"/>
            <w:vMerge w:val="restart"/>
          </w:tcPr>
          <w:p>
            <w:pPr>
              <w:ind w:left="100"/>
              <w:spacing w:after="0"/>
              <w:rPr>
                <w:sz w:val="20"/>
                <w:szCs w:val="20"/>
                <w:color w:val="auto"/>
              </w:rPr>
            </w:pPr>
            <w:r>
              <w:rPr>
                <w:rFonts w:ascii="Arial" w:cs="Arial" w:eastAsia="Arial" w:hAnsi="Arial"/>
                <w:sz w:val="17"/>
                <w:szCs w:val="17"/>
                <w:color w:val="auto"/>
              </w:rPr>
              <w:t>Nassau-</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2000</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11,962</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102,000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w w:val="96"/>
              </w:rPr>
              <w:t>46,000</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Waldbaum’s</w:t>
            </w:r>
          </w:p>
        </w:tc>
        <w:tc>
          <w:tcPr>
            <w:tcW w:w="1320" w:type="dxa"/>
            <w:vAlign w:val="bottom"/>
          </w:tcPr>
          <w:p>
            <w:pPr>
              <w:ind w:left="80"/>
              <w:spacing w:after="0"/>
              <w:rPr>
                <w:sz w:val="20"/>
                <w:szCs w:val="20"/>
                <w:color w:val="auto"/>
              </w:rPr>
            </w:pPr>
            <w:r>
              <w:rPr>
                <w:rFonts w:ascii="Arial" w:cs="Arial" w:eastAsia="Arial" w:hAnsi="Arial"/>
                <w:sz w:val="17"/>
                <w:szCs w:val="17"/>
                <w:color w:val="auto"/>
              </w:rPr>
              <w:t>Odeon</w:t>
            </w:r>
          </w:p>
        </w:tc>
        <w:tc>
          <w:tcPr>
            <w:tcW w:w="0" w:type="dxa"/>
            <w:vAlign w:val="bottom"/>
          </w:tcPr>
          <w:p>
            <w:pPr>
              <w:spacing w:after="0"/>
              <w:rPr>
                <w:sz w:val="1"/>
                <w:szCs w:val="1"/>
                <w:color w:val="auto"/>
              </w:rPr>
            </w:pPr>
          </w:p>
        </w:tc>
      </w:tr>
      <w:tr>
        <w:trPr>
          <w:trHeight w:val="204"/>
        </w:trPr>
        <w:tc>
          <w:tcPr>
            <w:tcW w:w="2040" w:type="dxa"/>
            <w:vAlign w:val="bottom"/>
            <w:gridSpan w:val="4"/>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Suffolk, NY</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Hamilton</w:t>
            </w:r>
          </w:p>
        </w:tc>
        <w:tc>
          <w:tcPr>
            <w:tcW w:w="1260" w:type="dxa"/>
            <w:vAlign w:val="bottom"/>
          </w:tcPr>
          <w:p>
            <w:pPr>
              <w:ind w:left="100"/>
              <w:spacing w:after="0"/>
              <w:rPr>
                <w:sz w:val="20"/>
                <w:szCs w:val="20"/>
                <w:color w:val="auto"/>
              </w:rPr>
            </w:pPr>
            <w:r>
              <w:rPr>
                <w:rFonts w:ascii="Arial" w:cs="Arial" w:eastAsia="Arial" w:hAnsi="Arial"/>
                <w:sz w:val="17"/>
                <w:szCs w:val="17"/>
                <w:color w:val="auto"/>
              </w:rPr>
              <w:t>Trenton, NJ</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8,126</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190,000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94%</w:t>
            </w:r>
          </w:p>
        </w:tc>
        <w:tc>
          <w:tcPr>
            <w:tcW w:w="720" w:type="dxa"/>
            <w:vAlign w:val="bottom"/>
          </w:tcPr>
          <w:p>
            <w:pPr>
              <w:jc w:val="right"/>
              <w:spacing w:after="0"/>
              <w:rPr>
                <w:sz w:val="20"/>
                <w:szCs w:val="20"/>
                <w:color w:val="auto"/>
              </w:rPr>
            </w:pPr>
            <w:r>
              <w:rPr>
                <w:rFonts w:ascii="Arial" w:cs="Arial" w:eastAsia="Arial" w:hAnsi="Arial"/>
                <w:sz w:val="17"/>
                <w:szCs w:val="17"/>
                <w:color w:val="auto"/>
              </w:rPr>
              <w:t>4,800</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53,000</w:t>
            </w:r>
          </w:p>
        </w:tc>
        <w:tc>
          <w:tcPr>
            <w:tcW w:w="1300" w:type="dxa"/>
            <w:vAlign w:val="bottom"/>
          </w:tcPr>
          <w:p>
            <w:pPr>
              <w:ind w:left="60"/>
              <w:spacing w:after="0"/>
              <w:rPr>
                <w:sz w:val="20"/>
                <w:szCs w:val="20"/>
                <w:color w:val="auto"/>
              </w:rPr>
            </w:pPr>
            <w:r>
              <w:rPr>
                <w:rFonts w:ascii="Arial" w:cs="Arial" w:eastAsia="Arial" w:hAnsi="Arial"/>
                <w:sz w:val="17"/>
                <w:szCs w:val="17"/>
                <w:color w:val="auto"/>
              </w:rPr>
              <w:t>Shop Rite</w:t>
            </w:r>
          </w:p>
        </w:tc>
        <w:tc>
          <w:tcPr>
            <w:tcW w:w="1320" w:type="dxa"/>
            <w:vAlign w:val="bottom"/>
          </w:tcPr>
          <w:p>
            <w:pPr>
              <w:ind w:left="80"/>
              <w:spacing w:after="0"/>
              <w:rPr>
                <w:sz w:val="20"/>
                <w:szCs w:val="20"/>
                <w:color w:val="auto"/>
              </w:rPr>
            </w:pPr>
            <w:r>
              <w:rPr>
                <w:rFonts w:ascii="Arial" w:cs="Arial" w:eastAsia="Arial" w:hAnsi="Arial"/>
                <w:sz w:val="17"/>
                <w:szCs w:val="17"/>
                <w:color w:val="auto"/>
              </w:rPr>
              <w:t>AC Moore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0"/>
              </w:rPr>
              <w:t>Stevens Furniture</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Hauppauge</w:t>
            </w:r>
          </w:p>
        </w:tc>
        <w:tc>
          <w:tcPr>
            <w:tcW w:w="1260" w:type="dxa"/>
            <w:vAlign w:val="bottom"/>
          </w:tcPr>
          <w:p>
            <w:pPr>
              <w:ind w:left="100"/>
              <w:spacing w:after="0"/>
              <w:rPr>
                <w:sz w:val="20"/>
                <w:szCs w:val="20"/>
                <w:color w:val="auto"/>
              </w:rPr>
            </w:pPr>
            <w:r>
              <w:rPr>
                <w:rFonts w:ascii="Arial" w:cs="Arial" w:eastAsia="Arial" w:hAnsi="Arial"/>
                <w:sz w:val="17"/>
                <w:szCs w:val="17"/>
                <w:color w:val="auto"/>
              </w:rPr>
              <w:t>Nassau-</w:t>
            </w:r>
          </w:p>
        </w:tc>
        <w:tc>
          <w:tcPr>
            <w:tcW w:w="580" w:type="dxa"/>
            <w:vAlign w:val="bottom"/>
          </w:tcPr>
          <w:p>
            <w:pPr>
              <w:jc w:val="right"/>
              <w:spacing w:after="0"/>
              <w:rPr>
                <w:sz w:val="20"/>
                <w:szCs w:val="20"/>
                <w:color w:val="auto"/>
              </w:rPr>
            </w:pPr>
            <w:r>
              <w:rPr>
                <w:rFonts w:ascii="Arial" w:cs="Arial" w:eastAsia="Arial" w:hAnsi="Arial"/>
                <w:sz w:val="17"/>
                <w:szCs w:val="17"/>
                <w:color w:val="auto"/>
              </w:rPr>
              <w:t>1998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26,536</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131,000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99%</w:t>
            </w:r>
          </w:p>
        </w:tc>
        <w:tc>
          <w:tcPr>
            <w:tcW w:w="720" w:type="dxa"/>
            <w:vAlign w:val="bottom"/>
          </w:tcPr>
          <w:p>
            <w:pPr>
              <w:jc w:val="right"/>
              <w:spacing w:after="0"/>
              <w:rPr>
                <w:sz w:val="20"/>
                <w:szCs w:val="20"/>
                <w:color w:val="auto"/>
              </w:rPr>
            </w:pPr>
            <w:r>
              <w:rPr>
                <w:rFonts w:ascii="Arial" w:cs="Arial" w:eastAsia="Arial" w:hAnsi="Arial"/>
                <w:sz w:val="17"/>
                <w:szCs w:val="17"/>
                <w:color w:val="auto"/>
              </w:rPr>
              <w:t>16,385</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61,000</w:t>
            </w:r>
          </w:p>
        </w:tc>
        <w:tc>
          <w:tcPr>
            <w:tcW w:w="1300" w:type="dxa"/>
            <w:vAlign w:val="bottom"/>
          </w:tcPr>
          <w:p>
            <w:pPr>
              <w:ind w:left="60"/>
              <w:spacing w:after="0"/>
              <w:rPr>
                <w:sz w:val="20"/>
                <w:szCs w:val="20"/>
                <w:color w:val="auto"/>
              </w:rPr>
            </w:pPr>
            <w:r>
              <w:rPr>
                <w:rFonts w:ascii="Arial" w:cs="Arial" w:eastAsia="Arial" w:hAnsi="Arial"/>
                <w:sz w:val="17"/>
                <w:szCs w:val="17"/>
                <w:color w:val="auto"/>
              </w:rPr>
              <w:t>Shop Rite</w:t>
            </w:r>
          </w:p>
        </w:tc>
        <w:tc>
          <w:tcPr>
            <w:tcW w:w="1320" w:type="dxa"/>
            <w:vAlign w:val="bottom"/>
          </w:tcPr>
          <w:p>
            <w:pPr>
              <w:ind w:left="80"/>
              <w:spacing w:after="0"/>
              <w:rPr>
                <w:sz w:val="20"/>
                <w:szCs w:val="20"/>
                <w:color w:val="auto"/>
              </w:rPr>
            </w:pPr>
            <w:r>
              <w:rPr>
                <w:rFonts w:ascii="Arial" w:cs="Arial" w:eastAsia="Arial" w:hAnsi="Arial"/>
                <w:sz w:val="17"/>
                <w:szCs w:val="17"/>
                <w:color w:val="auto"/>
              </w:rPr>
              <w:t>AC Moore</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Suffolk, NY</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Huntington</w:t>
            </w:r>
          </w:p>
        </w:tc>
        <w:tc>
          <w:tcPr>
            <w:tcW w:w="1260" w:type="dxa"/>
            <w:vAlign w:val="bottom"/>
          </w:tcPr>
          <w:p>
            <w:pPr>
              <w:ind w:left="100"/>
              <w:spacing w:after="0"/>
              <w:rPr>
                <w:sz w:val="20"/>
                <w:szCs w:val="20"/>
                <w:color w:val="auto"/>
              </w:rPr>
            </w:pPr>
            <w:r>
              <w:rPr>
                <w:rFonts w:ascii="Arial" w:cs="Arial" w:eastAsia="Arial" w:hAnsi="Arial"/>
                <w:sz w:val="17"/>
                <w:szCs w:val="17"/>
                <w:color w:val="auto"/>
              </w:rPr>
              <w:t>Nassau-</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22,741</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279,000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jc w:val="right"/>
              <w:spacing w:after="0"/>
              <w:rPr>
                <w:sz w:val="20"/>
                <w:szCs w:val="20"/>
                <w:color w:val="auto"/>
              </w:rPr>
            </w:pPr>
            <w:r>
              <w:rPr>
                <w:rFonts w:ascii="Arial" w:cs="Arial" w:eastAsia="Arial" w:hAnsi="Arial"/>
                <w:sz w:val="17"/>
                <w:szCs w:val="17"/>
                <w:color w:val="auto"/>
              </w:rPr>
              <w:t>14,216</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Buy Buy Baby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Suffolk, NY</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4"/>
              </w:rPr>
              <w:t>Toys R Us / Bed,</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9"/>
              </w:rPr>
              <w:t>Bath &amp; Beyond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Barnes &amp; Noble</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Mercer Mall</w:t>
            </w:r>
          </w:p>
        </w:tc>
        <w:tc>
          <w:tcPr>
            <w:tcW w:w="1260" w:type="dxa"/>
            <w:vAlign w:val="bottom"/>
          </w:tcPr>
          <w:p>
            <w:pPr>
              <w:ind w:left="100"/>
              <w:spacing w:after="0"/>
              <w:rPr>
                <w:sz w:val="20"/>
                <w:szCs w:val="20"/>
                <w:color w:val="auto"/>
              </w:rPr>
            </w:pPr>
            <w:r>
              <w:rPr>
                <w:rFonts w:ascii="Arial" w:cs="Arial" w:eastAsia="Arial" w:hAnsi="Arial"/>
                <w:sz w:val="17"/>
                <w:szCs w:val="17"/>
                <w:color w:val="auto"/>
              </w:rPr>
              <w:t>Trenton, NJ</w:t>
            </w:r>
          </w:p>
        </w:tc>
        <w:tc>
          <w:tcPr>
            <w:tcW w:w="580" w:type="dxa"/>
            <w:vAlign w:val="bottom"/>
          </w:tcPr>
          <w:p>
            <w:pPr>
              <w:jc w:val="right"/>
              <w:spacing w:after="0"/>
              <w:rPr>
                <w:sz w:val="20"/>
                <w:szCs w:val="20"/>
                <w:color w:val="auto"/>
              </w:rPr>
            </w:pPr>
            <w:r>
              <w:rPr>
                <w:rFonts w:ascii="Arial" w:cs="Arial" w:eastAsia="Arial" w:hAnsi="Arial"/>
                <w:sz w:val="17"/>
                <w:szCs w:val="17"/>
                <w:color w:val="auto"/>
              </w:rPr>
              <w:t>2003</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89,225</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493,000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96%</w:t>
            </w:r>
          </w:p>
        </w:tc>
        <w:tc>
          <w:tcPr>
            <w:tcW w:w="720" w:type="dxa"/>
            <w:vAlign w:val="bottom"/>
          </w:tcPr>
          <w:p>
            <w:pPr>
              <w:jc w:val="right"/>
              <w:spacing w:after="0"/>
              <w:rPr>
                <w:sz w:val="20"/>
                <w:szCs w:val="20"/>
                <w:color w:val="auto"/>
              </w:rPr>
            </w:pPr>
            <w:r>
              <w:rPr>
                <w:rFonts w:ascii="Arial" w:cs="Arial" w:eastAsia="Arial" w:hAnsi="Arial"/>
                <w:sz w:val="17"/>
                <w:szCs w:val="17"/>
                <w:color w:val="auto"/>
              </w:rPr>
              <w:t>59,356</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75,000</w:t>
            </w:r>
          </w:p>
        </w:tc>
        <w:tc>
          <w:tcPr>
            <w:tcW w:w="1300" w:type="dxa"/>
            <w:vAlign w:val="bottom"/>
          </w:tcPr>
          <w:p>
            <w:pPr>
              <w:ind w:left="60"/>
              <w:spacing w:after="0"/>
              <w:rPr>
                <w:sz w:val="20"/>
                <w:szCs w:val="20"/>
                <w:color w:val="auto"/>
              </w:rPr>
            </w:pPr>
            <w:r>
              <w:rPr>
                <w:rFonts w:ascii="Arial" w:cs="Arial" w:eastAsia="Arial" w:hAnsi="Arial"/>
                <w:sz w:val="17"/>
                <w:szCs w:val="17"/>
                <w:color w:val="auto"/>
              </w:rPr>
              <w:t>Shop Rite</w:t>
            </w:r>
          </w:p>
        </w:tc>
        <w:tc>
          <w:tcPr>
            <w:tcW w:w="1320" w:type="dxa"/>
            <w:vAlign w:val="bottom"/>
          </w:tcPr>
          <w:p>
            <w:pPr>
              <w:ind w:left="8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Beyond / DSW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TJ Maxx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Raymour &amp;</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Flanigan</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Rutgers</w:t>
            </w:r>
          </w:p>
        </w:tc>
        <w:tc>
          <w:tcPr>
            <w:tcW w:w="1260" w:type="dxa"/>
            <w:vAlign w:val="bottom"/>
          </w:tcPr>
          <w:p>
            <w:pPr>
              <w:ind w:left="100"/>
              <w:spacing w:after="0"/>
              <w:rPr>
                <w:sz w:val="20"/>
                <w:szCs w:val="20"/>
                <w:color w:val="auto"/>
              </w:rPr>
            </w:pPr>
            <w:r>
              <w:rPr>
                <w:rFonts w:ascii="Arial" w:cs="Arial" w:eastAsia="Arial" w:hAnsi="Arial"/>
                <w:sz w:val="17"/>
                <w:szCs w:val="17"/>
                <w:color w:val="auto"/>
              </w:rPr>
              <w:t>Middlesex-</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16,026</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267,000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jc w:val="right"/>
              <w:spacing w:after="0"/>
              <w:rPr>
                <w:sz w:val="20"/>
                <w:szCs w:val="20"/>
                <w:color w:val="auto"/>
              </w:rPr>
            </w:pPr>
            <w:r>
              <w:rPr>
                <w:rFonts w:ascii="Arial" w:cs="Arial" w:eastAsia="Arial" w:hAnsi="Arial"/>
                <w:sz w:val="17"/>
                <w:szCs w:val="17"/>
                <w:color w:val="auto"/>
              </w:rPr>
              <w:t>12,814</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44,000</w:t>
            </w:r>
          </w:p>
        </w:tc>
        <w:tc>
          <w:tcPr>
            <w:tcW w:w="1300" w:type="dxa"/>
            <w:vAlign w:val="bottom"/>
          </w:tcPr>
          <w:p>
            <w:pPr>
              <w:ind w:left="60"/>
              <w:spacing w:after="0"/>
              <w:rPr>
                <w:sz w:val="20"/>
                <w:szCs w:val="20"/>
                <w:color w:val="auto"/>
              </w:rPr>
            </w:pPr>
            <w:r>
              <w:rPr>
                <w:rFonts w:ascii="Arial" w:cs="Arial" w:eastAsia="Arial" w:hAnsi="Arial"/>
                <w:sz w:val="17"/>
                <w:szCs w:val="17"/>
                <w:color w:val="auto"/>
              </w:rPr>
              <w:t>Stop &amp; Shop</w:t>
            </w:r>
          </w:p>
        </w:tc>
        <w:tc>
          <w:tcPr>
            <w:tcW w:w="1320" w:type="dxa"/>
            <w:vAlign w:val="bottom"/>
          </w:tcPr>
          <w:p>
            <w:pPr>
              <w:ind w:left="80"/>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Somerset-</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Hunterdon,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Troy</w:t>
            </w:r>
          </w:p>
        </w:tc>
        <w:tc>
          <w:tcPr>
            <w:tcW w:w="1260" w:type="dxa"/>
            <w:vAlign w:val="bottom"/>
          </w:tcPr>
          <w:p>
            <w:pPr>
              <w:ind w:left="100"/>
              <w:spacing w:after="0"/>
              <w:rPr>
                <w:sz w:val="20"/>
                <w:szCs w:val="20"/>
                <w:color w:val="auto"/>
              </w:rPr>
            </w:pPr>
            <w:r>
              <w:rPr>
                <w:rFonts w:ascii="Arial" w:cs="Arial" w:eastAsia="Arial" w:hAnsi="Arial"/>
                <w:sz w:val="17"/>
                <w:szCs w:val="17"/>
                <w:color w:val="auto"/>
              </w:rPr>
              <w:t>Newark, NJ</w:t>
            </w:r>
          </w:p>
        </w:tc>
        <w:tc>
          <w:tcPr>
            <w:tcW w:w="580" w:type="dxa"/>
            <w:vAlign w:val="bottom"/>
          </w:tcPr>
          <w:p>
            <w:pPr>
              <w:jc w:val="right"/>
              <w:spacing w:after="0"/>
              <w:rPr>
                <w:sz w:val="20"/>
                <w:szCs w:val="20"/>
                <w:color w:val="auto"/>
              </w:rPr>
            </w:pPr>
            <w:r>
              <w:rPr>
                <w:rFonts w:ascii="Arial" w:cs="Arial" w:eastAsia="Arial" w:hAnsi="Arial"/>
                <w:sz w:val="17"/>
                <w:szCs w:val="17"/>
                <w:color w:val="auto"/>
              </w:rPr>
              <w:t>1980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20,611</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202,000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92%</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64,000</w:t>
            </w:r>
          </w:p>
        </w:tc>
        <w:tc>
          <w:tcPr>
            <w:tcW w:w="1300" w:type="dxa"/>
            <w:vAlign w:val="bottom"/>
          </w:tcPr>
          <w:p>
            <w:pPr>
              <w:ind w:left="60"/>
              <w:spacing w:after="0"/>
              <w:rPr>
                <w:sz w:val="20"/>
                <w:szCs w:val="20"/>
                <w:color w:val="auto"/>
              </w:rPr>
            </w:pPr>
            <w:r>
              <w:rPr>
                <w:rFonts w:ascii="Arial" w:cs="Arial" w:eastAsia="Arial" w:hAnsi="Arial"/>
                <w:sz w:val="17"/>
                <w:szCs w:val="17"/>
                <w:color w:val="auto"/>
              </w:rPr>
              <w:t>Pathmark</w:t>
            </w:r>
          </w:p>
        </w:tc>
        <w:tc>
          <w:tcPr>
            <w:tcW w:w="1320" w:type="dxa"/>
            <w:vAlign w:val="bottom"/>
          </w:tcPr>
          <w:p>
            <w:pPr>
              <w:ind w:left="80"/>
              <w:spacing w:after="0"/>
              <w:rPr>
                <w:sz w:val="20"/>
                <w:szCs w:val="20"/>
                <w:color w:val="auto"/>
              </w:rPr>
            </w:pPr>
            <w:r>
              <w:rPr>
                <w:rFonts w:ascii="Arial" w:cs="Arial" w:eastAsia="Arial" w:hAnsi="Arial"/>
                <w:sz w:val="17"/>
                <w:szCs w:val="17"/>
                <w:color w:val="auto"/>
              </w:rPr>
              <w:t>AC Moore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Total New</w:t>
            </w: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413,249</w:t>
            </w:r>
          </w:p>
        </w:tc>
        <w:tc>
          <w:tcPr>
            <w:tcW w:w="8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3,404,000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97%</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b w:val="1"/>
                <w:bCs w:val="1"/>
                <w:color w:val="auto"/>
              </w:rPr>
              <w:t>York / New</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7"/>
                <w:szCs w:val="17"/>
                <w:b w:val="1"/>
                <w:bCs w:val="1"/>
                <w:color w:val="auto"/>
              </w:rPr>
              <w:t>Jersey</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2"/>
              </w:rPr>
              <w:t>Philadelphia Metropolitan</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line="190" w:lineRule="exact"/>
              <w:rPr>
                <w:sz w:val="20"/>
                <w:szCs w:val="20"/>
                <w:color w:val="auto"/>
              </w:rPr>
            </w:pPr>
            <w:r>
              <w:rPr>
                <w:rFonts w:ascii="Arial" w:cs="Arial" w:eastAsia="Arial" w:hAnsi="Arial"/>
                <w:sz w:val="17"/>
                <w:szCs w:val="17"/>
                <w:b w:val="1"/>
                <w:bCs w:val="1"/>
                <w:color w:val="auto"/>
                <w:w w:val="89"/>
              </w:rPr>
              <w:t>Area</w:t>
            </w:r>
          </w:p>
        </w:tc>
        <w:tc>
          <w:tcPr>
            <w:tcW w:w="146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40" w:type="dxa"/>
            <w:vAlign w:val="bottom"/>
            <w:gridSpan w:val="4"/>
          </w:tcPr>
          <w:p>
            <w:pPr>
              <w:spacing w:after="0"/>
              <w:rPr>
                <w:sz w:val="20"/>
                <w:szCs w:val="20"/>
                <w:color w:val="auto"/>
              </w:rPr>
            </w:pPr>
            <w:r>
              <w:rPr>
                <w:rFonts w:ascii="Arial" w:cs="Arial" w:eastAsia="Arial" w:hAnsi="Arial"/>
                <w:sz w:val="17"/>
                <w:szCs w:val="17"/>
                <w:color w:val="auto"/>
              </w:rPr>
              <w:t>Andorra</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1988</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22,629</w:t>
            </w:r>
          </w:p>
        </w:tc>
        <w:tc>
          <w:tcPr>
            <w:tcW w:w="880" w:type="dxa"/>
            <w:vAlign w:val="bottom"/>
          </w:tcPr>
          <w:p>
            <w:pPr>
              <w:jc w:val="right"/>
              <w:spacing w:after="0"/>
              <w:rPr>
                <w:sz w:val="20"/>
                <w:szCs w:val="20"/>
                <w:color w:val="auto"/>
              </w:rPr>
            </w:pPr>
            <w:r>
              <w:rPr>
                <w:rFonts w:ascii="Arial" w:cs="Arial" w:eastAsia="Arial" w:hAnsi="Arial"/>
                <w:sz w:val="17"/>
                <w:szCs w:val="17"/>
                <w:color w:val="auto"/>
              </w:rPr>
              <w:t>99.9%</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267,000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24,000</w:t>
            </w:r>
          </w:p>
        </w:tc>
        <w:tc>
          <w:tcPr>
            <w:tcW w:w="1300" w:type="dxa"/>
            <w:vAlign w:val="bottom"/>
          </w:tcPr>
          <w:p>
            <w:pPr>
              <w:ind w:left="60"/>
              <w:spacing w:after="0"/>
              <w:rPr>
                <w:sz w:val="20"/>
                <w:szCs w:val="20"/>
                <w:color w:val="auto"/>
              </w:rPr>
            </w:pPr>
            <w:r>
              <w:rPr>
                <w:rFonts w:ascii="Arial" w:cs="Arial" w:eastAsia="Arial" w:hAnsi="Arial"/>
                <w:sz w:val="17"/>
                <w:szCs w:val="17"/>
                <w:color w:val="auto"/>
              </w:rPr>
              <w:t>Acme Markets</w:t>
            </w:r>
          </w:p>
        </w:tc>
        <w:tc>
          <w:tcPr>
            <w:tcW w:w="1320" w:type="dxa"/>
            <w:vAlign w:val="bottom"/>
          </w:tcPr>
          <w:p>
            <w:pPr>
              <w:ind w:left="80"/>
              <w:spacing w:after="0"/>
              <w:rPr>
                <w:sz w:val="20"/>
                <w:szCs w:val="20"/>
                <w:color w:val="auto"/>
              </w:rPr>
            </w:pPr>
            <w:r>
              <w:rPr>
                <w:rFonts w:ascii="Arial" w:cs="Arial" w:eastAsia="Arial" w:hAnsi="Arial"/>
                <w:sz w:val="17"/>
                <w:szCs w:val="17"/>
                <w:color w:val="auto"/>
                <w:w w:val="96"/>
              </w:rPr>
              <w:t>Kohl’s / Staples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L.A. Fitness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Bala Cynwyd</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1993</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25,797</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280,000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45,000</w:t>
            </w:r>
          </w:p>
        </w:tc>
        <w:tc>
          <w:tcPr>
            <w:tcW w:w="1300" w:type="dxa"/>
            <w:vAlign w:val="bottom"/>
          </w:tcPr>
          <w:p>
            <w:pPr>
              <w:ind w:left="60"/>
              <w:spacing w:after="0"/>
              <w:rPr>
                <w:sz w:val="20"/>
                <w:szCs w:val="20"/>
                <w:color w:val="auto"/>
              </w:rPr>
            </w:pPr>
            <w:r>
              <w:rPr>
                <w:rFonts w:ascii="Arial" w:cs="Arial" w:eastAsia="Arial" w:hAnsi="Arial"/>
                <w:sz w:val="17"/>
                <w:szCs w:val="17"/>
                <w:color w:val="auto"/>
              </w:rPr>
              <w:t>Acme Markets</w:t>
            </w:r>
          </w:p>
        </w:tc>
        <w:tc>
          <w:tcPr>
            <w:tcW w:w="1320" w:type="dxa"/>
            <w:vAlign w:val="bottom"/>
          </w:tcPr>
          <w:p>
            <w:pPr>
              <w:ind w:left="80"/>
              <w:spacing w:after="0"/>
              <w:rPr>
                <w:sz w:val="20"/>
                <w:szCs w:val="20"/>
                <w:color w:val="auto"/>
              </w:rPr>
            </w:pPr>
            <w:r>
              <w:rPr>
                <w:rFonts w:ascii="Arial" w:cs="Arial" w:eastAsia="Arial" w:hAnsi="Arial"/>
                <w:sz w:val="17"/>
                <w:szCs w:val="17"/>
                <w:color w:val="auto"/>
              </w:rPr>
              <w:t>Lord &amp; Taylor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L.A. Fitness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Ellisburg Circle</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1992</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29,112</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267,000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47,000</w:t>
            </w:r>
          </w:p>
        </w:tc>
        <w:tc>
          <w:tcPr>
            <w:tcW w:w="130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320" w:type="dxa"/>
            <w:vAlign w:val="bottom"/>
          </w:tcPr>
          <w:p>
            <w:pPr>
              <w:ind w:left="8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Beyond / Stein</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Mart</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Feasterville</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11,680</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111,000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53,000</w:t>
            </w:r>
          </w:p>
        </w:tc>
        <w:tc>
          <w:tcPr>
            <w:tcW w:w="130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320" w:type="dxa"/>
            <w:vAlign w:val="bottom"/>
          </w:tcPr>
          <w:p>
            <w:pPr>
              <w:ind w:left="80"/>
              <w:spacing w:after="0"/>
              <w:rPr>
                <w:sz w:val="20"/>
                <w:szCs w:val="20"/>
                <w:color w:val="auto"/>
              </w:rPr>
            </w:pPr>
            <w:r>
              <w:rPr>
                <w:rFonts w:ascii="Arial" w:cs="Arial" w:eastAsia="Arial" w:hAnsi="Arial"/>
                <w:sz w:val="17"/>
                <w:szCs w:val="17"/>
                <w:color w:val="auto"/>
              </w:rPr>
              <w:t>OfficeMax</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Flourtown</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9,155</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187,000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54%</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42,000</w:t>
            </w:r>
          </w:p>
        </w:tc>
        <w:tc>
          <w:tcPr>
            <w:tcW w:w="130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Langhorne Square</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1985</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17,886</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216,000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55,000</w:t>
            </w:r>
          </w:p>
        </w:tc>
        <w:tc>
          <w:tcPr>
            <w:tcW w:w="1300" w:type="dxa"/>
            <w:vAlign w:val="bottom"/>
          </w:tcPr>
          <w:p>
            <w:pPr>
              <w:ind w:left="60"/>
              <w:spacing w:after="0"/>
              <w:rPr>
                <w:sz w:val="20"/>
                <w:szCs w:val="20"/>
                <w:color w:val="auto"/>
              </w:rPr>
            </w:pPr>
            <w:r>
              <w:rPr>
                <w:rFonts w:ascii="Arial" w:cs="Arial" w:eastAsia="Arial" w:hAnsi="Arial"/>
                <w:sz w:val="17"/>
                <w:szCs w:val="17"/>
                <w:color w:val="auto"/>
              </w:rPr>
              <w:t>Redner’s</w:t>
            </w:r>
          </w:p>
        </w:tc>
        <w:tc>
          <w:tcPr>
            <w:tcW w:w="1320" w:type="dxa"/>
            <w:vAlign w:val="bottom"/>
          </w:tcPr>
          <w:p>
            <w:pPr>
              <w:ind w:left="80"/>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w w:val="92"/>
              </w:rPr>
              <w:t>Warehouse Mkts.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Lawrence Park</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27,697</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354,000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97%</w:t>
            </w:r>
          </w:p>
        </w:tc>
        <w:tc>
          <w:tcPr>
            <w:tcW w:w="720" w:type="dxa"/>
            <w:vAlign w:val="bottom"/>
          </w:tcPr>
          <w:p>
            <w:pPr>
              <w:jc w:val="right"/>
              <w:spacing w:after="0"/>
              <w:rPr>
                <w:sz w:val="20"/>
                <w:szCs w:val="20"/>
                <w:color w:val="auto"/>
              </w:rPr>
            </w:pPr>
            <w:r>
              <w:rPr>
                <w:rFonts w:ascii="Arial" w:cs="Arial" w:eastAsia="Arial" w:hAnsi="Arial"/>
                <w:sz w:val="17"/>
                <w:szCs w:val="17"/>
                <w:color w:val="auto"/>
              </w:rPr>
              <w:t>30,808</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53,000</w:t>
            </w:r>
          </w:p>
        </w:tc>
        <w:tc>
          <w:tcPr>
            <w:tcW w:w="1300" w:type="dxa"/>
            <w:vAlign w:val="bottom"/>
          </w:tcPr>
          <w:p>
            <w:pPr>
              <w:ind w:left="60"/>
              <w:spacing w:after="0"/>
              <w:rPr>
                <w:sz w:val="20"/>
                <w:szCs w:val="20"/>
                <w:color w:val="auto"/>
              </w:rPr>
            </w:pPr>
            <w:r>
              <w:rPr>
                <w:rFonts w:ascii="Arial" w:cs="Arial" w:eastAsia="Arial" w:hAnsi="Arial"/>
                <w:sz w:val="17"/>
                <w:szCs w:val="17"/>
                <w:color w:val="auto"/>
              </w:rPr>
              <w:t>Acme Markets</w:t>
            </w:r>
          </w:p>
        </w:tc>
        <w:tc>
          <w:tcPr>
            <w:tcW w:w="1320" w:type="dxa"/>
            <w:vAlign w:val="bottom"/>
          </w:tcPr>
          <w:p>
            <w:pPr>
              <w:ind w:left="80"/>
              <w:spacing w:after="0"/>
              <w:rPr>
                <w:sz w:val="20"/>
                <w:szCs w:val="20"/>
                <w:color w:val="auto"/>
              </w:rPr>
            </w:pPr>
            <w:r>
              <w:rPr>
                <w:rFonts w:ascii="Arial" w:cs="Arial" w:eastAsia="Arial" w:hAnsi="Arial"/>
                <w:sz w:val="17"/>
                <w:szCs w:val="17"/>
                <w:color w:val="auto"/>
              </w:rPr>
              <w:t>CHI / TJ Maxx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Northeast</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1983</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22,005</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292,000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6"/>
              </w:rPr>
              <w:t>Burlington Coat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0"/>
              </w:rPr>
              <w:t>Marshalls / Tower</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Willow Grove</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1984</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26,324</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215,000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4"/>
              </w:rPr>
              <w:t>Barnes &amp; Noble /</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8"/>
              </w:rPr>
              <w:t>Marshalls / Toys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R Us</w:t>
            </w:r>
          </w:p>
        </w:tc>
        <w:tc>
          <w:tcPr>
            <w:tcW w:w="0" w:type="dxa"/>
            <w:vAlign w:val="bottom"/>
          </w:tcPr>
          <w:p>
            <w:pPr>
              <w:spacing w:after="0"/>
              <w:rPr>
                <w:sz w:val="1"/>
                <w:szCs w:val="1"/>
                <w:color w:val="auto"/>
              </w:rPr>
            </w:pPr>
          </w:p>
        </w:tc>
      </w:tr>
      <w:tr>
        <w:trPr>
          <w:trHeight w:val="210"/>
        </w:trPr>
        <w:tc>
          <w:tcPr>
            <w:tcW w:w="2040" w:type="dxa"/>
            <w:vAlign w:val="bottom"/>
            <w:gridSpan w:val="4"/>
          </w:tcPr>
          <w:p>
            <w:pPr>
              <w:spacing w:after="0"/>
              <w:rPr>
                <w:sz w:val="20"/>
                <w:szCs w:val="20"/>
                <w:color w:val="auto"/>
              </w:rPr>
            </w:pPr>
            <w:r>
              <w:rPr>
                <w:rFonts w:ascii="Arial" w:cs="Arial" w:eastAsia="Arial" w:hAnsi="Arial"/>
                <w:sz w:val="17"/>
                <w:szCs w:val="17"/>
                <w:color w:val="auto"/>
              </w:rPr>
              <w:t>Wynnewood</w:t>
            </w:r>
          </w:p>
        </w:tc>
        <w:tc>
          <w:tcPr>
            <w:tcW w:w="1260" w:type="dxa"/>
            <w:vAlign w:val="bottom"/>
          </w:tcPr>
          <w:p>
            <w:pPr>
              <w:ind w:left="100"/>
              <w:spacing w:after="0"/>
              <w:rPr>
                <w:sz w:val="20"/>
                <w:szCs w:val="20"/>
                <w:color w:val="auto"/>
              </w:rPr>
            </w:pPr>
            <w:r>
              <w:rPr>
                <w:rFonts w:ascii="Arial" w:cs="Arial" w:eastAsia="Arial" w:hAnsi="Arial"/>
                <w:sz w:val="17"/>
                <w:szCs w:val="17"/>
                <w:color w:val="auto"/>
              </w:rPr>
              <w:t>Philadelphia,</w:t>
            </w:r>
          </w:p>
        </w:tc>
        <w:tc>
          <w:tcPr>
            <w:tcW w:w="580" w:type="dxa"/>
            <w:vAlign w:val="bottom"/>
          </w:tcPr>
          <w:p>
            <w:pPr>
              <w:jc w:val="right"/>
              <w:spacing w:after="0"/>
              <w:rPr>
                <w:sz w:val="20"/>
                <w:szCs w:val="20"/>
                <w:color w:val="auto"/>
              </w:rPr>
            </w:pPr>
            <w:r>
              <w:rPr>
                <w:rFonts w:ascii="Arial" w:cs="Arial" w:eastAsia="Arial" w:hAnsi="Arial"/>
                <w:sz w:val="17"/>
                <w:szCs w:val="17"/>
                <w:color w:val="auto"/>
              </w:rPr>
              <w:t>1996</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35,360</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255,000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98%</w:t>
            </w:r>
          </w:p>
        </w:tc>
        <w:tc>
          <w:tcPr>
            <w:tcW w:w="720" w:type="dxa"/>
            <w:vAlign w:val="bottom"/>
          </w:tcPr>
          <w:p>
            <w:pPr>
              <w:jc w:val="right"/>
              <w:spacing w:after="0"/>
              <w:rPr>
                <w:sz w:val="20"/>
                <w:szCs w:val="20"/>
                <w:color w:val="auto"/>
              </w:rPr>
            </w:pPr>
            <w:r>
              <w:rPr>
                <w:rFonts w:ascii="Arial" w:cs="Arial" w:eastAsia="Arial" w:hAnsi="Arial"/>
                <w:sz w:val="17"/>
                <w:szCs w:val="17"/>
                <w:color w:val="auto"/>
              </w:rPr>
              <w:t>31,397</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98,000</w:t>
            </w:r>
          </w:p>
        </w:tc>
        <w:tc>
          <w:tcPr>
            <w:tcW w:w="130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320" w:type="dxa"/>
            <w:vAlign w:val="bottom"/>
          </w:tcPr>
          <w:p>
            <w:pPr>
              <w:ind w:left="8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w w:val="92"/>
              </w:rPr>
              <w:t>Beyond / Borders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auto"/>
              </w:rPr>
              <w:t>/ Old Navy</w:t>
            </w: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Total</w:t>
            </w: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227,645</w:t>
            </w:r>
          </w:p>
        </w:tc>
        <w:tc>
          <w:tcPr>
            <w:tcW w:w="8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2,444,000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94%</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7"/>
                <w:szCs w:val="17"/>
                <w:b w:val="1"/>
                <w:bCs w:val="1"/>
                <w:color w:val="auto"/>
              </w:rPr>
              <w:t>Philadelphia</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0" w:gutter="0" w:footer="0" w:header="0"/>
        </w:sectPr>
      </w:pPr>
    </w:p>
    <w:bookmarkStart w:id="24" w:name="page25"/>
    <w:bookmarkEnd w:id="24"/>
    <w:p>
      <w:pPr>
        <w:ind w:left="2140"/>
        <w:spacing w:after="0"/>
        <w:rPr>
          <w:sz w:val="20"/>
          <w:szCs w:val="20"/>
          <w:color w:val="auto"/>
        </w:rPr>
      </w:pPr>
      <w:r>
        <w:rPr>
          <w:rFonts w:ascii="Arial" w:cs="Arial" w:eastAsia="Arial" w:hAnsi="Arial"/>
          <w:sz w:val="17"/>
          <w:szCs w:val="17"/>
          <w:b w:val="1"/>
          <w:bCs w:val="1"/>
          <w:color w:val="auto"/>
        </w:rPr>
        <w:t>Metropolitan</w:t>
      </w:r>
    </w:p>
    <w:p>
      <w:pPr>
        <w:spacing w:after="0" w:line="25"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Area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Boston</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40" w:type="dxa"/>
            <w:vAlign w:val="bottom"/>
            <w:gridSpan w:val="2"/>
          </w:tcPr>
          <w:p>
            <w:pPr>
              <w:spacing w:after="0"/>
              <w:rPr>
                <w:sz w:val="20"/>
                <w:szCs w:val="20"/>
                <w:color w:val="auto"/>
              </w:rPr>
            </w:pPr>
            <w:r>
              <w:rPr>
                <w:rFonts w:ascii="Arial" w:cs="Arial" w:eastAsia="Arial" w:hAnsi="Arial"/>
                <w:sz w:val="17"/>
                <w:szCs w:val="17"/>
                <w:color w:val="auto"/>
                <w:w w:val="93"/>
              </w:rPr>
              <w:t>Assembly Square/Sturtevant</w:t>
            </w:r>
          </w:p>
        </w:tc>
        <w:tc>
          <w:tcPr>
            <w:tcW w:w="1260" w:type="dxa"/>
            <w:vAlign w:val="bottom"/>
          </w:tcPr>
          <w:p>
            <w:pPr>
              <w:ind w:left="100"/>
              <w:spacing w:after="0"/>
              <w:rPr>
                <w:sz w:val="20"/>
                <w:szCs w:val="20"/>
                <w:color w:val="auto"/>
              </w:rPr>
            </w:pPr>
            <w:r>
              <w:rPr>
                <w:rFonts w:ascii="Arial" w:cs="Arial" w:eastAsia="Arial" w:hAnsi="Arial"/>
                <w:sz w:val="17"/>
                <w:szCs w:val="17"/>
                <w:color w:val="auto"/>
              </w:rPr>
              <w:t>Boston-</w:t>
            </w:r>
          </w:p>
        </w:tc>
        <w:tc>
          <w:tcPr>
            <w:tcW w:w="580" w:type="dxa"/>
            <w:vAlign w:val="bottom"/>
          </w:tcPr>
          <w:p>
            <w:pPr>
              <w:jc w:val="right"/>
              <w:spacing w:after="0"/>
              <w:rPr>
                <w:sz w:val="20"/>
                <w:szCs w:val="20"/>
                <w:color w:val="auto"/>
              </w:rPr>
            </w:pPr>
            <w:r>
              <w:rPr>
                <w:rFonts w:ascii="Arial" w:cs="Arial" w:eastAsia="Arial" w:hAnsi="Arial"/>
                <w:sz w:val="17"/>
                <w:szCs w:val="17"/>
                <w:color w:val="auto"/>
              </w:rPr>
              <w:t>2005</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80,946</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552,000</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10"/>
        </w:trPr>
        <w:tc>
          <w:tcPr>
            <w:tcW w:w="2040" w:type="dxa"/>
            <w:vAlign w:val="bottom"/>
            <w:gridSpan w:val="2"/>
          </w:tcPr>
          <w:p>
            <w:pPr>
              <w:ind w:left="220"/>
              <w:spacing w:after="0"/>
              <w:rPr>
                <w:sz w:val="20"/>
                <w:szCs w:val="20"/>
                <w:color w:val="auto"/>
              </w:rPr>
            </w:pPr>
            <w:r>
              <w:rPr>
                <w:rFonts w:ascii="Arial" w:cs="Arial" w:eastAsia="Arial" w:hAnsi="Arial"/>
                <w:sz w:val="17"/>
                <w:szCs w:val="17"/>
                <w:color w:val="auto"/>
              </w:rPr>
              <w:t>Street</w:t>
            </w:r>
          </w:p>
        </w:tc>
        <w:tc>
          <w:tcPr>
            <w:tcW w:w="1260" w:type="dxa"/>
            <w:vAlign w:val="bottom"/>
          </w:tcPr>
          <w:p>
            <w:pPr>
              <w:ind w:left="100"/>
              <w:spacing w:after="0"/>
              <w:rPr>
                <w:sz w:val="20"/>
                <w:szCs w:val="20"/>
                <w:color w:val="auto"/>
              </w:rPr>
            </w:pPr>
            <w:r>
              <w:rPr>
                <w:rFonts w:ascii="Arial" w:cs="Arial" w:eastAsia="Arial" w:hAnsi="Arial"/>
                <w:sz w:val="17"/>
                <w:szCs w:val="17"/>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Brockton, MA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7"/>
                <w:szCs w:val="17"/>
                <w:color w:val="auto"/>
              </w:rPr>
              <w:t>Dedham Plaza</w:t>
            </w:r>
          </w:p>
        </w:tc>
        <w:tc>
          <w:tcPr>
            <w:tcW w:w="1260" w:type="dxa"/>
            <w:vAlign w:val="bottom"/>
          </w:tcPr>
          <w:p>
            <w:pPr>
              <w:ind w:left="100"/>
              <w:spacing w:after="0"/>
              <w:rPr>
                <w:sz w:val="20"/>
                <w:szCs w:val="20"/>
                <w:color w:val="auto"/>
              </w:rPr>
            </w:pPr>
            <w:r>
              <w:rPr>
                <w:rFonts w:ascii="Arial" w:cs="Arial" w:eastAsia="Arial" w:hAnsi="Arial"/>
                <w:sz w:val="17"/>
                <w:szCs w:val="17"/>
                <w:color w:val="auto"/>
              </w:rPr>
              <w:t>Boston-</w:t>
            </w:r>
          </w:p>
        </w:tc>
        <w:tc>
          <w:tcPr>
            <w:tcW w:w="580" w:type="dxa"/>
            <w:vAlign w:val="bottom"/>
          </w:tcPr>
          <w:p>
            <w:pPr>
              <w:jc w:val="right"/>
              <w:spacing w:after="0"/>
              <w:rPr>
                <w:sz w:val="20"/>
                <w:szCs w:val="20"/>
                <w:color w:val="auto"/>
              </w:rPr>
            </w:pPr>
            <w:r>
              <w:rPr>
                <w:rFonts w:ascii="Arial" w:cs="Arial" w:eastAsia="Arial" w:hAnsi="Arial"/>
                <w:sz w:val="17"/>
                <w:szCs w:val="17"/>
                <w:color w:val="auto"/>
              </w:rPr>
              <w:t>1993</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29,736</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243,000</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98%</w:t>
            </w:r>
          </w:p>
        </w:tc>
        <w:tc>
          <w:tcPr>
            <w:tcW w:w="1000" w:type="dxa"/>
            <w:vAlign w:val="bottom"/>
          </w:tcPr>
          <w:p>
            <w:pPr>
              <w:jc w:val="right"/>
              <w:spacing w:after="0"/>
              <w:rPr>
                <w:sz w:val="20"/>
                <w:szCs w:val="20"/>
                <w:color w:val="auto"/>
              </w:rPr>
            </w:pPr>
            <w:r>
              <w:rPr>
                <w:rFonts w:ascii="Arial" w:cs="Arial" w:eastAsia="Arial" w:hAnsi="Arial"/>
                <w:sz w:val="17"/>
                <w:szCs w:val="17"/>
                <w:color w:val="auto"/>
              </w:rPr>
              <w:t>80,000</w:t>
            </w:r>
          </w:p>
        </w:tc>
        <w:tc>
          <w:tcPr>
            <w:tcW w:w="1180" w:type="dxa"/>
            <w:vAlign w:val="bottom"/>
          </w:tcPr>
          <w:p>
            <w:pPr>
              <w:ind w:left="60"/>
              <w:spacing w:after="0"/>
              <w:rPr>
                <w:sz w:val="20"/>
                <w:szCs w:val="20"/>
                <w:color w:val="auto"/>
              </w:rPr>
            </w:pPr>
            <w:r>
              <w:rPr>
                <w:rFonts w:ascii="Arial" w:cs="Arial" w:eastAsia="Arial" w:hAnsi="Arial"/>
                <w:sz w:val="17"/>
                <w:szCs w:val="17"/>
                <w:color w:val="auto"/>
              </w:rPr>
              <w:t>Star Market</w:t>
            </w:r>
          </w:p>
        </w:tc>
        <w:tc>
          <w:tcPr>
            <w:tcW w:w="800" w:type="dxa"/>
            <w:vAlign w:val="bottom"/>
          </w:tcPr>
          <w:p>
            <w:pPr>
              <w:ind w:left="200"/>
              <w:spacing w:after="0"/>
              <w:rPr>
                <w:sz w:val="20"/>
                <w:szCs w:val="20"/>
                <w:color w:val="auto"/>
              </w:rPr>
            </w:pPr>
            <w:r>
              <w:rPr>
                <w:rFonts w:ascii="Arial" w:cs="Arial" w:eastAsia="Arial" w:hAnsi="Arial"/>
                <w:sz w:val="17"/>
                <w:szCs w:val="17"/>
                <w:color w:val="auto"/>
                <w:w w:val="86"/>
              </w:rPr>
              <w:t>Pier One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Brockton, MA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7"/>
                <w:szCs w:val="17"/>
                <w:color w:val="auto"/>
              </w:rPr>
              <w:t>Queen Anne Plaza</w:t>
            </w:r>
          </w:p>
        </w:tc>
        <w:tc>
          <w:tcPr>
            <w:tcW w:w="1260" w:type="dxa"/>
            <w:vAlign w:val="bottom"/>
          </w:tcPr>
          <w:p>
            <w:pPr>
              <w:ind w:left="100"/>
              <w:spacing w:after="0"/>
              <w:rPr>
                <w:sz w:val="20"/>
                <w:szCs w:val="20"/>
                <w:color w:val="auto"/>
              </w:rPr>
            </w:pPr>
            <w:r>
              <w:rPr>
                <w:rFonts w:ascii="Arial" w:cs="Arial" w:eastAsia="Arial" w:hAnsi="Arial"/>
                <w:sz w:val="17"/>
                <w:szCs w:val="17"/>
                <w:color w:val="auto"/>
              </w:rPr>
              <w:t>Boston-</w:t>
            </w:r>
          </w:p>
        </w:tc>
        <w:tc>
          <w:tcPr>
            <w:tcW w:w="580" w:type="dxa"/>
            <w:vAlign w:val="bottom"/>
          </w:tcPr>
          <w:p>
            <w:pPr>
              <w:jc w:val="right"/>
              <w:spacing w:after="0"/>
              <w:rPr>
                <w:sz w:val="20"/>
                <w:szCs w:val="20"/>
                <w:color w:val="auto"/>
              </w:rPr>
            </w:pPr>
            <w:r>
              <w:rPr>
                <w:rFonts w:ascii="Arial" w:cs="Arial" w:eastAsia="Arial" w:hAnsi="Arial"/>
                <w:sz w:val="17"/>
                <w:szCs w:val="17"/>
                <w:color w:val="auto"/>
              </w:rPr>
              <w:t>1994</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14,807</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149,000</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000" w:type="dxa"/>
            <w:vAlign w:val="bottom"/>
          </w:tcPr>
          <w:p>
            <w:pPr>
              <w:jc w:val="right"/>
              <w:spacing w:after="0"/>
              <w:rPr>
                <w:sz w:val="20"/>
                <w:szCs w:val="20"/>
                <w:color w:val="auto"/>
              </w:rPr>
            </w:pPr>
            <w:r>
              <w:rPr>
                <w:rFonts w:ascii="Arial" w:cs="Arial" w:eastAsia="Arial" w:hAnsi="Arial"/>
                <w:sz w:val="17"/>
                <w:szCs w:val="17"/>
                <w:color w:val="auto"/>
              </w:rPr>
              <w:t>50,000</w:t>
            </w:r>
          </w:p>
        </w:tc>
        <w:tc>
          <w:tcPr>
            <w:tcW w:w="1180" w:type="dxa"/>
            <w:vAlign w:val="bottom"/>
          </w:tcPr>
          <w:p>
            <w:pPr>
              <w:ind w:left="60"/>
              <w:spacing w:after="0"/>
              <w:rPr>
                <w:sz w:val="20"/>
                <w:szCs w:val="20"/>
                <w:color w:val="auto"/>
              </w:rPr>
            </w:pPr>
            <w:r>
              <w:rPr>
                <w:rFonts w:ascii="Arial" w:cs="Arial" w:eastAsia="Arial" w:hAnsi="Arial"/>
                <w:sz w:val="17"/>
                <w:szCs w:val="17"/>
                <w:color w:val="auto"/>
              </w:rPr>
              <w:t>Victory</w:t>
            </w:r>
          </w:p>
        </w:tc>
        <w:tc>
          <w:tcPr>
            <w:tcW w:w="800" w:type="dxa"/>
            <w:vAlign w:val="bottom"/>
          </w:tcPr>
          <w:p>
            <w:pPr>
              <w:ind w:left="200"/>
              <w:spacing w:after="0"/>
              <w:rPr>
                <w:sz w:val="20"/>
                <w:szCs w:val="20"/>
                <w:color w:val="auto"/>
              </w:rPr>
            </w:pPr>
            <w:r>
              <w:rPr>
                <w:rFonts w:ascii="Arial" w:cs="Arial" w:eastAsia="Arial" w:hAnsi="Arial"/>
                <w:sz w:val="17"/>
                <w:szCs w:val="17"/>
                <w:color w:val="auto"/>
                <w:w w:val="90"/>
              </w:rPr>
              <w:t>TJ Maxx</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7"/>
                <w:szCs w:val="17"/>
                <w:color w:val="auto"/>
              </w:rPr>
              <w:t>Supermarket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Brockton, MA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7"/>
                <w:szCs w:val="17"/>
                <w:color w:val="auto"/>
              </w:rPr>
              <w:t>Saugus Plaza</w:t>
            </w:r>
          </w:p>
        </w:tc>
        <w:tc>
          <w:tcPr>
            <w:tcW w:w="1260" w:type="dxa"/>
            <w:vAlign w:val="bottom"/>
          </w:tcPr>
          <w:p>
            <w:pPr>
              <w:ind w:left="100"/>
              <w:spacing w:after="0"/>
              <w:rPr>
                <w:sz w:val="20"/>
                <w:szCs w:val="20"/>
                <w:color w:val="auto"/>
              </w:rPr>
            </w:pPr>
            <w:r>
              <w:rPr>
                <w:rFonts w:ascii="Arial" w:cs="Arial" w:eastAsia="Arial" w:hAnsi="Arial"/>
                <w:sz w:val="17"/>
                <w:szCs w:val="17"/>
                <w:color w:val="auto"/>
              </w:rPr>
              <w:t>Boston-</w:t>
            </w:r>
          </w:p>
        </w:tc>
        <w:tc>
          <w:tcPr>
            <w:tcW w:w="580" w:type="dxa"/>
            <w:vAlign w:val="bottom"/>
          </w:tcPr>
          <w:p>
            <w:pPr>
              <w:jc w:val="right"/>
              <w:spacing w:after="0"/>
              <w:rPr>
                <w:sz w:val="20"/>
                <w:szCs w:val="20"/>
                <w:color w:val="auto"/>
              </w:rPr>
            </w:pPr>
            <w:r>
              <w:rPr>
                <w:rFonts w:ascii="Arial" w:cs="Arial" w:eastAsia="Arial" w:hAnsi="Arial"/>
                <w:sz w:val="17"/>
                <w:szCs w:val="17"/>
                <w:color w:val="auto"/>
              </w:rPr>
              <w:t>1996</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13,430</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171,000</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000" w:type="dxa"/>
            <w:vAlign w:val="bottom"/>
          </w:tcPr>
          <w:p>
            <w:pPr>
              <w:jc w:val="right"/>
              <w:spacing w:after="0"/>
              <w:rPr>
                <w:sz w:val="20"/>
                <w:szCs w:val="20"/>
                <w:color w:val="auto"/>
              </w:rPr>
            </w:pPr>
            <w:r>
              <w:rPr>
                <w:rFonts w:ascii="Arial" w:cs="Arial" w:eastAsia="Arial" w:hAnsi="Arial"/>
                <w:sz w:val="17"/>
                <w:szCs w:val="17"/>
                <w:color w:val="auto"/>
              </w:rPr>
              <w:t>55,000</w:t>
            </w:r>
          </w:p>
        </w:tc>
        <w:tc>
          <w:tcPr>
            <w:tcW w:w="1180" w:type="dxa"/>
            <w:vAlign w:val="bottom"/>
          </w:tcPr>
          <w:p>
            <w:pPr>
              <w:ind w:left="60"/>
              <w:spacing w:after="0"/>
              <w:rPr>
                <w:sz w:val="20"/>
                <w:szCs w:val="20"/>
                <w:color w:val="auto"/>
              </w:rPr>
            </w:pPr>
            <w:r>
              <w:rPr>
                <w:rFonts w:ascii="Arial" w:cs="Arial" w:eastAsia="Arial" w:hAnsi="Arial"/>
                <w:sz w:val="17"/>
                <w:szCs w:val="17"/>
                <w:color w:val="auto"/>
              </w:rPr>
              <w:t>Super Stop &amp;</w:t>
            </w:r>
          </w:p>
        </w:tc>
        <w:tc>
          <w:tcPr>
            <w:tcW w:w="800" w:type="dxa"/>
            <w:vAlign w:val="bottom"/>
          </w:tcPr>
          <w:p>
            <w:pPr>
              <w:ind w:left="200"/>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7"/>
                <w:szCs w:val="17"/>
                <w:color w:val="auto"/>
              </w:rPr>
              <w:t>Shop</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Brockton, MA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7"/>
                <w:szCs w:val="17"/>
                <w:color w:val="auto"/>
              </w:rPr>
              <w:t>Shaw’s Plaza (8)</w:t>
            </w:r>
          </w:p>
        </w:tc>
        <w:tc>
          <w:tcPr>
            <w:tcW w:w="1260" w:type="dxa"/>
            <w:vAlign w:val="bottom"/>
          </w:tcPr>
          <w:p>
            <w:pPr>
              <w:ind w:left="100"/>
              <w:spacing w:after="0"/>
              <w:rPr>
                <w:sz w:val="20"/>
                <w:szCs w:val="20"/>
                <w:color w:val="auto"/>
              </w:rPr>
            </w:pPr>
            <w:r>
              <w:rPr>
                <w:rFonts w:ascii="Arial" w:cs="Arial" w:eastAsia="Arial" w:hAnsi="Arial"/>
                <w:sz w:val="17"/>
                <w:szCs w:val="17"/>
                <w:color w:val="auto"/>
              </w:rPr>
              <w:t>Boston-</w:t>
            </w:r>
          </w:p>
        </w:tc>
        <w:tc>
          <w:tcPr>
            <w:tcW w:w="580" w:type="dxa"/>
            <w:vAlign w:val="bottom"/>
          </w:tcPr>
          <w:p>
            <w:pPr>
              <w:jc w:val="right"/>
              <w:spacing w:after="0"/>
              <w:rPr>
                <w:sz w:val="20"/>
                <w:szCs w:val="20"/>
                <w:color w:val="auto"/>
              </w:rPr>
            </w:pPr>
            <w:r>
              <w:rPr>
                <w:rFonts w:ascii="Arial" w:cs="Arial" w:eastAsia="Arial" w:hAnsi="Arial"/>
                <w:sz w:val="17"/>
                <w:szCs w:val="17"/>
                <w:color w:val="auto"/>
              </w:rPr>
              <w:t>2004</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4,027</w:t>
            </w: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75,000</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93%</w:t>
            </w:r>
          </w:p>
        </w:tc>
        <w:tc>
          <w:tcPr>
            <w:tcW w:w="1000" w:type="dxa"/>
            <w:vAlign w:val="bottom"/>
          </w:tcPr>
          <w:p>
            <w:pPr>
              <w:jc w:val="right"/>
              <w:spacing w:after="0"/>
              <w:rPr>
                <w:sz w:val="20"/>
                <w:szCs w:val="20"/>
                <w:color w:val="auto"/>
              </w:rPr>
            </w:pPr>
            <w:r>
              <w:rPr>
                <w:rFonts w:ascii="Arial" w:cs="Arial" w:eastAsia="Arial" w:hAnsi="Arial"/>
                <w:sz w:val="17"/>
                <w:szCs w:val="17"/>
                <w:color w:val="auto"/>
              </w:rPr>
              <w:t>43,000</w:t>
            </w:r>
          </w:p>
        </w:tc>
        <w:tc>
          <w:tcPr>
            <w:tcW w:w="1180" w:type="dxa"/>
            <w:vAlign w:val="bottom"/>
          </w:tcPr>
          <w:p>
            <w:pPr>
              <w:ind w:left="60"/>
              <w:spacing w:after="0"/>
              <w:rPr>
                <w:sz w:val="20"/>
                <w:szCs w:val="20"/>
                <w:color w:val="auto"/>
              </w:rPr>
            </w:pPr>
            <w:r>
              <w:rPr>
                <w:rFonts w:ascii="Arial" w:cs="Arial" w:eastAsia="Arial" w:hAnsi="Arial"/>
                <w:sz w:val="17"/>
                <w:szCs w:val="17"/>
                <w:color w:val="auto"/>
              </w:rPr>
              <w:t>Shaw’s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7"/>
                <w:szCs w:val="17"/>
                <w:color w:val="auto"/>
              </w:rPr>
              <w:t>Supermarket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auto"/>
              </w:rPr>
              <w:t>Brockton, MA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Total Boston</w:t>
            </w: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142,946</w:t>
            </w:r>
          </w:p>
        </w:tc>
        <w:tc>
          <w:tcPr>
            <w:tcW w:w="8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1,190,000</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99%</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127" w:right="87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Mortgage or</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Grocery</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9"/>
              </w:rPr>
              <w:t>Year</w:t>
            </w:r>
          </w:p>
        </w:tc>
        <w:tc>
          <w:tcPr>
            <w:tcW w:w="9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6"/>
              </w:rPr>
              <w:t>Total</w:t>
            </w:r>
          </w:p>
        </w:tc>
        <w:tc>
          <w:tcPr>
            <w:tcW w:w="8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9"/>
              </w:rPr>
              <w:t>Ownership</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3"/>
              </w:rPr>
              <w:t>Capital Lease</w:t>
            </w:r>
          </w:p>
        </w:tc>
        <w:tc>
          <w:tcPr>
            <w:tcW w:w="5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Anchor</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ind w:left="100"/>
              <w:spacing w:after="0" w:line="144" w:lineRule="exact"/>
              <w:rPr>
                <w:sz w:val="20"/>
                <w:szCs w:val="20"/>
                <w:color w:val="auto"/>
              </w:rPr>
            </w:pPr>
            <w:r>
              <w:rPr>
                <w:rFonts w:ascii="Arial" w:cs="Arial" w:eastAsia="Arial" w:hAnsi="Arial"/>
                <w:sz w:val="13"/>
                <w:szCs w:val="13"/>
                <w:b w:val="1"/>
                <w:bCs w:val="1"/>
                <w:color w:val="auto"/>
              </w:rPr>
              <w:t>Other Principal</w:t>
            </w:r>
          </w:p>
        </w:tc>
        <w:tc>
          <w:tcPr>
            <w:tcW w:w="0" w:type="dxa"/>
            <w:vAlign w:val="bottom"/>
          </w:tcPr>
          <w:p>
            <w:pPr>
              <w:spacing w:after="0"/>
              <w:rPr>
                <w:sz w:val="1"/>
                <w:szCs w:val="1"/>
                <w:color w:val="auto"/>
              </w:rPr>
            </w:pPr>
          </w:p>
        </w:tc>
      </w:tr>
      <w:tr>
        <w:trPr>
          <w:trHeight w:val="169"/>
        </w:trPr>
        <w:tc>
          <w:tcPr>
            <w:tcW w:w="1920" w:type="dxa"/>
            <w:vAlign w:val="bottom"/>
            <w:gridSpan w:val="6"/>
          </w:tcPr>
          <w:p>
            <w:pPr>
              <w:spacing w:after="0"/>
              <w:rPr>
                <w:sz w:val="20"/>
                <w:szCs w:val="20"/>
                <w:color w:val="auto"/>
              </w:rPr>
            </w:pPr>
            <w:r>
              <w:rPr>
                <w:rFonts w:ascii="Arial" w:cs="Arial" w:eastAsia="Arial" w:hAnsi="Arial"/>
                <w:sz w:val="13"/>
                <w:szCs w:val="13"/>
                <w:b w:val="1"/>
                <w:bCs w:val="1"/>
                <w:color w:val="auto"/>
              </w:rPr>
              <w:t>Property Name</w:t>
            </w:r>
          </w:p>
        </w:tc>
        <w:tc>
          <w:tcPr>
            <w:tcW w:w="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Acquired</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Investment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Percentage</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GLA (1)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 Leased</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Obligation</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GLA (2)</w:t>
            </w:r>
          </w:p>
        </w:tc>
        <w:tc>
          <w:tcPr>
            <w:tcW w:w="1280" w:type="dxa"/>
            <w:vAlign w:val="bottom"/>
          </w:tcPr>
          <w:p>
            <w:pPr>
              <w:ind w:left="100"/>
              <w:spacing w:after="0"/>
              <w:rPr>
                <w:sz w:val="20"/>
                <w:szCs w:val="20"/>
                <w:color w:val="auto"/>
              </w:rPr>
            </w:pPr>
            <w:r>
              <w:rPr>
                <w:rFonts w:ascii="Arial" w:cs="Arial" w:eastAsia="Arial" w:hAnsi="Arial"/>
                <w:sz w:val="13"/>
                <w:szCs w:val="13"/>
                <w:b w:val="1"/>
                <w:bCs w:val="1"/>
                <w:color w:val="auto"/>
                <w:w w:val="97"/>
              </w:rPr>
              <w:t>Grocery Anchor (2)</w:t>
            </w:r>
          </w:p>
        </w:tc>
        <w:tc>
          <w:tcPr>
            <w:tcW w:w="10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Arial" w:cs="Arial" w:eastAsia="Arial" w:hAnsi="Arial"/>
                <w:sz w:val="13"/>
                <w:szCs w:val="13"/>
                <w:b w:val="1"/>
                <w:bCs w:val="1"/>
                <w:color w:val="auto"/>
              </w:rPr>
              <w:t>Tenants</w:t>
            </w:r>
          </w:p>
        </w:tc>
        <w:tc>
          <w:tcPr>
            <w:tcW w:w="0" w:type="dxa"/>
            <w:vAlign w:val="bottom"/>
          </w:tcPr>
          <w:p>
            <w:pPr>
              <w:spacing w:after="0"/>
              <w:rPr>
                <w:sz w:val="1"/>
                <w:szCs w:val="1"/>
                <w:color w:val="auto"/>
              </w:rPr>
            </w:pPr>
          </w:p>
        </w:tc>
      </w:tr>
      <w:tr>
        <w:trPr>
          <w:trHeight w:val="93"/>
        </w:trPr>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6"/>
              </w:rPr>
              <w:t>Chicago</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 thousands)</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(in thousands)</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920" w:type="dxa"/>
            <w:vAlign w:val="bottom"/>
            <w:gridSpan w:val="6"/>
          </w:tcPr>
          <w:p>
            <w:pPr>
              <w:spacing w:after="0"/>
              <w:rPr>
                <w:sz w:val="20"/>
                <w:szCs w:val="20"/>
                <w:color w:val="auto"/>
              </w:rPr>
            </w:pPr>
            <w:r>
              <w:rPr>
                <w:rFonts w:ascii="Arial" w:cs="Arial" w:eastAsia="Arial" w:hAnsi="Arial"/>
                <w:sz w:val="17"/>
                <w:szCs w:val="17"/>
                <w:color w:val="auto"/>
              </w:rPr>
              <w:t>Crossroads</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Chicago, IL</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1993</w:t>
            </w:r>
          </w:p>
        </w:tc>
        <w:tc>
          <w:tcPr>
            <w:tcW w:w="800" w:type="dxa"/>
            <w:vAlign w:val="bottom"/>
          </w:tcPr>
          <w:p>
            <w:pPr>
              <w:jc w:val="right"/>
              <w:spacing w:after="0"/>
              <w:rPr>
                <w:sz w:val="20"/>
                <w:szCs w:val="20"/>
                <w:color w:val="auto"/>
              </w:rPr>
            </w:pPr>
            <w:r>
              <w:rPr>
                <w:rFonts w:ascii="Arial" w:cs="Arial" w:eastAsia="Arial" w:hAnsi="Arial"/>
                <w:sz w:val="17"/>
                <w:szCs w:val="17"/>
                <w:color w:val="auto"/>
              </w:rPr>
              <w:t>22,293</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173,000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97%</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Golfsmith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Guitar Center</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Finley Square</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Chicago, IL</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00" w:type="dxa"/>
            <w:vAlign w:val="bottom"/>
          </w:tcPr>
          <w:p>
            <w:pPr>
              <w:jc w:val="right"/>
              <w:spacing w:after="0"/>
              <w:rPr>
                <w:sz w:val="20"/>
                <w:szCs w:val="20"/>
                <w:color w:val="auto"/>
              </w:rPr>
            </w:pPr>
            <w:r>
              <w:rPr>
                <w:rFonts w:ascii="Arial" w:cs="Arial" w:eastAsia="Arial" w:hAnsi="Arial"/>
                <w:sz w:val="17"/>
                <w:szCs w:val="17"/>
                <w:color w:val="auto"/>
              </w:rPr>
              <w:t>28,997</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313,000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Sports</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Authority</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Garden Market</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Chicago, IL</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1994</w:t>
            </w:r>
          </w:p>
        </w:tc>
        <w:tc>
          <w:tcPr>
            <w:tcW w:w="800" w:type="dxa"/>
            <w:vAlign w:val="bottom"/>
          </w:tcPr>
          <w:p>
            <w:pPr>
              <w:jc w:val="right"/>
              <w:spacing w:after="0"/>
              <w:rPr>
                <w:sz w:val="20"/>
                <w:szCs w:val="20"/>
                <w:color w:val="auto"/>
              </w:rPr>
            </w:pPr>
            <w:r>
              <w:rPr>
                <w:rFonts w:ascii="Arial" w:cs="Arial" w:eastAsia="Arial" w:hAnsi="Arial"/>
                <w:sz w:val="17"/>
                <w:szCs w:val="17"/>
                <w:color w:val="auto"/>
              </w:rPr>
              <w:t>11,123</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140,000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63,000</w:t>
            </w:r>
          </w:p>
        </w:tc>
        <w:tc>
          <w:tcPr>
            <w:tcW w:w="1280" w:type="dxa"/>
            <w:vAlign w:val="bottom"/>
          </w:tcPr>
          <w:p>
            <w:pPr>
              <w:spacing w:after="0"/>
              <w:rPr>
                <w:sz w:val="20"/>
                <w:szCs w:val="20"/>
                <w:color w:val="auto"/>
              </w:rPr>
            </w:pPr>
            <w:r>
              <w:rPr>
                <w:rFonts w:ascii="Arial" w:cs="Arial" w:eastAsia="Arial" w:hAnsi="Arial"/>
                <w:sz w:val="17"/>
                <w:szCs w:val="17"/>
                <w:color w:val="auto"/>
              </w:rPr>
              <w:t>Dominick’s</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Walgreens</w:t>
            </w:r>
          </w:p>
        </w:tc>
        <w:tc>
          <w:tcPr>
            <w:tcW w:w="0" w:type="dxa"/>
            <w:vAlign w:val="bottom"/>
          </w:tcPr>
          <w:p>
            <w:pPr>
              <w:spacing w:after="0"/>
              <w:rPr>
                <w:sz w:val="1"/>
                <w:szCs w:val="1"/>
                <w:color w:val="auto"/>
              </w:rPr>
            </w:pPr>
          </w:p>
        </w:tc>
      </w:tr>
      <w:tr>
        <w:trPr>
          <w:trHeight w:val="216"/>
        </w:trPr>
        <w:tc>
          <w:tcPr>
            <w:tcW w:w="1920" w:type="dxa"/>
            <w:vAlign w:val="bottom"/>
            <w:gridSpan w:val="6"/>
          </w:tcPr>
          <w:p>
            <w:pPr>
              <w:spacing w:after="0"/>
              <w:rPr>
                <w:sz w:val="20"/>
                <w:szCs w:val="20"/>
                <w:color w:val="auto"/>
              </w:rPr>
            </w:pPr>
            <w:r>
              <w:rPr>
                <w:rFonts w:ascii="Arial" w:cs="Arial" w:eastAsia="Arial" w:hAnsi="Arial"/>
                <w:sz w:val="17"/>
                <w:szCs w:val="17"/>
                <w:color w:val="auto"/>
              </w:rPr>
              <w:t>North Lake Commons</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Chicago, IL</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1994</w:t>
            </w:r>
          </w:p>
        </w:tc>
        <w:tc>
          <w:tcPr>
            <w:tcW w:w="800" w:type="dxa"/>
            <w:vAlign w:val="bottom"/>
          </w:tcPr>
          <w:p>
            <w:pPr>
              <w:jc w:val="right"/>
              <w:spacing w:after="0"/>
              <w:rPr>
                <w:sz w:val="20"/>
                <w:szCs w:val="20"/>
                <w:color w:val="auto"/>
              </w:rPr>
            </w:pPr>
            <w:r>
              <w:rPr>
                <w:rFonts w:ascii="Arial" w:cs="Arial" w:eastAsia="Arial" w:hAnsi="Arial"/>
                <w:sz w:val="17"/>
                <w:szCs w:val="17"/>
                <w:color w:val="auto"/>
              </w:rPr>
              <w:t>12,897</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129,000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7"/>
                <w:szCs w:val="17"/>
                <w:color w:val="auto"/>
              </w:rPr>
              <w:t>77,000 Dominick’s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Total Chicago</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75,310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755,000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0"/>
              </w:rPr>
              <w:t>East Region - Other</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920" w:type="dxa"/>
            <w:vAlign w:val="bottom"/>
            <w:gridSpan w:val="6"/>
          </w:tcPr>
          <w:p>
            <w:pPr>
              <w:spacing w:after="0"/>
              <w:rPr>
                <w:sz w:val="20"/>
                <w:szCs w:val="20"/>
                <w:color w:val="auto"/>
              </w:rPr>
            </w:pPr>
            <w:r>
              <w:rPr>
                <w:rFonts w:ascii="Arial" w:cs="Arial" w:eastAsia="Arial" w:hAnsi="Arial"/>
                <w:sz w:val="17"/>
                <w:szCs w:val="17"/>
                <w:color w:val="auto"/>
              </w:rPr>
              <w:t>Barracks Road</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Charlottesville,</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1985</w:t>
            </w:r>
          </w:p>
        </w:tc>
        <w:tc>
          <w:tcPr>
            <w:tcW w:w="800" w:type="dxa"/>
            <w:vAlign w:val="bottom"/>
          </w:tcPr>
          <w:p>
            <w:pPr>
              <w:jc w:val="right"/>
              <w:spacing w:after="0"/>
              <w:rPr>
                <w:sz w:val="20"/>
                <w:szCs w:val="20"/>
                <w:color w:val="auto"/>
              </w:rPr>
            </w:pPr>
            <w:r>
              <w:rPr>
                <w:rFonts w:ascii="Arial" w:cs="Arial" w:eastAsia="Arial" w:hAnsi="Arial"/>
                <w:sz w:val="17"/>
                <w:szCs w:val="17"/>
                <w:color w:val="auto"/>
              </w:rPr>
              <w:t>40,671</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483,000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43,465</w:t>
            </w:r>
          </w:p>
        </w:tc>
        <w:tc>
          <w:tcPr>
            <w:tcW w:w="560" w:type="dxa"/>
            <w:vAlign w:val="bottom"/>
            <w:gridSpan w:val="2"/>
          </w:tcPr>
          <w:p>
            <w:pPr>
              <w:spacing w:after="0"/>
              <w:rPr>
                <w:sz w:val="20"/>
                <w:szCs w:val="20"/>
                <w:color w:val="auto"/>
              </w:rPr>
            </w:pPr>
            <w:r>
              <w:rPr>
                <w:rFonts w:ascii="Arial" w:cs="Arial" w:eastAsia="Arial" w:hAnsi="Arial"/>
                <w:sz w:val="17"/>
                <w:szCs w:val="17"/>
                <w:color w:val="auto"/>
              </w:rPr>
              <w:t>91,000</w:t>
            </w:r>
          </w:p>
        </w:tc>
        <w:tc>
          <w:tcPr>
            <w:tcW w:w="1280" w:type="dxa"/>
            <w:vAlign w:val="bottom"/>
          </w:tcPr>
          <w:p>
            <w:pPr>
              <w:spacing w:after="0"/>
              <w:rPr>
                <w:sz w:val="20"/>
                <w:szCs w:val="20"/>
                <w:color w:val="auto"/>
              </w:rPr>
            </w:pPr>
            <w:r>
              <w:rPr>
                <w:rFonts w:ascii="Arial" w:cs="Arial" w:eastAsia="Arial" w:hAnsi="Arial"/>
                <w:sz w:val="17"/>
                <w:szCs w:val="17"/>
                <w:color w:val="auto"/>
              </w:rPr>
              <w:t>Harris Teeter /</w:t>
            </w: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VA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Kroger</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Noble / Old</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Bristol Plaza</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Hartford, CT</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00" w:type="dxa"/>
            <w:vAlign w:val="bottom"/>
          </w:tcPr>
          <w:p>
            <w:pPr>
              <w:jc w:val="right"/>
              <w:spacing w:after="0"/>
              <w:rPr>
                <w:sz w:val="20"/>
                <w:szCs w:val="20"/>
                <w:color w:val="auto"/>
              </w:rPr>
            </w:pPr>
            <w:r>
              <w:rPr>
                <w:rFonts w:ascii="Arial" w:cs="Arial" w:eastAsia="Arial" w:hAnsi="Arial"/>
                <w:sz w:val="17"/>
                <w:szCs w:val="17"/>
                <w:color w:val="auto"/>
              </w:rPr>
              <w:t>22,280</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277,000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74,000</w:t>
            </w:r>
          </w:p>
        </w:tc>
        <w:tc>
          <w:tcPr>
            <w:tcW w:w="1280" w:type="dxa"/>
            <w:vAlign w:val="bottom"/>
          </w:tcPr>
          <w:p>
            <w:pPr>
              <w:spacing w:after="0"/>
              <w:rPr>
                <w:sz w:val="20"/>
                <w:szCs w:val="20"/>
                <w:color w:val="auto"/>
              </w:rPr>
            </w:pPr>
            <w:r>
              <w:rPr>
                <w:rFonts w:ascii="Arial" w:cs="Arial" w:eastAsia="Arial" w:hAnsi="Arial"/>
                <w:sz w:val="17"/>
                <w:szCs w:val="17"/>
                <w:color w:val="auto"/>
              </w:rPr>
              <w:t>Stop &amp; Shop</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Eastgate</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Raleigh-</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1986</w:t>
            </w:r>
          </w:p>
        </w:tc>
        <w:tc>
          <w:tcPr>
            <w:tcW w:w="800" w:type="dxa"/>
            <w:vAlign w:val="bottom"/>
          </w:tcPr>
          <w:p>
            <w:pPr>
              <w:jc w:val="right"/>
              <w:spacing w:after="0"/>
              <w:rPr>
                <w:sz w:val="20"/>
                <w:szCs w:val="20"/>
                <w:color w:val="auto"/>
              </w:rPr>
            </w:pPr>
            <w:r>
              <w:rPr>
                <w:rFonts w:ascii="Arial" w:cs="Arial" w:eastAsia="Arial" w:hAnsi="Arial"/>
                <w:sz w:val="17"/>
                <w:szCs w:val="17"/>
                <w:color w:val="auto"/>
              </w:rPr>
              <w:t>16,875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159,000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23,000</w:t>
            </w:r>
          </w:p>
        </w:tc>
        <w:tc>
          <w:tcPr>
            <w:tcW w:w="1280" w:type="dxa"/>
            <w:vAlign w:val="bottom"/>
          </w:tcPr>
          <w:p>
            <w:pPr>
              <w:spacing w:after="0"/>
              <w:rPr>
                <w:sz w:val="20"/>
                <w:szCs w:val="20"/>
                <w:color w:val="auto"/>
              </w:rPr>
            </w:pPr>
            <w:r>
              <w:rPr>
                <w:rFonts w:ascii="Arial" w:cs="Arial" w:eastAsia="Arial" w:hAnsi="Arial"/>
                <w:sz w:val="17"/>
                <w:szCs w:val="17"/>
                <w:color w:val="auto"/>
              </w:rPr>
              <w:t>Earth Fare</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Stein Mart</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w w:val="96"/>
              </w:rPr>
              <w:t>Durham-Chapel</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Hill, NC</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Governor Plaza</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Baltimore, MD</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1985</w:t>
            </w:r>
          </w:p>
        </w:tc>
        <w:tc>
          <w:tcPr>
            <w:tcW w:w="800" w:type="dxa"/>
            <w:vAlign w:val="bottom"/>
          </w:tcPr>
          <w:p>
            <w:pPr>
              <w:jc w:val="right"/>
              <w:spacing w:after="0"/>
              <w:rPr>
                <w:sz w:val="20"/>
                <w:szCs w:val="20"/>
                <w:color w:val="auto"/>
              </w:rPr>
            </w:pPr>
            <w:r>
              <w:rPr>
                <w:rFonts w:ascii="Arial" w:cs="Arial" w:eastAsia="Arial" w:hAnsi="Arial"/>
                <w:sz w:val="17"/>
                <w:szCs w:val="17"/>
                <w:color w:val="auto"/>
              </w:rPr>
              <w:t>18,592</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99.9%</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269,000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7"/>
              </w:rPr>
              <w:t>Bally’s / Comp</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USA / Office</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Depot</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Gratiot Plaza</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Detroit, MI</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1973</w:t>
            </w:r>
          </w:p>
        </w:tc>
        <w:tc>
          <w:tcPr>
            <w:tcW w:w="800" w:type="dxa"/>
            <w:vAlign w:val="bottom"/>
          </w:tcPr>
          <w:p>
            <w:pPr>
              <w:jc w:val="right"/>
              <w:spacing w:after="0"/>
              <w:rPr>
                <w:sz w:val="20"/>
                <w:szCs w:val="20"/>
                <w:color w:val="auto"/>
              </w:rPr>
            </w:pPr>
            <w:r>
              <w:rPr>
                <w:rFonts w:ascii="Arial" w:cs="Arial" w:eastAsia="Arial" w:hAnsi="Arial"/>
                <w:sz w:val="17"/>
                <w:szCs w:val="17"/>
                <w:color w:val="auto"/>
              </w:rPr>
              <w:t>18,022</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217,000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69,000</w:t>
            </w:r>
          </w:p>
        </w:tc>
        <w:tc>
          <w:tcPr>
            <w:tcW w:w="1280" w:type="dxa"/>
            <w:vAlign w:val="bottom"/>
          </w:tcPr>
          <w:p>
            <w:pPr>
              <w:spacing w:after="0"/>
              <w:rPr>
                <w:sz w:val="20"/>
                <w:szCs w:val="20"/>
                <w:color w:val="auto"/>
              </w:rPr>
            </w:pPr>
            <w:r>
              <w:rPr>
                <w:rFonts w:ascii="Arial" w:cs="Arial" w:eastAsia="Arial" w:hAnsi="Arial"/>
                <w:sz w:val="17"/>
                <w:szCs w:val="17"/>
                <w:color w:val="auto"/>
              </w:rPr>
              <w:t>Farmer Jacks</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Beyond / Best</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Buy / DSW</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Greenwich Avenue</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New Haven-</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00" w:type="dxa"/>
            <w:vAlign w:val="bottom"/>
          </w:tcPr>
          <w:p>
            <w:pPr>
              <w:jc w:val="right"/>
              <w:spacing w:after="0"/>
              <w:rPr>
                <w:sz w:val="20"/>
                <w:szCs w:val="20"/>
                <w:color w:val="auto"/>
              </w:rPr>
            </w:pPr>
            <w:r>
              <w:rPr>
                <w:rFonts w:ascii="Arial" w:cs="Arial" w:eastAsia="Arial" w:hAnsi="Arial"/>
                <w:sz w:val="17"/>
                <w:szCs w:val="17"/>
                <w:color w:val="auto"/>
              </w:rPr>
              <w:t>15,993</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42,000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Saks Fifth</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Bridgeport-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Avenue</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Stamford-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Waterbury</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Lancaster</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Lancaster, PA</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1980</w:t>
            </w:r>
          </w:p>
        </w:tc>
        <w:tc>
          <w:tcPr>
            <w:tcW w:w="800" w:type="dxa"/>
            <w:vAlign w:val="bottom"/>
          </w:tcPr>
          <w:p>
            <w:pPr>
              <w:jc w:val="right"/>
              <w:spacing w:after="0"/>
              <w:rPr>
                <w:sz w:val="20"/>
                <w:szCs w:val="20"/>
                <w:color w:val="auto"/>
              </w:rPr>
            </w:pPr>
            <w:r>
              <w:rPr>
                <w:rFonts w:ascii="Arial" w:cs="Arial" w:eastAsia="Arial" w:hAnsi="Arial"/>
                <w:sz w:val="17"/>
                <w:szCs w:val="17"/>
                <w:color w:val="auto"/>
              </w:rPr>
              <w:t>10,787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107,000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4,907</w:t>
            </w:r>
          </w:p>
        </w:tc>
        <w:tc>
          <w:tcPr>
            <w:tcW w:w="560" w:type="dxa"/>
            <w:vAlign w:val="bottom"/>
            <w:gridSpan w:val="2"/>
          </w:tcPr>
          <w:p>
            <w:pPr>
              <w:spacing w:after="0"/>
              <w:rPr>
                <w:sz w:val="20"/>
                <w:szCs w:val="20"/>
                <w:color w:val="auto"/>
              </w:rPr>
            </w:pPr>
            <w:r>
              <w:rPr>
                <w:rFonts w:ascii="Arial" w:cs="Arial" w:eastAsia="Arial" w:hAnsi="Arial"/>
                <w:sz w:val="17"/>
                <w:szCs w:val="17"/>
                <w:color w:val="auto"/>
              </w:rPr>
              <w:t>39,000</w:t>
            </w:r>
          </w:p>
        </w:tc>
        <w:tc>
          <w:tcPr>
            <w:tcW w:w="1280" w:type="dxa"/>
            <w:vAlign w:val="bottom"/>
          </w:tcPr>
          <w:p>
            <w:pPr>
              <w:spacing w:after="0"/>
              <w:rPr>
                <w:sz w:val="20"/>
                <w:szCs w:val="20"/>
                <w:color w:val="auto"/>
              </w:rPr>
            </w:pPr>
            <w:r>
              <w:rPr>
                <w:rFonts w:ascii="Arial" w:cs="Arial" w:eastAsia="Arial" w:hAnsi="Arial"/>
                <w:sz w:val="17"/>
                <w:szCs w:val="17"/>
                <w:color w:val="auto"/>
              </w:rPr>
              <w:t>Giant Food</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Perring Plaza</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Baltimore, MD</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1985</w:t>
            </w:r>
          </w:p>
        </w:tc>
        <w:tc>
          <w:tcPr>
            <w:tcW w:w="800" w:type="dxa"/>
            <w:vAlign w:val="bottom"/>
          </w:tcPr>
          <w:p>
            <w:pPr>
              <w:jc w:val="right"/>
              <w:spacing w:after="0"/>
              <w:rPr>
                <w:sz w:val="20"/>
                <w:szCs w:val="20"/>
                <w:color w:val="auto"/>
              </w:rPr>
            </w:pPr>
            <w:r>
              <w:rPr>
                <w:rFonts w:ascii="Arial" w:cs="Arial" w:eastAsia="Arial" w:hAnsi="Arial"/>
                <w:sz w:val="17"/>
                <w:szCs w:val="17"/>
                <w:color w:val="auto"/>
              </w:rPr>
              <w:t>26,171</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99.9%</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401,000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97%</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58,000</w:t>
            </w:r>
          </w:p>
        </w:tc>
        <w:tc>
          <w:tcPr>
            <w:tcW w:w="1280" w:type="dxa"/>
            <w:vAlign w:val="bottom"/>
          </w:tcPr>
          <w:p>
            <w:pPr>
              <w:spacing w:after="0"/>
              <w:rPr>
                <w:sz w:val="20"/>
                <w:szCs w:val="20"/>
                <w:color w:val="auto"/>
              </w:rPr>
            </w:pPr>
            <w:r>
              <w:rPr>
                <w:rFonts w:ascii="Arial" w:cs="Arial" w:eastAsia="Arial" w:hAnsi="Arial"/>
                <w:sz w:val="17"/>
                <w:szCs w:val="17"/>
                <w:color w:val="auto"/>
              </w:rPr>
              <w:t>Shoppers Food</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Warehouse</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9"/>
              </w:rPr>
              <w:t>Coat Factory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8"/>
              </w:rPr>
              <w:t>Jo-Ann Stores</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Shops at Willow Lawn</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Richmond-</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1983</w:t>
            </w:r>
          </w:p>
        </w:tc>
        <w:tc>
          <w:tcPr>
            <w:tcW w:w="800" w:type="dxa"/>
            <w:vAlign w:val="bottom"/>
          </w:tcPr>
          <w:p>
            <w:pPr>
              <w:jc w:val="right"/>
              <w:spacing w:after="0"/>
              <w:rPr>
                <w:sz w:val="20"/>
                <w:szCs w:val="20"/>
                <w:color w:val="auto"/>
              </w:rPr>
            </w:pPr>
            <w:r>
              <w:rPr>
                <w:rFonts w:ascii="Arial" w:cs="Arial" w:eastAsia="Arial" w:hAnsi="Arial"/>
                <w:sz w:val="17"/>
                <w:szCs w:val="17"/>
                <w:color w:val="auto"/>
              </w:rPr>
              <w:t>61,166</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99.9%</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488,000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7"/>
                <w:szCs w:val="17"/>
                <w:color w:val="auto"/>
              </w:rPr>
              <w:t>60,000 Kroger</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Old Navy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Petersburg, VA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1"/>
              </w:rPr>
              <w:t>Tower Records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 Staples</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Total East</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230,557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2,443,000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b w:val="1"/>
                <w:bCs w:val="1"/>
                <w:color w:val="auto"/>
                <w:w w:val="98"/>
              </w:rPr>
              <w:t>Region - Other</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 East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1,818,752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14,999,000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96%</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2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87"/>
              </w:rPr>
              <w:t>West Region</w:t>
            </w:r>
          </w:p>
        </w:tc>
        <w:tc>
          <w:tcPr>
            <w:tcW w:w="1000" w:type="dxa"/>
            <w:vAlign w:val="bottom"/>
            <w:gridSpan w:val="3"/>
            <w:vMerge w:val="restart"/>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b w:val="1"/>
                <w:bCs w:val="1"/>
                <w:color w:val="auto"/>
              </w:rPr>
              <w:t>Region</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4"/>
              </w:rPr>
              <w:t>California</w:t>
            </w:r>
          </w:p>
        </w:tc>
        <w:tc>
          <w:tcPr>
            <w:tcW w:w="11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920" w:type="dxa"/>
            <w:vAlign w:val="bottom"/>
            <w:gridSpan w:val="6"/>
          </w:tcPr>
          <w:p>
            <w:pPr>
              <w:spacing w:after="0"/>
              <w:rPr>
                <w:sz w:val="20"/>
                <w:szCs w:val="20"/>
                <w:color w:val="auto"/>
              </w:rPr>
            </w:pPr>
            <w:r>
              <w:rPr>
                <w:rFonts w:ascii="Arial" w:cs="Arial" w:eastAsia="Arial" w:hAnsi="Arial"/>
                <w:sz w:val="17"/>
                <w:szCs w:val="17"/>
                <w:color w:val="auto"/>
              </w:rPr>
              <w:t>Colorado Blvd</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Los Angeles-</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1996-1998</w:t>
            </w:r>
          </w:p>
        </w:tc>
        <w:tc>
          <w:tcPr>
            <w:tcW w:w="800" w:type="dxa"/>
            <w:vAlign w:val="bottom"/>
          </w:tcPr>
          <w:p>
            <w:pPr>
              <w:jc w:val="right"/>
              <w:spacing w:after="0"/>
              <w:rPr>
                <w:sz w:val="20"/>
                <w:szCs w:val="20"/>
                <w:color w:val="auto"/>
              </w:rPr>
            </w:pPr>
            <w:r>
              <w:rPr>
                <w:rFonts w:ascii="Arial" w:cs="Arial" w:eastAsia="Arial" w:hAnsi="Arial"/>
                <w:sz w:val="17"/>
                <w:szCs w:val="17"/>
                <w:color w:val="auto"/>
              </w:rPr>
              <w:t>16,663</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Pottery Barn /</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w w:val="93"/>
              </w:rPr>
              <w:t>Long Beach, CA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Banana</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Escondido</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San Diego, CA</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1996</w:t>
            </w:r>
          </w:p>
        </w:tc>
        <w:tc>
          <w:tcPr>
            <w:tcW w:w="800" w:type="dxa"/>
            <w:vAlign w:val="bottom"/>
          </w:tcPr>
          <w:p>
            <w:pPr>
              <w:jc w:val="right"/>
              <w:spacing w:after="0"/>
              <w:rPr>
                <w:sz w:val="20"/>
                <w:szCs w:val="20"/>
                <w:color w:val="auto"/>
              </w:rPr>
            </w:pPr>
            <w:r>
              <w:rPr>
                <w:rFonts w:ascii="Arial" w:cs="Arial" w:eastAsia="Arial" w:hAnsi="Arial"/>
                <w:sz w:val="17"/>
                <w:szCs w:val="17"/>
                <w:color w:val="auto"/>
              </w:rPr>
              <w:t>25,277</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222,000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Cost Plus / TJ</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7"/>
              </w:rPr>
              <w:t>Maxx / Toys R</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Fifth Ave</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San Diego, CA</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1996-1997</w:t>
            </w:r>
          </w:p>
        </w:tc>
        <w:tc>
          <w:tcPr>
            <w:tcW w:w="800" w:type="dxa"/>
            <w:vAlign w:val="bottom"/>
          </w:tcPr>
          <w:p>
            <w:pPr>
              <w:jc w:val="right"/>
              <w:spacing w:after="0"/>
              <w:rPr>
                <w:sz w:val="20"/>
                <w:szCs w:val="20"/>
                <w:color w:val="auto"/>
              </w:rPr>
            </w:pPr>
            <w:r>
              <w:rPr>
                <w:rFonts w:ascii="Arial" w:cs="Arial" w:eastAsia="Arial" w:hAnsi="Arial"/>
                <w:sz w:val="17"/>
                <w:szCs w:val="17"/>
                <w:color w:val="auto"/>
              </w:rPr>
              <w:t>12,625</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51,000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96%</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Urban</w:t>
            </w:r>
          </w:p>
        </w:tc>
        <w:tc>
          <w:tcPr>
            <w:tcW w:w="0" w:type="dxa"/>
            <w:vAlign w:val="bottom"/>
          </w:tcPr>
          <w:p>
            <w:pPr>
              <w:spacing w:after="0"/>
              <w:rPr>
                <w:sz w:val="1"/>
                <w:szCs w:val="1"/>
                <w:color w:val="auto"/>
              </w:rPr>
            </w:pPr>
          </w:p>
        </w:tc>
      </w:tr>
      <w:tr>
        <w:trPr>
          <w:trHeight w:val="216"/>
        </w:trPr>
        <w:tc>
          <w:tcPr>
            <w:tcW w:w="1920" w:type="dxa"/>
            <w:vAlign w:val="bottom"/>
            <w:gridSpan w:val="6"/>
            <w:vMerge w:val="restart"/>
          </w:tcPr>
          <w:p>
            <w:pPr>
              <w:spacing w:after="0"/>
              <w:rPr>
                <w:sz w:val="20"/>
                <w:szCs w:val="20"/>
                <w:color w:val="auto"/>
              </w:rPr>
            </w:pPr>
            <w:r>
              <w:rPr>
                <w:rFonts w:ascii="Arial" w:cs="Arial" w:eastAsia="Arial" w:hAnsi="Arial"/>
                <w:sz w:val="17"/>
                <w:szCs w:val="17"/>
                <w:color w:val="auto"/>
              </w:rPr>
              <w:t>Hermosa Ave</w:t>
            </w: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auto"/>
              </w:rPr>
              <w:t>Los Angeles-</w:t>
            </w: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1997</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4,721</w:t>
            </w:r>
          </w:p>
        </w:tc>
        <w:tc>
          <w:tcPr>
            <w:tcW w:w="100" w:type="dxa"/>
            <w:vAlign w:val="bottom"/>
          </w:tcPr>
          <w:p>
            <w:pPr>
              <w:spacing w:after="0"/>
              <w:rPr>
                <w:sz w:val="18"/>
                <w:szCs w:val="18"/>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90.0%</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23,000</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Outfitters</w:t>
            </w:r>
          </w:p>
        </w:tc>
        <w:tc>
          <w:tcPr>
            <w:tcW w:w="0" w:type="dxa"/>
            <w:vAlign w:val="bottom"/>
          </w:tcPr>
          <w:p>
            <w:pPr>
              <w:spacing w:after="0"/>
              <w:rPr>
                <w:sz w:val="1"/>
                <w:szCs w:val="1"/>
                <w:color w:val="auto"/>
              </w:rPr>
            </w:pPr>
          </w:p>
        </w:tc>
      </w:tr>
      <w:tr>
        <w:trPr>
          <w:trHeight w:val="204"/>
        </w:trPr>
        <w:tc>
          <w:tcPr>
            <w:tcW w:w="1920" w:type="dxa"/>
            <w:vAlign w:val="bottom"/>
            <w:gridSpan w:val="6"/>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w w:val="93"/>
              </w:rPr>
              <w:t>Long Beach, CA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Hollywood Blvd</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Los Angeles-</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1999</w:t>
            </w:r>
          </w:p>
        </w:tc>
        <w:tc>
          <w:tcPr>
            <w:tcW w:w="800" w:type="dxa"/>
            <w:vAlign w:val="bottom"/>
          </w:tcPr>
          <w:p>
            <w:pPr>
              <w:jc w:val="right"/>
              <w:spacing w:after="0"/>
              <w:rPr>
                <w:sz w:val="20"/>
                <w:szCs w:val="20"/>
                <w:color w:val="auto"/>
              </w:rPr>
            </w:pPr>
            <w:r>
              <w:rPr>
                <w:rFonts w:ascii="Arial" w:cs="Arial" w:eastAsia="Arial" w:hAnsi="Arial"/>
                <w:sz w:val="17"/>
                <w:szCs w:val="17"/>
                <w:color w:val="auto"/>
              </w:rPr>
              <w:t>25,245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149,000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Hollywood</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auto"/>
                <w:w w:val="93"/>
              </w:rPr>
              <w:t>Long Beach, CA</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Entertainment</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Museum</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Kings Court</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San Jose, CA</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1998</w:t>
            </w:r>
          </w:p>
        </w:tc>
        <w:tc>
          <w:tcPr>
            <w:tcW w:w="800" w:type="dxa"/>
            <w:vAlign w:val="bottom"/>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79,000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25,000</w:t>
            </w:r>
          </w:p>
        </w:tc>
        <w:tc>
          <w:tcPr>
            <w:tcW w:w="1280" w:type="dxa"/>
            <w:vAlign w:val="bottom"/>
          </w:tcPr>
          <w:p>
            <w:pPr>
              <w:spacing w:after="0"/>
              <w:rPr>
                <w:sz w:val="20"/>
                <w:szCs w:val="20"/>
                <w:color w:val="auto"/>
              </w:rPr>
            </w:pPr>
            <w:r>
              <w:rPr>
                <w:rFonts w:ascii="Arial" w:cs="Arial" w:eastAsia="Arial" w:hAnsi="Arial"/>
                <w:sz w:val="17"/>
                <w:szCs w:val="17"/>
                <w:color w:val="auto"/>
              </w:rPr>
              <w:t>Lunardi’s Super</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Longs Drug</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Market</w:t>
            </w: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Store</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rPr>
              <w:t>Old Town Center</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San Jose, CA</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1997</w:t>
            </w:r>
          </w:p>
        </w:tc>
        <w:tc>
          <w:tcPr>
            <w:tcW w:w="800" w:type="dxa"/>
            <w:vAlign w:val="bottom"/>
          </w:tcPr>
          <w:p>
            <w:pPr>
              <w:jc w:val="right"/>
              <w:spacing w:after="0"/>
              <w:rPr>
                <w:sz w:val="20"/>
                <w:szCs w:val="20"/>
                <w:color w:val="auto"/>
              </w:rPr>
            </w:pPr>
            <w:r>
              <w:rPr>
                <w:rFonts w:ascii="Arial" w:cs="Arial" w:eastAsia="Arial" w:hAnsi="Arial"/>
                <w:sz w:val="17"/>
                <w:szCs w:val="17"/>
                <w:color w:val="auto"/>
              </w:rPr>
              <w:t>33,293</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95,000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Borders / Gap</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Kids / Banana</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7"/>
                <w:szCs w:val="17"/>
                <w:color w:val="auto"/>
                <w:w w:val="92"/>
              </w:rPr>
              <w:t>Santana Row (Phase I, II &amp;</w:t>
            </w:r>
          </w:p>
        </w:tc>
        <w:tc>
          <w:tcPr>
            <w:tcW w:w="1240" w:type="dxa"/>
            <w:vAlign w:val="bottom"/>
            <w:gridSpan w:val="2"/>
          </w:tcPr>
          <w:p>
            <w:pPr>
              <w:ind w:left="60"/>
              <w:spacing w:after="0"/>
              <w:rPr>
                <w:sz w:val="20"/>
                <w:szCs w:val="20"/>
                <w:color w:val="auto"/>
              </w:rPr>
            </w:pPr>
            <w:r>
              <w:rPr>
                <w:rFonts w:ascii="Arial" w:cs="Arial" w:eastAsia="Arial" w:hAnsi="Arial"/>
                <w:sz w:val="17"/>
                <w:szCs w:val="17"/>
                <w:color w:val="auto"/>
              </w:rPr>
              <w:t>San Jose, CA</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1997</w:t>
            </w:r>
          </w:p>
        </w:tc>
        <w:tc>
          <w:tcPr>
            <w:tcW w:w="800" w:type="dxa"/>
            <w:vAlign w:val="bottom"/>
          </w:tcPr>
          <w:p>
            <w:pPr>
              <w:jc w:val="right"/>
              <w:spacing w:after="0"/>
              <w:rPr>
                <w:sz w:val="20"/>
                <w:szCs w:val="20"/>
                <w:color w:val="auto"/>
              </w:rPr>
            </w:pPr>
            <w:r>
              <w:rPr>
                <w:rFonts w:ascii="Arial" w:cs="Arial" w:eastAsia="Arial" w:hAnsi="Arial"/>
                <w:sz w:val="17"/>
                <w:szCs w:val="17"/>
                <w:color w:val="auto"/>
              </w:rPr>
              <w:t>519,294</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558,000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93%</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8"/>
              </w:rPr>
              <w:t>Crate &amp; Barrel</w:t>
            </w:r>
          </w:p>
        </w:tc>
        <w:tc>
          <w:tcPr>
            <w:tcW w:w="0" w:type="dxa"/>
            <w:vAlign w:val="bottom"/>
          </w:tcPr>
          <w:p>
            <w:pPr>
              <w:spacing w:after="0"/>
              <w:rPr>
                <w:sz w:val="1"/>
                <w:szCs w:val="1"/>
                <w:color w:val="auto"/>
              </w:rPr>
            </w:pPr>
          </w:p>
        </w:tc>
      </w:tr>
      <w:tr>
        <w:trPr>
          <w:trHeight w:val="210"/>
        </w:trPr>
        <w:tc>
          <w:tcPr>
            <w:tcW w:w="1920" w:type="dxa"/>
            <w:vAlign w:val="bottom"/>
            <w:gridSpan w:val="6"/>
          </w:tcPr>
          <w:p>
            <w:pPr>
              <w:ind w:left="220"/>
              <w:spacing w:after="0"/>
              <w:rPr>
                <w:sz w:val="20"/>
                <w:szCs w:val="20"/>
                <w:color w:val="auto"/>
              </w:rPr>
            </w:pPr>
            <w:r>
              <w:rPr>
                <w:rFonts w:ascii="Arial" w:cs="Arial" w:eastAsia="Arial" w:hAnsi="Arial"/>
                <w:sz w:val="17"/>
                <w:szCs w:val="17"/>
                <w:color w:val="auto"/>
              </w:rPr>
              <w:t>III)</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 Container</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Store / Best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4"/>
              </w:rPr>
              <w:t>Buy / Borders /</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CineArts</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Theatre</w:t>
            </w:r>
          </w:p>
        </w:tc>
        <w:tc>
          <w:tcPr>
            <w:tcW w:w="0" w:type="dxa"/>
            <w:vAlign w:val="bottom"/>
          </w:tcPr>
          <w:p>
            <w:pPr>
              <w:spacing w:after="0"/>
              <w:rPr>
                <w:sz w:val="1"/>
                <w:szCs w:val="1"/>
                <w:color w:val="auto"/>
              </w:rPr>
            </w:pPr>
          </w:p>
        </w:tc>
      </w:tr>
      <w:tr>
        <w:trPr>
          <w:trHeight w:val="210"/>
        </w:trPr>
        <w:tc>
          <w:tcPr>
            <w:tcW w:w="1740" w:type="dxa"/>
            <w:vAlign w:val="bottom"/>
            <w:gridSpan w:val="3"/>
          </w:tcPr>
          <w:p>
            <w:pPr>
              <w:spacing w:after="0"/>
              <w:rPr>
                <w:sz w:val="20"/>
                <w:szCs w:val="20"/>
                <w:color w:val="auto"/>
              </w:rPr>
            </w:pPr>
            <w:r>
              <w:rPr>
                <w:rFonts w:ascii="Arial" w:cs="Arial" w:eastAsia="Arial" w:hAnsi="Arial"/>
                <w:sz w:val="17"/>
                <w:szCs w:val="17"/>
                <w:color w:val="auto"/>
              </w:rPr>
              <w:t>Third St Promenade</w:t>
            </w:r>
          </w:p>
        </w:tc>
        <w:tc>
          <w:tcPr>
            <w:tcW w:w="1460" w:type="dxa"/>
            <w:vAlign w:val="bottom"/>
          </w:tcPr>
          <w:p>
            <w:pPr>
              <w:ind w:left="240"/>
              <w:spacing w:after="0"/>
              <w:rPr>
                <w:sz w:val="20"/>
                <w:szCs w:val="20"/>
                <w:color w:val="auto"/>
              </w:rPr>
            </w:pPr>
            <w:r>
              <w:rPr>
                <w:rFonts w:ascii="Arial" w:cs="Arial" w:eastAsia="Arial" w:hAnsi="Arial"/>
                <w:sz w:val="17"/>
                <w:szCs w:val="17"/>
                <w:color w:val="auto"/>
              </w:rPr>
              <w:t>Los Angeles-</w:t>
            </w:r>
          </w:p>
        </w:tc>
        <w:tc>
          <w:tcPr>
            <w:tcW w:w="880" w:type="dxa"/>
            <w:vAlign w:val="bottom"/>
          </w:tcPr>
          <w:p>
            <w:pPr>
              <w:jc w:val="right"/>
              <w:spacing w:after="0"/>
              <w:rPr>
                <w:sz w:val="20"/>
                <w:szCs w:val="20"/>
                <w:color w:val="auto"/>
              </w:rPr>
            </w:pPr>
            <w:r>
              <w:rPr>
                <w:rFonts w:ascii="Arial" w:cs="Arial" w:eastAsia="Arial" w:hAnsi="Arial"/>
                <w:sz w:val="17"/>
                <w:szCs w:val="17"/>
                <w:color w:val="auto"/>
                <w:w w:val="95"/>
              </w:rPr>
              <w:t>1996-2000</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75,239</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(10)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209,000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J. Crew /</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7"/>
                <w:szCs w:val="17"/>
                <w:color w:val="auto"/>
                <w:w w:val="96"/>
              </w:rPr>
              <w:t>Long Beach, CA</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Banana</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w w:val="99"/>
              </w:rPr>
              <w:t>Republic / Old</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Navy /</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w w:val="94"/>
              </w:rPr>
              <w:t>Abercrombie &amp;</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Fitch</w:t>
            </w:r>
          </w:p>
        </w:tc>
        <w:tc>
          <w:tcPr>
            <w:tcW w:w="0" w:type="dxa"/>
            <w:vAlign w:val="bottom"/>
          </w:tcPr>
          <w:p>
            <w:pPr>
              <w:spacing w:after="0"/>
              <w:rPr>
                <w:sz w:val="1"/>
                <w:szCs w:val="1"/>
                <w:color w:val="auto"/>
              </w:rPr>
            </w:pPr>
          </w:p>
        </w:tc>
      </w:tr>
      <w:tr>
        <w:trPr>
          <w:trHeight w:val="210"/>
        </w:trPr>
        <w:tc>
          <w:tcPr>
            <w:tcW w:w="1740" w:type="dxa"/>
            <w:vAlign w:val="bottom"/>
            <w:gridSpan w:val="3"/>
          </w:tcPr>
          <w:p>
            <w:pPr>
              <w:spacing w:after="0"/>
              <w:rPr>
                <w:sz w:val="20"/>
                <w:szCs w:val="20"/>
                <w:color w:val="auto"/>
              </w:rPr>
            </w:pPr>
            <w:r>
              <w:rPr>
                <w:rFonts w:ascii="Arial" w:cs="Arial" w:eastAsia="Arial" w:hAnsi="Arial"/>
                <w:sz w:val="17"/>
                <w:szCs w:val="17"/>
                <w:color w:val="auto"/>
              </w:rPr>
              <w:t>Westgate</w:t>
            </w:r>
          </w:p>
        </w:tc>
        <w:tc>
          <w:tcPr>
            <w:tcW w:w="1460" w:type="dxa"/>
            <w:vAlign w:val="bottom"/>
          </w:tcPr>
          <w:p>
            <w:pPr>
              <w:ind w:left="240"/>
              <w:spacing w:after="0"/>
              <w:rPr>
                <w:sz w:val="20"/>
                <w:szCs w:val="20"/>
                <w:color w:val="auto"/>
              </w:rPr>
            </w:pPr>
            <w:r>
              <w:rPr>
                <w:rFonts w:ascii="Arial" w:cs="Arial" w:eastAsia="Arial" w:hAnsi="Arial"/>
                <w:sz w:val="17"/>
                <w:szCs w:val="17"/>
                <w:color w:val="auto"/>
              </w:rPr>
              <w:t>San Jose, CA</w:t>
            </w:r>
          </w:p>
        </w:tc>
        <w:tc>
          <w:tcPr>
            <w:tcW w:w="880" w:type="dxa"/>
            <w:vAlign w:val="bottom"/>
          </w:tcPr>
          <w:p>
            <w:pPr>
              <w:jc w:val="right"/>
              <w:spacing w:after="0"/>
              <w:rPr>
                <w:sz w:val="20"/>
                <w:szCs w:val="20"/>
                <w:color w:val="auto"/>
              </w:rPr>
            </w:pPr>
            <w:r>
              <w:rPr>
                <w:rFonts w:ascii="Arial" w:cs="Arial" w:eastAsia="Arial" w:hAnsi="Arial"/>
                <w:sz w:val="17"/>
                <w:szCs w:val="17"/>
                <w:color w:val="auto"/>
              </w:rPr>
              <w:t>2004</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114,387</w:t>
            </w:r>
          </w:p>
        </w:tc>
        <w:tc>
          <w:tcPr>
            <w:tcW w:w="78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640,000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c>
          <w:tcPr>
            <w:tcW w:w="2360" w:type="dxa"/>
            <w:vAlign w:val="bottom"/>
          </w:tcPr>
          <w:p>
            <w:pPr>
              <w:jc w:val="right"/>
              <w:ind w:right="295"/>
              <w:spacing w:after="0"/>
              <w:rPr>
                <w:sz w:val="20"/>
                <w:szCs w:val="20"/>
                <w:color w:val="auto"/>
              </w:rPr>
            </w:pPr>
            <w:r>
              <w:rPr>
                <w:rFonts w:ascii="Arial" w:cs="Arial" w:eastAsia="Arial" w:hAnsi="Arial"/>
                <w:sz w:val="17"/>
                <w:szCs w:val="17"/>
                <w:color w:val="auto"/>
              </w:rPr>
              <w:t>38,000 Safeway</w:t>
            </w:r>
          </w:p>
        </w:tc>
        <w:tc>
          <w:tcPr>
            <w:tcW w:w="1480" w:type="dxa"/>
            <w:vAlign w:val="bottom"/>
          </w:tcPr>
          <w:p>
            <w:pPr>
              <w:ind w:left="400"/>
              <w:spacing w:after="0"/>
              <w:rPr>
                <w:sz w:val="20"/>
                <w:szCs w:val="20"/>
                <w:color w:val="auto"/>
              </w:rPr>
            </w:pPr>
            <w:r>
              <w:rPr>
                <w:rFonts w:ascii="Arial" w:cs="Arial" w:eastAsia="Arial" w:hAnsi="Arial"/>
                <w:sz w:val="17"/>
                <w:szCs w:val="17"/>
                <w:color w:val="auto"/>
              </w:rPr>
              <w:t>Target /</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w w:val="99"/>
              </w:rPr>
              <w:t>Coat Factory /</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Noble / Ross</w:t>
            </w:r>
          </w:p>
        </w:tc>
        <w:tc>
          <w:tcPr>
            <w:tcW w:w="0" w:type="dxa"/>
            <w:vAlign w:val="bottom"/>
          </w:tcPr>
          <w:p>
            <w:pPr>
              <w:spacing w:after="0"/>
              <w:rPr>
                <w:sz w:val="1"/>
                <w:szCs w:val="1"/>
                <w:color w:val="auto"/>
              </w:rPr>
            </w:pPr>
          </w:p>
        </w:tc>
      </w:tr>
      <w:tr>
        <w:trPr>
          <w:trHeight w:val="210"/>
        </w:trPr>
        <w:tc>
          <w:tcPr>
            <w:tcW w:w="1740" w:type="dxa"/>
            <w:vAlign w:val="bottom"/>
            <w:gridSpan w:val="3"/>
          </w:tcPr>
          <w:p>
            <w:pPr>
              <w:spacing w:after="0"/>
              <w:rPr>
                <w:sz w:val="20"/>
                <w:szCs w:val="20"/>
                <w:color w:val="auto"/>
              </w:rPr>
            </w:pPr>
            <w:r>
              <w:rPr>
                <w:rFonts w:ascii="Arial" w:cs="Arial" w:eastAsia="Arial" w:hAnsi="Arial"/>
                <w:sz w:val="17"/>
                <w:szCs w:val="17"/>
                <w:color w:val="auto"/>
              </w:rPr>
              <w:t>150 Post Street</w:t>
            </w:r>
          </w:p>
        </w:tc>
        <w:tc>
          <w:tcPr>
            <w:tcW w:w="1460" w:type="dxa"/>
            <w:vAlign w:val="bottom"/>
          </w:tcPr>
          <w:p>
            <w:pPr>
              <w:ind w:left="240"/>
              <w:spacing w:after="0"/>
              <w:rPr>
                <w:sz w:val="20"/>
                <w:szCs w:val="20"/>
                <w:color w:val="auto"/>
              </w:rPr>
            </w:pPr>
            <w:r>
              <w:rPr>
                <w:rFonts w:ascii="Arial" w:cs="Arial" w:eastAsia="Arial" w:hAnsi="Arial"/>
                <w:sz w:val="17"/>
                <w:szCs w:val="17"/>
                <w:color w:val="auto"/>
              </w:rPr>
              <w:t>San Francisco,</w:t>
            </w:r>
          </w:p>
        </w:tc>
        <w:tc>
          <w:tcPr>
            <w:tcW w:w="880" w:type="dxa"/>
            <w:vAlign w:val="bottom"/>
          </w:tcPr>
          <w:p>
            <w:pPr>
              <w:jc w:val="right"/>
              <w:spacing w:after="0"/>
              <w:rPr>
                <w:sz w:val="20"/>
                <w:szCs w:val="20"/>
                <w:color w:val="auto"/>
              </w:rPr>
            </w:pPr>
            <w:r>
              <w:rPr>
                <w:rFonts w:ascii="Arial" w:cs="Arial" w:eastAsia="Arial" w:hAnsi="Arial"/>
                <w:sz w:val="17"/>
                <w:szCs w:val="17"/>
                <w:color w:val="auto"/>
              </w:rPr>
              <w:t>1997</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34,365</w:t>
            </w:r>
          </w:p>
        </w:tc>
        <w:tc>
          <w:tcPr>
            <w:tcW w:w="78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102,000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68%</w:t>
            </w: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Brooks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7"/>
                <w:szCs w:val="17"/>
                <w:color w:val="auto"/>
              </w:rPr>
              <w:t>CA</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7"/>
                <w:szCs w:val="17"/>
                <w:color w:val="auto"/>
              </w:rPr>
              <w:t>Brothers</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vMerge w:val="restart"/>
          </w:tcPr>
          <w:p>
            <w:pPr>
              <w:ind w:left="240"/>
              <w:spacing w:after="0"/>
              <w:rPr>
                <w:sz w:val="20"/>
                <w:szCs w:val="20"/>
                <w:color w:val="auto"/>
              </w:rPr>
            </w:pPr>
            <w:r>
              <w:rPr>
                <w:rFonts w:ascii="Arial" w:cs="Arial" w:eastAsia="Arial" w:hAnsi="Arial"/>
                <w:sz w:val="17"/>
                <w:szCs w:val="17"/>
                <w:b w:val="1"/>
                <w:bCs w:val="1"/>
                <w:color w:val="auto"/>
                <w:w w:val="96"/>
              </w:rPr>
              <w:t>Total California</w:t>
            </w:r>
          </w:p>
        </w:tc>
        <w:tc>
          <w:tcPr>
            <w:tcW w:w="8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872,359</w:t>
            </w:r>
          </w:p>
        </w:tc>
        <w:tc>
          <w:tcPr>
            <w:tcW w:w="7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2,197,000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40" w:type="dxa"/>
            <w:vAlign w:val="bottom"/>
            <w:gridSpan w:val="3"/>
          </w:tcPr>
          <w:p>
            <w:pPr>
              <w:spacing w:after="0"/>
              <w:rPr>
                <w:sz w:val="20"/>
                <w:szCs w:val="20"/>
                <w:color w:val="auto"/>
              </w:rPr>
            </w:pPr>
            <w:r>
              <w:rPr>
                <w:rFonts w:ascii="Arial" w:cs="Arial" w:eastAsia="Arial" w:hAnsi="Arial"/>
                <w:sz w:val="17"/>
                <w:szCs w:val="17"/>
                <w:b w:val="1"/>
                <w:bCs w:val="1"/>
                <w:color w:val="auto"/>
              </w:rPr>
              <w:t>West Region – Other</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Houston St</w:t>
            </w:r>
          </w:p>
        </w:tc>
        <w:tc>
          <w:tcPr>
            <w:tcW w:w="2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7"/>
                <w:szCs w:val="17"/>
                <w:color w:val="auto"/>
                <w:w w:val="96"/>
              </w:rPr>
              <w:t>San Antonio, TX</w:t>
            </w:r>
          </w:p>
        </w:tc>
        <w:tc>
          <w:tcPr>
            <w:tcW w:w="880" w:type="dxa"/>
            <w:vAlign w:val="bottom"/>
          </w:tcPr>
          <w:p>
            <w:pPr>
              <w:jc w:val="right"/>
              <w:spacing w:after="0"/>
              <w:rPr>
                <w:sz w:val="20"/>
                <w:szCs w:val="20"/>
                <w:color w:val="auto"/>
              </w:rPr>
            </w:pPr>
            <w:r>
              <w:rPr>
                <w:rFonts w:ascii="Arial" w:cs="Arial" w:eastAsia="Arial" w:hAnsi="Arial"/>
                <w:sz w:val="17"/>
                <w:szCs w:val="17"/>
                <w:color w:val="auto"/>
              </w:rPr>
              <w:t>1998</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63,719</w:t>
            </w:r>
          </w:p>
        </w:tc>
        <w:tc>
          <w:tcPr>
            <w:tcW w:w="78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171,000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68%</w:t>
            </w:r>
          </w:p>
        </w:tc>
        <w:tc>
          <w:tcPr>
            <w:tcW w:w="2360" w:type="dxa"/>
            <w:vAlign w:val="bottom"/>
          </w:tcPr>
          <w:p>
            <w:pPr>
              <w:jc w:val="right"/>
              <w:ind w:right="1535"/>
              <w:spacing w:after="0"/>
              <w:rPr>
                <w:sz w:val="20"/>
                <w:szCs w:val="20"/>
                <w:color w:val="auto"/>
              </w:rPr>
            </w:pPr>
            <w:r>
              <w:rPr>
                <w:rFonts w:ascii="Arial" w:cs="Arial" w:eastAsia="Arial" w:hAnsi="Arial"/>
                <w:sz w:val="17"/>
                <w:szCs w:val="17"/>
                <w:color w:val="auto"/>
              </w:rPr>
              <w:t>168</w:t>
            </w:r>
          </w:p>
        </w:tc>
        <w:tc>
          <w:tcPr>
            <w:tcW w:w="1480" w:type="dxa"/>
            <w:vAlign w:val="bottom"/>
          </w:tcPr>
          <w:p>
            <w:pPr>
              <w:ind w:left="400"/>
              <w:spacing w:after="0"/>
              <w:rPr>
                <w:sz w:val="20"/>
                <w:szCs w:val="20"/>
                <w:color w:val="auto"/>
              </w:rPr>
            </w:pPr>
            <w:r>
              <w:rPr>
                <w:rFonts w:ascii="Arial" w:cs="Arial" w:eastAsia="Arial" w:hAnsi="Arial"/>
                <w:sz w:val="17"/>
                <w:szCs w:val="17"/>
                <w:color w:val="auto"/>
                <w:w w:val="96"/>
              </w:rPr>
              <w:t>Hotel Valencia</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7"/>
                <w:szCs w:val="17"/>
                <w:b w:val="1"/>
                <w:bCs w:val="1"/>
                <w:color w:val="auto"/>
              </w:rPr>
              <w:t>Total West</w:t>
            </w:r>
          </w:p>
        </w:tc>
        <w:tc>
          <w:tcPr>
            <w:tcW w:w="8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936,077</w:t>
            </w:r>
          </w:p>
        </w:tc>
        <w:tc>
          <w:tcPr>
            <w:tcW w:w="7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2,368,000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92%</w:t>
            </w:r>
          </w:p>
        </w:tc>
        <w:tc>
          <w:tcPr>
            <w:tcW w:w="2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Region</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40" w:type="dxa"/>
            <w:vAlign w:val="bottom"/>
            <w:gridSpan w:val="3"/>
          </w:tcPr>
          <w:p>
            <w:pPr>
              <w:spacing w:after="0"/>
              <w:rPr>
                <w:sz w:val="20"/>
                <w:szCs w:val="20"/>
                <w:color w:val="auto"/>
              </w:rPr>
            </w:pPr>
            <w:r>
              <w:rPr>
                <w:rFonts w:ascii="Arial" w:cs="Arial" w:eastAsia="Arial" w:hAnsi="Arial"/>
                <w:sz w:val="17"/>
                <w:szCs w:val="17"/>
                <w:color w:val="auto"/>
              </w:rPr>
              <w:t>Total</w:t>
            </w:r>
          </w:p>
        </w:tc>
        <w:tc>
          <w:tcPr>
            <w:tcW w:w="1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2,754,830</w:t>
            </w:r>
          </w:p>
        </w:tc>
        <w:tc>
          <w:tcPr>
            <w:tcW w:w="7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17,367,000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95%</w:t>
            </w:r>
          </w:p>
        </w:tc>
        <w:tc>
          <w:tcPr>
            <w:tcW w:w="2360" w:type="dxa"/>
            <w:vAlign w:val="bottom"/>
          </w:tcPr>
          <w:p>
            <w:pPr>
              <w:jc w:val="right"/>
              <w:ind w:right="1535"/>
              <w:spacing w:after="0"/>
              <w:rPr>
                <w:sz w:val="20"/>
                <w:szCs w:val="20"/>
                <w:color w:val="auto"/>
              </w:rPr>
            </w:pPr>
            <w:r>
              <w:rPr>
                <w:rFonts w:ascii="Arial" w:cs="Arial" w:eastAsia="Arial" w:hAnsi="Arial"/>
                <w:sz w:val="17"/>
                <w:szCs w:val="17"/>
                <w:color w:val="auto"/>
              </w:rPr>
              <w:t>408,773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9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20" w:hanging="455"/>
        <w:spacing w:after="0" w:line="25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Santana Row residential, future phases of Santana Row, Rollingwood and The Crest at Congressional Apartments.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investment includes dollars associated with the 146 units of The Crest at Congressional.</w:t>
      </w:r>
    </w:p>
    <w:p>
      <w:pPr>
        <w:spacing w:after="0" w:line="14" w:lineRule="exact"/>
        <w:rPr>
          <w:rFonts w:ascii="Arial" w:cs="Arial" w:eastAsia="Arial" w:hAnsi="Arial"/>
          <w:sz w:val="17"/>
          <w:szCs w:val="17"/>
          <w:color w:val="auto"/>
        </w:rPr>
      </w:pPr>
    </w:p>
    <w:p>
      <w:pPr>
        <w:ind w:left="460" w:right="500" w:hanging="455"/>
        <w:spacing w:after="0" w:line="25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Currently under contract to acquire the retail square footage upon completion of development.</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July 2005 the Trust disposed of Shaw’s Plaza for $4 million.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Consists of four properties, three at 100% and one at 90%.</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Consists of nine properties, eight at 100% and one at 90%.</w:t>
      </w:r>
    </w:p>
    <w:p>
      <w:pPr>
        <w:sectPr>
          <w:pgSz w:w="11900" w:h="16838" w:orient="portrait"/>
          <w:cols w:equalWidth="0" w:num="1">
            <w:col w:w="11420"/>
          </w:cols>
          <w:pgMar w:left="240" w:top="13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34"/>
              <w:spacing w:after="0"/>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6"/>
              </w:rPr>
              <w:t>Rent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Tenant</w:t>
            </w: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1"/>
              </w:rPr>
              <w:t>Contractual</w:t>
            </w:r>
          </w:p>
        </w:tc>
        <w:tc>
          <w:tcPr>
            <w:tcW w:w="580" w:type="dxa"/>
            <w:vAlign w:val="bottom"/>
            <w:gridSpan w:val="4"/>
          </w:tcPr>
          <w:p>
            <w:pPr>
              <w:jc w:val="center"/>
              <w:ind w:left="18"/>
              <w:spacing w:after="0" w:line="144" w:lineRule="exact"/>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Annual</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Cash Basis %</w:t>
            </w:r>
          </w:p>
        </w:tc>
        <w:tc>
          <w:tcPr>
            <w:tcW w:w="11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 of Total</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Rent (3)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Per Sq.</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Increase in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Increase</w:t>
            </w:r>
          </w:p>
        </w:tc>
        <w:tc>
          <w:tcPr>
            <w:tcW w:w="11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Basis % Increase</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&amp; Incentives</w:t>
            </w:r>
          </w:p>
        </w:tc>
      </w:tr>
      <w:tr>
        <w:trPr>
          <w:trHeight w:val="169"/>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Leases Signed</w:t>
            </w:r>
          </w:p>
        </w:tc>
        <w:tc>
          <w:tcPr>
            <w:tcW w:w="8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Leases Signed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Per Sq. Ft.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4"/>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Rent</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Over Prior Rent</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Over Prior Rent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Lease Term (5)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&amp; Incentives (6)</w:t>
            </w:r>
          </w:p>
        </w:tc>
        <w:tc>
          <w:tcPr>
            <w:tcW w:w="10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r>
      <w:tr>
        <w:trPr>
          <w:trHeight w:val="93"/>
        </w:trPr>
        <w:tc>
          <w:tcPr>
            <w:tcW w:w="5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 Quarter 2005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66%</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121,201</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28.51</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$26.12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289,432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r>
      <w:tr>
        <w:trPr>
          <w:trHeight w:val="210"/>
        </w:trPr>
        <w:tc>
          <w:tcPr>
            <w:tcW w:w="1480" w:type="dxa"/>
            <w:vAlign w:val="bottom"/>
            <w:gridSpan w:val="2"/>
          </w:tcPr>
          <w:p>
            <w:pPr>
              <w:spacing w:after="0"/>
              <w:rPr>
                <w:sz w:val="20"/>
                <w:szCs w:val="20"/>
                <w:color w:val="auto"/>
              </w:rPr>
            </w:pPr>
            <w:r>
              <w:rPr>
                <w:rFonts w:ascii="Arial" w:cs="Arial" w:eastAsia="Arial" w:hAnsi="Arial"/>
                <w:sz w:val="17"/>
                <w:szCs w:val="17"/>
                <w:color w:val="auto"/>
              </w:rPr>
              <w:t>1st Quarter 2005</w:t>
            </w:r>
          </w:p>
        </w:tc>
        <w:tc>
          <w:tcPr>
            <w:tcW w:w="800" w:type="dxa"/>
            <w:vAlign w:val="bottom"/>
          </w:tcPr>
          <w:p>
            <w:pPr>
              <w:jc w:val="right"/>
              <w:spacing w:after="0"/>
              <w:rPr>
                <w:sz w:val="20"/>
                <w:szCs w:val="20"/>
                <w:color w:val="auto"/>
              </w:rPr>
            </w:pPr>
            <w:r>
              <w:rPr>
                <w:rFonts w:ascii="Arial" w:cs="Arial" w:eastAsia="Arial" w:hAnsi="Arial"/>
                <w:sz w:val="17"/>
                <w:szCs w:val="17"/>
                <w:color w:val="auto"/>
              </w:rPr>
              <w:t>34</w:t>
            </w: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64%</w:t>
            </w:r>
          </w:p>
        </w:tc>
        <w:tc>
          <w:tcPr>
            <w:tcW w:w="680" w:type="dxa"/>
            <w:vAlign w:val="bottom"/>
          </w:tcPr>
          <w:p>
            <w:pPr>
              <w:jc w:val="right"/>
              <w:spacing w:after="0"/>
              <w:rPr>
                <w:sz w:val="20"/>
                <w:szCs w:val="20"/>
                <w:color w:val="auto"/>
              </w:rPr>
            </w:pPr>
            <w:r>
              <w:rPr>
                <w:rFonts w:ascii="Arial" w:cs="Arial" w:eastAsia="Arial" w:hAnsi="Arial"/>
                <w:sz w:val="17"/>
                <w:szCs w:val="17"/>
                <w:color w:val="auto"/>
              </w:rPr>
              <w:t>162,672</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25.43</w:t>
            </w:r>
          </w:p>
        </w:tc>
        <w:tc>
          <w:tcPr>
            <w:tcW w:w="580" w:type="dxa"/>
            <w:vAlign w:val="bottom"/>
            <w:gridSpan w:val="4"/>
          </w:tcPr>
          <w:p>
            <w:pPr>
              <w:jc w:val="center"/>
              <w:ind w:left="18"/>
              <w:spacing w:after="0"/>
              <w:rPr>
                <w:sz w:val="20"/>
                <w:szCs w:val="20"/>
                <w:color w:val="auto"/>
              </w:rPr>
            </w:pPr>
            <w:r>
              <w:rPr>
                <w:rFonts w:ascii="Arial" w:cs="Arial" w:eastAsia="Arial" w:hAnsi="Arial"/>
                <w:sz w:val="17"/>
                <w:szCs w:val="17"/>
                <w:color w:val="auto"/>
                <w:w w:val="92"/>
              </w:rPr>
              <w:t>$22.86</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418,304</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11%</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840" w:type="dxa"/>
            <w:vAlign w:val="bottom"/>
          </w:tcPr>
          <w:p>
            <w:pPr>
              <w:jc w:val="right"/>
              <w:spacing w:after="0"/>
              <w:rPr>
                <w:sz w:val="20"/>
                <w:szCs w:val="20"/>
                <w:color w:val="auto"/>
              </w:rPr>
            </w:pPr>
            <w:r>
              <w:rPr>
                <w:rFonts w:ascii="Arial" w:cs="Arial" w:eastAsia="Arial" w:hAnsi="Arial"/>
                <w:sz w:val="17"/>
                <w:szCs w:val="17"/>
                <w:color w:val="auto"/>
              </w:rPr>
              <w:t>7.1</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67%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212,409</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25.16</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$22.65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533,083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16"/>
        </w:trPr>
        <w:tc>
          <w:tcPr>
            <w:tcW w:w="1480" w:type="dxa"/>
            <w:vAlign w:val="bottom"/>
            <w:gridSpan w:val="2"/>
          </w:tcPr>
          <w:p>
            <w:pPr>
              <w:spacing w:after="0"/>
              <w:rPr>
                <w:sz w:val="20"/>
                <w:szCs w:val="20"/>
                <w:color w:val="auto"/>
              </w:rPr>
            </w:pPr>
            <w:r>
              <w:rPr>
                <w:rFonts w:ascii="Arial" w:cs="Arial" w:eastAsia="Arial" w:hAnsi="Arial"/>
                <w:sz w:val="17"/>
                <w:szCs w:val="17"/>
                <w:color w:val="auto"/>
              </w:rPr>
              <w:t>3rd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55%</w:t>
            </w:r>
          </w:p>
        </w:tc>
        <w:tc>
          <w:tcPr>
            <w:tcW w:w="680" w:type="dxa"/>
            <w:vAlign w:val="bottom"/>
          </w:tcPr>
          <w:p>
            <w:pPr>
              <w:jc w:val="right"/>
              <w:spacing w:after="0"/>
              <w:rPr>
                <w:sz w:val="20"/>
                <w:szCs w:val="20"/>
                <w:color w:val="auto"/>
              </w:rPr>
            </w:pPr>
            <w:r>
              <w:rPr>
                <w:rFonts w:ascii="Arial" w:cs="Arial" w:eastAsia="Arial" w:hAnsi="Arial"/>
                <w:sz w:val="17"/>
                <w:szCs w:val="17"/>
                <w:color w:val="auto"/>
              </w:rPr>
              <w:t>183,428</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24.44</w:t>
            </w:r>
          </w:p>
        </w:tc>
        <w:tc>
          <w:tcPr>
            <w:tcW w:w="580" w:type="dxa"/>
            <w:vAlign w:val="bottom"/>
            <w:gridSpan w:val="4"/>
          </w:tcPr>
          <w:p>
            <w:pPr>
              <w:jc w:val="center"/>
              <w:ind w:left="18"/>
              <w:spacing w:after="0"/>
              <w:rPr>
                <w:sz w:val="20"/>
                <w:szCs w:val="20"/>
                <w:color w:val="auto"/>
              </w:rPr>
            </w:pPr>
            <w:r>
              <w:rPr>
                <w:rFonts w:ascii="Arial" w:cs="Arial" w:eastAsia="Arial" w:hAnsi="Arial"/>
                <w:sz w:val="17"/>
                <w:szCs w:val="17"/>
                <w:color w:val="auto"/>
                <w:w w:val="92"/>
              </w:rPr>
              <w:t>$19.56</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893,800</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25%</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39%</w:t>
            </w:r>
          </w:p>
        </w:tc>
        <w:tc>
          <w:tcPr>
            <w:tcW w:w="840" w:type="dxa"/>
            <w:vAlign w:val="bottom"/>
          </w:tcPr>
          <w:p>
            <w:pPr>
              <w:jc w:val="right"/>
              <w:spacing w:after="0"/>
              <w:rPr>
                <w:sz w:val="20"/>
                <w:szCs w:val="20"/>
                <w:color w:val="auto"/>
              </w:rPr>
            </w:pPr>
            <w:r>
              <w:rPr>
                <w:rFonts w:ascii="Arial" w:cs="Arial" w:eastAsia="Arial" w:hAnsi="Arial"/>
                <w:sz w:val="17"/>
                <w:szCs w:val="17"/>
                <w:color w:val="auto"/>
              </w:rPr>
              <w:t>6.8</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190,135</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99"/>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63%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679,710</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$22.48</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2,134,619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128"/>
        </w:trPr>
        <w:tc>
          <w:tcPr>
            <w:tcW w:w="1480" w:type="dxa"/>
            <w:vAlign w:val="bottom"/>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482"/>
        </w:trPr>
        <w:tc>
          <w:tcPr>
            <w:tcW w:w="3360" w:type="dxa"/>
            <w:vAlign w:val="bottom"/>
            <w:gridSpan w:val="8"/>
          </w:tcPr>
          <w:p>
            <w:pPr>
              <w:spacing w:after="0"/>
              <w:rPr>
                <w:sz w:val="20"/>
                <w:szCs w:val="20"/>
                <w:color w:val="auto"/>
              </w:rPr>
            </w:pPr>
            <w:r>
              <w:rPr>
                <w:rFonts w:ascii="Arial" w:cs="Arial" w:eastAsia="Arial" w:hAnsi="Arial"/>
                <w:sz w:val="17"/>
                <w:szCs w:val="17"/>
                <w:b w:val="1"/>
                <w:bCs w:val="1"/>
                <w:color w:val="auto"/>
              </w:rPr>
              <w:t>New Lease Summary - Comparable (2)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1"/>
        </w:trPr>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ind w:right="34"/>
              <w:spacing w:after="0"/>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6"/>
              </w:rPr>
              <w:t>Rent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Tenant</w:t>
            </w: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1"/>
              </w:rPr>
              <w:t>Contractual</w:t>
            </w:r>
          </w:p>
        </w:tc>
        <w:tc>
          <w:tcPr>
            <w:tcW w:w="580" w:type="dxa"/>
            <w:vAlign w:val="bottom"/>
            <w:gridSpan w:val="4"/>
          </w:tcPr>
          <w:p>
            <w:pPr>
              <w:jc w:val="center"/>
              <w:ind w:left="18"/>
              <w:spacing w:after="0" w:line="144" w:lineRule="exact"/>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Annual</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Cash Basis %</w:t>
            </w:r>
          </w:p>
        </w:tc>
        <w:tc>
          <w:tcPr>
            <w:tcW w:w="11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 of Total</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Rent (3)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Per Sq.</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Increase in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Increase Over</w:t>
            </w:r>
          </w:p>
        </w:tc>
        <w:tc>
          <w:tcPr>
            <w:tcW w:w="11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Basis % Increase</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Lease Term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&amp; Incentives</w:t>
            </w:r>
          </w:p>
        </w:tc>
      </w:tr>
      <w:tr>
        <w:trPr>
          <w:trHeight w:val="169"/>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Leases Signed</w:t>
            </w:r>
          </w:p>
        </w:tc>
        <w:tc>
          <w:tcPr>
            <w:tcW w:w="8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Leases Signed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Per Sq. Ft.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4"/>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Rent</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Prior Rent</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Over Prior Rent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&amp; Incentives (6)</w:t>
            </w:r>
          </w:p>
        </w:tc>
        <w:tc>
          <w:tcPr>
            <w:tcW w:w="10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r>
      <w:tr>
        <w:trPr>
          <w:trHeight w:val="93"/>
        </w:trPr>
        <w:tc>
          <w:tcPr>
            <w:tcW w:w="5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 Quarter 2005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120,207</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$19.10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1,594,789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1,775,952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w:t>
            </w:r>
          </w:p>
        </w:tc>
      </w:tr>
      <w:tr>
        <w:trPr>
          <w:trHeight w:val="210"/>
        </w:trPr>
        <w:tc>
          <w:tcPr>
            <w:tcW w:w="1480" w:type="dxa"/>
            <w:vAlign w:val="bottom"/>
            <w:gridSpan w:val="2"/>
          </w:tcPr>
          <w:p>
            <w:pPr>
              <w:spacing w:after="0"/>
              <w:rPr>
                <w:sz w:val="20"/>
                <w:szCs w:val="20"/>
                <w:color w:val="auto"/>
              </w:rPr>
            </w:pPr>
            <w:r>
              <w:rPr>
                <w:rFonts w:ascii="Arial" w:cs="Arial" w:eastAsia="Arial" w:hAnsi="Arial"/>
                <w:sz w:val="17"/>
                <w:szCs w:val="17"/>
                <w:color w:val="auto"/>
              </w:rPr>
              <w:t>1st Quarter 2005</w:t>
            </w: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36%</w:t>
            </w:r>
          </w:p>
        </w:tc>
        <w:tc>
          <w:tcPr>
            <w:tcW w:w="680" w:type="dxa"/>
            <w:vAlign w:val="bottom"/>
          </w:tcPr>
          <w:p>
            <w:pPr>
              <w:jc w:val="right"/>
              <w:spacing w:after="0"/>
              <w:rPr>
                <w:sz w:val="20"/>
                <w:szCs w:val="20"/>
                <w:color w:val="auto"/>
              </w:rPr>
            </w:pPr>
            <w:r>
              <w:rPr>
                <w:rFonts w:ascii="Arial" w:cs="Arial" w:eastAsia="Arial" w:hAnsi="Arial"/>
                <w:sz w:val="17"/>
                <w:szCs w:val="17"/>
                <w:color w:val="auto"/>
              </w:rPr>
              <w:t>62,410</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27.05</w:t>
            </w:r>
          </w:p>
        </w:tc>
        <w:tc>
          <w:tcPr>
            <w:tcW w:w="580" w:type="dxa"/>
            <w:vAlign w:val="bottom"/>
            <w:gridSpan w:val="4"/>
          </w:tcPr>
          <w:p>
            <w:pPr>
              <w:jc w:val="center"/>
              <w:ind w:left="18"/>
              <w:spacing w:after="0"/>
              <w:rPr>
                <w:sz w:val="20"/>
                <w:szCs w:val="20"/>
                <w:color w:val="auto"/>
              </w:rPr>
            </w:pPr>
            <w:r>
              <w:rPr>
                <w:rFonts w:ascii="Arial" w:cs="Arial" w:eastAsia="Arial" w:hAnsi="Arial"/>
                <w:sz w:val="17"/>
                <w:szCs w:val="17"/>
                <w:color w:val="auto"/>
                <w:w w:val="92"/>
              </w:rPr>
              <w:t>$21.97</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316,818</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23%</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c>
          <w:tcPr>
            <w:tcW w:w="840" w:type="dxa"/>
            <w:vAlign w:val="bottom"/>
          </w:tcPr>
          <w:p>
            <w:pPr>
              <w:jc w:val="right"/>
              <w:spacing w:after="0"/>
              <w:rPr>
                <w:sz w:val="20"/>
                <w:szCs w:val="20"/>
                <w:color w:val="auto"/>
              </w:rPr>
            </w:pPr>
            <w:r>
              <w:rPr>
                <w:rFonts w:ascii="Arial" w:cs="Arial" w:eastAsia="Arial" w:hAnsi="Arial"/>
                <w:sz w:val="17"/>
                <w:szCs w:val="17"/>
                <w:color w:val="auto"/>
              </w:rPr>
              <w:t>8.0</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1,785,819</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28.61</w:t>
            </w: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185,703</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18.77</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$14.30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830,620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3,616,757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r>
      <w:tr>
        <w:trPr>
          <w:trHeight w:val="216"/>
        </w:trPr>
        <w:tc>
          <w:tcPr>
            <w:tcW w:w="1480" w:type="dxa"/>
            <w:vAlign w:val="bottom"/>
            <w:gridSpan w:val="2"/>
          </w:tcPr>
          <w:p>
            <w:pPr>
              <w:spacing w:after="0"/>
              <w:rPr>
                <w:sz w:val="20"/>
                <w:szCs w:val="20"/>
                <w:color w:val="auto"/>
              </w:rPr>
            </w:pPr>
            <w:r>
              <w:rPr>
                <w:rFonts w:ascii="Arial" w:cs="Arial" w:eastAsia="Arial" w:hAnsi="Arial"/>
                <w:sz w:val="17"/>
                <w:szCs w:val="17"/>
                <w:color w:val="auto"/>
              </w:rPr>
              <w:t>3rd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35</w:t>
            </w: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45%</w:t>
            </w:r>
          </w:p>
        </w:tc>
        <w:tc>
          <w:tcPr>
            <w:tcW w:w="680" w:type="dxa"/>
            <w:vAlign w:val="bottom"/>
          </w:tcPr>
          <w:p>
            <w:pPr>
              <w:jc w:val="right"/>
              <w:spacing w:after="0"/>
              <w:rPr>
                <w:sz w:val="20"/>
                <w:szCs w:val="20"/>
                <w:color w:val="auto"/>
              </w:rPr>
            </w:pPr>
            <w:r>
              <w:rPr>
                <w:rFonts w:ascii="Arial" w:cs="Arial" w:eastAsia="Arial" w:hAnsi="Arial"/>
                <w:sz w:val="17"/>
                <w:szCs w:val="17"/>
                <w:color w:val="auto"/>
              </w:rPr>
              <w:t>225,497</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21.50</w:t>
            </w:r>
          </w:p>
        </w:tc>
        <w:tc>
          <w:tcPr>
            <w:tcW w:w="580" w:type="dxa"/>
            <w:vAlign w:val="bottom"/>
            <w:gridSpan w:val="4"/>
          </w:tcPr>
          <w:p>
            <w:pPr>
              <w:jc w:val="center"/>
              <w:ind w:left="18"/>
              <w:spacing w:after="0"/>
              <w:rPr>
                <w:sz w:val="20"/>
                <w:szCs w:val="20"/>
                <w:color w:val="auto"/>
              </w:rPr>
            </w:pPr>
            <w:r>
              <w:rPr>
                <w:rFonts w:ascii="Arial" w:cs="Arial" w:eastAsia="Arial" w:hAnsi="Arial"/>
                <w:sz w:val="17"/>
                <w:szCs w:val="17"/>
                <w:color w:val="auto"/>
                <w:w w:val="92"/>
              </w:rPr>
              <w:t>$17.99</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791,958</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840" w:type="dxa"/>
            <w:vAlign w:val="bottom"/>
          </w:tcPr>
          <w:p>
            <w:pPr>
              <w:jc w:val="right"/>
              <w:spacing w:after="0"/>
              <w:rPr>
                <w:sz w:val="20"/>
                <w:szCs w:val="20"/>
                <w:color w:val="auto"/>
              </w:rPr>
            </w:pPr>
            <w:r>
              <w:rPr>
                <w:rFonts w:ascii="Arial" w:cs="Arial" w:eastAsia="Arial" w:hAnsi="Arial"/>
                <w:sz w:val="17"/>
                <w:szCs w:val="17"/>
                <w:color w:val="auto"/>
              </w:rPr>
              <w:t>10.3</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5,302,465</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23.51</w:t>
            </w:r>
          </w:p>
        </w:tc>
      </w:tr>
      <w:tr>
        <w:trPr>
          <w:trHeight w:val="99"/>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593,817</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$17.48</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3,534,185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w w:val="88"/>
              </w:rPr>
              <w:t>$ 12,480,993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r>
      <w:tr>
        <w:trPr>
          <w:trHeight w:val="128"/>
        </w:trPr>
        <w:tc>
          <w:tcPr>
            <w:tcW w:w="1480" w:type="dxa"/>
            <w:vAlign w:val="bottom"/>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482"/>
        </w:trPr>
        <w:tc>
          <w:tcPr>
            <w:tcW w:w="3360" w:type="dxa"/>
            <w:vAlign w:val="bottom"/>
            <w:gridSpan w:val="8"/>
          </w:tcPr>
          <w:p>
            <w:pPr>
              <w:spacing w:after="0"/>
              <w:rPr>
                <w:sz w:val="20"/>
                <w:szCs w:val="20"/>
                <w:color w:val="auto"/>
              </w:rPr>
            </w:pPr>
            <w:r>
              <w:rPr>
                <w:rFonts w:ascii="Arial" w:cs="Arial" w:eastAsia="Arial" w:hAnsi="Arial"/>
                <w:sz w:val="17"/>
                <w:szCs w:val="17"/>
                <w:b w:val="1"/>
                <w:bCs w:val="1"/>
                <w:color w:val="auto"/>
              </w:rPr>
              <w:t>Total Lease Summary - Comparable (2)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1"/>
        </w:trPr>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ind w:right="34"/>
              <w:spacing w:after="0"/>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6"/>
              </w:rPr>
              <w:t>Rent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Tenant</w:t>
            </w: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1"/>
              </w:rPr>
              <w:t>Contractual</w:t>
            </w:r>
          </w:p>
        </w:tc>
        <w:tc>
          <w:tcPr>
            <w:tcW w:w="580" w:type="dxa"/>
            <w:vAlign w:val="bottom"/>
            <w:gridSpan w:val="4"/>
          </w:tcPr>
          <w:p>
            <w:pPr>
              <w:jc w:val="center"/>
              <w:ind w:left="18"/>
              <w:spacing w:after="0" w:line="144" w:lineRule="exact"/>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Annual</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Cash Basis</w:t>
            </w:r>
          </w:p>
        </w:tc>
        <w:tc>
          <w:tcPr>
            <w:tcW w:w="11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Tenant</w:t>
            </w: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9"/>
              </w:rPr>
              <w:t>Improvements</w:t>
            </w:r>
          </w:p>
        </w:tc>
      </w:tr>
      <w:tr>
        <w:trPr>
          <w:trHeight w:val="144"/>
        </w:trPr>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 of Total</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Rent (3)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Per Sq.</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Increase in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4"/>
              </w:rPr>
              <w:t>% Increase</w:t>
            </w:r>
          </w:p>
        </w:tc>
        <w:tc>
          <w:tcPr>
            <w:tcW w:w="11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Basis % Increase</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Lease Term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Improvements</w:t>
            </w:r>
          </w:p>
        </w:tc>
        <w:tc>
          <w:tcPr>
            <w:tcW w:w="8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&amp; Incentives</w:t>
            </w:r>
          </w:p>
        </w:tc>
      </w:tr>
      <w:tr>
        <w:trPr>
          <w:trHeight w:val="169"/>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Leases Signed</w:t>
            </w:r>
          </w:p>
        </w:tc>
        <w:tc>
          <w:tcPr>
            <w:tcW w:w="8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Leases Signed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Per Sq. Ft.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4"/>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Rent</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Over Prior Rent</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Over Prior Rent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&amp; Incentives (6)</w:t>
            </w:r>
          </w:p>
        </w:tc>
        <w:tc>
          <w:tcPr>
            <w:tcW w:w="10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r>
      <w:tr>
        <w:trPr>
          <w:trHeight w:val="93"/>
        </w:trPr>
        <w:tc>
          <w:tcPr>
            <w:tcW w:w="5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 Quarter 2005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241,408</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$22.63</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1,884,221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2,043,342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r>
      <w:tr>
        <w:trPr>
          <w:trHeight w:val="210"/>
        </w:trPr>
        <w:tc>
          <w:tcPr>
            <w:tcW w:w="1480" w:type="dxa"/>
            <w:vAlign w:val="bottom"/>
            <w:gridSpan w:val="2"/>
          </w:tcPr>
          <w:p>
            <w:pPr>
              <w:spacing w:after="0"/>
              <w:rPr>
                <w:sz w:val="20"/>
                <w:szCs w:val="20"/>
                <w:color w:val="auto"/>
              </w:rPr>
            </w:pPr>
            <w:r>
              <w:rPr>
                <w:rFonts w:ascii="Arial" w:cs="Arial" w:eastAsia="Arial" w:hAnsi="Arial"/>
                <w:sz w:val="17"/>
                <w:szCs w:val="17"/>
                <w:color w:val="auto"/>
              </w:rPr>
              <w:t>1st Quarter 2005</w:t>
            </w:r>
          </w:p>
        </w:tc>
        <w:tc>
          <w:tcPr>
            <w:tcW w:w="800" w:type="dxa"/>
            <w:vAlign w:val="bottom"/>
          </w:tcPr>
          <w:p>
            <w:pPr>
              <w:jc w:val="right"/>
              <w:spacing w:after="0"/>
              <w:rPr>
                <w:sz w:val="20"/>
                <w:szCs w:val="20"/>
                <w:color w:val="auto"/>
              </w:rPr>
            </w:pPr>
            <w:r>
              <w:rPr>
                <w:rFonts w:ascii="Arial" w:cs="Arial" w:eastAsia="Arial" w:hAnsi="Arial"/>
                <w:sz w:val="17"/>
                <w:szCs w:val="17"/>
                <w:color w:val="auto"/>
              </w:rPr>
              <w:t>53</w:t>
            </w: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100%</w:t>
            </w:r>
          </w:p>
        </w:tc>
        <w:tc>
          <w:tcPr>
            <w:tcW w:w="680" w:type="dxa"/>
            <w:vAlign w:val="bottom"/>
          </w:tcPr>
          <w:p>
            <w:pPr>
              <w:jc w:val="right"/>
              <w:spacing w:after="0"/>
              <w:rPr>
                <w:sz w:val="20"/>
                <w:szCs w:val="20"/>
                <w:color w:val="auto"/>
              </w:rPr>
            </w:pPr>
            <w:r>
              <w:rPr>
                <w:rFonts w:ascii="Arial" w:cs="Arial" w:eastAsia="Arial" w:hAnsi="Arial"/>
                <w:sz w:val="17"/>
                <w:szCs w:val="17"/>
                <w:color w:val="auto"/>
              </w:rPr>
              <w:t>225,082</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25.88</w:t>
            </w:r>
          </w:p>
        </w:tc>
        <w:tc>
          <w:tcPr>
            <w:tcW w:w="580" w:type="dxa"/>
            <w:vAlign w:val="bottom"/>
            <w:gridSpan w:val="4"/>
          </w:tcPr>
          <w:p>
            <w:pPr>
              <w:jc w:val="center"/>
              <w:ind w:left="18"/>
              <w:spacing w:after="0"/>
              <w:rPr>
                <w:sz w:val="20"/>
                <w:szCs w:val="20"/>
                <w:color w:val="auto"/>
              </w:rPr>
            </w:pPr>
            <w:r>
              <w:rPr>
                <w:rFonts w:ascii="Arial" w:cs="Arial" w:eastAsia="Arial" w:hAnsi="Arial"/>
                <w:sz w:val="17"/>
                <w:szCs w:val="17"/>
                <w:color w:val="auto"/>
                <w:w w:val="92"/>
              </w:rPr>
              <w:t>$22.61</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735,122</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1,785,819</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398,112</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$18.75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1,363,703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4,009,325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w:t>
            </w:r>
          </w:p>
        </w:tc>
      </w:tr>
      <w:tr>
        <w:trPr>
          <w:trHeight w:val="216"/>
        </w:trPr>
        <w:tc>
          <w:tcPr>
            <w:tcW w:w="1480" w:type="dxa"/>
            <w:vAlign w:val="bottom"/>
            <w:gridSpan w:val="2"/>
          </w:tcPr>
          <w:p>
            <w:pPr>
              <w:spacing w:after="0"/>
              <w:rPr>
                <w:sz w:val="20"/>
                <w:szCs w:val="20"/>
                <w:color w:val="auto"/>
              </w:rPr>
            </w:pPr>
            <w:r>
              <w:rPr>
                <w:rFonts w:ascii="Arial" w:cs="Arial" w:eastAsia="Arial" w:hAnsi="Arial"/>
                <w:sz w:val="17"/>
                <w:szCs w:val="17"/>
                <w:color w:val="auto"/>
              </w:rPr>
              <w:t>3rd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77</w:t>
            </w: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100%</w:t>
            </w:r>
          </w:p>
        </w:tc>
        <w:tc>
          <w:tcPr>
            <w:tcW w:w="680" w:type="dxa"/>
            <w:vAlign w:val="bottom"/>
          </w:tcPr>
          <w:p>
            <w:pPr>
              <w:jc w:val="right"/>
              <w:spacing w:after="0"/>
              <w:rPr>
                <w:sz w:val="20"/>
                <w:szCs w:val="20"/>
                <w:color w:val="auto"/>
              </w:rPr>
            </w:pPr>
            <w:r>
              <w:rPr>
                <w:rFonts w:ascii="Arial" w:cs="Arial" w:eastAsia="Arial" w:hAnsi="Arial"/>
                <w:sz w:val="17"/>
                <w:szCs w:val="17"/>
                <w:color w:val="auto"/>
              </w:rPr>
              <w:t>408,925</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22.82</w:t>
            </w:r>
          </w:p>
        </w:tc>
        <w:tc>
          <w:tcPr>
            <w:tcW w:w="580" w:type="dxa"/>
            <w:vAlign w:val="bottom"/>
            <w:gridSpan w:val="4"/>
          </w:tcPr>
          <w:p>
            <w:pPr>
              <w:jc w:val="center"/>
              <w:ind w:left="18"/>
              <w:spacing w:after="0"/>
              <w:rPr>
                <w:sz w:val="20"/>
                <w:szCs w:val="20"/>
                <w:color w:val="auto"/>
              </w:rPr>
            </w:pPr>
            <w:r>
              <w:rPr>
                <w:rFonts w:ascii="Arial" w:cs="Arial" w:eastAsia="Arial" w:hAnsi="Arial"/>
                <w:sz w:val="17"/>
                <w:szCs w:val="17"/>
                <w:color w:val="auto"/>
                <w:w w:val="92"/>
              </w:rPr>
              <w:t>$18.69</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1,685,758</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22%</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840" w:type="dxa"/>
            <w:vAlign w:val="bottom"/>
          </w:tcPr>
          <w:p>
            <w:pPr>
              <w:jc w:val="right"/>
              <w:spacing w:after="0"/>
              <w:rPr>
                <w:sz w:val="20"/>
                <w:szCs w:val="20"/>
                <w:color w:val="auto"/>
              </w:rPr>
            </w:pPr>
            <w:r>
              <w:rPr>
                <w:rFonts w:ascii="Arial" w:cs="Arial" w:eastAsia="Arial" w:hAnsi="Arial"/>
                <w:sz w:val="17"/>
                <w:szCs w:val="17"/>
                <w:color w:val="auto"/>
              </w:rPr>
              <w:t>8.6</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5,492,600</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13.43</w:t>
            </w:r>
          </w:p>
        </w:tc>
      </w:tr>
      <w:tr>
        <w:trPr>
          <w:trHeight w:val="99"/>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1,273,527</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580" w:type="dxa"/>
            <w:vAlign w:val="bottom"/>
            <w:gridSpan w:val="4"/>
            <w:shd w:val="clear" w:color="auto" w:fill="CCEEFF"/>
          </w:tcPr>
          <w:p>
            <w:pPr>
              <w:jc w:val="center"/>
              <w:ind w:left="18"/>
              <w:spacing w:after="0"/>
              <w:rPr>
                <w:sz w:val="20"/>
                <w:szCs w:val="20"/>
                <w:color w:val="auto"/>
              </w:rPr>
            </w:pPr>
            <w:r>
              <w:rPr>
                <w:rFonts w:ascii="Arial" w:cs="Arial" w:eastAsia="Arial" w:hAnsi="Arial"/>
                <w:sz w:val="17"/>
                <w:szCs w:val="17"/>
                <w:color w:val="auto"/>
                <w:w w:val="92"/>
              </w:rPr>
              <w:t>$20.15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5,668,804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w w:val="88"/>
              </w:rPr>
              <w:t>$ 13,331,086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r>
      <w:tr>
        <w:trPr>
          <w:trHeight w:val="128"/>
        </w:trPr>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-3962400</wp:posOffset>
            </wp:positionV>
            <wp:extent cx="12700" cy="29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-3962400</wp:posOffset>
            </wp:positionV>
            <wp:extent cx="12700" cy="29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-3962400</wp:posOffset>
            </wp:positionV>
            <wp:extent cx="12700" cy="292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-3962400</wp:posOffset>
            </wp:positionV>
            <wp:extent cx="37465" cy="29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-3962400</wp:posOffset>
            </wp:positionV>
            <wp:extent cx="12700" cy="292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-3962400</wp:posOffset>
            </wp:positionV>
            <wp:extent cx="12700" cy="29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-3962400</wp:posOffset>
            </wp:positionV>
            <wp:extent cx="12700" cy="292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-3962400</wp:posOffset>
            </wp:positionV>
            <wp:extent cx="12700"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-3962400</wp:posOffset>
            </wp:positionV>
            <wp:extent cx="20955" cy="29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-3962400</wp:posOffset>
            </wp:positionV>
            <wp:extent cx="12700" cy="29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-3962400</wp:posOffset>
            </wp:positionV>
            <wp:extent cx="12700" cy="29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-3962400</wp:posOffset>
            </wp:positionV>
            <wp:extent cx="20955" cy="292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-3962400</wp:posOffset>
            </wp:positionV>
            <wp:extent cx="12700" cy="29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-3962400</wp:posOffset>
            </wp:positionV>
            <wp:extent cx="12700" cy="292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-3962400</wp:posOffset>
            </wp:positionV>
            <wp:extent cx="20955" cy="29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-3962400</wp:posOffset>
            </wp:positionV>
            <wp:extent cx="12700" cy="292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-3962400</wp:posOffset>
            </wp:positionV>
            <wp:extent cx="37465" cy="29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4751070</wp:posOffset>
            </wp:positionH>
            <wp:positionV relativeFrom="paragraph">
              <wp:posOffset>-3962400</wp:posOffset>
            </wp:positionV>
            <wp:extent cx="12700" cy="292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-3962400</wp:posOffset>
            </wp:positionV>
            <wp:extent cx="37465" cy="29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-3962400</wp:posOffset>
            </wp:positionV>
            <wp:extent cx="12700" cy="292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-3962400</wp:posOffset>
            </wp:positionV>
            <wp:extent cx="12700" cy="29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-3962400</wp:posOffset>
            </wp:positionV>
            <wp:extent cx="12700" cy="29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-3962400</wp:posOffset>
            </wp:positionV>
            <wp:extent cx="12700" cy="29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-3962400</wp:posOffset>
            </wp:positionV>
            <wp:extent cx="20955" cy="29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12700" cy="292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-3962400</wp:posOffset>
            </wp:positionV>
            <wp:extent cx="12700" cy="292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-3962400</wp:posOffset>
            </wp:positionV>
            <wp:extent cx="20955" cy="29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-1995805</wp:posOffset>
            </wp:positionV>
            <wp:extent cx="12700" cy="29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-1995805</wp:posOffset>
            </wp:positionV>
            <wp:extent cx="12700" cy="29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-1995805</wp:posOffset>
            </wp:positionV>
            <wp:extent cx="12700" cy="29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-1995805</wp:posOffset>
            </wp:positionV>
            <wp:extent cx="37465" cy="29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-1995805</wp:posOffset>
            </wp:positionV>
            <wp:extent cx="12700" cy="29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-1995805</wp:posOffset>
            </wp:positionV>
            <wp:extent cx="12700" cy="29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-1995805</wp:posOffset>
            </wp:positionV>
            <wp:extent cx="12700" cy="29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-1995805</wp:posOffset>
            </wp:positionV>
            <wp:extent cx="12700" cy="29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-1995805</wp:posOffset>
            </wp:positionV>
            <wp:extent cx="2095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-1995805</wp:posOffset>
            </wp:positionV>
            <wp:extent cx="12700"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-1995805</wp:posOffset>
            </wp:positionV>
            <wp:extent cx="12700"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-1995805</wp:posOffset>
            </wp:positionV>
            <wp:extent cx="2095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-1995805</wp:posOffset>
            </wp:positionV>
            <wp:extent cx="12700"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-1995805</wp:posOffset>
            </wp:positionV>
            <wp:extent cx="12700"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-1995805</wp:posOffset>
            </wp:positionV>
            <wp:extent cx="2095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-1995805</wp:posOffset>
            </wp:positionV>
            <wp:extent cx="12700"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-1995805</wp:posOffset>
            </wp:positionV>
            <wp:extent cx="3746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4751070</wp:posOffset>
            </wp:positionH>
            <wp:positionV relativeFrom="paragraph">
              <wp:posOffset>-1995805</wp:posOffset>
            </wp:positionV>
            <wp:extent cx="12700"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-1995805</wp:posOffset>
            </wp:positionV>
            <wp:extent cx="3746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-1995805</wp:posOffset>
            </wp:positionV>
            <wp:extent cx="12700"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-1995805</wp:posOffset>
            </wp:positionV>
            <wp:extent cx="12700"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-1995805</wp:posOffset>
            </wp:positionV>
            <wp:extent cx="12700"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-1995805</wp:posOffset>
            </wp:positionV>
            <wp:extent cx="12700"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-1995805</wp:posOffset>
            </wp:positionV>
            <wp:extent cx="2095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-1995805</wp:posOffset>
            </wp:positionV>
            <wp:extent cx="12700"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-1995805</wp:posOffset>
            </wp:positionV>
            <wp:extent cx="12700"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6809740</wp:posOffset>
            </wp:positionH>
            <wp:positionV relativeFrom="paragraph">
              <wp:posOffset>-1995805</wp:posOffset>
            </wp:positionV>
            <wp:extent cx="2095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-28575</wp:posOffset>
            </wp:positionV>
            <wp:extent cx="12700"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-28575</wp:posOffset>
            </wp:positionV>
            <wp:extent cx="12700"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-28575</wp:posOffset>
            </wp:positionV>
            <wp:extent cx="12700"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-28575</wp:posOffset>
            </wp:positionV>
            <wp:extent cx="3746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-28575</wp:posOffset>
            </wp:positionV>
            <wp:extent cx="512127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21275" cy="2921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Lease Summary - Comparable and Non-Comparable (2)</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ind w:right="74"/>
              <w:spacing w:after="0"/>
              <w:rPr>
                <w:sz w:val="20"/>
                <w:szCs w:val="20"/>
                <w:color w:val="auto"/>
              </w:rPr>
            </w:pPr>
            <w:r>
              <w:rPr>
                <w:rFonts w:ascii="Arial" w:cs="Arial" w:eastAsia="Arial" w:hAnsi="Arial"/>
                <w:sz w:val="13"/>
                <w:szCs w:val="13"/>
                <w:b w:val="1"/>
                <w:bCs w:val="1"/>
                <w:color w:val="auto"/>
                <w:w w:val="89"/>
              </w:rPr>
              <w:t>Tenant</w:t>
            </w:r>
          </w:p>
        </w:tc>
      </w:tr>
      <w:tr>
        <w:trPr>
          <w:trHeight w:val="144"/>
        </w:trPr>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1"/>
              </w:rPr>
              <w:t>of</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840" w:type="dxa"/>
            <w:vAlign w:val="bottom"/>
          </w:tcPr>
          <w:p>
            <w:pPr>
              <w:jc w:val="right"/>
              <w:ind w:right="82"/>
              <w:spacing w:after="0" w:line="144" w:lineRule="exact"/>
              <w:rPr>
                <w:sz w:val="20"/>
                <w:szCs w:val="20"/>
                <w:color w:val="auto"/>
              </w:rPr>
            </w:pPr>
            <w:r>
              <w:rPr>
                <w:rFonts w:ascii="Arial" w:cs="Arial" w:eastAsia="Arial" w:hAnsi="Arial"/>
                <w:sz w:val="13"/>
                <w:szCs w:val="13"/>
                <w:b w:val="1"/>
                <w:bCs w:val="1"/>
                <w:color w:val="auto"/>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78"/>
              <w:spacing w:after="0" w:line="144" w:lineRule="exact"/>
              <w:rPr>
                <w:sz w:val="20"/>
                <w:szCs w:val="20"/>
                <w:color w:val="auto"/>
              </w:rPr>
            </w:pPr>
            <w:r>
              <w:rPr>
                <w:rFonts w:ascii="Arial" w:cs="Arial" w:eastAsia="Arial" w:hAnsi="Arial"/>
                <w:sz w:val="13"/>
                <w:szCs w:val="13"/>
                <w:b w:val="1"/>
                <w:bCs w:val="1"/>
                <w:color w:val="auto"/>
              </w:rPr>
              <w:t>Tenant</w:t>
            </w:r>
          </w:p>
        </w:tc>
        <w:tc>
          <w:tcPr>
            <w:tcW w:w="320" w:type="dxa"/>
            <w:vAlign w:val="bottom"/>
          </w:tcPr>
          <w:p>
            <w:pPr>
              <w:spacing w:after="0"/>
              <w:rPr>
                <w:sz w:val="12"/>
                <w:szCs w:val="12"/>
                <w:color w:val="auto"/>
              </w:rPr>
            </w:pPr>
          </w:p>
        </w:tc>
        <w:tc>
          <w:tcPr>
            <w:tcW w:w="8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89"/>
              </w:rPr>
              <w:t>Improvements</w:t>
            </w:r>
          </w:p>
        </w:tc>
      </w:tr>
      <w:tr>
        <w:trPr>
          <w:trHeight w:val="144"/>
        </w:trPr>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Leases</w:t>
            </w:r>
          </w:p>
        </w:tc>
        <w:tc>
          <w:tcPr>
            <w:tcW w:w="300" w:type="dxa"/>
            <w:vAlign w:val="bottom"/>
          </w:tcPr>
          <w:p>
            <w:pPr>
              <w:spacing w:after="0"/>
              <w:rPr>
                <w:sz w:val="12"/>
                <w:szCs w:val="12"/>
                <w:color w:val="auto"/>
              </w:rPr>
            </w:pPr>
          </w:p>
        </w:tc>
        <w:tc>
          <w:tcPr>
            <w:tcW w:w="680" w:type="dxa"/>
            <w:vAlign w:val="bottom"/>
          </w:tcPr>
          <w:p>
            <w:pPr>
              <w:jc w:val="right"/>
              <w:ind w:right="134"/>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4"/>
              </w:rPr>
              <w:t>Rent (3)</w:t>
            </w:r>
          </w:p>
        </w:tc>
        <w:tc>
          <w:tcPr>
            <w:tcW w:w="840" w:type="dxa"/>
            <w:vAlign w:val="bottom"/>
          </w:tcPr>
          <w:p>
            <w:pPr>
              <w:jc w:val="right"/>
              <w:ind w:right="122"/>
              <w:spacing w:after="0" w:line="144" w:lineRule="exact"/>
              <w:rPr>
                <w:sz w:val="20"/>
                <w:szCs w:val="20"/>
                <w:color w:val="auto"/>
              </w:rPr>
            </w:pPr>
            <w:r>
              <w:rPr>
                <w:rFonts w:ascii="Arial" w:cs="Arial" w:eastAsia="Arial" w:hAnsi="Arial"/>
                <w:sz w:val="13"/>
                <w:szCs w:val="13"/>
                <w:b w:val="1"/>
                <w:bCs w:val="1"/>
                <w:color w:val="auto"/>
              </w:rPr>
              <w:t>Average</w:t>
            </w:r>
          </w:p>
        </w:tc>
        <w:tc>
          <w:tcPr>
            <w:tcW w:w="320" w:type="dxa"/>
            <w:vAlign w:val="bottom"/>
          </w:tcPr>
          <w:p>
            <w:pPr>
              <w:spacing w:after="0"/>
              <w:rPr>
                <w:sz w:val="12"/>
                <w:szCs w:val="12"/>
                <w:color w:val="auto"/>
              </w:rPr>
            </w:pP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4"/>
              </w:rPr>
              <w:t>Improvements</w:t>
            </w:r>
          </w:p>
        </w:tc>
        <w:tc>
          <w:tcPr>
            <w:tcW w:w="320" w:type="dxa"/>
            <w:vAlign w:val="bottom"/>
          </w:tcPr>
          <w:p>
            <w:pPr>
              <w:spacing w:after="0"/>
              <w:rPr>
                <w:sz w:val="12"/>
                <w:szCs w:val="12"/>
                <w:color w:val="auto"/>
              </w:rPr>
            </w:pPr>
          </w:p>
        </w:tc>
        <w:tc>
          <w:tcPr>
            <w:tcW w:w="82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1"/>
              </w:rPr>
              <w:t>&amp; Incentives</w:t>
            </w:r>
          </w:p>
        </w:tc>
      </w:tr>
      <w:tr>
        <w:trPr>
          <w:trHeight w:val="169"/>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30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b w:val="1"/>
                <w:bCs w:val="1"/>
                <w:color w:val="auto"/>
              </w:rPr>
              <w:t>Signed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Per Sq. Ft.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w w:val="89"/>
              </w:rPr>
              <w:t>Lease Term (5)</w:t>
            </w:r>
          </w:p>
        </w:tc>
        <w:tc>
          <w:tcPr>
            <w:tcW w:w="3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w w:val="91"/>
              </w:rPr>
              <w:t>&amp; Incentives (6)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4"/>
              <w:spacing w:after="0"/>
              <w:rPr>
                <w:sz w:val="20"/>
                <w:szCs w:val="20"/>
                <w:color w:val="auto"/>
              </w:rPr>
            </w:pPr>
            <w:r>
              <w:rPr>
                <w:rFonts w:ascii="Arial" w:cs="Arial" w:eastAsia="Arial" w:hAnsi="Arial"/>
                <w:sz w:val="13"/>
                <w:szCs w:val="13"/>
                <w:b w:val="1"/>
                <w:bCs w:val="1"/>
                <w:color w:val="auto"/>
                <w:w w:val="90"/>
              </w:rPr>
              <w:t>Per Sq. Ft.</w:t>
            </w:r>
          </w:p>
        </w:tc>
      </w:tr>
      <w:tr>
        <w:trPr>
          <w:trHeight w:val="93"/>
        </w:trPr>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2nd Quarter 2005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268,926</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2,965,405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11.03</w:t>
            </w:r>
          </w:p>
        </w:tc>
      </w:tr>
      <w:tr>
        <w:trPr>
          <w:trHeight w:val="210"/>
        </w:trPr>
        <w:tc>
          <w:tcPr>
            <w:tcW w:w="5440" w:type="dxa"/>
            <w:vAlign w:val="bottom"/>
            <w:gridSpan w:val="3"/>
          </w:tcPr>
          <w:p>
            <w:pPr>
              <w:spacing w:after="0"/>
              <w:rPr>
                <w:sz w:val="20"/>
                <w:szCs w:val="20"/>
                <w:color w:val="auto"/>
              </w:rPr>
            </w:pPr>
            <w:r>
              <w:rPr>
                <w:rFonts w:ascii="Arial" w:cs="Arial" w:eastAsia="Arial" w:hAnsi="Arial"/>
                <w:sz w:val="17"/>
                <w:szCs w:val="17"/>
                <w:color w:val="auto"/>
              </w:rPr>
              <w:t>1st Quarter 2005</w:t>
            </w:r>
          </w:p>
        </w:tc>
        <w:tc>
          <w:tcPr>
            <w:tcW w:w="480" w:type="dxa"/>
            <w:vAlign w:val="bottom"/>
          </w:tcPr>
          <w:p>
            <w:pPr>
              <w:jc w:val="right"/>
              <w:spacing w:after="0"/>
              <w:rPr>
                <w:sz w:val="20"/>
                <w:szCs w:val="20"/>
                <w:color w:val="auto"/>
              </w:rPr>
            </w:pPr>
            <w:r>
              <w:rPr>
                <w:rFonts w:ascii="Arial" w:cs="Arial" w:eastAsia="Arial" w:hAnsi="Arial"/>
                <w:sz w:val="17"/>
                <w:szCs w:val="17"/>
                <w:color w:val="auto"/>
              </w:rPr>
              <w:t>60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256,897</w:t>
            </w:r>
          </w:p>
        </w:tc>
        <w:tc>
          <w:tcPr>
            <w:tcW w:w="420" w:type="dxa"/>
            <w:vAlign w:val="bottom"/>
            <w:gridSpan w:val="3"/>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25.39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2,696,110</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10.49</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4th Quarter 2004</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454,190</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5,187,840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16"/>
        </w:trPr>
        <w:tc>
          <w:tcPr>
            <w:tcW w:w="5440" w:type="dxa"/>
            <w:vAlign w:val="bottom"/>
            <w:gridSpan w:val="3"/>
          </w:tcPr>
          <w:p>
            <w:pPr>
              <w:spacing w:after="0"/>
              <w:rPr>
                <w:sz w:val="20"/>
                <w:szCs w:val="20"/>
                <w:color w:val="auto"/>
              </w:rPr>
            </w:pPr>
            <w:r>
              <w:rPr>
                <w:rFonts w:ascii="Arial" w:cs="Arial" w:eastAsia="Arial" w:hAnsi="Arial"/>
                <w:sz w:val="17"/>
                <w:szCs w:val="17"/>
                <w:color w:val="auto"/>
              </w:rPr>
              <w:t>3rd Quarter 2004</w:t>
            </w:r>
          </w:p>
        </w:tc>
        <w:tc>
          <w:tcPr>
            <w:tcW w:w="480" w:type="dxa"/>
            <w:vAlign w:val="bottom"/>
          </w:tcPr>
          <w:p>
            <w:pPr>
              <w:jc w:val="right"/>
              <w:spacing w:after="0"/>
              <w:rPr>
                <w:sz w:val="20"/>
                <w:szCs w:val="20"/>
                <w:color w:val="auto"/>
              </w:rPr>
            </w:pPr>
            <w:r>
              <w:rPr>
                <w:rFonts w:ascii="Arial" w:cs="Arial" w:eastAsia="Arial" w:hAnsi="Arial"/>
                <w:sz w:val="17"/>
                <w:szCs w:val="17"/>
                <w:color w:val="auto"/>
              </w:rPr>
              <w:t>79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417,534</w:t>
            </w:r>
          </w:p>
        </w:tc>
        <w:tc>
          <w:tcPr>
            <w:tcW w:w="420" w:type="dxa"/>
            <w:vAlign w:val="bottom"/>
            <w:gridSpan w:val="3"/>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23.55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5,492,600</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13.15</w:t>
            </w:r>
          </w:p>
        </w:tc>
      </w:tr>
      <w:tr>
        <w:trPr>
          <w:trHeight w:val="99"/>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98"/>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1,397,547</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16,341,955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11.69</w:t>
            </w:r>
          </w:p>
        </w:tc>
      </w:tr>
      <w:tr>
        <w:trPr>
          <w:trHeight w:val="128"/>
        </w:trPr>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r>
      <w:tr>
        <w:trPr>
          <w:trHeight w:val="207"/>
        </w:trPr>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-168275</wp:posOffset>
            </wp:positionV>
            <wp:extent cx="12700"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-168275</wp:posOffset>
            </wp:positionV>
            <wp:extent cx="12700"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-168275</wp:posOffset>
            </wp:positionV>
            <wp:extent cx="12700"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-168275</wp:posOffset>
            </wp:positionV>
            <wp:extent cx="12700"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-168275</wp:posOffset>
            </wp:positionV>
            <wp:extent cx="12700"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-168275</wp:posOffset>
            </wp:positionV>
            <wp:extent cx="12700"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-168275</wp:posOffset>
            </wp:positionV>
            <wp:extent cx="2095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5742940</wp:posOffset>
            </wp:positionH>
            <wp:positionV relativeFrom="paragraph">
              <wp:posOffset>-168275</wp:posOffset>
            </wp:positionV>
            <wp:extent cx="12700"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-168275</wp:posOffset>
            </wp:positionV>
            <wp:extent cx="12700"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5951220</wp:posOffset>
            </wp:positionH>
            <wp:positionV relativeFrom="paragraph">
              <wp:posOffset>-168275</wp:posOffset>
            </wp:positionV>
            <wp:extent cx="12700"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-168275</wp:posOffset>
            </wp:positionV>
            <wp:extent cx="12700"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-168275</wp:posOffset>
            </wp:positionV>
            <wp:extent cx="2095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-168275</wp:posOffset>
            </wp:positionV>
            <wp:extent cx="529590"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9590"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4" w:lineRule="exact"/>
        <w:rPr>
          <w:rFonts w:ascii="Arial" w:cs="Arial" w:eastAsia="Arial" w:hAnsi="Arial"/>
          <w:sz w:val="17"/>
          <w:szCs w:val="17"/>
          <w:color w:val="auto"/>
        </w:rPr>
      </w:pPr>
    </w:p>
    <w:p>
      <w:pPr>
        <w:ind w:left="460" w:right="100" w:hanging="455"/>
        <w:spacing w:after="0" w:line="27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6"/>
          <w:szCs w:val="16"/>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paid by the prior tenant in the final 12 months of the term.</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ectPr>
          <w:pgSz w:w="11900" w:h="16838" w:orient="portrait"/>
          <w:cols w:equalWidth="0" w:num="1">
            <w:col w:w="11420"/>
          </w:cols>
          <w:pgMar w:left="240" w:top="271" w:right="239" w:bottom="1071"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9"/>
              </w:rPr>
              <w:t>Anchor Tenants (1)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Small Shop Tenants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93"/>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 of Anchor</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5"/>
              </w:rPr>
              <w:t>Minimum Rent</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 of Small</w:t>
            </w: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Minimum Rent</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 of Total</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3"/>
              </w:rPr>
              <w:t>Minimum Rent</w:t>
            </w:r>
          </w:p>
        </w:tc>
      </w:tr>
      <w:tr>
        <w:trPr>
          <w:trHeight w:val="169"/>
        </w:trPr>
        <w:tc>
          <w:tcPr>
            <w:tcW w:w="186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Expiring SF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6"/>
              </w:rPr>
              <w:t>SF</w:t>
            </w:r>
          </w:p>
        </w:tc>
        <w:tc>
          <w:tcPr>
            <w:tcW w:w="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Shop SF</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Expiring SF</w:t>
            </w: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3"/>
              </w:rPr>
              <w:t>SF</w:t>
            </w:r>
          </w:p>
        </w:tc>
        <w:tc>
          <w:tcPr>
            <w:tcW w:w="16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PSF (2)</w:t>
            </w:r>
          </w:p>
        </w:tc>
      </w:tr>
      <w:tr>
        <w:trPr>
          <w:trHeight w:val="93"/>
        </w:trPr>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98"/>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2005</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2006</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446,000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10.02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722,000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24.53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1,168,000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18.98</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2007</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960,000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2008</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867,000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11.17</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914,000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22.93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1,781,000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17.21</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2009</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1,147,000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931,000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2010</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634,000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12.92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760,000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24.71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1,394,000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19.35</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2011</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584,000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2012</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540,000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12.68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428,000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33.08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968,000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21.70</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2013</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2014</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651,000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18.56</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271,000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33.40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922,000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22.91</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3,023,000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517,000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r>
      <w:tr>
        <w:trPr>
          <w:trHeight w:val="105"/>
        </w:trPr>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98"/>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9,315,000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6,736,000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16,051,000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w:t>
            </w:r>
          </w:p>
        </w:tc>
      </w:tr>
      <w:tr>
        <w:trPr>
          <w:trHeight w:val="128"/>
        </w:trPr>
        <w:tc>
          <w:tcPr>
            <w:tcW w:w="94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519"/>
        </w:trPr>
        <w:tc>
          <w:tcPr>
            <w:tcW w:w="2720" w:type="dxa"/>
            <w:vAlign w:val="bottom"/>
            <w:gridSpan w:val="5"/>
          </w:tcPr>
          <w:p>
            <w:pPr>
              <w:spacing w:after="0"/>
              <w:rPr>
                <w:sz w:val="20"/>
                <w:szCs w:val="20"/>
                <w:color w:val="auto"/>
              </w:rPr>
            </w:pPr>
            <w:r>
              <w:rPr>
                <w:rFonts w:ascii="Arial" w:cs="Arial" w:eastAsia="Arial" w:hAnsi="Arial"/>
                <w:sz w:val="17"/>
                <w:szCs w:val="17"/>
                <w:b w:val="1"/>
                <w:bCs w:val="1"/>
                <w:color w:val="auto"/>
                <w:w w:val="89"/>
              </w:rPr>
              <w:t>Assumes lease options are exercised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9"/>
              </w:rPr>
              <w:t>Anchor Tenants (1)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Small Shop Tenants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93"/>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44"/>
        </w:trPr>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ind w:right="460"/>
              <w:spacing w:after="0" w:line="144" w:lineRule="exact"/>
              <w:rPr>
                <w:sz w:val="20"/>
                <w:szCs w:val="20"/>
                <w:color w:val="auto"/>
              </w:rPr>
            </w:pPr>
            <w:r>
              <w:rPr>
                <w:rFonts w:ascii="Arial" w:cs="Arial" w:eastAsia="Arial" w:hAnsi="Arial"/>
                <w:sz w:val="13"/>
                <w:szCs w:val="13"/>
                <w:b w:val="1"/>
                <w:bCs w:val="1"/>
                <w:color w:val="auto"/>
                <w:w w:val="92"/>
              </w:rPr>
              <w:t>Anchor</w:t>
            </w:r>
          </w:p>
        </w:tc>
        <w:tc>
          <w:tcPr>
            <w:tcW w:w="8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5"/>
              </w:rPr>
              <w:t>Minimum Rent</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4"/>
              </w:rPr>
              <w:t>% of Small</w:t>
            </w:r>
          </w:p>
        </w:tc>
        <w:tc>
          <w:tcPr>
            <w:tcW w:w="11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Minimum Rent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3"/>
              </w:rPr>
              <w:t>% of Total</w:t>
            </w:r>
          </w:p>
        </w:tc>
        <w:tc>
          <w:tcPr>
            <w:tcW w:w="8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93"/>
              </w:rPr>
              <w:t>Minimum Rent</w:t>
            </w:r>
          </w:p>
        </w:tc>
      </w:tr>
      <w:tr>
        <w:trPr>
          <w:trHeight w:val="169"/>
        </w:trPr>
        <w:tc>
          <w:tcPr>
            <w:tcW w:w="186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Expiring SF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6"/>
              </w:rPr>
              <w:t>SF</w:t>
            </w:r>
          </w:p>
        </w:tc>
        <w:tc>
          <w:tcPr>
            <w:tcW w:w="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Shop SF</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Expiring SF</w:t>
            </w: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3"/>
              </w:rPr>
              <w:t>SF</w:t>
            </w:r>
          </w:p>
        </w:tc>
        <w:tc>
          <w:tcPr>
            <w:tcW w:w="16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PSF (2)</w:t>
            </w:r>
          </w:p>
        </w:tc>
      </w:tr>
      <w:tr>
        <w:trPr>
          <w:trHeight w:val="93"/>
        </w:trPr>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98"/>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2005</w:t>
            </w: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2006</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12.34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423,000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27.43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477,000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25.73</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2007</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2008</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255,000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11.49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590,000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23.23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845,000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19.69</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2009</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552,000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2010</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142,000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13.05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456,000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25.95</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598,000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2011</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528,000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2012</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12.49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433,000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28.93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678,000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23.00</w:t>
            </w:r>
          </w:p>
        </w:tc>
      </w:tr>
      <w:tr>
        <w:trPr>
          <w:trHeight w:val="210"/>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2013</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w:t>
            </w:r>
          </w:p>
        </w:tc>
      </w:tr>
      <w:tr>
        <w:trPr>
          <w:trHeight w:val="210"/>
        </w:trPr>
        <w:tc>
          <w:tcPr>
            <w:tcW w:w="940" w:type="dxa"/>
            <w:vAlign w:val="bottom"/>
            <w:gridSpan w:val="2"/>
          </w:tcPr>
          <w:p>
            <w:pPr>
              <w:ind w:left="180"/>
              <w:spacing w:after="0"/>
              <w:rPr>
                <w:sz w:val="20"/>
                <w:szCs w:val="20"/>
                <w:color w:val="auto"/>
              </w:rPr>
            </w:pPr>
            <w:r>
              <w:rPr>
                <w:rFonts w:ascii="Arial" w:cs="Arial" w:eastAsia="Arial" w:hAnsi="Arial"/>
                <w:sz w:val="17"/>
                <w:szCs w:val="17"/>
                <w:b w:val="1"/>
                <w:bCs w:val="1"/>
                <w:color w:val="auto"/>
              </w:rPr>
              <w:t>2014</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304,000</w:t>
            </w:r>
          </w:p>
        </w:tc>
        <w:tc>
          <w:tcPr>
            <w:tcW w:w="160" w:type="dxa"/>
            <w:vAlign w:val="bottom"/>
          </w:tcPr>
          <w:p>
            <w:pPr>
              <w:spacing w:after="0"/>
              <w:rPr>
                <w:sz w:val="18"/>
                <w:szCs w:val="18"/>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13.11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397,000</w:t>
            </w:r>
          </w:p>
        </w:tc>
        <w:tc>
          <w:tcPr>
            <w:tcW w:w="1360" w:type="dxa"/>
            <w:vAlign w:val="bottom"/>
            <w:gridSpan w:val="4"/>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28.62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701,000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21.89</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7,649,000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82%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2,219,000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9,869,000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r>
      <w:tr>
        <w:trPr>
          <w:trHeight w:val="105"/>
        </w:trPr>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98"/>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0"/>
        </w:trPr>
        <w:tc>
          <w:tcPr>
            <w:tcW w:w="1860" w:type="dxa"/>
            <w:vAlign w:val="bottom"/>
            <w:gridSpan w:val="3"/>
            <w:shd w:val="clear" w:color="auto" w:fill="CCEEFF"/>
          </w:tcPr>
          <w:p>
            <w:pPr>
              <w:ind w:left="220"/>
              <w:spacing w:after="0"/>
              <w:rPr>
                <w:sz w:val="20"/>
                <w:szCs w:val="20"/>
                <w:color w:val="auto"/>
              </w:rPr>
            </w:pPr>
            <w:r>
              <w:rPr>
                <w:rFonts w:ascii="Arial" w:cs="Arial" w:eastAsia="Arial" w:hAnsi="Arial"/>
                <w:sz w:val="17"/>
                <w:szCs w:val="17"/>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9,315,000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6,736,000</w:t>
            </w: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16,051,000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w:t>
            </w:r>
          </w:p>
        </w:tc>
      </w:tr>
      <w:tr>
        <w:trPr>
          <w:trHeight w:val="128"/>
        </w:trPr>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07"/>
        </w:trPr>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-3118485</wp:posOffset>
            </wp:positionV>
            <wp:extent cx="12700"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-3118485</wp:posOffset>
            </wp:positionV>
            <wp:extent cx="12700"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-3118485</wp:posOffset>
            </wp:positionV>
            <wp:extent cx="12700"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-3118485</wp:posOffset>
            </wp:positionV>
            <wp:extent cx="3746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-3118485</wp:posOffset>
            </wp:positionV>
            <wp:extent cx="12700"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-3118485</wp:posOffset>
            </wp:positionV>
            <wp:extent cx="12700"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-3118485</wp:posOffset>
            </wp:positionV>
            <wp:extent cx="2095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-3118485</wp:posOffset>
            </wp:positionV>
            <wp:extent cx="12700"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-3118485</wp:posOffset>
            </wp:positionV>
            <wp:extent cx="12700"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-3118485</wp:posOffset>
            </wp:positionV>
            <wp:extent cx="12700"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-3118485</wp:posOffset>
            </wp:positionV>
            <wp:extent cx="3746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4601210</wp:posOffset>
            </wp:positionH>
            <wp:positionV relativeFrom="paragraph">
              <wp:posOffset>-3118485</wp:posOffset>
            </wp:positionV>
            <wp:extent cx="12700"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-3118485</wp:posOffset>
            </wp:positionV>
            <wp:extent cx="12700"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-3118485</wp:posOffset>
            </wp:positionV>
            <wp:extent cx="2095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-3118485</wp:posOffset>
            </wp:positionV>
            <wp:extent cx="12700"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-3118485</wp:posOffset>
            </wp:positionV>
            <wp:extent cx="12700"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6034405</wp:posOffset>
            </wp:positionH>
            <wp:positionV relativeFrom="paragraph">
              <wp:posOffset>-3118485</wp:posOffset>
            </wp:positionV>
            <wp:extent cx="12700"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-3118485</wp:posOffset>
            </wp:positionV>
            <wp:extent cx="3746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6701155</wp:posOffset>
            </wp:positionH>
            <wp:positionV relativeFrom="paragraph">
              <wp:posOffset>-3118485</wp:posOffset>
            </wp:positionV>
            <wp:extent cx="12700"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-3118485</wp:posOffset>
            </wp:positionV>
            <wp:extent cx="12700"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-3118485</wp:posOffset>
            </wp:positionV>
            <wp:extent cx="2095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-168275</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-168275</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-168275</wp:posOffset>
            </wp:positionV>
            <wp:extent cx="12700"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-168275</wp:posOffset>
            </wp:positionV>
            <wp:extent cx="3746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-168275</wp:posOffset>
            </wp:positionV>
            <wp:extent cx="470471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0471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Minimum Rent reflects in-place contractual rent as of June 30,2005.</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occupied square footage as of June 30, 2005. Individual items may not add up to total as a result of rounding.</w:t>
      </w:r>
    </w:p>
    <w:p>
      <w:pPr>
        <w:sectPr>
          <w:pgSz w:w="11900" w:h="16838" w:orient="portrait"/>
          <w:cols w:equalWidth="0" w:num="1">
            <w:col w:w="11420"/>
          </w:cols>
          <w:pgMar w:left="240" w:top="27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ind w:left="160"/>
              <w:spacing w:after="0"/>
              <w:rPr>
                <w:sz w:val="20"/>
                <w:szCs w:val="20"/>
                <w:color w:val="auto"/>
              </w:rPr>
            </w:pPr>
            <w:r>
              <w:rPr>
                <w:rFonts w:ascii="Arial" w:cs="Arial" w:eastAsia="Arial" w:hAnsi="Arial"/>
                <w:sz w:val="13"/>
                <w:szCs w:val="13"/>
                <w:b w:val="1"/>
                <w:bCs w:val="1"/>
                <w:color w:val="auto"/>
              </w:rPr>
              <w:t>At June 30, 2005</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Arial" w:cs="Arial" w:eastAsia="Arial" w:hAnsi="Arial"/>
                <w:sz w:val="13"/>
                <w:szCs w:val="13"/>
                <w:b w:val="1"/>
                <w:bCs w:val="1"/>
                <w:color w:val="auto"/>
              </w:rPr>
              <w:t>At June 30, 2004</w:t>
            </w:r>
          </w:p>
        </w:tc>
        <w:tc>
          <w:tcPr>
            <w:tcW w:w="700" w:type="dxa"/>
            <w:vAlign w:val="bottom"/>
          </w:tcPr>
          <w:p>
            <w:pPr>
              <w:spacing w:after="0"/>
              <w:rPr>
                <w:sz w:val="14"/>
                <w:szCs w:val="14"/>
                <w:color w:val="auto"/>
              </w:rPr>
            </w:pPr>
          </w:p>
        </w:tc>
      </w:tr>
      <w:tr>
        <w:trPr>
          <w:trHeight w:val="93"/>
        </w:trPr>
        <w:tc>
          <w:tcPr>
            <w:tcW w:w="5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54"/>
        </w:trPr>
        <w:tc>
          <w:tcPr>
            <w:tcW w:w="5740" w:type="dxa"/>
            <w:vAlign w:val="bottom"/>
          </w:tcPr>
          <w:p>
            <w:pPr>
              <w:spacing w:after="0"/>
              <w:rPr>
                <w:sz w:val="20"/>
                <w:szCs w:val="20"/>
                <w:color w:val="auto"/>
              </w:rPr>
            </w:pPr>
            <w:r>
              <w:rPr>
                <w:rFonts w:ascii="Arial" w:cs="Arial" w:eastAsia="Arial" w:hAnsi="Arial"/>
                <w:sz w:val="13"/>
                <w:szCs w:val="13"/>
                <w:b w:val="1"/>
                <w:bCs w:val="1"/>
                <w:color w:val="auto"/>
              </w:rPr>
              <w:t>Type</w:t>
            </w:r>
          </w:p>
        </w:tc>
        <w:tc>
          <w:tcPr>
            <w:tcW w:w="660" w:type="dxa"/>
            <w:vAlign w:val="bottom"/>
          </w:tcPr>
          <w:p>
            <w:pPr>
              <w:ind w:left="280"/>
              <w:spacing w:after="0"/>
              <w:rPr>
                <w:sz w:val="20"/>
                <w:szCs w:val="20"/>
                <w:color w:val="auto"/>
              </w:rPr>
            </w:pPr>
            <w:r>
              <w:rPr>
                <w:rFonts w:ascii="Arial" w:cs="Arial" w:eastAsia="Arial" w:hAnsi="Arial"/>
                <w:sz w:val="13"/>
                <w:szCs w:val="13"/>
                <w:b w:val="1"/>
                <w:bCs w:val="1"/>
                <w:color w:val="auto"/>
              </w:rPr>
              <w:t>Size</w:t>
            </w:r>
          </w:p>
        </w:tc>
        <w:tc>
          <w:tcPr>
            <w:tcW w:w="1220" w:type="dxa"/>
            <w:vAlign w:val="bottom"/>
          </w:tcPr>
          <w:p>
            <w:pPr>
              <w:ind w:left="520"/>
              <w:spacing w:after="0"/>
              <w:rPr>
                <w:sz w:val="20"/>
                <w:szCs w:val="20"/>
                <w:color w:val="auto"/>
              </w:rPr>
            </w:pPr>
            <w:r>
              <w:rPr>
                <w:rFonts w:ascii="Arial" w:cs="Arial" w:eastAsia="Arial" w:hAnsi="Arial"/>
                <w:sz w:val="13"/>
                <w:szCs w:val="13"/>
                <w:b w:val="1"/>
                <w:bCs w:val="1"/>
                <w:color w:val="auto"/>
              </w:rPr>
              <w:t>Leased</w:t>
            </w: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Arial" w:cs="Arial" w:eastAsia="Arial" w:hAnsi="Arial"/>
                <w:sz w:val="13"/>
                <w:szCs w:val="13"/>
                <w:b w:val="1"/>
                <w:bCs w:val="1"/>
                <w:color w:val="auto"/>
              </w:rPr>
              <w:t>Size</w:t>
            </w:r>
          </w:p>
        </w:tc>
        <w:tc>
          <w:tcPr>
            <w:tcW w:w="1200" w:type="dxa"/>
            <w:vAlign w:val="bottom"/>
          </w:tcPr>
          <w:p>
            <w:pPr>
              <w:ind w:left="520"/>
              <w:spacing w:after="0"/>
              <w:rPr>
                <w:sz w:val="20"/>
                <w:szCs w:val="20"/>
                <w:color w:val="auto"/>
              </w:rPr>
            </w:pPr>
            <w:r>
              <w:rPr>
                <w:rFonts w:ascii="Arial" w:cs="Arial" w:eastAsia="Arial" w:hAnsi="Arial"/>
                <w:sz w:val="13"/>
                <w:szCs w:val="13"/>
                <w:b w:val="1"/>
                <w:bCs w:val="1"/>
                <w:color w:val="auto"/>
              </w:rPr>
              <w:t>Leased</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w w:val="89"/>
              </w:rPr>
              <w:t>Leased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2419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193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59055</wp:posOffset>
            </wp:positionV>
            <wp:extent cx="34753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7535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17,367,000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16,500,000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6"/>
              </w:rPr>
              <w:t>16,862,000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15,878,000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94.2%</w:t>
            </w:r>
          </w:p>
        </w:tc>
      </w:tr>
      <w:tr>
        <w:trPr>
          <w:trHeight w:val="216"/>
        </w:trPr>
        <w:tc>
          <w:tcPr>
            <w:tcW w:w="5740" w:type="dxa"/>
            <w:vAlign w:val="bottom"/>
            <w:gridSpan w:val="4"/>
          </w:tcPr>
          <w:p>
            <w:pPr>
              <w:spacing w:after="0"/>
              <w:rPr>
                <w:sz w:val="20"/>
                <w:szCs w:val="20"/>
                <w:color w:val="auto"/>
              </w:rPr>
            </w:pPr>
            <w:r>
              <w:rPr>
                <w:rFonts w:ascii="Arial" w:cs="Arial" w:eastAsia="Arial" w:hAnsi="Arial"/>
                <w:sz w:val="17"/>
                <w:szCs w:val="17"/>
                <w:color w:val="auto"/>
              </w:rPr>
              <w:t>Residential Properties (3) (units)</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683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604</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88.4%</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683</w:t>
            </w: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645</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94.4%</w:t>
            </w:r>
          </w:p>
        </w:tc>
      </w:tr>
      <w:tr>
        <w:trPr>
          <w:trHeight w:val="375"/>
        </w:trPr>
        <w:tc>
          <w:tcPr>
            <w:tcW w:w="574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85"/>
        </w:trPr>
        <w:tc>
          <w:tcPr>
            <w:tcW w:w="3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At June 30, 2005</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2"/>
              </w:rPr>
              <w:t>At June 30, 2004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93"/>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54"/>
        </w:trPr>
        <w:tc>
          <w:tcPr>
            <w:tcW w:w="5740" w:type="dxa"/>
            <w:vAlign w:val="bottom"/>
            <w:gridSpan w:val="4"/>
          </w:tcPr>
          <w:p>
            <w:pPr>
              <w:spacing w:after="0"/>
              <w:rPr>
                <w:sz w:val="20"/>
                <w:szCs w:val="20"/>
                <w:color w:val="auto"/>
              </w:rPr>
            </w:pPr>
            <w:r>
              <w:rPr>
                <w:rFonts w:ascii="Arial" w:cs="Arial" w:eastAsia="Arial" w:hAnsi="Arial"/>
                <w:sz w:val="13"/>
                <w:szCs w:val="13"/>
                <w:b w:val="1"/>
                <w:bCs w:val="1"/>
                <w:color w:val="auto"/>
              </w:rPr>
              <w:t>Type</w:t>
            </w:r>
          </w:p>
        </w:tc>
        <w:tc>
          <w:tcPr>
            <w:tcW w:w="800" w:type="dxa"/>
            <w:vAlign w:val="bottom"/>
            <w:gridSpan w:val="2"/>
          </w:tcPr>
          <w:p>
            <w:pPr>
              <w:ind w:left="280"/>
              <w:spacing w:after="0"/>
              <w:rPr>
                <w:sz w:val="20"/>
                <w:szCs w:val="20"/>
                <w:color w:val="auto"/>
              </w:rPr>
            </w:pPr>
            <w:r>
              <w:rPr>
                <w:rFonts w:ascii="Arial" w:cs="Arial" w:eastAsia="Arial" w:hAnsi="Arial"/>
                <w:sz w:val="13"/>
                <w:szCs w:val="13"/>
                <w:b w:val="1"/>
                <w:bCs w:val="1"/>
                <w:color w:val="auto"/>
              </w:rPr>
              <w:t>Size</w:t>
            </w:r>
          </w:p>
        </w:tc>
        <w:tc>
          <w:tcPr>
            <w:tcW w:w="200" w:type="dxa"/>
            <w:vAlign w:val="bottom"/>
          </w:tcPr>
          <w:p>
            <w:pPr>
              <w:spacing w:after="0"/>
              <w:rPr>
                <w:sz w:val="22"/>
                <w:szCs w:val="22"/>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22"/>
                <w:szCs w:val="2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Leased %</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22"/>
                <w:szCs w:val="2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Leased</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Leased %</w:t>
            </w:r>
          </w:p>
        </w:tc>
      </w:tr>
      <w:tr>
        <w:trPr>
          <w:trHeight w:val="93"/>
        </w:trPr>
        <w:tc>
          <w:tcPr>
            <w:tcW w:w="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98"/>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0"/>
        </w:trPr>
        <w:tc>
          <w:tcPr>
            <w:tcW w:w="5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12,941,000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12,477,000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96.4%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6"/>
              </w:rPr>
              <w:t>12,889,000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12,462,000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96.7%</w:t>
            </w:r>
          </w:p>
        </w:tc>
      </w:tr>
      <w:tr>
        <w:trPr>
          <w:trHeight w:val="216"/>
        </w:trPr>
        <w:tc>
          <w:tcPr>
            <w:tcW w:w="5740" w:type="dxa"/>
            <w:vAlign w:val="bottom"/>
            <w:gridSpan w:val="4"/>
          </w:tcPr>
          <w:p>
            <w:pPr>
              <w:spacing w:after="0"/>
              <w:rPr>
                <w:sz w:val="20"/>
                <w:szCs w:val="20"/>
                <w:color w:val="auto"/>
              </w:rPr>
            </w:pPr>
            <w:r>
              <w:rPr>
                <w:rFonts w:ascii="Arial" w:cs="Arial" w:eastAsia="Arial" w:hAnsi="Arial"/>
                <w:sz w:val="17"/>
                <w:szCs w:val="17"/>
                <w:color w:val="auto"/>
              </w:rPr>
              <w:t>Residential Properties (3) (units)</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428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95.8%</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428</w:t>
            </w: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419</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97.9%</w:t>
            </w: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4" w:lineRule="exact"/>
        <w:rPr>
          <w:rFonts w:ascii="Arial" w:cs="Arial" w:eastAsia="Arial" w:hAnsi="Arial"/>
          <w:sz w:val="17"/>
          <w:szCs w:val="17"/>
          <w:color w:val="auto"/>
        </w:rPr>
      </w:pPr>
    </w:p>
    <w:p>
      <w:pPr>
        <w:ind w:left="460" w:right="100" w:hanging="455"/>
        <w:spacing w:after="0" w:line="257"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Rollingwood, Santana Row residential and The Crest at Congressional Apartments for overall portfolio. Does not include Santana Row residential for Same Center. 219 loft and villa units are planned for sale as condominiums with the first sales expected in August 2005. Units in buildings three, four and six are being allowed to remain vacant as leases expire to facilitate condominium sales.</w:t>
      </w:r>
    </w:p>
    <w:p>
      <w:pPr>
        <w:spacing w:after="0" w:line="2" w:lineRule="exact"/>
        <w:rPr>
          <w:rFonts w:ascii="Arial" w:cs="Arial" w:eastAsia="Arial" w:hAnsi="Arial"/>
          <w:sz w:val="17"/>
          <w:szCs w:val="17"/>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ectPr>
          <w:pgSz w:w="11900" w:h="16838" w:orient="portrait"/>
          <w:cols w:equalWidth="0" w:num="1">
            <w:col w:w="11420"/>
          </w:cols>
          <w:pgMar w:left="240" w:top="27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6"/>
              </w:rPr>
              <w:t>Percentage of</w:t>
            </w: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r>
      <w:tr>
        <w:trPr>
          <w:trHeight w:val="144"/>
        </w:trPr>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Annualized Base</w:t>
            </w:r>
          </w:p>
        </w:tc>
        <w:tc>
          <w:tcPr>
            <w:tcW w:w="1440" w:type="dxa"/>
            <w:vAlign w:val="bottom"/>
            <w:gridSpan w:val="2"/>
          </w:tcPr>
          <w:p>
            <w:pPr>
              <w:jc w:val="center"/>
              <w:ind w:right="500"/>
              <w:spacing w:after="0" w:line="144" w:lineRule="exact"/>
              <w:rPr>
                <w:sz w:val="20"/>
                <w:szCs w:val="20"/>
                <w:color w:val="auto"/>
              </w:rPr>
            </w:pPr>
            <w:r>
              <w:rPr>
                <w:rFonts w:ascii="Arial" w:cs="Arial" w:eastAsia="Arial" w:hAnsi="Arial"/>
                <w:sz w:val="13"/>
                <w:szCs w:val="13"/>
                <w:b w:val="1"/>
                <w:bCs w:val="1"/>
                <w:color w:val="auto"/>
                <w:w w:val="90"/>
              </w:rPr>
              <w:t>Total Annualized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2"/>
          </w:tcPr>
          <w:p>
            <w:pPr>
              <w:jc w:val="right"/>
              <w:ind w:right="500"/>
              <w:spacing w:after="0" w:line="144" w:lineRule="exact"/>
              <w:rPr>
                <w:sz w:val="20"/>
                <w:szCs w:val="20"/>
                <w:color w:val="auto"/>
              </w:rPr>
            </w:pPr>
            <w:r>
              <w:rPr>
                <w:rFonts w:ascii="Arial" w:cs="Arial" w:eastAsia="Arial" w:hAnsi="Arial"/>
                <w:sz w:val="13"/>
                <w:szCs w:val="13"/>
                <w:b w:val="1"/>
                <w:bCs w:val="1"/>
                <w:color w:val="auto"/>
                <w:w w:val="86"/>
              </w:rPr>
              <w:t>Percentage of</w:t>
            </w: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Stores</w:t>
            </w:r>
          </w:p>
        </w:tc>
      </w:tr>
      <w:tr>
        <w:trPr>
          <w:trHeight w:val="169"/>
        </w:trPr>
        <w:tc>
          <w:tcPr>
            <w:tcW w:w="380" w:type="dxa"/>
            <w:vAlign w:val="bottom"/>
          </w:tcPr>
          <w:p>
            <w:pPr>
              <w:spacing w:after="0"/>
              <w:rPr>
                <w:sz w:val="20"/>
                <w:szCs w:val="20"/>
                <w:color w:val="auto"/>
              </w:rPr>
            </w:pPr>
            <w:r>
              <w:rPr>
                <w:rFonts w:ascii="Arial" w:cs="Arial" w:eastAsia="Arial" w:hAnsi="Arial"/>
                <w:sz w:val="13"/>
                <w:szCs w:val="13"/>
                <w:b w:val="1"/>
                <w:bCs w:val="1"/>
                <w:color w:val="auto"/>
              </w:rPr>
              <w:t>Rank</w:t>
            </w:r>
          </w:p>
        </w:tc>
        <w:tc>
          <w:tcPr>
            <w:tcW w:w="4860" w:type="dxa"/>
            <w:vAlign w:val="bottom"/>
            <w:gridSpan w:val="4"/>
          </w:tcPr>
          <w:p>
            <w:pPr>
              <w:ind w:left="340"/>
              <w:spacing w:after="0"/>
              <w:rPr>
                <w:sz w:val="20"/>
                <w:szCs w:val="20"/>
                <w:color w:val="auto"/>
              </w:rPr>
            </w:pPr>
            <w:r>
              <w:rPr>
                <w:rFonts w:ascii="Arial" w:cs="Arial" w:eastAsia="Arial" w:hAnsi="Arial"/>
                <w:sz w:val="13"/>
                <w:szCs w:val="13"/>
                <w:b w:val="1"/>
                <w:bCs w:val="1"/>
                <w:color w:val="auto"/>
              </w:rPr>
              <w:t>Tenant Name</w:t>
            </w:r>
          </w:p>
        </w:tc>
        <w:tc>
          <w:tcPr>
            <w:tcW w:w="100" w:type="dxa"/>
            <w:vAlign w:val="bottom"/>
          </w:tcPr>
          <w:p>
            <w:pPr>
              <w:spacing w:after="0"/>
              <w:rPr>
                <w:sz w:val="14"/>
                <w:szCs w:val="14"/>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Rent</w:t>
            </w: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Base Rent</w:t>
            </w:r>
          </w:p>
        </w:tc>
        <w:tc>
          <w:tcPr>
            <w:tcW w:w="13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7"/>
              </w:rPr>
              <w:t>Tenant GLA</w:t>
            </w:r>
          </w:p>
        </w:tc>
        <w:tc>
          <w:tcPr>
            <w:tcW w:w="12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Total GLA</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Leased</w:t>
            </w:r>
          </w:p>
        </w:tc>
      </w:tr>
      <w:tr>
        <w:trPr>
          <w:trHeight w:val="93"/>
        </w:trPr>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98"/>
        </w:trPr>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Safeway,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6,609,000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2.23%</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481,000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2.77%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2</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Gap,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6,460,000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2.18%</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224,000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1.29%</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Ahold USA,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2.08%</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502,000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2.89%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4</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Bed, Bath &amp; Beyond,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5,650,000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1.91%</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396,000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2.28%</w:t>
            </w: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TJX Companies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1.63%</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482,000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2.78%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6</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CVS Corporation</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3,943,000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1.33%</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150,000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0.87%</w:t>
            </w: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Barnes &amp; Noble,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174,000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8</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Best Buy Stores, L.P.</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3,530,000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1.19%</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101,000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0.58%</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Wakefern Food Corporation</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1.04%</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232,000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10</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Retail Ventures (DSW/Filene’s Basement)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2,994,000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1.01%</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155,000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0.89%</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Borders Group,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129,000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12</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OPNET Technologies,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2,552,000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0.86%</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60,000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0.35%</w:t>
            </w: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Michaels Stores,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165,000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14</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MTS, Inc. (Tower Records)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2,441,000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0.83%</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91,000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0.52%</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Great Atlantic &amp; Pacific Tea Co</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236,000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16</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CompUSA,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2,371,000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0.80%</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134,000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0.77%</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The Container Store,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52,000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18</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Dress Barn,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2,244,000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0.76%</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109,000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0.63%</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Home Depot,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218,000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20</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Albertsons,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2,147,000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0.73%</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245,000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1.41%</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Dollar Tree Stores,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0.72%</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162,000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22</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Office Depot,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2,108,000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0.71%</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142,000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0.82%</w:t>
            </w:r>
          </w:p>
        </w:tc>
        <w:tc>
          <w:tcPr>
            <w:tcW w:w="6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Bally’s Health &amp; Tennis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0.71%</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156,000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rPr>
              <w:t>24</w:t>
            </w:r>
          </w:p>
        </w:tc>
        <w:tc>
          <w:tcPr>
            <w:tcW w:w="4860" w:type="dxa"/>
            <w:vAlign w:val="bottom"/>
            <w:gridSpan w:val="4"/>
          </w:tcPr>
          <w:p>
            <w:pPr>
              <w:ind w:left="340"/>
              <w:spacing w:after="0"/>
              <w:rPr>
                <w:sz w:val="20"/>
                <w:szCs w:val="20"/>
                <w:color w:val="auto"/>
              </w:rPr>
            </w:pPr>
            <w:r>
              <w:rPr>
                <w:rFonts w:ascii="Arial" w:cs="Arial" w:eastAsia="Arial" w:hAnsi="Arial"/>
                <w:sz w:val="17"/>
                <w:szCs w:val="17"/>
                <w:color w:val="auto"/>
              </w:rPr>
              <w:t>Toys R Us, Inc.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2,079,000</w:t>
            </w:r>
          </w:p>
        </w:tc>
        <w:tc>
          <w:tcPr>
            <w:tcW w:w="5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0.70%</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259,000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1.49%</w:t>
            </w: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Staples, Inc.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0.68%</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106,000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105"/>
        </w:trPr>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203"/>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3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Totals - Top 25 Tenants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81,493,000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27.54%</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5,162,000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29.73%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105"/>
        </w:trPr>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98"/>
        </w:trPr>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0"/>
        </w:trPr>
        <w:tc>
          <w:tcPr>
            <w:tcW w:w="3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8"/>
              </w:rPr>
              <w:t>295,894,000(1)</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0"/>
              </w:rPr>
              <w:t>17,367,000(2)</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w:t>
            </w:r>
          </w:p>
        </w:tc>
      </w:tr>
      <w:tr>
        <w:trPr>
          <w:trHeight w:val="105"/>
        </w:trPr>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annual in-place contractual rent as of June 30, 2005.</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27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2005 Net Income to 2005 FFO Guidance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 millions except per share amounts) (1)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Forecast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joint venture 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to</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3.03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6101080</wp:posOffset>
            </wp:positionH>
            <wp:positionV relativeFrom="paragraph">
              <wp:posOffset>-718185</wp:posOffset>
            </wp:positionV>
            <wp:extent cx="279400"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9400" cy="2921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-718185</wp:posOffset>
            </wp:positionV>
            <wp:extent cx="12700"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-718185</wp:posOffset>
            </wp:positionV>
            <wp:extent cx="2095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6842760</wp:posOffset>
            </wp:positionH>
            <wp:positionV relativeFrom="paragraph">
              <wp:posOffset>-718185</wp:posOffset>
            </wp:positionV>
            <wp:extent cx="3746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Individual items may not add up to total due to rounding.</w:t>
      </w:r>
    </w:p>
    <w:p>
      <w:pPr>
        <w:sectPr>
          <w:pgSz w:w="11900" w:h="16838" w:orient="portrait"/>
          <w:cols w:equalWidth="0" w:num="1">
            <w:col w:w="10860"/>
          </w:cols>
          <w:pgMar w:left="240" w:top="271" w:right="79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Activity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jc w:val="right"/>
        <w:ind w:right="3419"/>
        <w:spacing w:after="0"/>
        <w:rPr>
          <w:sz w:val="20"/>
          <w:szCs w:val="20"/>
          <w:color w:val="auto"/>
        </w:rPr>
      </w:pPr>
      <w:r>
        <w:rPr>
          <w:rFonts w:ascii="Arial" w:cs="Arial" w:eastAsia="Arial" w:hAnsi="Arial"/>
          <w:sz w:val="17"/>
          <w:szCs w:val="17"/>
          <w:b w:val="1"/>
          <w:bCs w:val="1"/>
          <w:color w:val="auto"/>
        </w:rPr>
        <w:t>Clarion Lion Properties Fund</w:t>
      </w:r>
    </w:p>
    <w:p>
      <w:pPr>
        <w:sectPr>
          <w:pgSz w:w="11900" w:h="16838" w:orient="portrait"/>
          <w:cols w:equalWidth="0" w:num="1">
            <w:col w:w="10219"/>
          </w:cols>
          <w:pgMar w:left="240" w:top="271" w:right="1440"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 and Balance Sheet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Arial" w:cs="Arial" w:eastAsia="Arial" w:hAnsi="Arial"/>
                <w:sz w:val="13"/>
                <w:szCs w:val="13"/>
                <w:b w:val="1"/>
                <w:bCs w:val="1"/>
                <w:color w:val="auto"/>
              </w:rPr>
              <w:t>Six months ended</w:t>
            </w:r>
          </w:p>
        </w:tc>
        <w:tc>
          <w:tcPr>
            <w:tcW w:w="38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w w:val="93"/>
              </w:rPr>
              <w:t>Three months ended</w:t>
            </w:r>
          </w:p>
        </w:tc>
      </w:tr>
      <w:tr>
        <w:trPr>
          <w:trHeight w:val="169"/>
        </w:trPr>
        <w:tc>
          <w:tcPr>
            <w:tcW w:w="8360" w:type="dxa"/>
            <w:vAlign w:val="bottom"/>
            <w:gridSpan w:val="3"/>
          </w:tcPr>
          <w:p>
            <w:pPr>
              <w:spacing w:after="0"/>
              <w:rPr>
                <w:sz w:val="20"/>
                <w:szCs w:val="20"/>
                <w:color w:val="auto"/>
              </w:rPr>
            </w:pPr>
            <w:r>
              <w:rPr>
                <w:rFonts w:ascii="Arial" w:cs="Arial" w:eastAsia="Arial" w:hAnsi="Arial"/>
                <w:sz w:val="13"/>
                <w:szCs w:val="13"/>
                <w:b w:val="1"/>
                <w:bCs w:val="1"/>
                <w:color w:val="auto"/>
              </w:rPr>
              <w:t>CONSOLIDATED OPERATING RESULTS</w:t>
            </w:r>
          </w:p>
        </w:tc>
        <w:tc>
          <w:tcPr>
            <w:tcW w:w="10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9"/>
              </w:rPr>
              <w:t>June 30, 2005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2005</w:t>
            </w:r>
          </w:p>
        </w:tc>
      </w:tr>
      <w:tr>
        <w:trPr>
          <w:trHeight w:val="93"/>
        </w:trPr>
        <w:tc>
          <w:tcPr>
            <w:tcW w:w="2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2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8360" w:type="dxa"/>
            <w:vAlign w:val="bottom"/>
            <w:gridSpan w:val="3"/>
          </w:tcPr>
          <w:p>
            <w:pPr>
              <w:ind w:left="420"/>
              <w:spacing w:after="0"/>
              <w:rPr>
                <w:sz w:val="20"/>
                <w:szCs w:val="20"/>
                <w:color w:val="auto"/>
              </w:rPr>
            </w:pPr>
            <w:r>
              <w:rPr>
                <w:rFonts w:ascii="Arial" w:cs="Arial" w:eastAsia="Arial" w:hAnsi="Arial"/>
                <w:sz w:val="17"/>
                <w:szCs w:val="17"/>
                <w:color w:val="auto"/>
              </w:rPr>
              <w:t>Rental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4,154</w:t>
            </w:r>
          </w:p>
        </w:tc>
        <w:tc>
          <w:tcPr>
            <w:tcW w:w="46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2,118</w:t>
            </w:r>
          </w:p>
        </w:tc>
      </w:tr>
      <w:tr>
        <w:trPr>
          <w:trHeight w:val="210"/>
        </w:trPr>
        <w:tc>
          <w:tcPr>
            <w:tcW w:w="8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r>
      <w:tr>
        <w:trPr>
          <w:trHeight w:val="105"/>
        </w:trPr>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2,139</w:t>
            </w:r>
          </w:p>
        </w:tc>
      </w:tr>
      <w:tr>
        <w:trPr>
          <w:trHeight w:val="314"/>
        </w:trPr>
        <w:tc>
          <w:tcPr>
            <w:tcW w:w="8360" w:type="dxa"/>
            <w:vAlign w:val="bottom"/>
            <w:gridSpan w:val="3"/>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8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332</w:t>
            </w:r>
          </w:p>
        </w:tc>
      </w:tr>
      <w:tr>
        <w:trPr>
          <w:trHeight w:val="210"/>
        </w:trPr>
        <w:tc>
          <w:tcPr>
            <w:tcW w:w="8360" w:type="dxa"/>
            <w:vAlign w:val="bottom"/>
            <w:gridSpan w:val="3"/>
          </w:tcPr>
          <w:p>
            <w:pPr>
              <w:ind w:left="420"/>
              <w:spacing w:after="0"/>
              <w:rPr>
                <w:sz w:val="20"/>
                <w:szCs w:val="20"/>
                <w:color w:val="auto"/>
              </w:rPr>
            </w:pPr>
            <w:r>
              <w:rPr>
                <w:rFonts w:ascii="Arial" w:cs="Arial" w:eastAsia="Arial" w:hAnsi="Arial"/>
                <w:sz w:val="17"/>
                <w:szCs w:val="17"/>
                <w:color w:val="auto"/>
              </w:rPr>
              <w:t>Real estate taxes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320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159</w:t>
            </w:r>
          </w:p>
        </w:tc>
      </w:tr>
      <w:tr>
        <w:trPr>
          <w:trHeight w:val="210"/>
        </w:trPr>
        <w:tc>
          <w:tcPr>
            <w:tcW w:w="8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524</w:t>
            </w:r>
          </w:p>
        </w:tc>
      </w:tr>
      <w:tr>
        <w:trPr>
          <w:trHeight w:val="105"/>
        </w:trPr>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1,015</w:t>
            </w:r>
          </w:p>
        </w:tc>
      </w:tr>
      <w:tr>
        <w:trPr>
          <w:trHeight w:val="105"/>
        </w:trPr>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1,124</w:t>
            </w:r>
          </w:p>
        </w:tc>
      </w:tr>
      <w:tr>
        <w:trPr>
          <w:trHeight w:val="312"/>
        </w:trPr>
        <w:tc>
          <w:tcPr>
            <w:tcW w:w="836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24"/>
                <w:szCs w:val="24"/>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7"/>
                <w:szCs w:val="17"/>
                <w:color w:val="auto"/>
              </w:rPr>
              <w:t>(1,235)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(615)</w:t>
            </w:r>
          </w:p>
        </w:tc>
      </w:tr>
      <w:tr>
        <w:trPr>
          <w:trHeight w:val="107"/>
        </w:trPr>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509</w:t>
            </w:r>
          </w:p>
        </w:tc>
      </w:tr>
      <w:tr>
        <w:trPr>
          <w:trHeight w:val="128"/>
        </w:trPr>
        <w:tc>
          <w:tcPr>
            <w:tcW w:w="2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gridSpan w:val="2"/>
          </w:tcPr>
          <w:p>
            <w:pPr>
              <w:spacing w:after="0"/>
              <w:rPr>
                <w:sz w:val="11"/>
                <w:szCs w:val="11"/>
                <w:color w:val="auto"/>
              </w:rPr>
            </w:pPr>
          </w:p>
        </w:tc>
      </w:tr>
      <w:tr>
        <w:trPr>
          <w:trHeight w:val="443"/>
        </w:trPr>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6"/>
              </w:rPr>
              <w:t>As of</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As of</w:t>
            </w:r>
          </w:p>
        </w:tc>
      </w:tr>
      <w:tr>
        <w:trPr>
          <w:trHeight w:val="169"/>
        </w:trPr>
        <w:tc>
          <w:tcPr>
            <w:tcW w:w="8360" w:type="dxa"/>
            <w:vAlign w:val="bottom"/>
            <w:gridSpan w:val="3"/>
          </w:tcPr>
          <w:p>
            <w:pPr>
              <w:spacing w:after="0"/>
              <w:rPr>
                <w:sz w:val="20"/>
                <w:szCs w:val="20"/>
                <w:color w:val="auto"/>
              </w:rPr>
            </w:pPr>
            <w:r>
              <w:rPr>
                <w:rFonts w:ascii="Arial" w:cs="Arial" w:eastAsia="Arial" w:hAnsi="Arial"/>
                <w:sz w:val="13"/>
                <w:szCs w:val="13"/>
                <w:b w:val="1"/>
                <w:bCs w:val="1"/>
                <w:color w:val="auto"/>
              </w:rPr>
              <w:t>CONSOLIDATED BALANCE SHEET</w:t>
            </w:r>
          </w:p>
        </w:tc>
        <w:tc>
          <w:tcPr>
            <w:tcW w:w="10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9"/>
              </w:rPr>
              <w:t>June 30, 2005</w:t>
            </w:r>
          </w:p>
        </w:tc>
        <w:tc>
          <w:tcPr>
            <w:tcW w:w="38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December 31, 2004</w:t>
            </w:r>
          </w:p>
        </w:tc>
      </w:tr>
      <w:tr>
        <w:trPr>
          <w:trHeight w:val="93"/>
        </w:trPr>
        <w:tc>
          <w:tcPr>
            <w:tcW w:w="2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2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14"/>
        </w:trPr>
        <w:tc>
          <w:tcPr>
            <w:tcW w:w="8360" w:type="dxa"/>
            <w:vAlign w:val="bottom"/>
            <w:gridSpan w:val="3"/>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81,051</w:t>
            </w:r>
          </w:p>
        </w:tc>
        <w:tc>
          <w:tcPr>
            <w:tcW w:w="460" w:type="dxa"/>
            <w:vAlign w:val="bottom"/>
          </w:tcPr>
          <w:p>
            <w:pPr>
              <w:spacing w:after="0"/>
              <w:rPr>
                <w:sz w:val="24"/>
                <w:szCs w:val="24"/>
                <w:color w:val="auto"/>
              </w:rPr>
            </w:pPr>
          </w:p>
        </w:tc>
        <w:tc>
          <w:tcPr>
            <w:tcW w:w="5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80,970</w:t>
            </w:r>
          </w:p>
        </w:tc>
      </w:tr>
      <w:tr>
        <w:trPr>
          <w:trHeight w:val="211"/>
        </w:trPr>
        <w:tc>
          <w:tcPr>
            <w:tcW w:w="8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(1,669)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(625)</w:t>
            </w:r>
          </w:p>
        </w:tc>
      </w:tr>
      <w:tr>
        <w:trPr>
          <w:trHeight w:val="105"/>
        </w:trPr>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79,382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80,345</w:t>
            </w:r>
          </w:p>
        </w:tc>
      </w:tr>
      <w:tr>
        <w:trPr>
          <w:trHeight w:val="314"/>
        </w:trPr>
        <w:tc>
          <w:tcPr>
            <w:tcW w:w="836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2,278</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2,108</w:t>
            </w:r>
          </w:p>
        </w:tc>
      </w:tr>
      <w:tr>
        <w:trPr>
          <w:trHeight w:val="211"/>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583</w:t>
            </w:r>
          </w:p>
        </w:tc>
      </w:tr>
      <w:tr>
        <w:trPr>
          <w:trHeight w:val="216"/>
        </w:trPr>
        <w:tc>
          <w:tcPr>
            <w:tcW w:w="836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2,642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2,836</w:t>
            </w:r>
          </w:p>
        </w:tc>
      </w:tr>
      <w:tr>
        <w:trPr>
          <w:trHeight w:val="99"/>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85,083</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85,872</w:t>
            </w:r>
          </w:p>
        </w:tc>
      </w:tr>
      <w:tr>
        <w:trPr>
          <w:trHeight w:val="128"/>
        </w:trPr>
        <w:tc>
          <w:tcPr>
            <w:tcW w:w="2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2"/>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14"/>
        </w:trPr>
        <w:tc>
          <w:tcPr>
            <w:tcW w:w="8360" w:type="dxa"/>
            <w:vAlign w:val="bottom"/>
            <w:gridSpan w:val="3"/>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8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Mortgages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47,225</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47,225</w:t>
            </w:r>
          </w:p>
        </w:tc>
      </w:tr>
      <w:tr>
        <w:trPr>
          <w:trHeight w:val="216"/>
        </w:trPr>
        <w:tc>
          <w:tcPr>
            <w:tcW w:w="8360" w:type="dxa"/>
            <w:vAlign w:val="bottom"/>
            <w:gridSpan w:val="3"/>
          </w:tcPr>
          <w:p>
            <w:pPr>
              <w:ind w:left="42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6,117</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6,544</w:t>
            </w:r>
          </w:p>
        </w:tc>
      </w:tr>
      <w:tr>
        <w:trPr>
          <w:trHeight w:val="99"/>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53,342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53,769</w:t>
            </w:r>
          </w:p>
        </w:tc>
      </w:tr>
      <w:tr>
        <w:trPr>
          <w:trHeight w:val="312"/>
        </w:trPr>
        <w:tc>
          <w:tcPr>
            <w:tcW w:w="8360" w:type="dxa"/>
            <w:vAlign w:val="bottom"/>
            <w:gridSpan w:val="3"/>
          </w:tcPr>
          <w:p>
            <w:pPr>
              <w:spacing w:after="0"/>
              <w:rPr>
                <w:sz w:val="20"/>
                <w:szCs w:val="20"/>
                <w:color w:val="auto"/>
              </w:rPr>
            </w:pPr>
            <w:r>
              <w:rPr>
                <w:rFonts w:ascii="Arial" w:cs="Arial" w:eastAsia="Arial" w:hAnsi="Arial"/>
                <w:sz w:val="17"/>
                <w:szCs w:val="17"/>
                <w:color w:val="auto"/>
              </w:rPr>
              <w:t>Partners’ Capital</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31,741</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32,103</w:t>
            </w:r>
          </w:p>
        </w:tc>
      </w:tr>
      <w:tr>
        <w:trPr>
          <w:trHeight w:val="107"/>
        </w:trPr>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8"/>
        </w:trPr>
        <w:tc>
          <w:tcPr>
            <w:tcW w:w="2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83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LIABILITIES AND PARTNERS’ CAPITAL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85,083</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85,872</w:t>
            </w:r>
          </w:p>
        </w:tc>
      </w:tr>
      <w:tr>
        <w:trPr>
          <w:trHeight w:val="124"/>
        </w:trPr>
        <w:tc>
          <w:tcPr>
            <w:tcW w:w="2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-3702050</wp:posOffset>
            </wp:positionV>
            <wp:extent cx="12700"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-3702050</wp:posOffset>
            </wp:positionV>
            <wp:extent cx="2095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-3702050</wp:posOffset>
            </wp:positionV>
            <wp:extent cx="3746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6476365</wp:posOffset>
            </wp:positionH>
            <wp:positionV relativeFrom="paragraph">
              <wp:posOffset>-3702050</wp:posOffset>
            </wp:positionV>
            <wp:extent cx="76263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2635" cy="2921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-1534795</wp:posOffset>
            </wp:positionV>
            <wp:extent cx="12700"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-1534795</wp:posOffset>
            </wp:positionV>
            <wp:extent cx="2095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-1534795</wp:posOffset>
            </wp:positionV>
            <wp:extent cx="3746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6476365</wp:posOffset>
            </wp:positionH>
            <wp:positionV relativeFrom="paragraph">
              <wp:posOffset>-1534795</wp:posOffset>
            </wp:positionV>
            <wp:extent cx="76263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2635" cy="2921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-26670</wp:posOffset>
            </wp:positionV>
            <wp:extent cx="662940"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2940" cy="29210"/>
                    </a:xfrm>
                    <a:prstGeom prst="rect">
                      <a:avLst/>
                    </a:prstGeom>
                    <a:noFill/>
                  </pic:spPr>
                </pic:pic>
              </a:graphicData>
            </a:graphic>
          </wp:anchor>
        </w:drawing>
        <w:drawing>
          <wp:anchor simplePos="0" relativeHeight="251657728" behindDoc="1" locked="0" layoutInCell="0" allowOverlap="1">
            <wp:simplePos x="0" y="0"/>
            <wp:positionH relativeFrom="column">
              <wp:posOffset>6476365</wp:posOffset>
            </wp:positionH>
            <wp:positionV relativeFrom="paragraph">
              <wp:posOffset>-26670</wp:posOffset>
            </wp:positionV>
            <wp:extent cx="76263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2635" cy="2921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DEBT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7"/>
          </w:tcPr>
          <w:p>
            <w:pPr>
              <w:jc w:val="center"/>
              <w:ind w:left="174"/>
              <w:spacing w:after="0"/>
              <w:rPr>
                <w:sz w:val="20"/>
                <w:szCs w:val="20"/>
                <w:color w:val="auto"/>
              </w:rPr>
            </w:pPr>
            <w:r>
              <w:rPr>
                <w:rFonts w:ascii="Arial" w:cs="Arial" w:eastAsia="Arial" w:hAnsi="Arial"/>
                <w:sz w:val="13"/>
                <w:szCs w:val="13"/>
                <w:b w:val="1"/>
                <w:bCs w:val="1"/>
                <w:color w:val="auto"/>
                <w:w w:val="90"/>
              </w:rPr>
              <w:t>Interest Rate as of June 30,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Maturity</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w w:val="96"/>
              </w:rPr>
              <w:t>Balance</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bottom w:val="single" w:sz="8" w:color="auto"/>
            </w:tcBorders>
            <w:gridSpan w:val="2"/>
            <w:shd w:val="clear" w:color="auto" w:fill="CCEEFF"/>
          </w:tcPr>
          <w:p>
            <w:pPr>
              <w:spacing w:after="0" w:line="171" w:lineRule="exact"/>
              <w:rPr>
                <w:sz w:val="20"/>
                <w:szCs w:val="20"/>
                <w:color w:val="auto"/>
              </w:rPr>
            </w:pPr>
            <w:r>
              <w:rPr>
                <w:rFonts w:ascii="Arial" w:cs="Arial" w:eastAsia="Arial" w:hAnsi="Arial"/>
                <w:sz w:val="17"/>
                <w:szCs w:val="17"/>
                <w:b w:val="1"/>
                <w:bCs w:val="1"/>
                <w:color w:val="auto"/>
                <w:w w:val="89"/>
              </w:rPr>
              <w:t>Mortgage Loans</w:t>
            </w:r>
          </w:p>
        </w:tc>
        <w:tc>
          <w:tcPr>
            <w:tcW w:w="27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gridSpan w:val="2"/>
          </w:tcPr>
          <w:p>
            <w:pPr>
              <w:ind w:left="60"/>
              <w:spacing w:after="0"/>
              <w:rPr>
                <w:sz w:val="20"/>
                <w:szCs w:val="20"/>
                <w:color w:val="auto"/>
              </w:rPr>
            </w:pPr>
            <w:r>
              <w:rPr>
                <w:rFonts w:ascii="Arial" w:cs="Arial" w:eastAsia="Arial" w:hAnsi="Arial"/>
                <w:sz w:val="17"/>
                <w:szCs w:val="17"/>
                <w:b w:val="1"/>
                <w:bCs w:val="1"/>
                <w:i w:val="1"/>
                <w:iCs w:val="1"/>
                <w:color w:val="auto"/>
              </w:rPr>
              <w:t>Secured Fixed Rate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Campus Plaza</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12/01/09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ind w:left="500"/>
              <w:spacing w:after="0"/>
              <w:rPr>
                <w:sz w:val="20"/>
                <w:szCs w:val="20"/>
                <w:color w:val="auto"/>
              </w:rPr>
            </w:pPr>
            <w:r>
              <w:rPr>
                <w:rFonts w:ascii="Arial" w:cs="Arial" w:eastAsia="Arial" w:hAnsi="Arial"/>
                <w:sz w:val="17"/>
                <w:szCs w:val="17"/>
                <w:color w:val="auto"/>
                <w:w w:val="93"/>
              </w:rPr>
              <w:t>4.530% (a)</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gridSpan w:val="2"/>
          </w:tcPr>
          <w:p>
            <w:pPr>
              <w:ind w:left="60"/>
              <w:spacing w:after="0"/>
              <w:rPr>
                <w:sz w:val="20"/>
                <w:szCs w:val="20"/>
                <w:color w:val="auto"/>
              </w:rPr>
            </w:pPr>
            <w:r>
              <w:rPr>
                <w:rFonts w:ascii="Arial" w:cs="Arial" w:eastAsia="Arial" w:hAnsi="Arial"/>
                <w:sz w:val="17"/>
                <w:szCs w:val="17"/>
                <w:color w:val="auto"/>
              </w:rPr>
              <w:t>Pleasant Shops</w:t>
            </w:r>
          </w:p>
        </w:tc>
        <w:tc>
          <w:tcPr>
            <w:tcW w:w="2260" w:type="dxa"/>
            <w:vAlign w:val="bottom"/>
            <w:gridSpan w:val="4"/>
          </w:tcPr>
          <w:p>
            <w:pPr>
              <w:jc w:val="right"/>
              <w:spacing w:after="0"/>
              <w:rPr>
                <w:sz w:val="20"/>
                <w:szCs w:val="20"/>
                <w:color w:val="auto"/>
              </w:rPr>
            </w:pPr>
            <w:r>
              <w:rPr>
                <w:rFonts w:ascii="Arial" w:cs="Arial" w:eastAsia="Arial" w:hAnsi="Arial"/>
                <w:sz w:val="17"/>
                <w:szCs w:val="17"/>
                <w:color w:val="auto"/>
              </w:rPr>
              <w:t>12/01/09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5"/>
          </w:tcPr>
          <w:p>
            <w:pPr>
              <w:ind w:left="500"/>
              <w:spacing w:after="0"/>
              <w:rPr>
                <w:sz w:val="20"/>
                <w:szCs w:val="20"/>
                <w:color w:val="auto"/>
              </w:rPr>
            </w:pPr>
            <w:r>
              <w:rPr>
                <w:rFonts w:ascii="Arial" w:cs="Arial" w:eastAsia="Arial" w:hAnsi="Arial"/>
                <w:sz w:val="17"/>
                <w:szCs w:val="17"/>
                <w:color w:val="auto"/>
                <w:w w:val="93"/>
              </w:rPr>
              <w:t>4.530% (a)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12,400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Plaza del Mercado</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07/05/14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ind w:left="500"/>
              <w:spacing w:after="0"/>
              <w:rPr>
                <w:sz w:val="20"/>
                <w:szCs w:val="20"/>
                <w:color w:val="auto"/>
              </w:rPr>
            </w:pPr>
            <w:r>
              <w:rPr>
                <w:rFonts w:ascii="Arial" w:cs="Arial" w:eastAsia="Arial" w:hAnsi="Arial"/>
                <w:sz w:val="17"/>
                <w:szCs w:val="17"/>
                <w:color w:val="auto"/>
                <w:w w:val="93"/>
              </w:rPr>
              <w:t>5.770% (b)</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gridSpan w:val="2"/>
          </w:tcPr>
          <w:p>
            <w:pPr>
              <w:ind w:left="60"/>
              <w:spacing w:after="0"/>
              <w:rPr>
                <w:sz w:val="20"/>
                <w:szCs w:val="20"/>
                <w:color w:val="auto"/>
              </w:rPr>
            </w:pPr>
            <w:r>
              <w:rPr>
                <w:rFonts w:ascii="Arial" w:cs="Arial" w:eastAsia="Arial" w:hAnsi="Arial"/>
                <w:sz w:val="17"/>
                <w:szCs w:val="17"/>
                <w:color w:val="auto"/>
              </w:rPr>
              <w:t>Atlantic Plaza</w:t>
            </w:r>
          </w:p>
        </w:tc>
        <w:tc>
          <w:tcPr>
            <w:tcW w:w="2260" w:type="dxa"/>
            <w:vAlign w:val="bottom"/>
            <w:gridSpan w:val="4"/>
          </w:tcPr>
          <w:p>
            <w:pPr>
              <w:jc w:val="right"/>
              <w:spacing w:after="0"/>
              <w:rPr>
                <w:sz w:val="20"/>
                <w:szCs w:val="20"/>
                <w:color w:val="auto"/>
              </w:rPr>
            </w:pPr>
            <w:r>
              <w:rPr>
                <w:rFonts w:ascii="Arial" w:cs="Arial" w:eastAsia="Arial" w:hAnsi="Arial"/>
                <w:sz w:val="17"/>
                <w:szCs w:val="17"/>
                <w:color w:val="auto"/>
              </w:rPr>
              <w:t>12/01/14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5"/>
          </w:tcPr>
          <w:p>
            <w:pPr>
              <w:ind w:left="500"/>
              <w:spacing w:after="0"/>
              <w:rPr>
                <w:sz w:val="20"/>
                <w:szCs w:val="20"/>
                <w:color w:val="auto"/>
              </w:rPr>
            </w:pPr>
            <w:r>
              <w:rPr>
                <w:rFonts w:ascii="Arial" w:cs="Arial" w:eastAsia="Arial" w:hAnsi="Arial"/>
                <w:sz w:val="17"/>
                <w:szCs w:val="17"/>
                <w:color w:val="auto"/>
                <w:w w:val="93"/>
              </w:rPr>
              <w:t>5.120% (a)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10,500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480"/>
              <w:spacing w:after="0"/>
              <w:rPr>
                <w:sz w:val="20"/>
                <w:szCs w:val="20"/>
                <w:color w:val="auto"/>
              </w:rPr>
            </w:pPr>
            <w:r>
              <w:rPr>
                <w:rFonts w:ascii="Arial" w:cs="Arial" w:eastAsia="Arial" w:hAnsi="Arial"/>
                <w:sz w:val="17"/>
                <w:szCs w:val="17"/>
                <w:b w:val="1"/>
                <w:bCs w:val="1"/>
                <w:color w:val="auto"/>
              </w:rPr>
              <w:t>Total Fixed Rate Debt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47,225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5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DEBT MATURITIES</w:t>
            </w: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4500" w:type="dxa"/>
            <w:vAlign w:val="bottom"/>
            <w:gridSpan w:val="5"/>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500" w:type="dxa"/>
            <w:vAlign w:val="bottom"/>
            <w:gridSpan w:val="5"/>
          </w:tcPr>
          <w:p>
            <w:pPr>
              <w:spacing w:after="0"/>
              <w:rPr>
                <w:sz w:val="20"/>
                <w:szCs w:val="20"/>
                <w:color w:val="auto"/>
              </w:rPr>
            </w:pPr>
            <w:r>
              <w:rPr>
                <w:rFonts w:ascii="Arial" w:cs="Arial" w:eastAsia="Arial" w:hAnsi="Arial"/>
                <w:sz w:val="17"/>
                <w:szCs w:val="17"/>
                <w:color w:val="auto"/>
              </w:rPr>
              <w:t>(in thousands)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gridSpan w:val="3"/>
          </w:tcPr>
          <w:p>
            <w:pPr>
              <w:jc w:val="right"/>
              <w:ind w:right="21"/>
              <w:spacing w:after="0" w:line="144" w:lineRule="exact"/>
              <w:rPr>
                <w:sz w:val="20"/>
                <w:szCs w:val="20"/>
                <w:color w:val="auto"/>
              </w:rPr>
            </w:pPr>
            <w:r>
              <w:rPr>
                <w:rFonts w:ascii="Arial" w:cs="Arial" w:eastAsia="Arial" w:hAnsi="Arial"/>
                <w:sz w:val="13"/>
                <w:szCs w:val="13"/>
                <w:b w:val="1"/>
                <w:bCs w:val="1"/>
                <w:color w:val="auto"/>
              </w:rPr>
              <w:t>Scheduled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right"/>
              <w:ind w:right="420"/>
              <w:spacing w:after="0" w:line="144" w:lineRule="exact"/>
              <w:rPr>
                <w:sz w:val="20"/>
                <w:szCs w:val="20"/>
                <w:color w:val="auto"/>
              </w:rPr>
            </w:pPr>
            <w:r>
              <w:rPr>
                <w:rFonts w:ascii="Arial" w:cs="Arial" w:eastAsia="Arial" w:hAnsi="Arial"/>
                <w:sz w:val="13"/>
                <w:szCs w:val="13"/>
                <w:b w:val="1"/>
                <w:bCs w:val="1"/>
                <w:color w:val="auto"/>
              </w:rPr>
              <w:t>Percent of</w:t>
            </w:r>
          </w:p>
        </w:tc>
        <w:tc>
          <w:tcPr>
            <w:tcW w:w="240" w:type="dxa"/>
            <w:vAlign w:val="bottom"/>
          </w:tcPr>
          <w:p>
            <w:pPr>
              <w:spacing w:after="0"/>
              <w:rPr>
                <w:sz w:val="12"/>
                <w:szCs w:val="12"/>
                <w:color w:val="auto"/>
              </w:rPr>
            </w:pPr>
          </w:p>
        </w:tc>
        <w:tc>
          <w:tcPr>
            <w:tcW w:w="10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9"/>
        </w:trPr>
        <w:tc>
          <w:tcPr>
            <w:tcW w:w="450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14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Amortization</w:t>
            </w:r>
          </w:p>
        </w:tc>
        <w:tc>
          <w:tcPr>
            <w:tcW w:w="11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Maturities</w:t>
            </w:r>
          </w:p>
        </w:tc>
        <w:tc>
          <w:tcPr>
            <w:tcW w:w="200" w:type="dxa"/>
            <w:vAlign w:val="bottom"/>
          </w:tcPr>
          <w:p>
            <w:pPr>
              <w:spacing w:after="0"/>
              <w:rPr>
                <w:sz w:val="14"/>
                <w:szCs w:val="14"/>
                <w:color w:val="auto"/>
              </w:rPr>
            </w:pPr>
          </w:p>
        </w:tc>
        <w:tc>
          <w:tcPr>
            <w:tcW w:w="88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96"/>
              </w:rPr>
              <w:t>Debt Maturing</w:t>
            </w:r>
          </w:p>
        </w:tc>
        <w:tc>
          <w:tcPr>
            <w:tcW w:w="24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7"/>
                <w:szCs w:val="17"/>
                <w:color w:val="auto"/>
              </w:rPr>
              <w:t>2006</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7"/>
                <w:szCs w:val="17"/>
                <w:color w:val="auto"/>
              </w:rPr>
              <w:t>2008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7"/>
                <w:szCs w:val="17"/>
                <w:color w:val="auto"/>
              </w:rPr>
              <w:t>175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w:t>
            </w:r>
          </w:p>
        </w:tc>
        <w:tc>
          <w:tcPr>
            <w:tcW w:w="780" w:type="dxa"/>
            <w:vAlign w:val="bottom"/>
            <w:gridSpan w:val="3"/>
          </w:tcPr>
          <w:p>
            <w:pPr>
              <w:jc w:val="right"/>
              <w:ind w:right="20"/>
              <w:spacing w:after="0"/>
              <w:rPr>
                <w:sz w:val="20"/>
                <w:szCs w:val="20"/>
                <w:color w:val="auto"/>
              </w:rPr>
            </w:pPr>
            <w:r>
              <w:rPr>
                <w:rFonts w:ascii="Arial" w:cs="Arial" w:eastAsia="Arial" w:hAnsi="Arial"/>
                <w:sz w:val="17"/>
                <w:szCs w:val="17"/>
                <w:color w:val="auto"/>
              </w:rPr>
              <w:t>175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23,400</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23,585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7"/>
                <w:szCs w:val="17"/>
                <w:color w:val="auto"/>
              </w:rPr>
              <w:t>2010</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7"/>
                <w:szCs w:val="17"/>
                <w:color w:val="auto"/>
              </w:rPr>
              <w:t>196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w:t>
            </w:r>
          </w:p>
        </w:tc>
        <w:tc>
          <w:tcPr>
            <w:tcW w:w="780" w:type="dxa"/>
            <w:vAlign w:val="bottom"/>
            <w:gridSpan w:val="3"/>
          </w:tcPr>
          <w:p>
            <w:pPr>
              <w:jc w:val="right"/>
              <w:ind w:right="20"/>
              <w:spacing w:after="0"/>
              <w:rPr>
                <w:sz w:val="20"/>
                <w:szCs w:val="20"/>
                <w:color w:val="auto"/>
              </w:rPr>
            </w:pPr>
            <w:r>
              <w:rPr>
                <w:rFonts w:ascii="Arial" w:cs="Arial" w:eastAsia="Arial" w:hAnsi="Arial"/>
                <w:sz w:val="17"/>
                <w:szCs w:val="17"/>
                <w:color w:val="auto"/>
              </w:rPr>
              <w:t>196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2011</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7"/>
                <w:szCs w:val="17"/>
                <w:color w:val="auto"/>
              </w:rPr>
              <w:t>2012</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7"/>
                <w:szCs w:val="17"/>
                <w:color w:val="auto"/>
              </w:rPr>
              <w:t>220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w:t>
            </w:r>
          </w:p>
        </w:tc>
        <w:tc>
          <w:tcPr>
            <w:tcW w:w="780" w:type="dxa"/>
            <w:vAlign w:val="bottom"/>
            <w:gridSpan w:val="3"/>
          </w:tcPr>
          <w:p>
            <w:pPr>
              <w:jc w:val="right"/>
              <w:ind w:right="20"/>
              <w:spacing w:after="0"/>
              <w:rPr>
                <w:sz w:val="20"/>
                <w:szCs w:val="20"/>
                <w:color w:val="auto"/>
              </w:rPr>
            </w:pPr>
            <w:r>
              <w:rPr>
                <w:rFonts w:ascii="Arial" w:cs="Arial" w:eastAsia="Arial" w:hAnsi="Arial"/>
                <w:sz w:val="17"/>
                <w:szCs w:val="17"/>
                <w:color w:val="auto"/>
              </w:rPr>
              <w:t>220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10"/>
        </w:trPr>
        <w:tc>
          <w:tcPr>
            <w:tcW w:w="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20"/>
                <w:szCs w:val="20"/>
                <w:color w:val="auto"/>
              </w:rPr>
            </w:pPr>
            <w:r>
              <w:rPr>
                <w:rFonts w:ascii="Arial" w:cs="Arial" w:eastAsia="Arial" w:hAnsi="Arial"/>
                <w:sz w:val="17"/>
                <w:szCs w:val="17"/>
                <w:color w:val="auto"/>
              </w:rPr>
              <w:t>2014</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Arial" w:cs="Arial" w:eastAsia="Arial" w:hAnsi="Arial"/>
                <w:sz w:val="17"/>
                <w:szCs w:val="17"/>
                <w:color w:val="auto"/>
              </w:rPr>
              <w:t>142</w:t>
            </w:r>
          </w:p>
        </w:tc>
        <w:tc>
          <w:tcPr>
            <w:tcW w:w="1140" w:type="dxa"/>
            <w:vAlign w:val="bottom"/>
            <w:gridSpan w:val="5"/>
          </w:tcPr>
          <w:p>
            <w:pPr>
              <w:jc w:val="right"/>
              <w:ind w:right="180"/>
              <w:spacing w:after="0"/>
              <w:rPr>
                <w:sz w:val="20"/>
                <w:szCs w:val="20"/>
                <w:color w:val="auto"/>
              </w:rPr>
            </w:pPr>
            <w:r>
              <w:rPr>
                <w:rFonts w:ascii="Arial" w:cs="Arial" w:eastAsia="Arial" w:hAnsi="Arial"/>
                <w:sz w:val="17"/>
                <w:szCs w:val="17"/>
                <w:color w:val="auto"/>
              </w:rPr>
              <w:t>22,396</w:t>
            </w:r>
          </w:p>
        </w:tc>
        <w:tc>
          <w:tcPr>
            <w:tcW w:w="780" w:type="dxa"/>
            <w:vAlign w:val="bottom"/>
            <w:gridSpan w:val="3"/>
          </w:tcPr>
          <w:p>
            <w:pPr>
              <w:jc w:val="right"/>
              <w:ind w:right="20"/>
              <w:spacing w:after="0"/>
              <w:rPr>
                <w:sz w:val="20"/>
                <w:szCs w:val="20"/>
                <w:color w:val="auto"/>
              </w:rPr>
            </w:pPr>
            <w:r>
              <w:rPr>
                <w:rFonts w:ascii="Arial" w:cs="Arial" w:eastAsia="Arial" w:hAnsi="Arial"/>
                <w:sz w:val="17"/>
                <w:szCs w:val="17"/>
                <w:color w:val="auto"/>
              </w:rPr>
              <w:t>22,538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99"/>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3"/>
              </w:rPr>
              <w:t>$1,429</w:t>
            </w: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$ 45,796</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$47,225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6384925</wp:posOffset>
            </wp:positionH>
            <wp:positionV relativeFrom="paragraph">
              <wp:posOffset>-2893695</wp:posOffset>
            </wp:positionV>
            <wp:extent cx="51244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2445" cy="2921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-168275</wp:posOffset>
            </wp:positionV>
            <wp:extent cx="251269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1269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Loan is interest only until July 5, 2007, after which principal and interest payments are due based on a 30-year amortization schedule.</w:t>
      </w:r>
    </w:p>
    <w:p>
      <w:pPr>
        <w:sectPr>
          <w:pgSz w:w="11900" w:h="16838" w:orient="portrait"/>
          <w:cols w:equalWidth="0" w:num="1">
            <w:col w:w="11420"/>
          </w:cols>
          <w:pgMar w:left="240" w:top="27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Mortgage or</w:t>
            </w:r>
          </w:p>
        </w:tc>
        <w:tc>
          <w:tcPr>
            <w:tcW w:w="1920" w:type="dxa"/>
            <w:vAlign w:val="bottom"/>
            <w:gridSpan w:val="3"/>
          </w:tcPr>
          <w:p>
            <w:pPr>
              <w:spacing w:after="0"/>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4"/>
        </w:trPr>
        <w:tc>
          <w:tcPr>
            <w:tcW w:w="6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Property</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Year</w:t>
            </w:r>
          </w:p>
        </w:tc>
        <w:tc>
          <w:tcPr>
            <w:tcW w:w="40" w:type="dxa"/>
            <w:vAlign w:val="bottom"/>
          </w:tcPr>
          <w:p>
            <w:pPr>
              <w:spacing w:after="0"/>
              <w:rPr>
                <w:sz w:val="12"/>
                <w:szCs w:val="12"/>
                <w:color w:val="auto"/>
              </w:rPr>
            </w:pPr>
          </w:p>
        </w:tc>
        <w:tc>
          <w:tcPr>
            <w:tcW w:w="84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Total</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0"/>
              </w:rPr>
              <w:t>Capital Lease</w:t>
            </w:r>
          </w:p>
        </w:tc>
        <w:tc>
          <w:tcPr>
            <w:tcW w:w="19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Anchor</w:t>
            </w:r>
          </w:p>
        </w:tc>
        <w:tc>
          <w:tcPr>
            <w:tcW w:w="40" w:type="dxa"/>
            <w:vAlign w:val="bottom"/>
          </w:tcPr>
          <w:p>
            <w:pPr>
              <w:spacing w:after="0"/>
              <w:rPr>
                <w:sz w:val="12"/>
                <w:szCs w:val="12"/>
                <w:color w:val="auto"/>
              </w:rPr>
            </w:pPr>
          </w:p>
        </w:tc>
        <w:tc>
          <w:tcPr>
            <w:tcW w:w="1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Other Principal</w:t>
            </w:r>
          </w:p>
        </w:tc>
      </w:tr>
      <w:tr>
        <w:trPr>
          <w:trHeight w:val="169"/>
        </w:trPr>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2"/>
          </w:tcPr>
          <w:p>
            <w:pPr>
              <w:ind w:left="1040"/>
              <w:spacing w:after="0"/>
              <w:rPr>
                <w:sz w:val="20"/>
                <w:szCs w:val="20"/>
                <w:color w:val="auto"/>
              </w:rPr>
            </w:pPr>
            <w:r>
              <w:rPr>
                <w:rFonts w:ascii="Arial" w:cs="Arial" w:eastAsia="Arial" w:hAnsi="Arial"/>
                <w:sz w:val="13"/>
                <w:szCs w:val="13"/>
                <w:b w:val="1"/>
                <w:bCs w:val="1"/>
                <w:color w:val="auto"/>
              </w:rPr>
              <w:t>MSA Description</w:t>
            </w: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8"/>
              </w:rPr>
              <w:t>Acquired</w:t>
            </w:r>
          </w:p>
        </w:tc>
        <w:tc>
          <w:tcPr>
            <w:tcW w:w="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w:t>
            </w:r>
          </w:p>
        </w:tc>
        <w:tc>
          <w:tcPr>
            <w:tcW w:w="620" w:type="dxa"/>
            <w:vAlign w:val="bottom"/>
            <w:gridSpan w:val="2"/>
          </w:tcPr>
          <w:p>
            <w:pPr>
              <w:ind w:left="140"/>
              <w:spacing w:after="0"/>
              <w:rPr>
                <w:sz w:val="20"/>
                <w:szCs w:val="20"/>
                <w:color w:val="auto"/>
              </w:rPr>
            </w:pPr>
            <w:r>
              <w:rPr>
                <w:rFonts w:ascii="Arial" w:cs="Arial" w:eastAsia="Arial" w:hAnsi="Arial"/>
                <w:sz w:val="13"/>
                <w:szCs w:val="13"/>
                <w:b w:val="1"/>
                <w:bCs w:val="1"/>
                <w:color w:val="auto"/>
              </w:rPr>
              <w:t>GLA</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 Leased</w:t>
            </w:r>
          </w:p>
        </w:tc>
        <w:tc>
          <w:tcPr>
            <w:tcW w:w="8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Obligation</w:t>
            </w:r>
          </w:p>
        </w:tc>
        <w:tc>
          <w:tcPr>
            <w:tcW w:w="1920" w:type="dxa"/>
            <w:vAlign w:val="bottom"/>
            <w:gridSpan w:val="3"/>
          </w:tcPr>
          <w:p>
            <w:pPr>
              <w:spacing w:after="0"/>
              <w:rPr>
                <w:sz w:val="20"/>
                <w:szCs w:val="20"/>
                <w:color w:val="auto"/>
              </w:rPr>
            </w:pPr>
            <w:r>
              <w:rPr>
                <w:rFonts w:ascii="Arial" w:cs="Arial" w:eastAsia="Arial" w:hAnsi="Arial"/>
                <w:sz w:val="13"/>
                <w:szCs w:val="13"/>
                <w:b w:val="1"/>
                <w:bCs w:val="1"/>
                <w:color w:val="auto"/>
              </w:rPr>
              <w:t>GLA (1)   Grocery Anchor (1)</w:t>
            </w:r>
          </w:p>
        </w:tc>
        <w:tc>
          <w:tcPr>
            <w:tcW w:w="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8"/>
              </w:rPr>
              <w:t>Tenants</w:t>
            </w:r>
          </w:p>
        </w:tc>
      </w:tr>
      <w:tr>
        <w:trPr>
          <w:trHeight w:val="93"/>
        </w:trPr>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242"/>
        </w:trPr>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7"/>
              </w:rPr>
              <w:t>(in thousands)</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7"/>
              </w:rPr>
              <w:t>(in thousands)</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171"/>
        </w:trPr>
        <w:tc>
          <w:tcPr>
            <w:tcW w:w="620" w:type="dxa"/>
            <w:vAlign w:val="bottom"/>
            <w:gridSpan w:val="3"/>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East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209"/>
        </w:trPr>
        <w:tc>
          <w:tcPr>
            <w:tcW w:w="520" w:type="dxa"/>
            <w:vAlign w:val="bottom"/>
            <w:tcBorders>
              <w:bottom w:val="single" w:sz="8" w:color="auto"/>
            </w:tcBorders>
            <w:gridSpan w:val="2"/>
            <w:shd w:val="clear" w:color="auto" w:fill="CCEEFF"/>
          </w:tcPr>
          <w:p>
            <w:pPr>
              <w:spacing w:after="0" w:line="190" w:lineRule="exact"/>
              <w:rPr>
                <w:sz w:val="20"/>
                <w:szCs w:val="20"/>
                <w:color w:val="auto"/>
              </w:rPr>
            </w:pPr>
            <w:r>
              <w:rPr>
                <w:rFonts w:ascii="Arial" w:cs="Arial" w:eastAsia="Arial" w:hAnsi="Arial"/>
                <w:sz w:val="17"/>
                <w:szCs w:val="17"/>
                <w:b w:val="1"/>
                <w:bCs w:val="1"/>
                <w:color w:val="auto"/>
                <w:w w:val="86"/>
              </w:rPr>
              <w:t>Region</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85"/>
        </w:trPr>
        <w:tc>
          <w:tcPr>
            <w:tcW w:w="4240" w:type="dxa"/>
            <w:vAlign w:val="bottom"/>
            <w:gridSpan w:val="7"/>
          </w:tcPr>
          <w:p>
            <w:pPr>
              <w:spacing w:after="0"/>
              <w:rPr>
                <w:sz w:val="20"/>
                <w:szCs w:val="20"/>
                <w:color w:val="auto"/>
              </w:rPr>
            </w:pPr>
            <w:r>
              <w:rPr>
                <w:rFonts w:ascii="Arial" w:cs="Arial" w:eastAsia="Arial" w:hAnsi="Arial"/>
                <w:sz w:val="17"/>
                <w:szCs w:val="17"/>
                <w:b w:val="1"/>
                <w:bCs w:val="1"/>
                <w:color w:val="auto"/>
              </w:rPr>
              <w:t>Washington Metropolitan Area</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1"/>
        </w:trPr>
        <w:tc>
          <w:tcPr>
            <w:tcW w:w="6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Plaza</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0"/>
        </w:trPr>
        <w:tc>
          <w:tcPr>
            <w:tcW w:w="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del</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9"/>
        </w:trPr>
        <w:tc>
          <w:tcPr>
            <w:tcW w:w="4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Mercado Washington, DC-MD-VA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21,614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13,325</w:t>
            </w:r>
          </w:p>
        </w:tc>
        <w:tc>
          <w:tcPr>
            <w:tcW w:w="1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25,000 Giant Food</w:t>
            </w: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r>
      <w:tr>
        <w:trPr>
          <w:trHeight w:val="105"/>
        </w:trPr>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98"/>
        </w:trPr>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0"/>
        </w:trPr>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60"/>
              <w:spacing w:after="0"/>
              <w:rPr>
                <w:sz w:val="20"/>
                <w:szCs w:val="20"/>
                <w:color w:val="auto"/>
              </w:rPr>
            </w:pPr>
            <w:r>
              <w:rPr>
                <w:rFonts w:ascii="Arial" w:cs="Arial" w:eastAsia="Arial" w:hAnsi="Arial"/>
                <w:sz w:val="17"/>
                <w:szCs w:val="17"/>
                <w:b w:val="1"/>
                <w:bCs w:val="1"/>
                <w:color w:val="auto"/>
              </w:rPr>
              <w:t>Total Washington Metropolitan Area</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21,614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76"/>
        </w:trPr>
        <w:tc>
          <w:tcPr>
            <w:tcW w:w="620" w:type="dxa"/>
            <w:vAlign w:val="bottom"/>
            <w:gridSpan w:val="3"/>
          </w:tcPr>
          <w:p>
            <w:pPr>
              <w:spacing w:after="0"/>
              <w:rPr>
                <w:sz w:val="20"/>
                <w:szCs w:val="20"/>
                <w:color w:val="auto"/>
              </w:rPr>
            </w:pPr>
            <w:r>
              <w:rPr>
                <w:rFonts w:ascii="Arial" w:cs="Arial" w:eastAsia="Arial" w:hAnsi="Arial"/>
                <w:sz w:val="17"/>
                <w:szCs w:val="17"/>
                <w:b w:val="1"/>
                <w:bCs w:val="1"/>
                <w:color w:val="auto"/>
              </w:rPr>
              <w:t>New</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0"/>
        </w:trPr>
        <w:tc>
          <w:tcPr>
            <w:tcW w:w="6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7"/>
                <w:szCs w:val="17"/>
                <w:b w:val="1"/>
                <w:bCs w:val="1"/>
                <w:color w:val="auto"/>
                <w:w w:val="89"/>
              </w:rPr>
              <w:t>England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1"/>
        </w:trPr>
        <w:tc>
          <w:tcPr>
            <w:tcW w:w="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Atlantic</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9"/>
        </w:trPr>
        <w:tc>
          <w:tcPr>
            <w:tcW w:w="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Plaza</w:t>
            </w:r>
          </w:p>
        </w:tc>
        <w:tc>
          <w:tcPr>
            <w:tcW w:w="362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w w:val="93"/>
              </w:rPr>
              <w:t>Boston-Worcester-Lawrence-Lowell-Brockton, 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15,828 123,000</w:t>
            </w: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10,500</w:t>
            </w:r>
          </w:p>
        </w:tc>
        <w:tc>
          <w:tcPr>
            <w:tcW w:w="36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63,000 Shaw’s Supermarket Sears</w:t>
            </w:r>
          </w:p>
        </w:tc>
      </w:tr>
      <w:tr>
        <w:trPr>
          <w:trHeight w:val="201"/>
        </w:trPr>
        <w:tc>
          <w:tcPr>
            <w:tcW w:w="620" w:type="dxa"/>
            <w:vAlign w:val="bottom"/>
            <w:gridSpan w:val="3"/>
          </w:tcPr>
          <w:p>
            <w:pPr>
              <w:spacing w:after="0"/>
              <w:rPr>
                <w:sz w:val="20"/>
                <w:szCs w:val="20"/>
                <w:color w:val="auto"/>
              </w:rPr>
            </w:pPr>
            <w:r>
              <w:rPr>
                <w:rFonts w:ascii="Arial" w:cs="Arial" w:eastAsia="Arial" w:hAnsi="Arial"/>
                <w:sz w:val="17"/>
                <w:szCs w:val="17"/>
                <w:color w:val="auto"/>
                <w:w w:val="94"/>
              </w:rPr>
              <w:t>Campus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7"/>
        </w:trPr>
        <w:tc>
          <w:tcPr>
            <w:tcW w:w="620" w:type="dxa"/>
            <w:vAlign w:val="bottom"/>
            <w:gridSpan w:val="3"/>
          </w:tcPr>
          <w:p>
            <w:pPr>
              <w:spacing w:after="0"/>
              <w:rPr>
                <w:sz w:val="20"/>
                <w:szCs w:val="20"/>
                <w:color w:val="auto"/>
              </w:rPr>
            </w:pPr>
            <w:r>
              <w:rPr>
                <w:rFonts w:ascii="Arial" w:cs="Arial" w:eastAsia="Arial" w:hAnsi="Arial"/>
                <w:sz w:val="17"/>
                <w:szCs w:val="17"/>
                <w:color w:val="auto"/>
              </w:rPr>
              <w:t>Plaza</w:t>
            </w:r>
          </w:p>
        </w:tc>
        <w:tc>
          <w:tcPr>
            <w:tcW w:w="3620" w:type="dxa"/>
            <w:vAlign w:val="bottom"/>
            <w:gridSpan w:val="4"/>
          </w:tcPr>
          <w:p>
            <w:pPr>
              <w:ind w:left="60"/>
              <w:spacing w:after="0"/>
              <w:rPr>
                <w:sz w:val="20"/>
                <w:szCs w:val="20"/>
                <w:color w:val="auto"/>
              </w:rPr>
            </w:pPr>
            <w:r>
              <w:rPr>
                <w:rFonts w:ascii="Arial" w:cs="Arial" w:eastAsia="Arial" w:hAnsi="Arial"/>
                <w:sz w:val="17"/>
                <w:szCs w:val="17"/>
                <w:color w:val="auto"/>
                <w:w w:val="93"/>
              </w:rPr>
              <w:t>Boston-Worcester-Lawrence-Lowell-Brockton, MA</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2004</w:t>
            </w:r>
          </w:p>
        </w:tc>
        <w:tc>
          <w:tcPr>
            <w:tcW w:w="1500" w:type="dxa"/>
            <w:vAlign w:val="bottom"/>
            <w:gridSpan w:val="5"/>
          </w:tcPr>
          <w:p>
            <w:pPr>
              <w:jc w:val="right"/>
              <w:ind w:right="40"/>
              <w:spacing w:after="0"/>
              <w:rPr>
                <w:sz w:val="20"/>
                <w:szCs w:val="20"/>
                <w:color w:val="auto"/>
              </w:rPr>
            </w:pPr>
            <w:r>
              <w:rPr>
                <w:rFonts w:ascii="Arial" w:cs="Arial" w:eastAsia="Arial" w:hAnsi="Arial"/>
                <w:sz w:val="17"/>
                <w:szCs w:val="17"/>
                <w:color w:val="auto"/>
              </w:rPr>
              <w:t>22,424 117,000</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99%</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11,000</w:t>
            </w:r>
          </w:p>
        </w:tc>
        <w:tc>
          <w:tcPr>
            <w:tcW w:w="1920" w:type="dxa"/>
            <w:vAlign w:val="bottom"/>
            <w:gridSpan w:val="3"/>
          </w:tcPr>
          <w:p>
            <w:pPr>
              <w:spacing w:after="0"/>
              <w:rPr>
                <w:sz w:val="20"/>
                <w:szCs w:val="20"/>
                <w:color w:val="auto"/>
              </w:rPr>
            </w:pPr>
            <w:r>
              <w:rPr>
                <w:rFonts w:ascii="Arial" w:cs="Arial" w:eastAsia="Arial" w:hAnsi="Arial"/>
                <w:sz w:val="17"/>
                <w:szCs w:val="17"/>
                <w:color w:val="auto"/>
              </w:rPr>
              <w:t>46,000 Roche Brothers</w:t>
            </w:r>
          </w:p>
        </w:tc>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w w:val="92"/>
              </w:rPr>
              <w:t>Burlington Coat Factory</w:t>
            </w:r>
          </w:p>
        </w:tc>
      </w:tr>
      <w:tr>
        <w:trPr>
          <w:trHeight w:val="203"/>
        </w:trPr>
        <w:tc>
          <w:tcPr>
            <w:tcW w:w="62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0"/>
              </w:rPr>
              <w:t>Pleasant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9"/>
        </w:trPr>
        <w:tc>
          <w:tcPr>
            <w:tcW w:w="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Shops</w:t>
            </w:r>
          </w:p>
        </w:tc>
        <w:tc>
          <w:tcPr>
            <w:tcW w:w="362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w w:val="93"/>
              </w:rPr>
              <w:t>Boston-Worcester-Lawrence-Lowell-Brockton, 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16,222 130,000</w:t>
            </w: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12,400</w:t>
            </w:r>
          </w:p>
        </w:tc>
        <w:tc>
          <w:tcPr>
            <w:tcW w:w="1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38,000 Foodmaster</w:t>
            </w: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Marshalls</w:t>
            </w:r>
          </w:p>
        </w:tc>
      </w:tr>
      <w:tr>
        <w:trPr>
          <w:trHeight w:val="105"/>
        </w:trPr>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98"/>
        </w:trPr>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0"/>
        </w:trPr>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ind w:left="60"/>
              <w:spacing w:after="0"/>
              <w:rPr>
                <w:sz w:val="20"/>
                <w:szCs w:val="20"/>
                <w:color w:val="auto"/>
              </w:rPr>
            </w:pPr>
            <w:r>
              <w:rPr>
                <w:rFonts w:ascii="Arial" w:cs="Arial" w:eastAsia="Arial" w:hAnsi="Arial"/>
                <w:sz w:val="17"/>
                <w:szCs w:val="17"/>
                <w:b w:val="1"/>
                <w:bCs w:val="1"/>
                <w:color w:val="auto"/>
              </w:rPr>
              <w:t>Total New England</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54,474 370,000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31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4"/>
          </w:tcPr>
          <w:p>
            <w:pPr>
              <w:ind w:left="60"/>
              <w:spacing w:after="0"/>
              <w:rPr>
                <w:sz w:val="20"/>
                <w:szCs w:val="20"/>
                <w:color w:val="auto"/>
              </w:rPr>
            </w:pPr>
            <w:r>
              <w:rPr>
                <w:rFonts w:ascii="Arial" w:cs="Arial" w:eastAsia="Arial" w:hAnsi="Arial"/>
                <w:sz w:val="17"/>
                <w:szCs w:val="17"/>
                <w:b w:val="1"/>
                <w:bCs w:val="1"/>
                <w:color w:val="auto"/>
              </w:rPr>
              <w:t>Total East Region</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Arial" w:cs="Arial" w:eastAsia="Arial" w:hAnsi="Arial"/>
                <w:sz w:val="17"/>
                <w:szCs w:val="17"/>
                <w:color w:val="auto"/>
              </w:rPr>
              <w:t>76,088 466,000</w:t>
            </w:r>
          </w:p>
        </w:tc>
        <w:tc>
          <w:tcPr>
            <w:tcW w:w="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7"/>
        </w:trPr>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98"/>
        </w:trPr>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0"/>
        </w:trPr>
        <w:tc>
          <w:tcPr>
            <w:tcW w:w="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76,088 466,000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47,225</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05"/>
        </w:trPr>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460" w:hanging="455"/>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ectPr>
          <w:pgSz w:w="11900" w:h="16838" w:orient="portrait"/>
          <w:cols w:equalWidth="0" w:num="1">
            <w:col w:w="11520"/>
          </w:cols>
          <w:pgMar w:left="240" w:top="271" w:right="1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71385" cy="27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Glossary of Terms</w:t>
      </w:r>
    </w:p>
    <w:p>
      <w:pPr>
        <w:spacing w:after="0" w:line="15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 Adjusted EBITDA is a non-GAAP measure that means net income or loss plus interest expense, income taxes, depreciation and amortization;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adjusted for gain or loss on sale of assets and impairment provisions.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six months ended June 30, 2005 and 2004 is as follows:</w:t>
      </w:r>
    </w:p>
    <w:p>
      <w:pPr>
        <w:spacing w:after="0" w:line="115" w:lineRule="exact"/>
        <w:rPr>
          <w:sz w:val="20"/>
          <w:szCs w:val="20"/>
          <w:color w:val="auto"/>
        </w:rPr>
      </w:pPr>
    </w:p>
    <w:p>
      <w:pPr>
        <w:jc w:val="center"/>
        <w:ind w:left="9680"/>
        <w:spacing w:after="0"/>
        <w:rPr>
          <w:sz w:val="20"/>
          <w:szCs w:val="20"/>
          <w:color w:val="auto"/>
        </w:rPr>
      </w:pPr>
      <w:r>
        <w:rPr>
          <w:rFonts w:ascii="Arial" w:cs="Arial" w:eastAsia="Arial" w:hAnsi="Arial"/>
          <w:sz w:val="13"/>
          <w:szCs w:val="13"/>
          <w:b w:val="1"/>
          <w:bCs w:val="1"/>
          <w:color w:val="auto"/>
        </w:rPr>
        <w:t>For the Six Months</w:t>
      </w:r>
    </w:p>
    <w:p>
      <w:pPr>
        <w:spacing w:after="0" w:line="9" w:lineRule="exact"/>
        <w:rPr>
          <w:sz w:val="20"/>
          <w:szCs w:val="20"/>
          <w:color w:val="auto"/>
        </w:rPr>
      </w:pPr>
    </w:p>
    <w:p>
      <w:pPr>
        <w:jc w:val="center"/>
        <w:ind w:left="9680"/>
        <w:spacing w:after="0"/>
        <w:rPr>
          <w:sz w:val="20"/>
          <w:szCs w:val="20"/>
          <w:color w:val="auto"/>
        </w:rPr>
      </w:pPr>
      <w:r>
        <w:rPr>
          <w:rFonts w:ascii="Arial" w:cs="Arial" w:eastAsia="Arial" w:hAnsi="Arial"/>
          <w:sz w:val="13"/>
          <w:szCs w:val="13"/>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62865</wp:posOffset>
            </wp:positionV>
            <wp:extent cx="10166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(in thousands)</w:t>
            </w:r>
          </w:p>
        </w:tc>
      </w:tr>
      <w:tr>
        <w:trPr>
          <w:trHeight w:val="169"/>
        </w:trPr>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3"/>
                <w:szCs w:val="13"/>
                <w:b w:val="1"/>
                <w:bCs w:val="1"/>
                <w:color w:val="auto"/>
              </w:rPr>
              <w:t>2005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4"/>
                <w:szCs w:val="14"/>
                <w:color w:val="auto"/>
              </w:rPr>
            </w:pPr>
          </w:p>
        </w:tc>
      </w:tr>
      <w:tr>
        <w:trPr>
          <w:trHeight w:val="93"/>
        </w:trPr>
        <w:tc>
          <w:tcPr>
            <w:tcW w:w="9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43,578</w:t>
            </w:r>
          </w:p>
        </w:tc>
      </w:tr>
      <w:tr>
        <w:trPr>
          <w:trHeight w:val="210"/>
        </w:trPr>
        <w:tc>
          <w:tcPr>
            <w:tcW w:w="97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45,587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43,858</w:t>
            </w: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42,710</w:t>
            </w:r>
          </w:p>
        </w:tc>
      </w:tr>
      <w:tr>
        <w:trPr>
          <w:trHeight w:val="216"/>
        </w:trPr>
        <w:tc>
          <w:tcPr>
            <w:tcW w:w="9760" w:type="dxa"/>
            <w:vAlign w:val="bottom"/>
          </w:tcPr>
          <w:p>
            <w:pPr>
              <w:spacing w:after="0"/>
              <w:rPr>
                <w:sz w:val="20"/>
                <w:szCs w:val="20"/>
                <w:color w:val="auto"/>
              </w:rPr>
            </w:pPr>
            <w:r>
              <w:rPr>
                <w:rFonts w:ascii="Arial" w:cs="Arial" w:eastAsia="Arial" w:hAnsi="Arial"/>
                <w:sz w:val="17"/>
                <w:szCs w:val="17"/>
                <w:color w:val="auto"/>
              </w:rPr>
              <w:t>Other interest income</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(1,693)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(662)</w:t>
            </w:r>
          </w:p>
        </w:tc>
      </w:tr>
      <w:tr>
        <w:trPr>
          <w:trHeight w:val="99"/>
        </w:trPr>
        <w:tc>
          <w:tcPr>
            <w:tcW w:w="9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136,588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129,484</w:t>
            </w:r>
          </w:p>
        </w:tc>
      </w:tr>
      <w:tr>
        <w:trPr>
          <w:trHeight w:val="216"/>
        </w:trPr>
        <w:tc>
          <w:tcPr>
            <w:tcW w:w="976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(7,884)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(8,334)</w:t>
            </w:r>
          </w:p>
        </w:tc>
      </w:tr>
      <w:tr>
        <w:trPr>
          <w:trHeight w:val="99"/>
        </w:trPr>
        <w:tc>
          <w:tcPr>
            <w:tcW w:w="9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128,704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121,150</w:t>
            </w:r>
          </w:p>
        </w:tc>
      </w:tr>
      <w:tr>
        <w:trPr>
          <w:trHeight w:val="128"/>
        </w:trPr>
        <w:tc>
          <w:tcPr>
            <w:tcW w:w="9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6193155</wp:posOffset>
            </wp:positionH>
            <wp:positionV relativeFrom="paragraph">
              <wp:posOffset>-28575</wp:posOffset>
            </wp:positionV>
            <wp:extent cx="12700"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6243320</wp:posOffset>
            </wp:positionH>
            <wp:positionV relativeFrom="paragraph">
              <wp:posOffset>-28575</wp:posOffset>
            </wp:positionV>
            <wp:extent cx="2095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-28575</wp:posOffset>
            </wp:positionV>
            <wp:extent cx="637540"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37540" cy="29210"/>
                    </a:xfrm>
                    <a:prstGeom prst="rect">
                      <a:avLst/>
                    </a:prstGeom>
                    <a:noFill/>
                  </pic:spPr>
                </pic:pic>
              </a:graphicData>
            </a:graphic>
          </wp:anchor>
        </w:drawing>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5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1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color w:val="auto"/>
        </w:rPr>
        <w:t>Tenant improvements and incentives</w:t>
      </w:r>
      <w:r>
        <w:rPr>
          <w:rFonts w:ascii="Arial" w:cs="Arial" w:eastAsia="Arial" w:hAnsi="Arial"/>
          <w:sz w:val="17"/>
          <w:szCs w:val="17"/>
          <w:color w:val="auto"/>
        </w:rPr>
        <w:t>: Represents not only the total dollars committed for the improvement (fit-out) of a space as it relates to a specific lease but may</w:t>
      </w:r>
      <w:r>
        <w:rPr>
          <w:rFonts w:ascii="Arial" w:cs="Arial" w:eastAsia="Arial" w:hAnsi="Arial"/>
          <w:sz w:val="17"/>
          <w:szCs w:val="17"/>
          <w:b w:val="1"/>
          <w:bCs w:val="1"/>
          <w:color w:val="auto"/>
        </w:rPr>
        <w:t xml:space="preserve"> </w:t>
      </w:r>
      <w:r>
        <w:rPr>
          <w:rFonts w:ascii="Arial" w:cs="Arial" w:eastAsia="Arial" w:hAnsi="Arial"/>
          <w:sz w:val="17"/>
          <w:szCs w:val="17"/>
          <w:color w:val="auto"/>
        </w:rPr>
        <w:t>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3"/>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13"/>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2"/>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2019-12-13T00:54:47Z</dcterms:created>
  <dcterms:modified xsi:type="dcterms:W3CDTF">2019-12-13T00:54:47Z</dcterms:modified>
</cp:coreProperties>
</file>