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39"/>
        <w:spacing w:after="0"/>
        <w:rPr>
          <w:sz w:val="20"/>
          <w:szCs w:val="20"/>
          <w:color w:val="auto"/>
        </w:rPr>
      </w:pPr>
      <w:r>
        <w:rPr>
          <w:rFonts w:ascii="Courier New" w:cs="Courier New" w:eastAsia="Courier New" w:hAnsi="Courier New"/>
          <w:sz w:val="17"/>
          <w:szCs w:val="17"/>
          <w:color w:val="auto"/>
        </w:rPr>
        <w:t>Rule No. 424(b)(5)</w:t>
      </w:r>
    </w:p>
    <w:p>
      <w:pPr>
        <w:spacing w:after="0" w:line="9" w:lineRule="exact"/>
        <w:rPr>
          <w:sz w:val="24"/>
          <w:szCs w:val="24"/>
          <w:color w:val="auto"/>
        </w:rPr>
      </w:pPr>
    </w:p>
    <w:p>
      <w:pPr>
        <w:jc w:val="right"/>
        <w:ind w:right="1839"/>
        <w:spacing w:after="0"/>
        <w:rPr>
          <w:sz w:val="20"/>
          <w:szCs w:val="20"/>
          <w:color w:val="auto"/>
        </w:rPr>
      </w:pPr>
      <w:r>
        <w:rPr>
          <w:rFonts w:ascii="Courier New" w:cs="Courier New" w:eastAsia="Courier New" w:hAnsi="Courier New"/>
          <w:sz w:val="17"/>
          <w:szCs w:val="17"/>
          <w:color w:val="auto"/>
        </w:rPr>
        <w:t>Registration No. 33-51029</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PROSPECTUS SUPPLEMENT TO PROSPECTUS DATED DECEMBER 13, 1993</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$100,000,000</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10"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8 7/8% NOTES DUE JANUARY 15, 2000</w:t>
      </w:r>
    </w:p>
    <w:p>
      <w:pPr>
        <w:spacing w:after="0" w:line="21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Interest on the Notes is payable on January 15 and July 15 of each year, commencing July 15, 1995. The Notes are not redeemable prior to maturity. The Notes are unsecured obligations of the Trust and will rank equally with all unsecured and unsubordinated indebtedness of the Trust. The Notes will contain certain restrictions on the Trust's ability to incur additional indebtedness. See "Description of Notes--Covenants."</w:t>
      </w:r>
    </w:p>
    <w:p>
      <w:pPr>
        <w:spacing w:after="0" w:line="197" w:lineRule="exact"/>
        <w:rPr>
          <w:sz w:val="24"/>
          <w:szCs w:val="24"/>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Notes will be represented by a single Global Security (as defined herein) registered in the name of The Depository Trust Company ("DTC") or its nominee. Interests in the Global Security will be shown on, and transfers thereof will be effected only through, records maintained by DTC and its participants. Except as described in "Description of Notes--Book-Entry System," Notes in definitive form will not be issued. The Notes will trade in DTC's Same-Day Funds Settlement System until maturity, and secondary market trading activity in the Notes will therefore settle in immediately available funds. All payments of principal and interest will be made by the Trust in immediately available funds. See "Description of Notes--Same-Day Settlement and Payment."</w:t>
      </w:r>
    </w:p>
    <w:p>
      <w:pPr>
        <w:spacing w:after="0" w:line="200" w:lineRule="exact"/>
        <w:rPr>
          <w:sz w:val="24"/>
          <w:szCs w:val="24"/>
          <w:color w:val="auto"/>
        </w:rPr>
      </w:pPr>
    </w:p>
    <w:p>
      <w:pPr>
        <w:spacing w:after="0" w:line="203"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PROSPECTUS TO WHICH IT RELATES. ANY REPRESENTATION TO THE CONTRARY IS A CRIMINAL OFFENSE.</w:t>
      </w:r>
    </w:p>
    <w:p>
      <w:pPr>
        <w:spacing w:after="0" w:line="197"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THE ATTORNEY GENERAL OF THE STATE OF NEW YORK HAS NOT PASSED ON OR ENDORSED THE MERITS OF THIS OFFERING. ANY REPRESENTATION TO THE CONTRARY IS UNLAWFUL.</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840" w:type="dxa"/>
            <w:vAlign w:val="bottom"/>
          </w:tcPr>
          <w:p>
            <w:pPr>
              <w:spacing w:after="0"/>
              <w:rPr>
                <w:sz w:val="17"/>
                <w:szCs w:val="17"/>
                <w:color w:val="auto"/>
              </w:rPr>
            </w:pPr>
          </w:p>
        </w:tc>
        <w:tc>
          <w:tcPr>
            <w:tcW w:w="4980" w:type="dxa"/>
            <w:vAlign w:val="bottom"/>
          </w:tcPr>
          <w:p>
            <w:pPr>
              <w:jc w:val="right"/>
              <w:ind w:right="924"/>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06"/>
        </w:trPr>
        <w:tc>
          <w:tcPr>
            <w:tcW w:w="840" w:type="dxa"/>
            <w:vAlign w:val="bottom"/>
          </w:tcPr>
          <w:p>
            <w:pPr>
              <w:spacing w:after="0"/>
              <w:rPr>
                <w:sz w:val="24"/>
                <w:szCs w:val="24"/>
                <w:color w:val="auto"/>
              </w:rPr>
            </w:pPr>
          </w:p>
        </w:tc>
        <w:tc>
          <w:tcPr>
            <w:tcW w:w="4980" w:type="dxa"/>
            <w:vAlign w:val="bottom"/>
          </w:tcPr>
          <w:p>
            <w:pPr>
              <w:jc w:val="right"/>
              <w:ind w:right="184"/>
              <w:spacing w:after="0"/>
              <w:rPr>
                <w:sz w:val="20"/>
                <w:szCs w:val="20"/>
                <w:color w:val="auto"/>
              </w:rPr>
            </w:pPr>
            <w:r>
              <w:rPr>
                <w:rFonts w:ascii="Courier New" w:cs="Courier New" w:eastAsia="Courier New" w:hAnsi="Courier New"/>
                <w:sz w:val="17"/>
                <w:szCs w:val="17"/>
                <w:color w:val="auto"/>
              </w:rPr>
              <w:t>INITIAL PUBLIC</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UNDERWRITING</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PROCEEDS TO</w:t>
            </w:r>
          </w:p>
        </w:tc>
      </w:tr>
      <w:tr>
        <w:trPr>
          <w:trHeight w:val="201"/>
        </w:trPr>
        <w:tc>
          <w:tcPr>
            <w:tcW w:w="840" w:type="dxa"/>
            <w:vAlign w:val="bottom"/>
          </w:tcPr>
          <w:p>
            <w:pPr>
              <w:spacing w:after="0"/>
              <w:rPr>
                <w:sz w:val="17"/>
                <w:szCs w:val="17"/>
                <w:color w:val="auto"/>
              </w:rPr>
            </w:pPr>
          </w:p>
        </w:tc>
        <w:tc>
          <w:tcPr>
            <w:tcW w:w="6340" w:type="dxa"/>
            <w:vAlign w:val="bottom"/>
            <w:gridSpan w:val="2"/>
          </w:tcPr>
          <w:p>
            <w:pPr>
              <w:ind w:left="3140"/>
              <w:spacing w:after="0"/>
              <w:rPr>
                <w:sz w:val="20"/>
                <w:szCs w:val="20"/>
                <w:color w:val="auto"/>
              </w:rPr>
            </w:pPr>
            <w:r>
              <w:rPr>
                <w:rFonts w:ascii="Courier New" w:cs="Courier New" w:eastAsia="Courier New" w:hAnsi="Courier New"/>
                <w:sz w:val="17"/>
                <w:szCs w:val="17"/>
                <w:color w:val="auto"/>
              </w:rPr>
              <w:t>OFFERING PRICE(1) DISCOUNT(2)</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TRUST(1)(3)</w:t>
            </w:r>
          </w:p>
        </w:tc>
      </w:tr>
      <w:tr>
        <w:trPr>
          <w:trHeight w:val="201"/>
        </w:trPr>
        <w:tc>
          <w:tcPr>
            <w:tcW w:w="840" w:type="dxa"/>
            <w:vAlign w:val="bottom"/>
          </w:tcPr>
          <w:p>
            <w:pPr>
              <w:spacing w:after="0"/>
              <w:rPr>
                <w:sz w:val="17"/>
                <w:szCs w:val="17"/>
                <w:color w:val="auto"/>
              </w:rPr>
            </w:pPr>
          </w:p>
        </w:tc>
        <w:tc>
          <w:tcPr>
            <w:tcW w:w="4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403"/>
        </w:trPr>
        <w:tc>
          <w:tcPr>
            <w:tcW w:w="840" w:type="dxa"/>
            <w:vAlign w:val="bottom"/>
          </w:tcPr>
          <w:p>
            <w:pPr>
              <w:spacing w:after="0"/>
              <w:rPr>
                <w:sz w:val="20"/>
                <w:szCs w:val="20"/>
                <w:color w:val="auto"/>
              </w:rPr>
            </w:pPr>
            <w:r>
              <w:rPr>
                <w:rFonts w:ascii="Courier New" w:cs="Courier New" w:eastAsia="Courier New" w:hAnsi="Courier New"/>
                <w:sz w:val="17"/>
                <w:szCs w:val="17"/>
                <w:color w:val="auto"/>
              </w:rPr>
              <w:t>Per Note</w:t>
            </w:r>
          </w:p>
        </w:tc>
        <w:tc>
          <w:tcPr>
            <w:tcW w:w="4980" w:type="dxa"/>
            <w:vAlign w:val="bottom"/>
          </w:tcPr>
          <w:p>
            <w:pPr>
              <w:jc w:val="right"/>
              <w:ind w:right="504"/>
              <w:spacing w:after="0"/>
              <w:rPr>
                <w:sz w:val="20"/>
                <w:szCs w:val="20"/>
                <w:color w:val="auto"/>
              </w:rPr>
            </w:pPr>
            <w:r>
              <w:rPr>
                <w:rFonts w:ascii="Courier New" w:cs="Courier New" w:eastAsia="Courier New" w:hAnsi="Courier New"/>
                <w:sz w:val="17"/>
                <w:szCs w:val="17"/>
                <w:color w:val="auto"/>
              </w:rPr>
              <w:t>.............................99.815%</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0.625%</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99.190%</w:t>
            </w:r>
          </w:p>
        </w:tc>
      </w:tr>
      <w:tr>
        <w:trPr>
          <w:trHeight w:val="201"/>
        </w:trPr>
        <w:tc>
          <w:tcPr>
            <w:tcW w:w="840" w:type="dxa"/>
            <w:vAlign w:val="bottom"/>
          </w:tcPr>
          <w:p>
            <w:pPr>
              <w:spacing w:after="0"/>
              <w:rPr>
                <w:sz w:val="20"/>
                <w:szCs w:val="20"/>
                <w:color w:val="auto"/>
              </w:rPr>
            </w:pPr>
            <w:r>
              <w:rPr>
                <w:rFonts w:ascii="Courier New" w:cs="Courier New" w:eastAsia="Courier New" w:hAnsi="Courier New"/>
                <w:sz w:val="5"/>
                <w:szCs w:val="5"/>
                <w:color w:val="auto"/>
                <w:w w:val="73"/>
              </w:rPr>
              <w:t>Total................................</w:t>
            </w:r>
          </w:p>
        </w:tc>
        <w:tc>
          <w:tcPr>
            <w:tcW w:w="4980" w:type="dxa"/>
            <w:vAlign w:val="bottom"/>
          </w:tcPr>
          <w:p>
            <w:pPr>
              <w:jc w:val="right"/>
              <w:ind w:right="284"/>
              <w:spacing w:after="0"/>
              <w:rPr>
                <w:sz w:val="20"/>
                <w:szCs w:val="20"/>
                <w:color w:val="auto"/>
              </w:rPr>
            </w:pPr>
            <w:r>
              <w:rPr>
                <w:rFonts w:ascii="Courier New" w:cs="Courier New" w:eastAsia="Courier New" w:hAnsi="Courier New"/>
                <w:sz w:val="17"/>
                <w:szCs w:val="17"/>
                <w:color w:val="auto"/>
              </w:rPr>
              <w:t>$99,815,000</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$625,000</w:t>
            </w:r>
          </w:p>
        </w:tc>
        <w:tc>
          <w:tcPr>
            <w:tcW w:w="1200" w:type="dxa"/>
            <w:vAlign w:val="bottom"/>
          </w:tcPr>
          <w:p>
            <w:pPr>
              <w:jc w:val="center"/>
              <w:spacing w:after="0"/>
              <w:rPr>
                <w:sz w:val="20"/>
                <w:szCs w:val="20"/>
                <w:color w:val="auto"/>
              </w:rPr>
            </w:pPr>
            <w:r>
              <w:rPr>
                <w:rFonts w:ascii="Courier New" w:cs="Courier New" w:eastAsia="Courier New" w:hAnsi="Courier New"/>
                <w:sz w:val="17"/>
                <w:szCs w:val="17"/>
                <w:color w:val="auto"/>
              </w:rPr>
              <w:t>$99,190,000</w:t>
            </w:r>
          </w:p>
        </w:tc>
      </w:tr>
    </w:tbl>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ind w:left="420" w:hanging="413"/>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accrued interest, if any, from January 19, 1995.</w:t>
      </w:r>
    </w:p>
    <w:p>
      <w:pPr>
        <w:spacing w:after="0" w:line="8" w:lineRule="exact"/>
        <w:rPr>
          <w:rFonts w:ascii="Courier New" w:cs="Courier New" w:eastAsia="Courier New" w:hAnsi="Courier New"/>
          <w:sz w:val="17"/>
          <w:szCs w:val="17"/>
          <w:color w:val="auto"/>
        </w:rPr>
      </w:pPr>
    </w:p>
    <w:p>
      <w:pPr>
        <w:ind w:left="420" w:right="2359" w:hanging="413"/>
        <w:spacing w:after="0" w:line="251"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has agreed to indemnify the Underwriters against certain liabilities, including liabilities under the Securities Act of 1933, as amended.</w:t>
      </w:r>
    </w:p>
    <w:p>
      <w:pPr>
        <w:ind w:left="420" w:hanging="413"/>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estimated expenses of $225,000 payable by the Trust.</w:t>
      </w:r>
    </w:p>
    <w:p>
      <w:pPr>
        <w:spacing w:after="0" w:line="21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Notes offered hereby are offered severally by the Underwriters, as specified herein, subject to receipt and acceptance by them and subject to their right to reject any order in whole or in part. It is expected that delivery of the Notes will be ready in book-entry form only through the facilities of DTC in New York, New York on or about January 19, 1995, against payment therefor in immediately available funds.</w:t>
      </w:r>
    </w:p>
    <w:p>
      <w:pPr>
        <w:sectPr>
          <w:pgSz w:w="11900" w:h="16838" w:orient="portrait"/>
          <w:cols w:equalWidth="0" w:num="1">
            <w:col w:w="10219"/>
          </w:cols>
          <w:pgMar w:left="240" w:top="451" w:right="1440" w:bottom="525" w:gutter="0" w:footer="0" w:header="0"/>
        </w:sectPr>
      </w:pP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GOLDMAN, SACHS &amp; CO.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9" w:lineRule="exact"/>
        <w:rPr>
          <w:sz w:val="24"/>
          <w:szCs w:val="24"/>
          <w:color w:val="auto"/>
        </w:rPr>
      </w:pPr>
    </w:p>
    <w:p>
      <w:pPr>
        <w:sectPr>
          <w:pgSz w:w="11900" w:h="16838" w:orient="portrait"/>
          <w:cols w:equalWidth="0" w:num="2">
            <w:col w:w="4740" w:space="720"/>
            <w:col w:w="4759"/>
          </w:cols>
          <w:pgMar w:left="240" w:top="451" w:right="1440" w:bottom="525" w:gutter="0" w:footer="0" w:header="0"/>
          <w:type w:val="continuous"/>
        </w:sectPr>
      </w:pPr>
    </w:p>
    <w:p>
      <w:pPr>
        <w:ind w:left="3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51" w:right="1440" w:bottom="525" w:gutter="0" w:footer="0" w:header="0"/>
          <w:type w:val="continuous"/>
        </w:sectPr>
      </w:pPr>
    </w:p>
    <w:p>
      <w:pPr>
        <w:spacing w:after="0" w:line="210"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The date of this Prospectus Supplement is January 11, 1995.</w:t>
      </w:r>
    </w:p>
    <w:p>
      <w:pPr>
        <w:sectPr>
          <w:pgSz w:w="11900" w:h="16838" w:orient="portrait"/>
          <w:cols w:equalWidth="0" w:num="1">
            <w:col w:w="10219"/>
          </w:cols>
          <w:pgMar w:left="240" w:top="451" w:right="1440" w:bottom="525" w:gutter="0" w:footer="0" w:header="0"/>
          <w:type w:val="continuous"/>
        </w:sectPr>
      </w:pPr>
    </w:p>
    <w:bookmarkStart w:id="1" w:name="page2"/>
    <w:bookmarkEnd w:id="1"/>
    <w:p>
      <w:pPr>
        <w:ind w:right="2139" w:firstLine="209"/>
        <w:spacing w:after="0" w:line="253" w:lineRule="auto"/>
        <w:rPr>
          <w:sz w:val="20"/>
          <w:szCs w:val="20"/>
          <w:color w:val="auto"/>
        </w:rPr>
      </w:pPr>
      <w:r>
        <w:rPr>
          <w:rFonts w:ascii="Courier New" w:cs="Courier New" w:eastAsia="Courier New" w:hAnsi="Courier New"/>
          <w:sz w:val="17"/>
          <w:szCs w:val="17"/>
          <w:color w:val="auto"/>
        </w:rPr>
        <w:t>IN CONNECTION WITH THIS OFFERING, THE UNDERWRITERS MAY OVER-ALLOT OR EFFECT TRANSACTIONS WHICH STABILIZE OR MAINTAIN THE MARKET PRICE OF THE NOTES AT A LEVEL ABOVE THAT WHICH MIGHT OTHERWISE PREVAIL IN THE OPEN MARKET. SUCH STABILIZING, IF COMMENCED, MAY BE DISCONTINUED AT ANY TIME.</w:t>
      </w:r>
    </w:p>
    <w:p>
      <w:pPr>
        <w:spacing w:after="0" w:line="19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THE TRUST</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community and neighborhood shopping centers. Founded in 1962, the Trust is a self-administered real estate investment trust that manages, leases and supervises renovation of its properties. At December 31, 1994, the Trust owned 52 retail properties, primarily community and neighborhood shopping centers, one enclosed mall, and one apartment complex. The shopping center portfolio has approximately 11.1 million rentable square feet and 1,500 tenants. At September 30, 1994, the occupancy rate of the core shopping center portfolio (which excludes centers acquired in the previous twelve months and centers under redevelopment) was 94%. Including all shopping centers owned at September 30, 1994, the occupancy rate was 93%.</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7" w:lineRule="exact"/>
        <w:rPr>
          <w:sz w:val="20"/>
          <w:szCs w:val="20"/>
          <w:color w:val="auto"/>
        </w:rPr>
      </w:pPr>
    </w:p>
    <w:p>
      <w:pPr>
        <w:ind w:right="2979" w:firstLine="209"/>
        <w:spacing w:after="0" w:line="257" w:lineRule="auto"/>
        <w:rPr>
          <w:sz w:val="20"/>
          <w:szCs w:val="20"/>
          <w:color w:val="auto"/>
        </w:rPr>
      </w:pPr>
      <w:r>
        <w:rPr>
          <w:rFonts w:ascii="Courier New" w:cs="Courier New" w:eastAsia="Courier New" w:hAnsi="Courier New"/>
          <w:sz w:val="17"/>
          <w:szCs w:val="17"/>
          <w:color w:val="auto"/>
        </w:rPr>
        <w:t>The Trust has benefited, and expects to benefit, from the following characteristics of its operations:</w:t>
      </w:r>
    </w:p>
    <w:p>
      <w:pPr>
        <w:spacing w:after="0" w:line="192" w:lineRule="exact"/>
        <w:rPr>
          <w:sz w:val="20"/>
          <w:szCs w:val="20"/>
          <w:color w:val="auto"/>
        </w:rPr>
      </w:pPr>
    </w:p>
    <w:p>
      <w:pPr>
        <w:ind w:left="420" w:right="2679" w:hanging="203"/>
        <w:spacing w:after="0" w:line="254"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1993, 96% of the Trust's rental income was minimum rent plus expense recoveries, and therefore, was not contingent upon the sales performance of the Trust's tenants.</w:t>
      </w:r>
    </w:p>
    <w:p>
      <w:pPr>
        <w:spacing w:after="0" w:line="194" w:lineRule="exact"/>
        <w:rPr>
          <w:sz w:val="20"/>
          <w:szCs w:val="20"/>
          <w:color w:val="auto"/>
        </w:rPr>
      </w:pPr>
    </w:p>
    <w:p>
      <w:pPr>
        <w:ind w:left="420" w:right="2259" w:hanging="203"/>
        <w:spacing w:after="0" w:line="254"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1993, the Trust's rental income was derived from over 1,500 tenants, with no single tenant or corporate entity accounting for more than 5% of rental income.</w:t>
      </w:r>
    </w:p>
    <w:p>
      <w:pPr>
        <w:spacing w:after="0" w:line="194" w:lineRule="exact"/>
        <w:rPr>
          <w:sz w:val="20"/>
          <w:szCs w:val="20"/>
          <w:color w:val="auto"/>
        </w:rPr>
      </w:pPr>
    </w:p>
    <w:p>
      <w:pPr>
        <w:ind w:left="420" w:right="2259" w:hanging="203"/>
        <w:spacing w:after="0" w:line="253" w:lineRule="auto"/>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net operating income (rental income plus other property income, less rental expenses and real estate taxes) increased each year an average of 7% from $48.5 million in 1989 to $62.8 million in 1993 for properties owned during all of the periods.</w:t>
      </w:r>
    </w:p>
    <w:p>
      <w:pPr>
        <w:spacing w:after="0" w:line="195" w:lineRule="exact"/>
        <w:rPr>
          <w:sz w:val="20"/>
          <w:szCs w:val="20"/>
          <w:color w:val="auto"/>
        </w:rPr>
      </w:pPr>
    </w:p>
    <w:p>
      <w:pPr>
        <w:ind w:left="420" w:right="2679" w:hanging="203"/>
        <w:spacing w:after="0" w:line="257"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years 1995-2000, scheduled lease expirations are 5.1%, 3.4%, 4.1%, 3.8%, 5.0% and 1.7% of rentable square feet.</w:t>
      </w:r>
    </w:p>
    <w:p>
      <w:pPr>
        <w:spacing w:after="0" w:line="192" w:lineRule="exact"/>
        <w:rPr>
          <w:sz w:val="20"/>
          <w:szCs w:val="20"/>
          <w:color w:val="auto"/>
        </w:rPr>
      </w:pPr>
    </w:p>
    <w:p>
      <w:pPr>
        <w:ind w:left="420" w:right="2459" w:hanging="203"/>
        <w:spacing w:after="0" w:line="253"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typical shopping center lease includes provisions for at least partial recapture of property operating expenses and real estate taxes. In 1993, the Trust recovered 71% of property operating expenses and 89% of real estate taxes.</w:t>
      </w:r>
    </w:p>
    <w:p>
      <w:pPr>
        <w:spacing w:after="0" w:line="195" w:lineRule="exact"/>
        <w:rPr>
          <w:sz w:val="20"/>
          <w:szCs w:val="20"/>
          <w:color w:val="auto"/>
        </w:rPr>
      </w:pPr>
    </w:p>
    <w:p>
      <w:pPr>
        <w:ind w:right="2559" w:firstLine="209"/>
        <w:spacing w:after="0" w:line="254" w:lineRule="auto"/>
        <w:rPr>
          <w:sz w:val="20"/>
          <w:szCs w:val="20"/>
          <w:color w:val="auto"/>
        </w:rPr>
      </w:pPr>
      <w:r>
        <w:rPr>
          <w:rFonts w:ascii="Courier New" w:cs="Courier New" w:eastAsia="Courier New" w:hAnsi="Courier New"/>
          <w:sz w:val="17"/>
          <w:szCs w:val="17"/>
          <w:color w:val="auto"/>
        </w:rPr>
        <w:t>The Trust, a District of Columbia business trust of unlimited duration, maintains its offices at 4800 Hampden Lane, Bethesda, Maryland 20814 (telephone 301/652-3360).</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719" w:right="1440" w:bottom="1440"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17"/>
          <w:szCs w:val="17"/>
          <w:color w:val="auto"/>
        </w:rPr>
        <w:t>RECENT DEVELOPMENTS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AND REDEVELOPMENT</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During 1994, the Trust purchased four shopping centers and one retail building totaling 485,000 square feet. The shopping centers include Idylwood Plaza in Falls Church, Virginia, North Lake Commons in Lake Zurich, Illinois, Garden Market Shopping Center in Western Springs, Illinois and Queen Anne Plaza in Norwell, Massachusetts. The average occupancy at their time of purchase was 97%. In addition, in April of 1994 the Trust purchased a 3.9 acre parcel of land containing an Acme supermarket which adjoins its Bala Cynwyd Shopping Center in Bala Cynwyd, Pennsylvania. These properties were acquired for a total cash investment of approximately $49.5 million.</w:t>
      </w:r>
    </w:p>
    <w:p>
      <w:pPr>
        <w:spacing w:after="0" w:line="201"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During the first nine months of 1994 the Trust spent $27.5 million in improvements to its properties. These improvements included $9.7 million for the retenanting and redevelopment of Congressional Plaza in Rockville, Maryland, $3.8 million to complete the redevelopment of Ellisburg Circle Shopping Center in Cherry Hill, New Jersey, and $1.7 million to begin the redevelopment and retenanting of Gaithersburg Square Shopping Center in Gaithersburg, Maryland.</w:t>
      </w:r>
    </w:p>
    <w:p>
      <w:pPr>
        <w:spacing w:after="0" w:line="196"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intends to continue its acquisition and redevelopment activities in 1995. Acquisitions are targeted for the Trust's core major metropolitan markets of New York/New Jersey, Philadelphia and Baltimore/Washington, D.C. as well as the Chicago, Illinois and Boston, Massachusetts markets. In addition, the Trust is targeting for acquisition retail buildings in densely developed urban and suburban areas and is also pursuing site acquisitions in its core markets to permit the Trust to develop new shopping centers.</w:t>
      </w:r>
    </w:p>
    <w:p>
      <w:pPr>
        <w:spacing w:after="0" w:line="196"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Planned redevelopment and re-merchandising activities in 1995 include the first phase of redevelopment of Brick Plaza in Brick, New Jersey, as well as the completion of the Gaithersburg Square and Congressional Plaza renovations begun in 1994. Capital improvements planned for the Trust's properties in 1995 are budgeted at $43.3 million.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FINANCINGS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has funded its acquisitions, redevelopment projects and major debt repayment requirements through a variety of equity and debt issues. In April 1994 the Trust raised net proceeds of $61.3 million from a public offering of 2.5 million shares. In a concurrent offering of 840,000 shares to an institutional investor, the Trust raised net proceeds of $21.7 million. In January 1994 the Trust placed a $22.5 million one year mortgage on Northeast Plaza in Atlanta, Georgia. This mortgage, which had been extended to January 1996, will be prepaid with a portion of the proceeds of this offering.</w:t>
      </w:r>
    </w:p>
    <w:p>
      <w:pPr>
        <w:spacing w:after="0" w:line="201"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In October 1994, the Trust modified its unsecured medium-term revolving credit facilities with four banks, increasing the Trust's availability of funds from $85.0 million to $130.0 million. The Trust had $54.7 million drawn under these facilities at December 31, 1994. The facilities have covenants requiring a minimum shareholders' equity and a maximum ratio of debt to net worth.</w:t>
      </w:r>
    </w:p>
    <w:p>
      <w:pPr>
        <w:spacing w:after="0" w:line="399" w:lineRule="exact"/>
        <w:rPr>
          <w:sz w:val="20"/>
          <w:szCs w:val="20"/>
          <w:color w:val="auto"/>
        </w:rPr>
      </w:pPr>
    </w:p>
    <w:p>
      <w:pPr>
        <w:jc w:val="both"/>
        <w:ind w:right="2139" w:firstLine="209"/>
        <w:spacing w:after="0" w:line="254" w:lineRule="auto"/>
        <w:rPr>
          <w:sz w:val="20"/>
          <w:szCs w:val="20"/>
          <w:color w:val="auto"/>
        </w:rPr>
      </w:pPr>
      <w:r>
        <w:rPr>
          <w:rFonts w:ascii="Courier New" w:cs="Courier New" w:eastAsia="Courier New" w:hAnsi="Courier New"/>
          <w:sz w:val="17"/>
          <w:szCs w:val="17"/>
          <w:color w:val="auto"/>
        </w:rPr>
        <w:t>In April 1994, $39.8 million of the Trust's 5 1/4% convertible subordinated debentures due 2002 were redeemed at a price equal to 120% of their principal amount or $47.8 million. Only $289,000 of this issue remains outstanding.</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719" w:right="1440" w:bottom="1440" w:gutter="0" w:footer="0" w:header="0"/>
        </w:sectPr>
      </w:pPr>
    </w:p>
    <w:bookmarkStart w:id="3" w:name="page4"/>
    <w:bookmarkEnd w:id="3"/>
    <w:p>
      <w:pPr>
        <w:jc w:val="center"/>
        <w:ind w:right="1919"/>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net proceeds to the Trust from the sale of the Notes offered hereby, are estimated to be $98,965,000. The Trust intends to use the majority of the proceeds to repay debt, principally the Trust's revolving credit facilities and a $22.5 million mortgage scheduled to mature in 1996. The remaining net proceeds are expected to be used for property acquisitions and improvements.</w:t>
      </w:r>
    </w:p>
    <w:p>
      <w:pPr>
        <w:spacing w:after="0" w:line="197"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CAPITALIZATION</w:t>
      </w:r>
    </w:p>
    <w:p>
      <w:pPr>
        <w:spacing w:after="0" w:line="210" w:lineRule="exact"/>
        <w:rPr>
          <w:sz w:val="20"/>
          <w:szCs w:val="20"/>
          <w:color w:val="auto"/>
        </w:rPr>
      </w:pPr>
    </w:p>
    <w:p>
      <w:pPr>
        <w:ind w:right="2359" w:firstLine="209"/>
        <w:spacing w:after="0" w:line="254" w:lineRule="auto"/>
        <w:rPr>
          <w:sz w:val="20"/>
          <w:szCs w:val="20"/>
          <w:color w:val="auto"/>
        </w:rPr>
      </w:pPr>
      <w:r>
        <w:rPr>
          <w:rFonts w:ascii="Courier New" w:cs="Courier New" w:eastAsia="Courier New" w:hAnsi="Courier New"/>
          <w:sz w:val="17"/>
          <w:szCs w:val="17"/>
          <w:color w:val="auto"/>
        </w:rPr>
        <w:t>The following table sets forth the capitalization of the Trust as of September 30, 1994, and as adjusted to give effect to the sale of the Notes offered hereby and application of a portion of the proceeds therefrom.</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SEPTEMBER 30, 1994</w:t>
            </w:r>
          </w:p>
        </w:tc>
      </w:tr>
      <w:tr>
        <w:trPr>
          <w:trHeight w:val="201"/>
        </w:trPr>
        <w:tc>
          <w:tcPr>
            <w:tcW w:w="320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AS</w:t>
            </w:r>
          </w:p>
        </w:tc>
      </w:tr>
      <w:tr>
        <w:trPr>
          <w:trHeight w:val="201"/>
        </w:trPr>
        <w:tc>
          <w:tcPr>
            <w:tcW w:w="3200" w:type="dxa"/>
            <w:vAlign w:val="bottom"/>
          </w:tcPr>
          <w:p>
            <w:pPr>
              <w:spacing w:after="0"/>
              <w:rPr>
                <w:sz w:val="17"/>
                <w:szCs w:val="17"/>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HISTORICAL ADJUSTED</w:t>
            </w:r>
          </w:p>
        </w:tc>
      </w:tr>
      <w:tr>
        <w:trPr>
          <w:trHeight w:val="201"/>
        </w:trPr>
        <w:tc>
          <w:tcPr>
            <w:tcW w:w="3200" w:type="dxa"/>
            <w:vAlign w:val="bottom"/>
          </w:tcPr>
          <w:p>
            <w:pPr>
              <w:spacing w:after="0"/>
              <w:rPr>
                <w:sz w:val="17"/>
                <w:szCs w:val="17"/>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spacing w:after="0"/>
              <w:rPr>
                <w:sz w:val="17"/>
                <w:szCs w:val="17"/>
                <w:color w:val="auto"/>
              </w:rPr>
            </w:pPr>
          </w:p>
        </w:tc>
        <w:tc>
          <w:tcPr>
            <w:tcW w:w="214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(IN THOUSANDS)</w:t>
            </w:r>
          </w:p>
        </w:tc>
      </w:tr>
      <w:tr>
        <w:trPr>
          <w:trHeight w:val="403"/>
        </w:trPr>
        <w:tc>
          <w:tcPr>
            <w:tcW w:w="3200" w:type="dxa"/>
            <w:vAlign w:val="bottom"/>
          </w:tcPr>
          <w:p>
            <w:pPr>
              <w:spacing w:after="0"/>
              <w:rPr>
                <w:sz w:val="20"/>
                <w:szCs w:val="20"/>
                <w:color w:val="auto"/>
              </w:rPr>
            </w:pPr>
            <w:r>
              <w:rPr>
                <w:rFonts w:ascii="Courier New" w:cs="Courier New" w:eastAsia="Courier New" w:hAnsi="Courier New"/>
                <w:sz w:val="17"/>
                <w:szCs w:val="17"/>
                <w:color w:val="auto"/>
              </w:rPr>
              <w:t>Debt:</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3200" w:type="dxa"/>
            <w:vAlign w:val="bottom"/>
          </w:tcPr>
          <w:p>
            <w:pPr>
              <w:ind w:left="220"/>
              <w:spacing w:after="0"/>
              <w:rPr>
                <w:sz w:val="20"/>
                <w:szCs w:val="20"/>
                <w:color w:val="auto"/>
              </w:rPr>
            </w:pPr>
            <w:r>
              <w:rPr>
                <w:rFonts w:ascii="Courier New" w:cs="Courier New" w:eastAsia="Courier New" w:hAnsi="Courier New"/>
                <w:sz w:val="17"/>
                <w:szCs w:val="17"/>
                <w:color w:val="auto"/>
              </w:rPr>
              <w:t>Mortgages payable...........</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$103,028</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$ 80,528</w:t>
            </w:r>
          </w:p>
        </w:tc>
      </w:tr>
      <w:tr>
        <w:trPr>
          <w:trHeight w:val="201"/>
        </w:trPr>
        <w:tc>
          <w:tcPr>
            <w:tcW w:w="3200" w:type="dxa"/>
            <w:vAlign w:val="bottom"/>
          </w:tcPr>
          <w:p>
            <w:pPr>
              <w:ind w:left="220"/>
              <w:spacing w:after="0"/>
              <w:rPr>
                <w:sz w:val="20"/>
                <w:szCs w:val="20"/>
                <w:color w:val="auto"/>
              </w:rPr>
            </w:pPr>
            <w:r>
              <w:rPr>
                <w:rFonts w:ascii="Courier New" w:cs="Courier New" w:eastAsia="Courier New" w:hAnsi="Courier New"/>
                <w:sz w:val="17"/>
                <w:szCs w:val="17"/>
                <w:color w:val="auto"/>
              </w:rPr>
              <w:t>Obligations under capital</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leases.....................</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136,580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136,580</w:t>
            </w:r>
          </w:p>
        </w:tc>
      </w:tr>
      <w:tr>
        <w:trPr>
          <w:trHeight w:val="201"/>
        </w:trPr>
        <w:tc>
          <w:tcPr>
            <w:tcW w:w="3200" w:type="dxa"/>
            <w:vAlign w:val="bottom"/>
          </w:tcPr>
          <w:p>
            <w:pPr>
              <w:ind w:left="220"/>
              <w:spacing w:after="0"/>
              <w:rPr>
                <w:sz w:val="20"/>
                <w:szCs w:val="20"/>
                <w:color w:val="auto"/>
              </w:rPr>
            </w:pPr>
            <w:r>
              <w:rPr>
                <w:rFonts w:ascii="Courier New" w:cs="Courier New" w:eastAsia="Courier New" w:hAnsi="Courier New"/>
                <w:sz w:val="17"/>
                <w:szCs w:val="17"/>
                <w:color w:val="auto"/>
              </w:rPr>
              <w:t>5 1/4% Convertible Subordi-</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nated Debentures...........</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75,289</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75,289</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8 7/8% Notes due January 15,</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100,000</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Other notes payable.........</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34,053</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6,053</w:t>
            </w:r>
          </w:p>
        </w:tc>
      </w:tr>
      <w:tr>
        <w:trPr>
          <w:trHeight w:val="201"/>
        </w:trPr>
        <w:tc>
          <w:tcPr>
            <w:tcW w:w="32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Total debt................</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348,950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398,450</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ind w:left="220"/>
              <w:spacing w:after="0"/>
              <w:rPr>
                <w:sz w:val="20"/>
                <w:szCs w:val="20"/>
                <w:color w:val="auto"/>
              </w:rPr>
            </w:pPr>
            <w:r>
              <w:rPr>
                <w:rFonts w:ascii="Courier New" w:cs="Courier New" w:eastAsia="Courier New" w:hAnsi="Courier New"/>
                <w:sz w:val="17"/>
                <w:szCs w:val="17"/>
                <w:color w:val="auto"/>
              </w:rPr>
              <w:t>Common shares of beneficial</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interest, no par value.....</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495,914</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495,914</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Accumulated distributions in</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5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excess of Trust net income.  (138,278) (138,278)</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(7,659)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(7,659)</w:t>
            </w:r>
          </w:p>
        </w:tc>
      </w:tr>
      <w:tr>
        <w:trPr>
          <w:trHeight w:val="201"/>
        </w:trPr>
        <w:tc>
          <w:tcPr>
            <w:tcW w:w="32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 shareholders' equi-</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ty.......................</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349,977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349,977</w:t>
            </w:r>
          </w:p>
        </w:tc>
      </w:tr>
      <w:tr>
        <w:trPr>
          <w:trHeight w:val="201"/>
        </w:trPr>
        <w:tc>
          <w:tcPr>
            <w:tcW w:w="32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jc w:val="right"/>
              <w:spacing w:after="0"/>
              <w:rPr>
                <w:sz w:val="20"/>
                <w:szCs w:val="20"/>
                <w:color w:val="auto"/>
              </w:rPr>
            </w:pPr>
            <w:r>
              <w:rPr>
                <w:rFonts w:ascii="Courier New" w:cs="Courier New" w:eastAsia="Courier New" w:hAnsi="Courier New"/>
                <w:sz w:val="17"/>
                <w:szCs w:val="17"/>
                <w:color w:val="auto"/>
              </w:rPr>
              <w:t>Total capitalization....</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$698,927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$748,427</w:t>
            </w:r>
          </w:p>
        </w:tc>
      </w:tr>
      <w:tr>
        <w:trPr>
          <w:trHeight w:val="201"/>
        </w:trPr>
        <w:tc>
          <w:tcPr>
            <w:tcW w:w="3200" w:type="dxa"/>
            <w:vAlign w:val="bottom"/>
          </w:tcPr>
          <w:p>
            <w:pPr>
              <w:spacing w:after="0"/>
              <w:rPr>
                <w:sz w:val="17"/>
                <w:szCs w:val="17"/>
                <w:color w:val="auto"/>
              </w:rPr>
            </w:pP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3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S-4</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4" w:name="page5"/>
    <w:bookmarkEnd w:id="4"/>
    <w:p>
      <w:pPr>
        <w:jc w:val="center"/>
        <w:ind w:right="2039"/>
        <w:spacing w:after="0"/>
        <w:rPr>
          <w:sz w:val="20"/>
          <w:szCs w:val="20"/>
          <w:color w:val="auto"/>
        </w:rPr>
      </w:pPr>
      <w:r>
        <w:rPr>
          <w:rFonts w:ascii="Courier New" w:cs="Courier New" w:eastAsia="Courier New" w:hAnsi="Courier New"/>
          <w:sz w:val="17"/>
          <w:szCs w:val="17"/>
          <w:color w:val="auto"/>
        </w:rPr>
        <w:t>SELECTED CONSOLIDATED FINANCIAL DATA</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The following table sets forth selected consolidated financial data for the Trust and should be read in conjunction with the Consolidated Financial Statements and Notes incorporated by reference herein.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4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NINE MONTHS ENDED</w:t>
            </w:r>
          </w:p>
        </w:tc>
      </w:tr>
      <w:tr>
        <w:trPr>
          <w:trHeight w:val="201"/>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8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YEAR ENDED DECEMBER 31,</w:t>
            </w:r>
          </w:p>
        </w:tc>
        <w:tc>
          <w:tcPr>
            <w:tcW w:w="1060" w:type="dxa"/>
            <w:vAlign w:val="bottom"/>
          </w:tcPr>
          <w:p>
            <w:pPr>
              <w:spacing w:after="0"/>
              <w:rPr>
                <w:sz w:val="17"/>
                <w:szCs w:val="17"/>
                <w:color w:val="auto"/>
              </w:rPr>
            </w:pPr>
          </w:p>
        </w:tc>
        <w:tc>
          <w:tcPr>
            <w:tcW w:w="20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SEPTEMBER 30,</w:t>
            </w:r>
          </w:p>
        </w:tc>
      </w:tr>
      <w:tr>
        <w:trPr>
          <w:trHeight w:val="201"/>
        </w:trPr>
        <w:tc>
          <w:tcPr>
            <w:tcW w:w="262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1989</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1990</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1991</w:t>
            </w:r>
          </w:p>
        </w:tc>
        <w:tc>
          <w:tcPr>
            <w:tcW w:w="10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1992</w:t>
            </w:r>
          </w:p>
        </w:tc>
        <w:tc>
          <w:tcPr>
            <w:tcW w:w="10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1993</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64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RATIO INFORMATION AND PER SHARE DATA)</w:t>
            </w:r>
          </w:p>
        </w:tc>
        <w:tc>
          <w:tcPr>
            <w:tcW w:w="940" w:type="dxa"/>
            <w:vAlign w:val="bottom"/>
          </w:tcPr>
          <w:p>
            <w:pPr>
              <w:spacing w:after="0"/>
              <w:rPr>
                <w:sz w:val="17"/>
                <w:szCs w:val="17"/>
                <w:color w:val="auto"/>
              </w:rPr>
            </w:pP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Rental income.........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$ 72,771</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$ 80,698</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$ 88,350</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$ 89,971</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$105,948</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$ 77,185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$ 94,168</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6,588</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6,545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4,675</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5,514</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3,894</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2,858</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3,046</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property income.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3,493</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3,706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4,627</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4,712</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5,495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3,943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4,068</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82,852</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90,949</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97,652</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100,197</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115,337</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83,986</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101,282</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33,129</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34,709</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38,147</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35,201</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31,550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23,474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23,533</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Depreciation and amor-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tization.............</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16,174</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19,091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21,922</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23,033</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25,375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18,643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21,736</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expenses.....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24,817</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26,751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29,254</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29,795</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36,843</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26,999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36,057</w:t>
            </w:r>
          </w:p>
        </w:tc>
      </w:tr>
      <w:tr>
        <w:trPr>
          <w:trHeight w:val="201"/>
        </w:trPr>
        <w:tc>
          <w:tcPr>
            <w:tcW w:w="26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General and adminis-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trative..............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3,569</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3,364</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4,744</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4,675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3,286</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5,206</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77,689</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85,556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92,687</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92,773</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98,443</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72,402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86,532</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before investors'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share of operations,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gain on sale of real</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estate and extraordi-</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nary item..............</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5,163</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5,393</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4,965</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7,424</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16,894</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11,584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14,750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Investors' share of op-</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erations...............</w:t>
            </w:r>
          </w:p>
        </w:tc>
        <w:tc>
          <w:tcPr>
            <w:tcW w:w="11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(499)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(641)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(437)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(780)</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(673)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(495)</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Income before gain on</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sale of real estate and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extraordinary item.....</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4,782</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4,894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4,324</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6,987</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16,114</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10,911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14,255</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Gain on sale of real 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tate...................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7,215</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947</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2,501</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before extraordi-</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nary item..............</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11,997</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5,841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4,385</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9,488</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16,114</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10,911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14,255</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Extraordinary item......</w:t>
            </w:r>
          </w:p>
        </w:tc>
        <w:tc>
          <w:tcPr>
            <w:tcW w:w="11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2,016</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(1,027)</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income..............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$ 11,997</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5,841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4,800</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9,430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$ 18,130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9,884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$ 14,255</w:t>
            </w:r>
          </w:p>
        </w:tc>
      </w:tr>
      <w:tr>
        <w:trPr>
          <w:trHeight w:val="201"/>
        </w:trPr>
        <w:tc>
          <w:tcPr>
            <w:tcW w:w="2620" w:type="dxa"/>
            <w:vAlign w:val="bottom"/>
          </w:tcPr>
          <w:p>
            <w:pPr>
              <w:spacing w:after="0"/>
              <w:rPr>
                <w:sz w:val="17"/>
                <w:szCs w:val="17"/>
                <w:color w:val="auto"/>
              </w:rPr>
            </w:pP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cash provided by op-</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erating activities(1)..</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$ 18,696</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$ 23,484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$ 26,111</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$ 28,236</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$ 35,183</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$ 23,469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$ 30,563</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Weighted average out-</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standing shares........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14,672</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16,695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17,304</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22,767</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27,009</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26,713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30,368</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Distributions made......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$ 19,174</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$ 23,688</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$ 25,426</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$ 33,319</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$ 40,611</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$ 29,782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$ 34,171</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Distributions made per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1.36</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1.42</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1.49</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1.525</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1.545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Funds from opera-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tions(2)...............</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$ 20,956</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$ 23,985</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$ 26,246</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$ 30,020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$ 41,489</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$ 29,554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$ 35,991</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fixed charges(3)(4)....</w:t>
            </w:r>
          </w:p>
        </w:tc>
        <w:tc>
          <w:tcPr>
            <w:tcW w:w="11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1.14x</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1.13x</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1.11x</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1.20x</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1.50x</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1.46x</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1.58x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Ratio of funds from</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operations to fixed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charges(2)(4)..........</w:t>
            </w:r>
          </w:p>
        </w:tc>
        <w:tc>
          <w:tcPr>
            <w:tcW w:w="11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1.59x</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1.63x</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1.66x</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1.84x</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2.29x</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2.24x</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2.47x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Real estate assets, at</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cost...................</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$514,552</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$555,879</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$566,056</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$598,867</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$758,088</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$698,911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$822,549</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assets............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565,779</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553,396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566,062</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603,811</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690,943</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635,875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734,401</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Mortgages payable.......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76,081</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75,271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99,466</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120,075</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81,237</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109,352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103,028</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Capital lease obliga-</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tions..................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128,535</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128,016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126,393</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125,619</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137,308</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124,963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136,580</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Notes payable...........</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29,357</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31,222</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11,665</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6,117</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30,519</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38,221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34,053</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Senior notes............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50,000</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50,000</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50,000</w:t>
            </w:r>
          </w:p>
        </w:tc>
        <w:tc>
          <w:tcPr>
            <w:tcW w:w="10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Convertible subordinated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debentures.............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105,630</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104,576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92,003</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46,218</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115,167</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43,847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75,289</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liabilities.......</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419,665</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424,050</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414,582</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380,933</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406,744</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355,269</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384,424</w:t>
            </w:r>
          </w:p>
        </w:tc>
      </w:tr>
      <w:tr>
        <w:trPr>
          <w:trHeight w:val="201"/>
        </w:trPr>
        <w:tc>
          <w:tcPr>
            <w:tcW w:w="2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Shareholders' equity....</w:t>
            </w:r>
          </w:p>
        </w:tc>
        <w:tc>
          <w:tcPr>
            <w:tcW w:w="116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146,114</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129,346</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151,480</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222,878</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284,199</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280,606</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349,977</w:t>
            </w:r>
          </w:p>
        </w:tc>
      </w:tr>
    </w:tbl>
    <w:p>
      <w:pPr>
        <w:sectPr>
          <w:pgSz w:w="11900" w:h="16838" w:orient="portrait"/>
          <w:cols w:equalWidth="0" w:num="1">
            <w:col w:w="10219"/>
          </w:cols>
          <w:pgMar w:left="240" w:top="71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879"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Determined in accordance with Financial Accounting Standards Board Statement No. 95.</w:t>
      </w:r>
    </w:p>
    <w:p>
      <w:pPr>
        <w:ind w:left="420" w:right="2039"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Defined as income before depreciation and amortization and extraordinary items less gain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 See "Management's Discussion" for additional discussion.</w:t>
      </w:r>
    </w:p>
    <w:p>
      <w:pPr>
        <w:ind w:left="420" w:right="2359"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computing this ratio, earnings consist of income before gain on sale of real estate and extraordinary item plus fixed charges.</w:t>
      </w:r>
    </w:p>
    <w:p>
      <w:pPr>
        <w:ind w:left="420" w:right="2039" w:hanging="413"/>
        <w:spacing w:after="0" w:line="254"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Fixed charges consist of interest on borrowed funds (including capitalized interest), amortization of debt discount and expenses and the portion of rent expense representing an interest factor.</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343" w:right="1440" w:bottom="1440" w:gutter="0" w:footer="0" w:header="0"/>
        </w:sectPr>
      </w:pPr>
    </w:p>
    <w:bookmarkStart w:id="6" w:name="page7"/>
    <w:bookmarkEnd w:id="6"/>
    <w:p>
      <w:pPr>
        <w:ind w:left="2940"/>
        <w:spacing w:after="0"/>
        <w:rPr>
          <w:sz w:val="20"/>
          <w:szCs w:val="20"/>
          <w:color w:val="auto"/>
        </w:rPr>
      </w:pPr>
      <w:r>
        <w:rPr>
          <w:rFonts w:ascii="Courier New" w:cs="Courier New" w:eastAsia="Courier New" w:hAnsi="Courier New"/>
          <w:sz w:val="17"/>
          <w:szCs w:val="17"/>
          <w:color w:val="auto"/>
        </w:rPr>
        <w:t>MANAGEMENT'S DISCUSSION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OPERATIONS--NINE MONTHS ENDED SEPTEMBER 30, 1994 AND 1993</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usually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 other factors, in setting shareholder distribution levels. Gains on sale of real estate and extraordinary items are also excluded from this supplemental measure of performance because such amounts are not part</w:t>
      </w:r>
    </w:p>
    <w:p>
      <w:pPr>
        <w:spacing w:after="0" w:line="201"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of the ongoing operations of the Trust's portfolio. Funds from operations does not replace net income as a measure of performance or net cash provided by operating activities as a measure of liquidity.</w:t>
      </w:r>
    </w:p>
    <w:p>
      <w:pPr>
        <w:spacing w:after="0" w:line="194"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Funds from operations increased 22% to $36.0 million in the first nine months of 1994 from $29.6 million in the first nine months of 1993. If funds from operations is adjusted to remove the effect of a nonrecurring write off of a mortgage note receivable, funds from operations increased 24% to $36.7 million from $29.6 million.</w:t>
      </w:r>
    </w:p>
    <w:p>
      <w:pPr>
        <w:spacing w:after="0" w:line="197"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96"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During the first nine months of 1994, rental income, which consists of minimum rent, percentage rent and cost recoveries, increased 22% to $94.2 million from 1993's $77.2 million. If rental income is adjusted to remove the effect of properties purchased in 1993 and 1994, rental income increased 7.0%, despite a $700,000 reduction in rental income at Congressional Plaza, whose occupancy was reduced during its redevelopment. The components of rental income with the greatest change are minimum rent and common area maintenance recovery (CAM recovery). Minimum rent increased 20% from the first nine months of 1993 to the comparable period of 1994; removing the effect of properties purchased in 1993 and 1994, the increase was 4%. CAM recovery on the portfolio, adjusted to remove the effect of properties purchased in 1993 and 1994, increased $2.8 million due to the corresponding increase in CAM expenses such as snow removal, landscaping and security costs.</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Other income, which includes items which tend to fluctuate from period to period, such as utility reimbursements, telephone income, merchant association dues, lease termination fees, late fees and temporary tenant income, increased from $3.9 million for the first nine months of 1993 to $4.1 million for the first nine months of 1994.</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Rental expenses increased from $19.4 million for the first nine months of 1993 to $27.2 million for the first nine months of 1994. If rental expenses are adjusted to remove the effect of properties purchased in 1993 and 1994, rental expenses increased 14% or $2.5 million, primarily because of an increase in snow removal due to the heavy snows of 1994 and because of increased security costs. Real estate taxes have increased primarily because of the 1993 and 1994 acquisitions. Depreciation and amortization charges increased because of the new acquisitions, but also because of depreciation on recent tenant work and property improvements.</w:t>
      </w:r>
    </w:p>
    <w:p>
      <w:pPr>
        <w:spacing w:after="0" w:line="201" w:lineRule="exact"/>
        <w:rPr>
          <w:sz w:val="20"/>
          <w:szCs w:val="20"/>
          <w:color w:val="auto"/>
        </w:rPr>
      </w:pPr>
    </w:p>
    <w:p>
      <w:pPr>
        <w:jc w:val="both"/>
        <w:ind w:right="2039" w:firstLine="209"/>
        <w:spacing w:after="0" w:line="254" w:lineRule="auto"/>
        <w:rPr>
          <w:sz w:val="20"/>
          <w:szCs w:val="20"/>
          <w:color w:val="auto"/>
        </w:rPr>
      </w:pPr>
      <w:r>
        <w:rPr>
          <w:rFonts w:ascii="Courier New" w:cs="Courier New" w:eastAsia="Courier New" w:hAnsi="Courier New"/>
          <w:sz w:val="17"/>
          <w:szCs w:val="17"/>
          <w:color w:val="auto"/>
        </w:rPr>
        <w:t>While interest expense remained relatively constant at $23.5 million in both periods, the components have changed. Decreases in interest expense, resulting from the repayment of several</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719" w:right="1440" w:bottom="1440" w:gutter="0" w:footer="0" w:header="0"/>
        </w:sectPr>
      </w:pPr>
    </w:p>
    <w:bookmarkStart w:id="7" w:name="page8"/>
    <w:bookmarkEnd w:id="7"/>
    <w:p>
      <w:pPr>
        <w:ind w:right="2039"/>
        <w:spacing w:after="0" w:line="252" w:lineRule="auto"/>
        <w:rPr>
          <w:sz w:val="20"/>
          <w:szCs w:val="20"/>
          <w:color w:val="auto"/>
        </w:rPr>
      </w:pPr>
      <w:r>
        <w:rPr>
          <w:rFonts w:ascii="Courier New" w:cs="Courier New" w:eastAsia="Courier New" w:hAnsi="Courier New"/>
          <w:sz w:val="17"/>
          <w:szCs w:val="17"/>
          <w:color w:val="auto"/>
        </w:rPr>
        <w:t>mortgages and the senior notes in 1993 and the redemption on April 30, 1994 of the 5 1/4% convertible subordinated debentures due 2002 were offset by increases in interest expense because of the issuance of the 5 1/4% convertible subordinated debentures due 2003, the interest portion of the capital lease payment on Bethesda Row, and interest on increased usage of the revolving credit facilities.</w:t>
      </w:r>
    </w:p>
    <w:p>
      <w:pPr>
        <w:spacing w:after="0" w:line="197" w:lineRule="exact"/>
        <w:rPr>
          <w:sz w:val="20"/>
          <w:szCs w:val="20"/>
          <w:color w:val="auto"/>
        </w:rPr>
      </w:pPr>
    </w:p>
    <w:p>
      <w:pPr>
        <w:ind w:right="2259" w:firstLine="209"/>
        <w:spacing w:after="0" w:line="251" w:lineRule="auto"/>
        <w:rPr>
          <w:sz w:val="20"/>
          <w:szCs w:val="20"/>
          <w:color w:val="auto"/>
        </w:rPr>
      </w:pPr>
      <w:r>
        <w:rPr>
          <w:rFonts w:ascii="Courier New" w:cs="Courier New" w:eastAsia="Courier New" w:hAnsi="Courier New"/>
          <w:sz w:val="17"/>
          <w:szCs w:val="17"/>
          <w:color w:val="auto"/>
        </w:rPr>
        <w:t>Administrative expenses are increasing as the Trust grows and as it seeks new acquisition and development opportunities. A major component of the increase in 1994 over 1993 is an increase in costs connected with the review and analysis of properties which were not acquired. During the third quarter of 1994 the Trust wrote down a mortgage note receivable and accrued interest on the note, totalling $758,000. The mortgage note was issued in 1982 in connection with the sale by the Trust of a shopping center in Delaware. Although the Trust will continue to pursue payment of the mortgage note, due to the current cash flow of the collateral property, collectibility is not certain.</w:t>
      </w:r>
    </w:p>
    <w:p>
      <w:pPr>
        <w:spacing w:after="0" w:line="201"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Income before extraordinary item increased from $10.9 million during the first nine months of 1993 to $14.3 million during the comparable period of 1994 because of the contribution of 1993 and 1994 acquisitions and because of growth in the core portfolio.</w:t>
      </w:r>
    </w:p>
    <w:p>
      <w:pPr>
        <w:spacing w:after="0" w:line="195"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During the first nine months of 1993 the Trust incurred losses on the early extinguishment of debt of $1.0 million due to the prepayment of two mortgages and the redemption of its 8 3/4% convertible subordinated debentures and senior notes.</w:t>
      </w:r>
    </w:p>
    <w:p>
      <w:pPr>
        <w:spacing w:after="0" w:line="195"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As a result of the foregoing items, primarily the increases in property income, net income rose from $9.9 million in the first nine months of 1993 to $14.3 million in the first nine months of 1994.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Trust meets its liquidity requirements through net cash provided by operating activities, long-term borrowing through debt offerings and mortgages, medium and short-term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6"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During 1994, the Trust spent approximately $49.5 million in cash to acquire five retail properties with an aggregate of 485,000 square feet. Through September 30, 1994, the Trust also spent $27.5 million on improvements to its properties. In November 1994, the Trust exercised an option to purchase the ground underlying the Northeast Shopping Center in Philadelphia, Pennsylvania for $4.1 million.</w:t>
      </w:r>
    </w:p>
    <w:p>
      <w:pPr>
        <w:spacing w:after="0" w:line="197" w:lineRule="exact"/>
        <w:rPr>
          <w:sz w:val="20"/>
          <w:szCs w:val="20"/>
          <w:color w:val="auto"/>
        </w:rPr>
      </w:pPr>
    </w:p>
    <w:p>
      <w:pPr>
        <w:jc w:val="both"/>
        <w:ind w:right="2139" w:firstLine="209"/>
        <w:spacing w:after="0" w:line="254" w:lineRule="auto"/>
        <w:rPr>
          <w:sz w:val="20"/>
          <w:szCs w:val="20"/>
          <w:color w:val="auto"/>
        </w:rPr>
      </w:pPr>
      <w:r>
        <w:rPr>
          <w:rFonts w:ascii="Courier New" w:cs="Courier New" w:eastAsia="Courier New" w:hAnsi="Courier New"/>
          <w:sz w:val="17"/>
          <w:szCs w:val="17"/>
          <w:color w:val="auto"/>
        </w:rPr>
        <w:t>In April 1994, $39.8 million of the Trust's 5 1/4% convertible subordinated debentures due 2002 were redeemed at a price equal to 120% of their principal amount or $47.8 million.</w:t>
      </w:r>
    </w:p>
    <w:p>
      <w:pPr>
        <w:spacing w:after="0" w:line="194"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These expenditures were funded by sales of equity and additional borrowings. In April 1994 the Trust raised net proceeds of $61.3 million from a public offering of 2.5 million shares. In a concurrent offering of 840,000 shares to an institutional investor, the Trust raised net proceeds of $21.7 million. In January 1994 the Trust placed a $22.5 million one year mortgage on Northeast Plaza in Atlanta, Georgia. This mortgage, which had been extended to January 1996, will be prepaid with a portion of the proceeds of this offering.</w:t>
      </w:r>
    </w:p>
    <w:p>
      <w:pPr>
        <w:spacing w:after="0" w:line="196"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In October 1994, the Trust modified its unsecured medium-term revolving credit facilities with four banks, increasing the total availability to $130.0 million. The facilities have covenants requiring a minimum shareholders' equity and a maximum ratio of debt to net worth, and are used to fund acquisitions and other cash requirements until conditions are favorable for issuing equity or long-term debt. At December 31, 1994, there was $54.7 million outstanding on these facilities.</w:t>
      </w:r>
    </w:p>
    <w:p>
      <w:pPr>
        <w:spacing w:after="0" w:line="1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719" w:right="1440" w:bottom="1440" w:gutter="0" w:footer="0" w:header="0"/>
        </w:sectPr>
      </w:pPr>
    </w:p>
    <w:bookmarkStart w:id="8" w:name="page9"/>
    <w:bookmarkEnd w:id="8"/>
    <w:p>
      <w:pPr>
        <w:ind w:left="3680"/>
        <w:spacing w:after="0"/>
        <w:rPr>
          <w:sz w:val="20"/>
          <w:szCs w:val="20"/>
          <w:color w:val="auto"/>
        </w:rPr>
      </w:pPr>
      <w:r>
        <w:rPr>
          <w:rFonts w:ascii="Courier New" w:cs="Courier New" w:eastAsia="Courier New" w:hAnsi="Courier New"/>
          <w:sz w:val="17"/>
          <w:szCs w:val="17"/>
          <w:color w:val="auto"/>
        </w:rPr>
        <w:t>PROPERTIES</w:t>
      </w:r>
    </w:p>
    <w:p>
      <w:pPr>
        <w:spacing w:after="0" w:line="210" w:lineRule="exact"/>
        <w:rPr>
          <w:sz w:val="20"/>
          <w:szCs w:val="20"/>
          <w:color w:val="auto"/>
        </w:rPr>
      </w:pPr>
    </w:p>
    <w:p>
      <w:pPr>
        <w:ind w:right="3360" w:firstLine="209"/>
        <w:spacing w:after="0" w:line="253" w:lineRule="auto"/>
        <w:rPr>
          <w:sz w:val="20"/>
          <w:szCs w:val="20"/>
          <w:color w:val="auto"/>
        </w:rPr>
      </w:pPr>
      <w:r>
        <w:rPr>
          <w:rFonts w:ascii="Courier New" w:cs="Courier New" w:eastAsia="Courier New" w:hAnsi="Courier New"/>
          <w:sz w:val="17"/>
          <w:szCs w:val="17"/>
          <w:color w:val="auto"/>
        </w:rPr>
        <w:t>At September 30, 1994, the Trust owned or had leasehold interests in 50 neighborhood and community shopping centers, one enclosed mall (Willow Lawn) and one apartment complex. The following table sets forth information concerning the Trust's properties as of September 30, 1994.</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PERCENT</w:t>
            </w:r>
          </w:p>
        </w:tc>
        <w:tc>
          <w:tcPr>
            <w:tcW w:w="226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LEASED AT</w:t>
            </w:r>
          </w:p>
        </w:tc>
        <w:tc>
          <w:tcPr>
            <w:tcW w:w="226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RENTABLE</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ACQUISITION</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TOTAL</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SEPTEMBER 30,</w:t>
            </w:r>
          </w:p>
        </w:tc>
        <w:tc>
          <w:tcPr>
            <w:tcW w:w="2260" w:type="dxa"/>
            <w:vAlign w:val="bottom"/>
          </w:tcPr>
          <w:p>
            <w:pPr>
              <w:ind w:left="68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620" w:type="dxa"/>
            <w:vAlign w:val="bottom"/>
          </w:tcPr>
          <w:p>
            <w:pPr>
              <w:spacing w:after="0"/>
              <w:rPr>
                <w:sz w:val="17"/>
                <w:szCs w:val="17"/>
                <w:color w:val="auto"/>
              </w:rPr>
            </w:pPr>
          </w:p>
        </w:tc>
        <w:tc>
          <w:tcPr>
            <w:tcW w:w="226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ACQUIRED SQUARE FEET</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1994</w:t>
            </w:r>
          </w:p>
        </w:tc>
        <w:tc>
          <w:tcPr>
            <w:tcW w:w="2260" w:type="dxa"/>
            <w:vAlign w:val="bottom"/>
          </w:tcPr>
          <w:p>
            <w:pPr>
              <w:ind w:left="80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620" w:type="dxa"/>
            <w:vAlign w:val="bottom"/>
          </w:tcPr>
          <w:p>
            <w:pPr>
              <w:spacing w:after="0"/>
              <w:rPr>
                <w:sz w:val="17"/>
                <w:szCs w:val="17"/>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w:t>
            </w:r>
          </w:p>
        </w:tc>
        <w:tc>
          <w:tcPr>
            <w:tcW w:w="2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SHOPPING CENTERS</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Allwood</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3,920,000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4,147,000</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Grand Union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Clifton, 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Andorra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14,778,000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16,202,000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93</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Clover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Andorra Theater</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Acme Markets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Bala Cynwyd</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18,115,000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18,577,000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89</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Lord &amp; Taylor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Bala Cynwyd, Pa.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Acme Markets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Barracks Road</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20,822,000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30,462,000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Rose's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Charlottesville, Va.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Safeway</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Superfresh</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Bethesda Row</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18,823,000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19,295,000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94</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Bethesda, Md.(1)(5)</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Giant Pharmacy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Blue Star</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29,922,000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30,844,000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99</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Caldor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Watchung, 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Shop Rite</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Brainerd Village</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1987</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9,926,000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12,269,000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69</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Office Depot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Chattanooga, Tn.</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50 Off</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Petstuff</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Brick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24,715,000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29,869,000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75</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A&amp;P Supermarkets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Brick Township, 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Steinbach's</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H.L. Green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Brunswick</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12,456,000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12,978,000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Caldor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North Brunswick,</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Grand Union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Schwartz Furniture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Clifton</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3,646,000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3,772,000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Acme Markets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Clifton, 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Channel Home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Congressional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1965</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10,217,000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22,599,000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72</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Md.(2)</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Tower Records</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Container Store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Crossroads</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16,246,000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16,810,000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85</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Gold Standard Liquors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Highland Park, Il.</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TJ Maxx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Dedham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25,287,000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25,556,000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99</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Ames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Dedham, Ma.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Workout Plus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Eastgate</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7,383,000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11,528,000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Southern Season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Chapel Hill, N.C.</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Food Lion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Ellisburg Circle</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1992</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15,337,000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24,177,000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95</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Shop Rite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Cherry Hill, N.J.</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Falls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1967</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1,265,000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2,463,000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CVS Pharmacy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Feasterville</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1,600,000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3,826,000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96</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Genuardi Markets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Feasterville, Pa.(1)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Eric Theater</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Office Max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Federal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1989</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28,111,000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59,133,000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CompUSA</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T.J. Maxx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Flourtown</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2,153,000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3,105,000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Channel Home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Flourtown, Pa.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Genuardi Markets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Gaithersburg Square</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12,972,000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14,849,000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81</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CVS Pharmacy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Garden Market</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7,506,000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7,506,000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93</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Western Springs, Il.</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Governor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6,973,000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16,845,000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Office Depot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Glen Burnie, Md.</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Frank's Nursery</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Syms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Hamilton</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5,405,000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6,730,000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91</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Steven's Furniture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Hamilton, N.J.(1)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Shop Rite</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A.C.Moore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Huntington</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16,008,000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19,186,000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97</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Service Merchandise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Huntington, N.Y.(1)</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Bed, Bath &amp; Beyond</w:t>
            </w:r>
          </w:p>
        </w:tc>
      </w:tr>
      <w:tr>
        <w:trPr>
          <w:trHeight w:val="201"/>
        </w:trPr>
        <w:tc>
          <w:tcPr>
            <w:tcW w:w="2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Idylwood Plaza</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14,334,000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14,402,000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Annie Sez</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Lancaster</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2,103,000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4,570,000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92</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Giant Eagle</w:t>
            </w:r>
          </w:p>
        </w:tc>
      </w:tr>
    </w:tbl>
    <w:p>
      <w:pPr>
        <w:sectPr>
          <w:pgSz w:w="11900" w:h="16838" w:orient="portrait"/>
          <w:cols w:equalWidth="0" w:num="1">
            <w:col w:w="11320"/>
          </w:cols>
          <w:pgMar w:left="240" w:top="719"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ind w:left="120"/>
              <w:spacing w:after="0"/>
              <w:rPr>
                <w:sz w:val="20"/>
                <w:szCs w:val="20"/>
                <w:color w:val="auto"/>
              </w:rPr>
            </w:pPr>
            <w:r>
              <w:rPr>
                <w:rFonts w:ascii="Courier New" w:cs="Courier New" w:eastAsia="Courier New" w:hAnsi="Courier New"/>
                <w:sz w:val="17"/>
                <w:szCs w:val="17"/>
                <w:color w:val="auto"/>
              </w:rPr>
              <w:t>Lancaster,</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Pa.(1)</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A.C. Moore</w:t>
            </w:r>
          </w:p>
        </w:tc>
      </w:tr>
      <w:tr>
        <w:trPr>
          <w:trHeight w:val="201"/>
        </w:trPr>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Langhorne Square</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1985</w:t>
            </w:r>
          </w:p>
        </w:tc>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189,000</w:t>
            </w:r>
          </w:p>
        </w:tc>
        <w:tc>
          <w:tcPr>
            <w:tcW w:w="2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3,694,000   11,880,000</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98</w:t>
            </w:r>
          </w:p>
        </w:tc>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Marshalls</w:t>
            </w:r>
          </w:p>
        </w:tc>
      </w:tr>
      <w:tr>
        <w:trPr>
          <w:trHeight w:val="201"/>
        </w:trPr>
        <w:tc>
          <w:tcPr>
            <w:tcW w:w="1220" w:type="dxa"/>
            <w:vAlign w:val="bottom"/>
          </w:tcPr>
          <w:p>
            <w:pPr>
              <w:ind w:left="120"/>
              <w:spacing w:after="0"/>
              <w:rPr>
                <w:sz w:val="20"/>
                <w:szCs w:val="20"/>
                <w:color w:val="auto"/>
              </w:rPr>
            </w:pPr>
            <w:r>
              <w:rPr>
                <w:rFonts w:ascii="Courier New" w:cs="Courier New" w:eastAsia="Courier New" w:hAnsi="Courier New"/>
                <w:sz w:val="17"/>
                <w:szCs w:val="17"/>
                <w:color w:val="auto"/>
              </w:rPr>
              <w:t>Levittown,</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Pa.</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7"/>
                <w:szCs w:val="17"/>
                <w:color w:val="auto"/>
              </w:rPr>
              <w:t>Luxury Linens</w:t>
            </w:r>
          </w:p>
        </w:tc>
      </w:tr>
      <w:tr>
        <w:trPr>
          <w:trHeight w:val="604"/>
        </w:trPr>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7"/>
                <w:szCs w:val="17"/>
                <w:color w:val="auto"/>
              </w:rPr>
              <w:t>S-8</w:t>
            </w:r>
          </w:p>
        </w:tc>
        <w:tc>
          <w:tcPr>
            <w:tcW w:w="2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480"/>
          </w:cols>
          <w:pgMar w:left="240" w:top="142" w:right="11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PERCENT</w:t>
            </w: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LEASED AT</w:t>
            </w: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YEAR</w:t>
            </w: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RENTABLE</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ACQUISITION</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TOTAL</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SEPTEMBER 30,</w:t>
            </w:r>
          </w:p>
        </w:tc>
        <w:tc>
          <w:tcPr>
            <w:tcW w:w="2460" w:type="dxa"/>
            <w:vAlign w:val="bottom"/>
          </w:tcPr>
          <w:p>
            <w:pPr>
              <w:ind w:left="800"/>
              <w:spacing w:after="0"/>
              <w:rPr>
                <w:sz w:val="20"/>
                <w:szCs w:val="20"/>
                <w:color w:val="auto"/>
              </w:rPr>
            </w:pPr>
            <w:r>
              <w:rPr>
                <w:rFonts w:ascii="Courier New" w:cs="Courier New" w:eastAsia="Courier New" w:hAnsi="Courier New"/>
                <w:sz w:val="17"/>
                <w:szCs w:val="17"/>
                <w:color w:val="auto"/>
              </w:rPr>
              <w:t>PRINCIPAL</w:t>
            </w:r>
          </w:p>
        </w:tc>
      </w:tr>
      <w:tr>
        <w:trPr>
          <w:trHeight w:val="201"/>
        </w:trPr>
        <w:tc>
          <w:tcPr>
            <w:tcW w:w="262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ACQUIRED SQUARE FEET</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3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COST</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1994</w:t>
            </w:r>
          </w:p>
        </w:tc>
        <w:tc>
          <w:tcPr>
            <w:tcW w:w="2460" w:type="dxa"/>
            <w:vAlign w:val="bottom"/>
          </w:tcPr>
          <w:p>
            <w:pPr>
              <w:ind w:left="900"/>
              <w:spacing w:after="0"/>
              <w:rPr>
                <w:sz w:val="20"/>
                <w:szCs w:val="20"/>
                <w:color w:val="auto"/>
              </w:rPr>
            </w:pPr>
            <w:r>
              <w:rPr>
                <w:rFonts w:ascii="Courier New" w:cs="Courier New" w:eastAsia="Courier New" w:hAnsi="Courier New"/>
                <w:sz w:val="17"/>
                <w:szCs w:val="17"/>
                <w:color w:val="auto"/>
              </w:rPr>
              <w:t>TENANTS</w:t>
            </w:r>
          </w:p>
        </w:tc>
      </w:tr>
      <w:tr>
        <w:trPr>
          <w:trHeight w:val="201"/>
        </w:trPr>
        <w:tc>
          <w:tcPr>
            <w:tcW w:w="2620" w:type="dxa"/>
            <w:vAlign w:val="bottom"/>
          </w:tcPr>
          <w:p>
            <w:pPr>
              <w:spacing w:after="0"/>
              <w:rPr>
                <w:sz w:val="17"/>
                <w:szCs w:val="17"/>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Laurel Centre</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$ 29,983,000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$ 40,799,000</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92%</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Giant Food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Laurel, Md.</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Marshalls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Lawrence Park</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7,160,000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12,167,000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99</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Best Products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Broomall, Pa.(1)</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Acme Markets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Rickel Home Center</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Loehmann's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16,333,000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20,633,000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Holiday Spa</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Va.(3)</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Linens N Things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Scan Furniture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Mid-Pike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10,335,000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15,265,000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99</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Syms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Rockville, Md.(1)</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G Street Fabrics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North City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1987</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2,500,000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3,009,000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92</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New Castle, Pa.(4)</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Northeast</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11,748,000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19,114,000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97</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Philadelphia, Pa.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Marshalls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Northeast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446,000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33,166,000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38,340,000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88</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Levitz Furniture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Atlanta, Ga.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Sportstown</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Publix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North Lake Commons</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1994</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10,871,000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11,133,000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97</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Dominick's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Lake Zurich, Il</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Old Keene Mill</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1976</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1,636,000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3,498,000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95</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Fresh Fields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Springfield, Va.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Sassafras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Pan Am</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21,623,000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23,242,000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96</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Micro Center</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Fairfax, Va.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Safeway</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MJ Designs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Perring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1985</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9,261,000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23,470,000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96</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Metro Foods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Baltimore, Md.</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Home Depot</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Quince Orchard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1993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11,146,000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12,653,000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98</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Circuit City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Gaithersburg, Md.</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MJ Design</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U.S. Dept. of Energy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Roseville</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2,126,000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4,159,000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F&amp;M Distributors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Roseville, Mi.</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Handy Andy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Rutgers</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1988</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14,429,000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14,754,000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99</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Foodtown</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Franklin, N.J.(1)</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Shillington</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1,387,000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2,907,000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77</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Rite Aid</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Shillington, Pa.(1)</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Stacey's Buffet</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Town &amp; Country Plaza</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1990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4,766,000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5,337,000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90</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Winn-Dixie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Hammond, La.(5)</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Weiner's Department</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Store</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Town &amp; Country</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3,387,000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8,249,000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Burlington Coat Factory</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Springfield, Il.</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National Supermarkets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Troy</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1980</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5,193,000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10,085,000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97</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Kmart</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Parsippany-Troy,</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Pathmark</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N.J.(1)</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CompUSA</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Tysons Station</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1978</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841,000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3,097,000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94</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Sassafras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Linens N Things</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Westfalls</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1972</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1,073,000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3,113,000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100</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Staples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Falls Church, Va.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Wildwood</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1969</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10,196,000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14,944,000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97</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Sutton Place</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Bethesda, Md.</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Gourmet</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CVS Pharmacy</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Williamsburg</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1986</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239,000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9,918,000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11,928,000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92</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Rose's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Williamsburg, Va.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Peebles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Food Lion</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Willow Grove</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1984</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8,243,000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23,441,000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93</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Toys R Us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Willow Grove, Pa.</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Marshalls</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Office Max</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The Shops at Willow Lawn</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1983</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451,000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10,915,000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47,671,000</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89</w:t>
            </w: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Leggett Stores</w:t>
            </w: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Richmond, Va.(5)</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J.C. Penney</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Courier New" w:cs="Courier New" w:eastAsia="Courier New" w:hAnsi="Courier New"/>
                <w:sz w:val="17"/>
                <w:szCs w:val="17"/>
                <w:color w:val="auto"/>
              </w:rPr>
              <w:t>The Limited</w:t>
            </w: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Total or Average</w:t>
            </w:r>
          </w:p>
        </w:tc>
        <w:tc>
          <w:tcPr>
            <w:tcW w:w="900" w:type="dxa"/>
            <w:vAlign w:val="bottom"/>
          </w:tcPr>
          <w:p>
            <w:pPr>
              <w:spacing w:after="0"/>
              <w:rPr>
                <w:sz w:val="17"/>
                <w:szCs w:val="17"/>
                <w:color w:val="auto"/>
              </w:rPr>
            </w:pP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10,902,000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$571,953,000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$816,588,000</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93%</w:t>
            </w: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APARTMENT COMPLEX</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Rollingwood Apartments</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1971</w:t>
            </w: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282 units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2,798,000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5,961,000</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98%</w:t>
            </w:r>
          </w:p>
        </w:tc>
        <w:tc>
          <w:tcPr>
            <w:tcW w:w="2460" w:type="dxa"/>
            <w:vAlign w:val="bottom"/>
          </w:tcPr>
          <w:p>
            <w:pPr>
              <w:spacing w:after="0"/>
              <w:rPr>
                <w:sz w:val="17"/>
                <w:szCs w:val="17"/>
                <w:color w:val="auto"/>
              </w:rPr>
            </w:pPr>
          </w:p>
        </w:tc>
      </w:tr>
      <w:tr>
        <w:trPr>
          <w:trHeight w:val="201"/>
        </w:trPr>
        <w:tc>
          <w:tcPr>
            <w:tcW w:w="2620" w:type="dxa"/>
            <w:vAlign w:val="bottom"/>
          </w:tcPr>
          <w:p>
            <w:pPr>
              <w:ind w:left="120"/>
              <w:spacing w:after="0"/>
              <w:rPr>
                <w:sz w:val="20"/>
                <w:szCs w:val="20"/>
                <w:color w:val="auto"/>
              </w:rPr>
            </w:pPr>
            <w:r>
              <w:rPr>
                <w:rFonts w:ascii="Courier New" w:cs="Courier New" w:eastAsia="Courier New" w:hAnsi="Courier New"/>
                <w:sz w:val="17"/>
                <w:szCs w:val="17"/>
                <w:color w:val="auto"/>
              </w:rPr>
              <w:t>Silver Spring, Md.</w:t>
            </w: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6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The Trust has a leasehold interest in this center.</w:t>
      </w:r>
    </w:p>
    <w:p>
      <w:pPr>
        <w:sectPr>
          <w:pgSz w:w="11900" w:h="16838" w:orient="portrait"/>
          <w:cols w:equalWidth="0" w:num="1">
            <w:col w:w="11520"/>
          </w:cols>
          <w:pgMar w:left="240" w:top="1122" w:right="139" w:bottom="0" w:gutter="0" w:footer="0" w:header="0"/>
        </w:sectPr>
      </w:pPr>
    </w:p>
    <w:bookmarkStart w:id="11" w:name="page12"/>
    <w:bookmarkEnd w:id="11"/>
    <w:p>
      <w:pPr>
        <w:ind w:left="413" w:hanging="413"/>
        <w:spacing w:after="0"/>
        <w:tabs>
          <w:tab w:leader="none" w:pos="41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owns a 49% equity interest in this center.</w:t>
      </w:r>
    </w:p>
    <w:p>
      <w:pPr>
        <w:spacing w:after="0" w:line="8" w:lineRule="exact"/>
        <w:rPr>
          <w:rFonts w:ascii="Courier New" w:cs="Courier New" w:eastAsia="Courier New" w:hAnsi="Courier New"/>
          <w:sz w:val="17"/>
          <w:szCs w:val="17"/>
          <w:color w:val="auto"/>
        </w:rPr>
      </w:pPr>
    </w:p>
    <w:p>
      <w:pPr>
        <w:ind w:left="413" w:right="3099" w:hanging="413"/>
        <w:spacing w:after="0" w:line="251" w:lineRule="auto"/>
        <w:tabs>
          <w:tab w:leader="none" w:pos="41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owns a 1% general partnership interest and manages the partnership.</w:t>
      </w:r>
    </w:p>
    <w:p>
      <w:pPr>
        <w:ind w:left="413" w:hanging="413"/>
        <w:spacing w:after="0"/>
        <w:tabs>
          <w:tab w:leader="none" w:pos="41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owns an 88% general partnership interest in this center.</w:t>
      </w:r>
    </w:p>
    <w:p>
      <w:pPr>
        <w:spacing w:after="0" w:line="8" w:lineRule="exact"/>
        <w:rPr>
          <w:rFonts w:ascii="Courier New" w:cs="Courier New" w:eastAsia="Courier New" w:hAnsi="Courier New"/>
          <w:sz w:val="17"/>
          <w:szCs w:val="17"/>
          <w:color w:val="auto"/>
        </w:rPr>
      </w:pPr>
    </w:p>
    <w:p>
      <w:pPr>
        <w:ind w:left="413" w:hanging="413"/>
        <w:spacing w:after="0"/>
        <w:tabs>
          <w:tab w:leader="none" w:pos="413"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 owns this center subject to a ground lease.</w:t>
      </w:r>
    </w:p>
    <w:p>
      <w:pPr>
        <w:spacing w:after="0" w:line="210" w:lineRule="exact"/>
        <w:rPr>
          <w:sz w:val="20"/>
          <w:szCs w:val="20"/>
          <w:color w:val="auto"/>
        </w:rPr>
      </w:pPr>
    </w:p>
    <w:p>
      <w:pPr>
        <w:ind w:left="3973"/>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2"/>
          </w:cols>
          <w:pgMar w:left="247" w:top="142" w:right="1440" w:bottom="1440" w:gutter="0" w:footer="0" w:header="0"/>
        </w:sectPr>
      </w:pPr>
    </w:p>
    <w:bookmarkStart w:id="12" w:name="page13"/>
    <w:bookmarkEnd w:id="12"/>
    <w:p>
      <w:pPr>
        <w:ind w:left="3040"/>
        <w:spacing w:after="0"/>
        <w:rPr>
          <w:sz w:val="20"/>
          <w:szCs w:val="20"/>
          <w:color w:val="auto"/>
        </w:rPr>
      </w:pPr>
      <w:r>
        <w:rPr>
          <w:rFonts w:ascii="Courier New" w:cs="Courier New" w:eastAsia="Courier New" w:hAnsi="Courier New"/>
          <w:sz w:val="17"/>
          <w:szCs w:val="17"/>
          <w:color w:val="auto"/>
        </w:rPr>
        <w:t>DESCRIPTION OF NOTES</w:t>
      </w:r>
    </w:p>
    <w:p>
      <w:pPr>
        <w:spacing w:after="0" w:line="210"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following description of the particular terms of the Notes offered hereby (referred to in the accompanying Prospectus as the "Debt Securities") supplements, and to the extent inconsistent therewith replaces, the description of the general terms and provisions of Debt Securities set forth in the Prospectus, to which description reference is hereby made. The following statements relating to the Notes and the Senior Indenture are summaries of provisions contained therein and do not purport to be complete. Such statements are qualified by reference to the provisions of the Notes and the Senior Indenture, including the definitions therein of certain terms. The Senior Indenture is an exhibit to the registration statement of which the Prospectus accompanying this Prospectus Supplement is a part. Capitalized terms not otherwise defined herein shall have the meanings given to them in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8 7/8% Notes due January 15, 2000 (the "Notes") will be limited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$100,000,000 aggregate principal amount and will mature on January 15, 2000.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will not be redeemable prior to maturity. The Notes will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unsecured and unsubordinated obligations of the Trust and will rank equally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other unsecured and unsubordinated indebtedness of the Trust.</w:t>
      </w:r>
    </w:p>
    <w:p>
      <w:pPr>
        <w:spacing w:after="0" w:line="210"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The Notes will only be issued in fully registered book-entry form without coupons in denominations of $1,000 and integral multiples thereof, except under the limited circumstances described below under "--Book-Entry System."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Notes will bear interest at the rate set forth on the cover page of this Prospectus Supplement from January 19, 1995, or the most recent Interest Payment Date (as defined below) to which interest has been paid or provided for, payable semi-annually on January 15 and July 15 of each year, beginning July 15, 1995 (each, an "Interest Payment Date"), to the person in whose name a Note (or any predecessor Note) is registered at the close of business on the January 1 or July 1, as the case may be, next preceding such Interest Payment Date.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COVENANTS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Limitations on Incurrence of Debt. The Notes will provide that the Trust will not, and will not permit any Subsidiary to, incur any Debt (as defined below) if, immediately after giving effect to the incurrence of such Debt and the application of the proceeds thereof, the aggregate principal amount of all outstanding Debt of the Trust and its Subsidiaries on a consolidated basis determined in accordance with generally accepted accounting principles is greater than 65% of the sum of (without 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202"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In addition to the foregoing limitation on the incurrence of Debt, the Notes will provide that the Trust will not, and will not permit any Subsidiary to, incur any Debt secured by any mortgage, lien,</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719" w:right="1440" w:bottom="1440" w:gutter="0" w:footer="0" w:header="0"/>
        </w:sectPr>
      </w:pPr>
    </w:p>
    <w:bookmarkStart w:id="13" w:name="page14"/>
    <w:bookmarkEnd w:id="13"/>
    <w:p>
      <w:pPr>
        <w:ind w:right="2039"/>
        <w:spacing w:after="0" w:line="251" w:lineRule="auto"/>
        <w:rPr>
          <w:sz w:val="20"/>
          <w:szCs w:val="20"/>
          <w:color w:val="auto"/>
        </w:rPr>
      </w:pPr>
      <w:r>
        <w:rPr>
          <w:rFonts w:ascii="Courier New" w:cs="Courier New" w:eastAsia="Courier New" w:hAnsi="Courier New"/>
          <w:sz w:val="17"/>
          <w:szCs w:val="17"/>
          <w:color w:val="auto"/>
        </w:rPr>
        <w:t>charge, pledge, encumbrance or security interest of any kind upon any of the property of the Trust or any Subsidiary if, immediately after giving effect to the incurrence of such Debt and the application of the proceeds thereof, the aggregate principal amount of all outstanding Debt of the Trust and its Subsidiaries on a consolidated basis which is secured by any mortgage, lien, charge, pledge, 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201"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In addition to the foregoing limitations on the incurrence of Debt, the Notes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w:t>
      </w:r>
    </w:p>
    <w:p>
      <w:pPr>
        <w:ind w:right="2039" w:firstLine="7"/>
        <w:spacing w:after="0" w:line="251" w:lineRule="auto"/>
        <w:tabs>
          <w:tab w:leader="none" w:pos="52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Furthermore, the Notes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00" w:lineRule="exact"/>
        <w:rPr>
          <w:sz w:val="20"/>
          <w:szCs w:val="20"/>
          <w:color w:val="auto"/>
        </w:rPr>
      </w:pP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719" w:right="1440" w:bottom="1440" w:gutter="0" w:footer="0" w:header="0"/>
        </w:sectPr>
      </w:pPr>
    </w:p>
    <w:bookmarkStart w:id="14" w:name="page15"/>
    <w:bookmarkEnd w:id="14"/>
    <w:p>
      <w:pPr>
        <w:ind w:left="220"/>
        <w:spacing w:after="0"/>
        <w:rPr>
          <w:sz w:val="20"/>
          <w:szCs w:val="20"/>
          <w:color w:val="auto"/>
        </w:rPr>
      </w:pPr>
      <w:r>
        <w:rPr>
          <w:rFonts w:ascii="Courier New" w:cs="Courier New" w:eastAsia="Courier New" w:hAnsi="Courier New"/>
          <w:sz w:val="17"/>
          <w:szCs w:val="17"/>
          <w:color w:val="auto"/>
        </w:rPr>
        <w:t>As used herein,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"Acquired Debt" means Debt (or Senior Debt, as the case may be) of a Person</w:t>
      </w:r>
    </w:p>
    <w:p>
      <w:pPr>
        <w:spacing w:after="0" w:line="9" w:lineRule="exact"/>
        <w:rPr>
          <w:sz w:val="20"/>
          <w:szCs w:val="20"/>
          <w:color w:val="auto"/>
        </w:rPr>
      </w:pPr>
    </w:p>
    <w:p>
      <w:pPr>
        <w:ind w:right="2139" w:firstLine="7"/>
        <w:spacing w:after="0" w:line="252" w:lineRule="auto"/>
        <w:tabs>
          <w:tab w:leader="none" w:pos="41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existing at the time such Person becomes a Subsidiary or (ii)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96"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195"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"Annual Senior Debt Service Charge" as of any date means the maximum amount which is payable in any period for interest on, and original issue discount of, Senior Debt of the Trust and its Subsidiaries.</w:t>
      </w:r>
    </w:p>
    <w:p>
      <w:pPr>
        <w:spacing w:after="0" w:line="194"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97"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195"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w:t>
      </w:r>
    </w:p>
    <w:p>
      <w:pPr>
        <w:ind w:right="2039" w:firstLine="7"/>
        <w:spacing w:after="0" w:line="251" w:lineRule="auto"/>
        <w:tabs>
          <w:tab w:leader="none" w:pos="62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 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02"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"Disqualified Stock" means, with respect to any Person, any Capital Stock of such Person which by the terms of such Capital Stock (or by the terms of any security into which it is convertible or for</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719" w:right="1440" w:bottom="1440" w:gutter="0" w:footer="0" w:header="0"/>
        </w:sectPr>
      </w:pPr>
    </w:p>
    <w:bookmarkStart w:id="15" w:name="page16"/>
    <w:bookmarkEnd w:id="15"/>
    <w:p>
      <w:pPr>
        <w:ind w:right="2039"/>
        <w:spacing w:after="0" w:line="252" w:lineRule="auto"/>
        <w:rPr>
          <w:sz w:val="20"/>
          <w:szCs w:val="20"/>
          <w:color w:val="auto"/>
        </w:rPr>
      </w:pPr>
      <w:r>
        <w:rPr>
          <w:rFonts w:ascii="Courier New" w:cs="Courier New" w:eastAsia="Courier New" w:hAnsi="Courier New"/>
          <w:sz w:val="17"/>
          <w:szCs w:val="17"/>
          <w:color w:val="auto"/>
        </w:rPr>
        <w:t>which it is exchangeable or exercisable), upon the happening of any event or otherwise (i) 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197" w:lineRule="exact"/>
        <w:rPr>
          <w:sz w:val="20"/>
          <w:szCs w:val="20"/>
          <w:color w:val="auto"/>
        </w:rPr>
      </w:pPr>
    </w:p>
    <w:p>
      <w:pPr>
        <w:ind w:right="2139" w:firstLine="209"/>
        <w:spacing w:after="0" w:line="257" w:lineRule="auto"/>
        <w:rPr>
          <w:sz w:val="20"/>
          <w:szCs w:val="20"/>
          <w:color w:val="auto"/>
        </w:rPr>
      </w:pPr>
      <w:r>
        <w:rPr>
          <w:rFonts w:ascii="Courier New" w:cs="Courier New" w:eastAsia="Courier New" w:hAnsi="Courier New"/>
          <w:sz w:val="17"/>
          <w:szCs w:val="17"/>
          <w:color w:val="auto"/>
        </w:rPr>
        <w:t>"Funds from Operations" for any period means income before depreciation and amortization and extraordinary items less gain on sale of real estate.</w:t>
      </w:r>
    </w:p>
    <w:p>
      <w:pPr>
        <w:spacing w:after="0" w:line="192"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"Senior Debt" means Debt other than subordinated Debt and payments under Disqualified Stock of the Trust.</w:t>
      </w:r>
    </w:p>
    <w:p>
      <w:pPr>
        <w:spacing w:after="0" w:line="192"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195"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"Undepreciated Real Estate Assets" as of any date means the cost (original cost plus capital improvements) of real estate assets of the Trust and its Subsidiaries on such date, before depreciation and amortization determined on a consolidated basis in accordance with generally accepted accounting principles.</w:t>
      </w:r>
    </w:p>
    <w:p>
      <w:pPr>
        <w:spacing w:after="0" w:line="396" w:lineRule="exact"/>
        <w:rPr>
          <w:sz w:val="20"/>
          <w:szCs w:val="20"/>
          <w:color w:val="auto"/>
        </w:rPr>
      </w:pPr>
    </w:p>
    <w:p>
      <w:pPr>
        <w:ind w:right="2359" w:firstLine="209"/>
        <w:spacing w:after="0" w:line="257" w:lineRule="auto"/>
        <w:rPr>
          <w:sz w:val="20"/>
          <w:szCs w:val="20"/>
          <w:color w:val="auto"/>
        </w:rPr>
      </w:pPr>
      <w:r>
        <w:rPr>
          <w:rFonts w:ascii="Courier New" w:cs="Courier New" w:eastAsia="Courier New" w:hAnsi="Courier New"/>
          <w:sz w:val="17"/>
          <w:szCs w:val="17"/>
          <w:color w:val="auto"/>
        </w:rPr>
        <w:t>See "Description of Debt Securities--Certain Covenants" in the Prospectus for a description of additional covenants applicable to the Trust.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DEFEASANCE</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The provisions of Article 14 of the Senior Indenture relating to defeasance and covenant defeasance, which are described in the accompanying Prospectus, will apply to the Notes.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SYSTEM</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Notes will be represented by a single global security (the "Global Security") and registered in the name of DTC or its nominee. Upon the issuance of the Global Security, DTC or its nominee will credit, on its book-entry registration and transfer system, the respective principal amounts of the Notes represented by the Global Security to the accounts designated by the Underwriters. Ownership of beneficial interests in the Global Security will be limited to institutions that have accounts with DTC or its nominee ("Participants") and to persons that may hold interests through Participants. Ownership of beneficial interests in the Global Security will be shown only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the Global Security.</w:t>
      </w:r>
    </w:p>
    <w:p>
      <w:pPr>
        <w:spacing w:after="0" w:line="20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any provision of the Senior Indenture or the Notes, the Global Security may not be exchanged in whole or in part for Notes registered, and no transfer of the Global Security in whole or in part may be registered, in the name of any Person other than DTC or any nominee of DTC unless (i) DTC has notified the Trust that it is unwilling or unable to continue as depositary for the Global Security or has ceased to be qualified to act as such as required by the Senior Indenture or (ii) there shall have occurred and be continuing an Event of Default with respect to the Notes. All Notes issued in exchange for the Global Security or any portion thereof will be registered in such names as DTC may direct.</w:t>
      </w:r>
    </w:p>
    <w:p>
      <w:pPr>
        <w:spacing w:after="0" w:line="201"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As long as DTC or its nominee is the registered holder and owner of the Global Security, DTC or such nominee, as the case may be, will be considered the sole owner and holder of the Notes for all purposes of such Notes and for all purposes under the Senior Indenture. Except in the limited circumstances referred to above, owners of beneficial interests in the Global Security will not be entitled to have the Notes registered in their names, will not receive or be entitled to receive physical delivery</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719" w:right="1440" w:bottom="1440" w:gutter="0" w:footer="0" w:header="0"/>
        </w:sectPr>
      </w:pPr>
    </w:p>
    <w:bookmarkStart w:id="16" w:name="page17"/>
    <w:bookmarkEnd w:id="16"/>
    <w:p>
      <w:pPr>
        <w:ind w:right="2139"/>
        <w:spacing w:after="0" w:line="252" w:lineRule="auto"/>
        <w:rPr>
          <w:sz w:val="20"/>
          <w:szCs w:val="20"/>
          <w:color w:val="auto"/>
        </w:rPr>
      </w:pPr>
      <w:r>
        <w:rPr>
          <w:rFonts w:ascii="Courier New" w:cs="Courier New" w:eastAsia="Courier New" w:hAnsi="Courier New"/>
          <w:sz w:val="17"/>
          <w:szCs w:val="17"/>
          <w:color w:val="auto"/>
        </w:rPr>
        <w:t>of certificated Notes in definitive form and will not be considered to be the owners or holders of any Notes under the Senior Indenture or the Notes. Payment of principal of, and interest and premium, if any, on the Notes will be made to DTC or its nominee, as the case may be, as the registered owner or holder of the Global Security.</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Payments, transfers, exchanges and other matters relating to beneficial interests in the Global Security may be subject to various policies and procedures adopted by DTC from time to time. Neither the Trust nor the Trustee will have any responsibility or liability for any aspect of the records relating to, or payments made on account of, beneficial ownership interests in the Global Security for any Notes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Security owning through such Participants.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following is based on information furnished by DTC:</w:t>
      </w:r>
    </w:p>
    <w:p>
      <w:pPr>
        <w:spacing w:after="0" w:line="210" w:lineRule="exact"/>
        <w:rPr>
          <w:sz w:val="20"/>
          <w:szCs w:val="20"/>
          <w:color w:val="auto"/>
        </w:rPr>
      </w:pPr>
    </w:p>
    <w:p>
      <w:pPr>
        <w:ind w:left="220" w:right="2139" w:firstLine="210"/>
        <w:spacing w:after="0" w:line="251" w:lineRule="auto"/>
        <w:rPr>
          <w:sz w:val="20"/>
          <w:szCs w:val="20"/>
          <w:color w:val="auto"/>
        </w:rPr>
      </w:pPr>
      <w:r>
        <w:rPr>
          <w:rFonts w:ascii="Courier New" w:cs="Courier New" w:eastAsia="Courier New" w:hAnsi="Courier New"/>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(including the Underwriters), banks, trust companies, clearing corporations, and certain other organizations ("Direct Participants").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rules applicable to DTC and its Participants are on file with the 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SAME-DAY SETTLEMENT AND PAYMENT</w:t>
      </w:r>
    </w:p>
    <w:p>
      <w:pPr>
        <w:spacing w:after="0" w:line="210" w:lineRule="exact"/>
        <w:rPr>
          <w:sz w:val="20"/>
          <w:szCs w:val="20"/>
          <w:color w:val="auto"/>
        </w:rPr>
      </w:pPr>
    </w:p>
    <w:p>
      <w:pPr>
        <w:ind w:right="2359" w:firstLine="209"/>
        <w:spacing w:after="0" w:line="253" w:lineRule="auto"/>
        <w:rPr>
          <w:sz w:val="20"/>
          <w:szCs w:val="20"/>
          <w:color w:val="auto"/>
        </w:rPr>
      </w:pPr>
      <w:r>
        <w:rPr>
          <w:rFonts w:ascii="Courier New" w:cs="Courier New" w:eastAsia="Courier New" w:hAnsi="Courier New"/>
          <w:sz w:val="17"/>
          <w:szCs w:val="17"/>
          <w:color w:val="auto"/>
        </w:rPr>
        <w:t>Settlement for the Notes will be made by the Underwriters in immediately available funds. All payments of principal and interest will be made by the Trust in immediately available funds, so long as DTC continues to make its Same-Day Funds Settlement System available to the Trust.</w:t>
      </w:r>
    </w:p>
    <w:p>
      <w:pPr>
        <w:spacing w:after="0" w:line="195"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Secondary trading in long-term notes and debentures of corporate issuers is generally settled in clearinghouse or next-day funds. In contrast, the Notes will trade in DTC's Same-Day Funds Settlement System, and secondary market trading activity in the Notes will therefore be required by DTC to settle in immediately available funds. No assurance can be given as to the effect, if any, of settlement in immediately available funds on trading activity in the Notes.</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719" w:right="1440" w:bottom="1440" w:gutter="0" w:footer="0" w:header="0"/>
        </w:sectPr>
      </w:pPr>
    </w:p>
    <w:bookmarkStart w:id="17" w:name="page18"/>
    <w:bookmarkEnd w:id="17"/>
    <w:p>
      <w:pPr>
        <w:jc w:val="center"/>
        <w:ind w:right="2039"/>
        <w:spacing w:after="0"/>
        <w:rPr>
          <w:sz w:val="20"/>
          <w:szCs w:val="20"/>
          <w:color w:val="auto"/>
        </w:rPr>
      </w:pPr>
      <w:r>
        <w:rPr>
          <w:rFonts w:ascii="Courier New" w:cs="Courier New" w:eastAsia="Courier New" w:hAnsi="Courier New"/>
          <w:sz w:val="17"/>
          <w:szCs w:val="17"/>
          <w:color w:val="auto"/>
        </w:rPr>
        <w:t>UNDERWRITING</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Subject to the terms and conditions set forth in the Underwriting Agreement, the Trust has agreed to sell to each of the Underwriters named below, and each of the Underwriters has severally agreed to purchase, the principal amount of the Notes set forth opposite its name below:</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UNDERWRITER</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PRINCIPAL</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AMOUNT</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OF NOTES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300" w:space="720"/>
            <w:col w:w="3199"/>
          </w:cols>
          <w:pgMar w:left="240" w:top="719" w:right="1440" w:bottom="1440" w:gutter="0" w:footer="0" w:header="0"/>
          <w:type w:val="continuous"/>
        </w:sectPr>
      </w:pPr>
    </w:p>
    <w:p>
      <w:pPr>
        <w:spacing w:after="0" w:line="10"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Goldman, Sachs &amp; Co. .......................................... $ 50,000,000</w:t>
      </w:r>
    </w:p>
    <w:p>
      <w:pPr>
        <w:spacing w:after="0" w:line="9" w:lineRule="exact"/>
        <w:rPr>
          <w:sz w:val="20"/>
          <w:szCs w:val="20"/>
          <w:color w:val="auto"/>
        </w:rPr>
      </w:pPr>
    </w:p>
    <w:p>
      <w:pPr>
        <w:jc w:val="right"/>
        <w:ind w:right="1939"/>
        <w:spacing w:after="0"/>
        <w:tabs>
          <w:tab w:leader="none" w:pos="1020" w:val="left"/>
        </w:tabs>
        <w:rPr>
          <w:sz w:val="20"/>
          <w:szCs w:val="20"/>
          <w:color w:val="auto"/>
        </w:rPr>
      </w:pPr>
      <w:r>
        <w:rPr>
          <w:rFonts w:ascii="Courier New" w:cs="Courier New" w:eastAsia="Courier New" w:hAnsi="Courier New"/>
          <w:sz w:val="17"/>
          <w:szCs w:val="17"/>
          <w:color w:val="auto"/>
        </w:rPr>
        <w:t>J.P. Morgan Securities Inc. ...................................</w:t>
      </w:r>
      <w:r>
        <w:rPr>
          <w:sz w:val="20"/>
          <w:szCs w:val="20"/>
          <w:color w:val="auto"/>
        </w:rPr>
        <w:tab/>
      </w:r>
      <w:r>
        <w:rPr>
          <w:rFonts w:ascii="Courier New" w:cs="Courier New" w:eastAsia="Courier New" w:hAnsi="Courier New"/>
          <w:sz w:val="17"/>
          <w:szCs w:val="17"/>
          <w:color w:val="auto"/>
        </w:rPr>
        <w:t>50,000,000</w:t>
      </w:r>
    </w:p>
    <w:p>
      <w:pPr>
        <w:spacing w:after="0" w:line="9"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Total....................................................... $100,000,000</w:t>
      </w:r>
    </w:p>
    <w:p>
      <w:pPr>
        <w:spacing w:after="0" w:line="9"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2359" w:firstLine="209"/>
        <w:spacing w:after="0" w:line="254" w:lineRule="auto"/>
        <w:rPr>
          <w:sz w:val="20"/>
          <w:szCs w:val="20"/>
          <w:color w:val="auto"/>
        </w:rPr>
      </w:pPr>
      <w:r>
        <w:rPr>
          <w:rFonts w:ascii="Courier New" w:cs="Courier New" w:eastAsia="Courier New" w:hAnsi="Courier New"/>
          <w:sz w:val="17"/>
          <w:szCs w:val="17"/>
          <w:color w:val="auto"/>
        </w:rPr>
        <w:t>Under the terms and conditions of the Underwriting Agreement, the Underwriters are committed to take and pay for all of the Notes, if any are taken.</w:t>
      </w:r>
    </w:p>
    <w:p>
      <w:pPr>
        <w:spacing w:after="0" w:line="194"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Underwriters propose to offer the Notes in part directly to the public at the initial public offering price set forth on the cover page of this Prospectus Supplement and in part to certain securities dealers at such price less a concession of .375% of the principal amount of the Notes. The Underwriters may allow, and such dealers may reallow, a concession not to exceed .25% of the principal amount of the Notes to certain brokers and dealers. After the Notes are released for sale to the public, the offering price and other selling terms may from time to time be varied by the Underwriters.</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Notes are a new issue of securities with no established trading market. The Trust has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97"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The Trust has agreed to indemnify the several Underwriters against certain liabilities, including liabilities under the Securities Act of 1933, as amended.</w:t>
      </w: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719" w:right="1440" w:bottom="1440" w:gutter="0" w:footer="0" w:header="0"/>
          <w:type w:val="continuous"/>
        </w:sectPr>
      </w:pPr>
    </w:p>
    <w:bookmarkStart w:id="18" w:name="page19"/>
    <w:bookmarkEnd w:id="18"/>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2039" w:firstLine="105"/>
        <w:spacing w:after="0" w:line="251" w:lineRule="auto"/>
        <w:rPr>
          <w:sz w:val="20"/>
          <w:szCs w:val="20"/>
          <w:color w:val="auto"/>
        </w:rPr>
      </w:pPr>
      <w:r>
        <w:rPr>
          <w:rFonts w:ascii="Courier New" w:cs="Courier New" w:eastAsia="Courier New" w:hAnsi="Courier New"/>
          <w:sz w:val="17"/>
          <w:szCs w:val="17"/>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TRUST SINCE THE DATE HEREOF OR THEREOF OR THAT THE INFORMATION CONTAINED HEREIN OR THEREIN IS CORRECT AS OF ANY TIME SUBSEQUENT TO THE DATE OF SUCH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r>
      <w:tr>
        <w:trPr>
          <w:trHeight w:val="403"/>
        </w:trPr>
        <w:tc>
          <w:tcPr>
            <w:tcW w:w="7960" w:type="dxa"/>
            <w:vAlign w:val="bottom"/>
          </w:tcPr>
          <w:p>
            <w:pPr>
              <w:jc w:val="center"/>
              <w:ind w:left="253"/>
              <w:spacing w:after="0"/>
              <w:rPr>
                <w:sz w:val="20"/>
                <w:szCs w:val="20"/>
                <w:color w:val="auto"/>
              </w:rPr>
            </w:pPr>
            <w:r>
              <w:rPr>
                <w:rFonts w:ascii="Courier New" w:cs="Courier New" w:eastAsia="Courier New" w:hAnsi="Courier New"/>
                <w:sz w:val="17"/>
                <w:szCs w:val="17"/>
                <w:color w:val="auto"/>
              </w:rPr>
              <w:t>TABLE OF CONTENTS</w:t>
            </w:r>
          </w:p>
        </w:tc>
        <w:tc>
          <w:tcPr>
            <w:tcW w:w="420" w:type="dxa"/>
            <w:vAlign w:val="bottom"/>
          </w:tcPr>
          <w:p>
            <w:pPr>
              <w:spacing w:after="0"/>
              <w:rPr>
                <w:sz w:val="24"/>
                <w:szCs w:val="24"/>
                <w:color w:val="auto"/>
              </w:rPr>
            </w:pPr>
          </w:p>
        </w:tc>
      </w:tr>
      <w:tr>
        <w:trPr>
          <w:trHeight w:val="403"/>
        </w:trPr>
        <w:tc>
          <w:tcPr>
            <w:tcW w:w="796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PROSPECTUS SUPPLEMENT</w:t>
            </w:r>
          </w:p>
        </w:tc>
        <w:tc>
          <w:tcPr>
            <w:tcW w:w="420" w:type="dxa"/>
            <w:vAlign w:val="bottom"/>
          </w:tcPr>
          <w:p>
            <w:pPr>
              <w:spacing w:after="0"/>
              <w:rPr>
                <w:sz w:val="24"/>
                <w:szCs w:val="24"/>
                <w:color w:val="auto"/>
              </w:rPr>
            </w:pPr>
          </w:p>
        </w:tc>
      </w:tr>
      <w:tr>
        <w:trPr>
          <w:trHeight w:val="604"/>
        </w:trPr>
        <w:tc>
          <w:tcPr>
            <w:tcW w:w="7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PAGE</w:t>
            </w:r>
          </w:p>
        </w:tc>
      </w:tr>
      <w:tr>
        <w:trPr>
          <w:trHeight w:val="201"/>
        </w:trPr>
        <w:tc>
          <w:tcPr>
            <w:tcW w:w="7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r>
      <w:tr>
        <w:trPr>
          <w:trHeight w:val="403"/>
        </w:trPr>
        <w:tc>
          <w:tcPr>
            <w:tcW w:w="7960" w:type="dxa"/>
            <w:vAlign w:val="bottom"/>
          </w:tcPr>
          <w:p>
            <w:pPr>
              <w:spacing w:after="0"/>
              <w:rPr>
                <w:sz w:val="20"/>
                <w:szCs w:val="20"/>
                <w:color w:val="auto"/>
              </w:rPr>
            </w:pPr>
            <w:r>
              <w:rPr>
                <w:rFonts w:ascii="Courier New" w:cs="Courier New" w:eastAsia="Courier New" w:hAnsi="Courier New"/>
                <w:sz w:val="17"/>
                <w:szCs w:val="17"/>
                <w:color w:val="auto"/>
              </w:rPr>
              <w:t>The Trust..................................................................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S-2</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Recent Developments........................................................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S-3</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S-4</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Capitalization.............................................................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S-4</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Selected Consolidated Financial Data.......................................</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S-5</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Management's Discussion ...................................................</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S-6</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Properties.................................................................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S-8</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Description of Notes.......................................................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S-10</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Underwriting...............................................................</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S-15</w:t>
            </w:r>
          </w:p>
        </w:tc>
      </w:tr>
      <w:tr>
        <w:trPr>
          <w:trHeight w:val="403"/>
        </w:trPr>
        <w:tc>
          <w:tcPr>
            <w:tcW w:w="7960" w:type="dxa"/>
            <w:vAlign w:val="bottom"/>
          </w:tcPr>
          <w:p>
            <w:pPr>
              <w:ind w:left="3560"/>
              <w:spacing w:after="0"/>
              <w:rPr>
                <w:sz w:val="20"/>
                <w:szCs w:val="20"/>
                <w:color w:val="auto"/>
              </w:rPr>
            </w:pPr>
            <w:r>
              <w:rPr>
                <w:rFonts w:ascii="Courier New" w:cs="Courier New" w:eastAsia="Courier New" w:hAnsi="Courier New"/>
                <w:sz w:val="17"/>
                <w:szCs w:val="17"/>
                <w:color w:val="auto"/>
              </w:rPr>
              <w:t>PROSPECTUS</w:t>
            </w:r>
          </w:p>
        </w:tc>
        <w:tc>
          <w:tcPr>
            <w:tcW w:w="420" w:type="dxa"/>
            <w:vAlign w:val="bottom"/>
          </w:tcPr>
          <w:p>
            <w:pPr>
              <w:spacing w:after="0"/>
              <w:rPr>
                <w:sz w:val="24"/>
                <w:szCs w:val="24"/>
                <w:color w:val="auto"/>
              </w:rPr>
            </w:pPr>
          </w:p>
        </w:tc>
      </w:tr>
      <w:tr>
        <w:trPr>
          <w:trHeight w:val="604"/>
        </w:trPr>
        <w:tc>
          <w:tcPr>
            <w:tcW w:w="796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 Reference.............................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The Trust...................................................................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Ratios of Earnings to Fixed Charges.........................................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Description of Debt Securities..............................................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Description of Preferred Shares.............................................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Description of Common Shares................................................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Legal Opinions..............................................................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1"/>
        </w:trPr>
        <w:tc>
          <w:tcPr>
            <w:tcW w:w="796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$100,000,000</w:t>
      </w:r>
    </w:p>
    <w:p>
      <w:pPr>
        <w:spacing w:after="0" w:line="200" w:lineRule="exact"/>
        <w:rPr>
          <w:sz w:val="20"/>
          <w:szCs w:val="20"/>
          <w:color w:val="auto"/>
        </w:rPr>
      </w:pPr>
    </w:p>
    <w:p>
      <w:pPr>
        <w:spacing w:after="0" w:line="212"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8 7/8% Notes due</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January 15, 2000</w:t>
      </w:r>
    </w:p>
    <w:p>
      <w:pPr>
        <w:spacing w:after="0" w:line="200" w:lineRule="exact"/>
        <w:rPr>
          <w:sz w:val="20"/>
          <w:szCs w:val="20"/>
          <w:color w:val="auto"/>
        </w:rPr>
      </w:pPr>
    </w:p>
    <w:p>
      <w:pPr>
        <w:spacing w:after="0" w:line="21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PROSPECTUS SUPPLEMENT</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GOLDMAN, SACHS &amp; CO.</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J.P. MORGAN SECURITIES INC.</w:t>
      </w:r>
    </w:p>
    <w:p>
      <w:pPr>
        <w:sectPr>
          <w:pgSz w:w="11900" w:h="16838" w:orient="portrait"/>
          <w:cols w:equalWidth="0" w:num="1">
            <w:col w:w="10219"/>
          </w:cols>
          <w:pgMar w:left="240" w:top="719" w:right="1440" w:bottom="55" w:gutter="0" w:footer="0" w:header="0"/>
        </w:sectPr>
      </w:pPr>
    </w:p>
    <w:bookmarkStart w:id="19" w:name="page20"/>
    <w:bookmarkEnd w:id="19"/>
    <w:p>
      <w:pPr>
        <w:ind w:left="213" w:hanging="213"/>
        <w:spacing w:after="0"/>
        <w:tabs>
          <w:tab w:leader="none" w:pos="2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13" w:hanging="213"/>
        <w:spacing w:after="0"/>
        <w:tabs>
          <w:tab w:leader="none" w:pos="21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2"/>
          </w:cols>
          <w:pgMar w:left="247" w:top="545" w:right="1440" w:bottom="1440" w:gutter="0" w:footer="0" w:header="0"/>
        </w:sectPr>
      </w:pPr>
    </w:p>
    <w:bookmarkStart w:id="20" w:name="page21"/>
    <w:bookmarkEnd w:id="20"/>
    <w:p>
      <w:pPr>
        <w:jc w:val="center"/>
        <w:ind w:right="2039"/>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$300,000,000</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DEBT SECURITIES, PREFERRED SHARES AND COMMON SHARES</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Federal Realty Investment Trust (the "Trust") may from time to time offer in one or more series (i) its unsecured debt securities (the "Debt Securities"),</w:t>
      </w:r>
    </w:p>
    <w:p>
      <w:pPr>
        <w:ind w:left="540" w:hanging="533"/>
        <w:spacing w:after="0"/>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preferred shares (the "Preferred Shares"), and (iii) its common</w:t>
      </w:r>
    </w:p>
    <w:p>
      <w:pPr>
        <w:spacing w:after="0" w:line="8" w:lineRule="exact"/>
        <w:rPr>
          <w:rFonts w:ascii="Courier New" w:cs="Courier New" w:eastAsia="Courier New" w:hAnsi="Courier New"/>
          <w:sz w:val="17"/>
          <w:szCs w:val="17"/>
          <w:color w:val="auto"/>
        </w:rPr>
      </w:pPr>
    </w:p>
    <w:p>
      <w:pPr>
        <w:ind w:right="21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 par value (the "Common Shares"), with an aggregate public offering price of up to $300,000,000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96"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any initial public offering price; (ii) in the case of Preferred Shares, the specific title and stated value, any dividend, liquidation, redemption, conversion, voting and other rights, and any initial public offering price; and (iii) in the case of Common Shares, any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2" w:lineRule="exact"/>
        <w:rPr>
          <w:sz w:val="20"/>
          <w:szCs w:val="20"/>
          <w:color w:val="auto"/>
        </w:rPr>
      </w:pPr>
    </w:p>
    <w:p>
      <w:pPr>
        <w:ind w:right="235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95"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97"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THE ATTORNEY GENERAL OF THE STATE OF NEW YORK HAS NOT PASSED ON OR ENDORSED THE MERITS OF THIS OFFERING. ANY REPRESENTATION TO THE CONTRARY IS UNLAWFUL.</w:t>
      </w:r>
    </w:p>
    <w:p>
      <w:pPr>
        <w:spacing w:after="0" w:line="192"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The date of this Prospectus is December 13, 1993.</w:t>
      </w:r>
    </w:p>
    <w:p>
      <w:pPr>
        <w:sectPr>
          <w:pgSz w:w="11900" w:h="16838" w:orient="portrait"/>
          <w:cols w:equalWidth="0" w:num="1">
            <w:col w:w="10219"/>
          </w:cols>
          <w:pgMar w:left="240" w:top="921" w:right="1440" w:bottom="860" w:gutter="0" w:footer="0" w:header="0"/>
        </w:sectPr>
      </w:pPr>
    </w:p>
    <w:bookmarkStart w:id="21" w:name="page22"/>
    <w:bookmarkEnd w:id="21"/>
    <w:p>
      <w:pPr>
        <w:ind w:left="3040"/>
        <w:spacing w:after="0"/>
        <w:rPr>
          <w:sz w:val="20"/>
          <w:szCs w:val="20"/>
          <w:color w:val="auto"/>
        </w:rPr>
      </w:pPr>
      <w:r>
        <w:rPr>
          <w:rFonts w:ascii="Courier New" w:cs="Courier New" w:eastAsia="Courier New" w:hAnsi="Courier New"/>
          <w:sz w:val="17"/>
          <w:szCs w:val="17"/>
          <w:color w:val="auto"/>
        </w:rPr>
        <w:t>AVAILABLE INFORMATION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01"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Director-Corporate Communications, Federal Realty Investment Trust, 4800 Hampden Lane, Bethesda, Maryland 20814 (telephone 301/652-3360).</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210" w:lineRule="exact"/>
        <w:rPr>
          <w:sz w:val="20"/>
          <w:szCs w:val="20"/>
          <w:color w:val="auto"/>
        </w:rPr>
      </w:pPr>
    </w:p>
    <w:p>
      <w:pPr>
        <w:ind w:right="2679" w:firstLine="209"/>
        <w:spacing w:after="0" w:line="257" w:lineRule="auto"/>
        <w:rPr>
          <w:sz w:val="20"/>
          <w:szCs w:val="20"/>
          <w:color w:val="auto"/>
        </w:rPr>
      </w:pPr>
      <w:r>
        <w:rPr>
          <w:rFonts w:ascii="Courier New" w:cs="Courier New" w:eastAsia="Courier New" w:hAnsi="Courier New"/>
          <w:sz w:val="17"/>
          <w:szCs w:val="17"/>
          <w:color w:val="auto"/>
        </w:rPr>
        <w:t>The following documents filed by the Trust with the Commission are incorporated in this Prospectus by reference and are made a part hereof:</w:t>
      </w:r>
    </w:p>
    <w:p>
      <w:pPr>
        <w:spacing w:after="0" w:line="192" w:lineRule="exact"/>
        <w:rPr>
          <w:sz w:val="20"/>
          <w:szCs w:val="20"/>
          <w:color w:val="auto"/>
        </w:rPr>
      </w:pPr>
    </w:p>
    <w:p>
      <w:pPr>
        <w:ind w:left="220" w:right="2779" w:firstLine="206"/>
        <w:spacing w:after="0" w:line="257"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Annual Report on Form 10-K for the fiscal year ended December 31, 1992.</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Quarterly Reports on Form 10-Q for the quarters ended March 31, June 30, and September 30, 1993.</w:t>
      </w:r>
    </w:p>
    <w:p>
      <w:pPr>
        <w:spacing w:after="0" w:line="191" w:lineRule="exact"/>
        <w:rPr>
          <w:rFonts w:ascii="Courier New" w:cs="Courier New" w:eastAsia="Courier New" w:hAnsi="Courier New"/>
          <w:sz w:val="17"/>
          <w:szCs w:val="17"/>
          <w:color w:val="auto"/>
        </w:rPr>
      </w:pPr>
    </w:p>
    <w:p>
      <w:pPr>
        <w:ind w:left="740" w:hanging="314"/>
        <w:spacing w:after="0"/>
        <w:tabs>
          <w:tab w:leader="none" w:pos="7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Trust's Current Report on Form 8-K dated September 24, 1993.</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19" w:right="1440" w:bottom="1440" w:gutter="0" w:footer="0" w:header="0"/>
        </w:sectPr>
      </w:pPr>
    </w:p>
    <w:bookmarkStart w:id="22" w:name="page23"/>
    <w:bookmarkEnd w:id="22"/>
    <w:p>
      <w:pPr>
        <w:ind w:left="3680"/>
        <w:spacing w:after="0"/>
        <w:rPr>
          <w:sz w:val="20"/>
          <w:szCs w:val="20"/>
          <w:color w:val="auto"/>
        </w:rPr>
      </w:pPr>
      <w:r>
        <w:rPr>
          <w:rFonts w:ascii="Courier New" w:cs="Courier New" w:eastAsia="Courier New" w:hAnsi="Courier New"/>
          <w:sz w:val="17"/>
          <w:szCs w:val="17"/>
          <w:color w:val="auto"/>
        </w:rPr>
        <w:t>THE TRUST</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Federal Realty Investment Trust (the "Trust") is an owner, operator and redeveloper of community and neighborhood shopping centers. Founded in 1962, the Trust is a self-administered real estate investment trust ("REIT") that manages, leases and supervises renovation of its properties. At December 13, 1993, the Trust owned 45 community and neighborhood shopping centers, one enclosed mall, and one apartment complex. The shopping center portfolio has approximately 10.1 million rentable square feet and 1,400 tenants. At September 30, 1993, the occupancy rate of the shopping centers, excluding centers acquired or sold in the previous twelve months, was 95.5%.</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Trust's properties are located in eleven states with approximately 77% of the Trust's rental income for the nine months ended September 30, 1993 generated by the properties located in three major metropolitan areas: New York/New Jersey, Philadelphia and Baltimore/Washington, D.C. The Trust's strategy is to acquire centers located in well-established, densely populated communities with attractive retailing demographics and limited opportunities for new competing developments. The typical Trust property is located on a major traffic artery, with good visibility and access.</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201"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Trust's management believes that now is an opportune time to expand the Trust's portfolio of properties. Management's belief is based on several factors, including tight real estate credit conditions and years of excess in real estate construction and financing. In its view, many property owners are in the market to sell properties, often as a result of the owners' financial distress or pressure from their real estate lenders. Consequently, in 1992 and to-date in 1993 the Trust raised $164.7 million of equity, issued $75 million of convertible subordinated debt, prepaid $89.1 million of higher coupon debt and established $70 million of unsecured bank credit facilities in order to position itself to acquire additional properties. Thus far in 1993, the Trust has acquired five shopping centers containing 1.1 million square feet for $77.1 million.</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Trust continues to seek to acquire community and neighborhood shopping centers similar to those in its portfolio. The Trust is currently negotiating the purchase of several shopping centers. While there can be no assurance, the Trust anticipates that it will acquire additional shopping centers in the next six months.</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In June 1993, Standard &amp; Poor's raised the ratings on the Trust's convertible subordinated debentures from BBB- to BBB reflecting the Trust's significantly improved capital structure and the continued strong performance of its shopping center portfolio. Ratings were withdrawn on the Trust's senior notes due to their redemption in May 1993, but the implied senior rating was raised to BBB+. In September 1993, Moody's Investors Service also upgraded the rating of the Trust's convertible subordinated debt to Baa2 from Ba1.</w:t>
      </w:r>
    </w:p>
    <w:p>
      <w:pPr>
        <w:spacing w:after="0" w:line="196" w:lineRule="exact"/>
        <w:rPr>
          <w:sz w:val="20"/>
          <w:szCs w:val="20"/>
          <w:color w:val="auto"/>
        </w:rPr>
      </w:pPr>
    </w:p>
    <w:p>
      <w:pPr>
        <w:ind w:right="1939" w:firstLine="209"/>
        <w:spacing w:after="0" w:line="253" w:lineRule="auto"/>
        <w:rPr>
          <w:sz w:val="20"/>
          <w:szCs w:val="20"/>
          <w:color w:val="auto"/>
        </w:rPr>
      </w:pPr>
      <w:r>
        <w:rPr>
          <w:rFonts w:ascii="Courier New" w:cs="Courier New" w:eastAsia="Courier New" w:hAnsi="Courier New"/>
          <w:sz w:val="17"/>
          <w:szCs w:val="17"/>
          <w:color w:val="auto"/>
        </w:rPr>
        <w:t>The Trust has made 124 consecutive quarterly distributions and has increased its distribution rate for each of the last 26 years. The Trust believes this is the longest record of annual distribution increases in the REIT industry. The current annual indicated distribution rate is $1.56 per share.</w:t>
      </w:r>
    </w:p>
    <w:p>
      <w:pPr>
        <w:spacing w:after="0" w:line="195"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The Trust, a District of Columbia business trust of unlimited duration, maintains its offices at 4800 Hampden Lane, Bethesda, Maryland 20814 (telephone 301/652-3360).</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659" w:gutter="0" w:footer="0" w:header="0"/>
        </w:sectPr>
      </w:pPr>
    </w:p>
    <w:bookmarkStart w:id="23" w:name="page24"/>
    <w:bookmarkEnd w:id="23"/>
    <w:p>
      <w:pPr>
        <w:jc w:val="center"/>
        <w:ind w:right="1939"/>
        <w:spacing w:after="0"/>
        <w:rPr>
          <w:sz w:val="20"/>
          <w:szCs w:val="20"/>
          <w:color w:val="auto"/>
        </w:rPr>
      </w:pPr>
      <w:r>
        <w:rPr>
          <w:rFonts w:ascii="Courier New" w:cs="Courier New" w:eastAsia="Courier New" w:hAnsi="Courier New"/>
          <w:sz w:val="17"/>
          <w:szCs w:val="17"/>
          <w:color w:val="auto"/>
        </w:rPr>
        <w:t>USE OF PROCEEDS</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210" w:lineRule="exact"/>
        <w:rPr>
          <w:sz w:val="20"/>
          <w:szCs w:val="20"/>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95"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0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NINE MONTHS</w:t>
            </w:r>
          </w:p>
        </w:tc>
      </w:tr>
      <w:tr>
        <w:trPr>
          <w:trHeight w:val="201"/>
        </w:trPr>
        <w:tc>
          <w:tcPr>
            <w:tcW w:w="1040" w:type="dxa"/>
            <w:vAlign w:val="bottom"/>
          </w:tcPr>
          <w:p>
            <w:pPr>
              <w:spacing w:after="0"/>
              <w:rPr>
                <w:sz w:val="17"/>
                <w:szCs w:val="17"/>
                <w:color w:val="auto"/>
              </w:rPr>
            </w:pPr>
          </w:p>
        </w:tc>
        <w:tc>
          <w:tcPr>
            <w:tcW w:w="340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YEARS ENDED DECEMBER 31,</w:t>
            </w:r>
          </w:p>
        </w:tc>
        <w:tc>
          <w:tcPr>
            <w:tcW w:w="1260" w:type="dxa"/>
            <w:vAlign w:val="bottom"/>
          </w:tcPr>
          <w:p>
            <w:pPr>
              <w:spacing w:after="0"/>
              <w:rPr>
                <w:sz w:val="17"/>
                <w:szCs w:val="17"/>
                <w:color w:val="auto"/>
              </w:rPr>
            </w:pPr>
          </w:p>
        </w:tc>
        <w:tc>
          <w:tcPr>
            <w:tcW w:w="3300" w:type="dxa"/>
            <w:vAlign w:val="bottom"/>
            <w:gridSpan w:val="2"/>
          </w:tcPr>
          <w:p>
            <w:pPr>
              <w:jc w:val="right"/>
              <w:ind w:right="553"/>
              <w:spacing w:after="0"/>
              <w:rPr>
                <w:sz w:val="20"/>
                <w:szCs w:val="20"/>
                <w:color w:val="auto"/>
              </w:rPr>
            </w:pPr>
            <w:r>
              <w:rPr>
                <w:rFonts w:ascii="Courier New" w:cs="Courier New" w:eastAsia="Courier New" w:hAnsi="Courier New"/>
                <w:sz w:val="17"/>
                <w:szCs w:val="17"/>
                <w:color w:val="auto"/>
              </w:rPr>
              <w:t>ENDED SEPTEMBER 30,</w:t>
            </w:r>
          </w:p>
        </w:tc>
      </w:tr>
      <w:tr>
        <w:trPr>
          <w:trHeight w:val="201"/>
        </w:trPr>
        <w:tc>
          <w:tcPr>
            <w:tcW w:w="192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r>
      <w:tr>
        <w:trPr>
          <w:trHeight w:val="201"/>
        </w:trPr>
        <w:tc>
          <w:tcPr>
            <w:tcW w:w="1040" w:type="dxa"/>
            <w:vAlign w:val="bottom"/>
          </w:tcPr>
          <w:p>
            <w:pPr>
              <w:spacing w:after="0"/>
              <w:rPr>
                <w:sz w:val="20"/>
                <w:szCs w:val="20"/>
                <w:color w:val="auto"/>
              </w:rPr>
            </w:pPr>
            <w:r>
              <w:rPr>
                <w:rFonts w:ascii="Courier New" w:cs="Courier New" w:eastAsia="Courier New" w:hAnsi="Courier New"/>
                <w:sz w:val="17"/>
                <w:szCs w:val="17"/>
                <w:color w:val="auto"/>
              </w:rPr>
              <w:t>1988</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1989</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1990</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1991</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rPr>
              <w:t>1992</w:t>
            </w:r>
          </w:p>
        </w:tc>
        <w:tc>
          <w:tcPr>
            <w:tcW w:w="1680" w:type="dxa"/>
            <w:vAlign w:val="bottom"/>
          </w:tcPr>
          <w:p>
            <w:pPr>
              <w:ind w:left="580"/>
              <w:spacing w:after="0"/>
              <w:rPr>
                <w:sz w:val="20"/>
                <w:szCs w:val="20"/>
                <w:color w:val="auto"/>
              </w:rPr>
            </w:pPr>
            <w:r>
              <w:rPr>
                <w:rFonts w:ascii="Courier New" w:cs="Courier New" w:eastAsia="Courier New" w:hAnsi="Courier New"/>
                <w:sz w:val="17"/>
                <w:szCs w:val="17"/>
                <w:color w:val="auto"/>
              </w:rPr>
              <w:t>1992</w:t>
            </w:r>
          </w:p>
        </w:tc>
        <w:tc>
          <w:tcPr>
            <w:tcW w:w="162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10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r>
      <w:tr>
        <w:trPr>
          <w:trHeight w:val="403"/>
        </w:trPr>
        <w:tc>
          <w:tcPr>
            <w:tcW w:w="1040" w:type="dxa"/>
            <w:vAlign w:val="bottom"/>
          </w:tcPr>
          <w:p>
            <w:pPr>
              <w:spacing w:after="0"/>
              <w:rPr>
                <w:sz w:val="20"/>
                <w:szCs w:val="20"/>
                <w:color w:val="auto"/>
              </w:rPr>
            </w:pPr>
            <w:r>
              <w:rPr>
                <w:rFonts w:ascii="Courier New" w:cs="Courier New" w:eastAsia="Courier New" w:hAnsi="Courier New"/>
                <w:sz w:val="17"/>
                <w:szCs w:val="17"/>
                <w:color w:val="auto"/>
              </w:rPr>
              <w:t>1.20X</w:t>
            </w:r>
          </w:p>
        </w:tc>
        <w:tc>
          <w:tcPr>
            <w:tcW w:w="880" w:type="dxa"/>
            <w:vAlign w:val="bottom"/>
          </w:tcPr>
          <w:p>
            <w:pPr>
              <w:spacing w:after="0"/>
              <w:rPr>
                <w:sz w:val="20"/>
                <w:szCs w:val="20"/>
                <w:color w:val="auto"/>
              </w:rPr>
            </w:pPr>
            <w:r>
              <w:rPr>
                <w:rFonts w:ascii="Courier New" w:cs="Courier New" w:eastAsia="Courier New" w:hAnsi="Courier New"/>
                <w:sz w:val="17"/>
                <w:szCs w:val="17"/>
                <w:color w:val="auto"/>
              </w:rPr>
              <w:t>1.14X</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1.13X</w:t>
            </w:r>
          </w:p>
        </w:tc>
        <w:tc>
          <w:tcPr>
            <w:tcW w:w="1260" w:type="dxa"/>
            <w:vAlign w:val="bottom"/>
          </w:tcPr>
          <w:p>
            <w:pPr>
              <w:ind w:left="380"/>
              <w:spacing w:after="0"/>
              <w:rPr>
                <w:sz w:val="20"/>
                <w:szCs w:val="20"/>
                <w:color w:val="auto"/>
              </w:rPr>
            </w:pPr>
            <w:r>
              <w:rPr>
                <w:rFonts w:ascii="Courier New" w:cs="Courier New" w:eastAsia="Courier New" w:hAnsi="Courier New"/>
                <w:sz w:val="17"/>
                <w:szCs w:val="17"/>
                <w:color w:val="auto"/>
              </w:rPr>
              <w:t>1.11X</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rPr>
              <w:t>1.20X</w:t>
            </w:r>
          </w:p>
        </w:tc>
        <w:tc>
          <w:tcPr>
            <w:tcW w:w="1680" w:type="dxa"/>
            <w:vAlign w:val="bottom"/>
          </w:tcPr>
          <w:p>
            <w:pPr>
              <w:ind w:left="360"/>
              <w:spacing w:after="0"/>
              <w:rPr>
                <w:sz w:val="20"/>
                <w:szCs w:val="20"/>
                <w:color w:val="auto"/>
              </w:rPr>
            </w:pPr>
            <w:r>
              <w:rPr>
                <w:rFonts w:ascii="Courier New" w:cs="Courier New" w:eastAsia="Courier New" w:hAnsi="Courier New"/>
                <w:sz w:val="17"/>
                <w:szCs w:val="17"/>
                <w:color w:val="auto"/>
              </w:rPr>
              <w:t>1.19X</w:t>
            </w:r>
          </w:p>
        </w:tc>
        <w:tc>
          <w:tcPr>
            <w:tcW w:w="1620" w:type="dxa"/>
            <w:vAlign w:val="bottom"/>
          </w:tcPr>
          <w:p>
            <w:pPr>
              <w:ind w:left="360"/>
              <w:spacing w:after="0"/>
              <w:rPr>
                <w:sz w:val="20"/>
                <w:szCs w:val="20"/>
                <w:color w:val="auto"/>
              </w:rPr>
            </w:pPr>
            <w:r>
              <w:rPr>
                <w:rFonts w:ascii="Courier New" w:cs="Courier New" w:eastAsia="Courier New" w:hAnsi="Courier New"/>
                <w:sz w:val="17"/>
                <w:szCs w:val="17"/>
                <w:color w:val="auto"/>
              </w:rPr>
              <w:t>1.46X</w:t>
            </w:r>
          </w:p>
        </w:tc>
      </w:tr>
    </w:tbl>
    <w:p>
      <w:pPr>
        <w:spacing w:after="0" w:line="200" w:lineRule="exact"/>
        <w:rPr>
          <w:sz w:val="20"/>
          <w:szCs w:val="20"/>
          <w:color w:val="auto"/>
        </w:rPr>
      </w:pPr>
    </w:p>
    <w:p>
      <w:pPr>
        <w:spacing w:after="0" w:line="20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DESCRIPTION OF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Senior Securities are to be issued under an indenture to be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97"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860" w:gutter="0" w:footer="0" w:header="0"/>
        </w:sectPr>
      </w:pPr>
    </w:p>
    <w:bookmarkStart w:id="24" w:name="page25"/>
    <w:bookmarkEnd w:id="24"/>
    <w:p>
      <w:pPr>
        <w:ind w:right="1939"/>
        <w:spacing w:after="0" w:line="252" w:lineRule="auto"/>
        <w:rPr>
          <w:sz w:val="20"/>
          <w:szCs w:val="20"/>
          <w:color w:val="auto"/>
        </w:rPr>
      </w:pPr>
      <w:r>
        <w:rPr>
          <w:rFonts w:ascii="Courier New" w:cs="Courier New" w:eastAsia="Courier New" w:hAnsi="Courier New"/>
          <w:sz w:val="17"/>
          <w:szCs w:val="17"/>
          <w:color w:val="auto"/>
        </w:rPr>
        <w:t>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Reference is made to the Prospectus Supplement relating to the series of Debt Securities being offered for the specific terms thereof, including:</w:t>
      </w:r>
    </w:p>
    <w:p>
      <w:pPr>
        <w:spacing w:after="0" w:line="192" w:lineRule="exact"/>
        <w:rPr>
          <w:sz w:val="20"/>
          <w:szCs w:val="20"/>
          <w:color w:val="auto"/>
        </w:rPr>
      </w:pPr>
    </w:p>
    <w:p>
      <w:pPr>
        <w:ind w:left="220" w:right="2359" w:firstLine="311"/>
        <w:spacing w:after="0" w:line="257"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such Debt Securities and whether such Debt Securities are Senior Securities or Subordinated Securities;</w:t>
      </w:r>
    </w:p>
    <w:p>
      <w:pPr>
        <w:spacing w:after="0" w:line="191"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principal amount of such Debt Securities and any limit on such aggregate principal amount;</w:t>
      </w:r>
    </w:p>
    <w:p>
      <w:pPr>
        <w:spacing w:after="0" w:line="191"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398" w:lineRule="exact"/>
        <w:rPr>
          <w:rFonts w:ascii="Courier New" w:cs="Courier New" w:eastAsia="Courier New" w:hAnsi="Courier New"/>
          <w:sz w:val="17"/>
          <w:szCs w:val="17"/>
          <w:color w:val="auto"/>
        </w:rPr>
      </w:pPr>
    </w:p>
    <w:p>
      <w:pPr>
        <w:ind w:left="220" w:right="2359" w:firstLine="311"/>
        <w:spacing w:after="0" w:line="253"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95" w:lineRule="exact"/>
        <w:rPr>
          <w:rFonts w:ascii="Courier New" w:cs="Courier New" w:eastAsia="Courier New" w:hAnsi="Courier New"/>
          <w:sz w:val="17"/>
          <w:szCs w:val="17"/>
          <w:color w:val="auto"/>
        </w:rPr>
      </w:pPr>
    </w:p>
    <w:p>
      <w:pPr>
        <w:ind w:left="220" w:right="2139" w:firstLine="311"/>
        <w:spacing w:after="0" w:line="257"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on which the principal of such Debt Securities will be payable;</w:t>
      </w:r>
    </w:p>
    <w:p>
      <w:pPr>
        <w:spacing w:after="0" w:line="191" w:lineRule="exact"/>
        <w:rPr>
          <w:rFonts w:ascii="Courier New" w:cs="Courier New" w:eastAsia="Courier New" w:hAnsi="Courier New"/>
          <w:sz w:val="17"/>
          <w:szCs w:val="17"/>
          <w:color w:val="auto"/>
        </w:rPr>
      </w:pPr>
    </w:p>
    <w:p>
      <w:pPr>
        <w:jc w:val="both"/>
        <w:ind w:left="220" w:right="2139" w:firstLine="311"/>
        <w:spacing w:after="0" w:line="254"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rate or rates (which may be fixed or variable), or the method by which such rate or rates shall be determined, at which such Debt Securities will bear interest, if any;</w:t>
      </w:r>
    </w:p>
    <w:p>
      <w:pPr>
        <w:spacing w:after="0" w:line="194"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95" w:lineRule="exact"/>
        <w:rPr>
          <w:rFonts w:ascii="Courier New" w:cs="Courier New" w:eastAsia="Courier New" w:hAnsi="Courier New"/>
          <w:sz w:val="17"/>
          <w:szCs w:val="17"/>
          <w:color w:val="auto"/>
        </w:rPr>
      </w:pPr>
    </w:p>
    <w:p>
      <w:pPr>
        <w:ind w:left="220" w:right="2139" w:firstLine="311"/>
        <w:spacing w:after="0" w:line="252"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97" w:lineRule="exact"/>
        <w:rPr>
          <w:rFonts w:ascii="Courier New" w:cs="Courier New" w:eastAsia="Courier New" w:hAnsi="Courier New"/>
          <w:sz w:val="17"/>
          <w:szCs w:val="17"/>
          <w:color w:val="auto"/>
        </w:rPr>
      </w:pPr>
    </w:p>
    <w:p>
      <w:pPr>
        <w:ind w:left="220" w:right="2139" w:firstLine="311"/>
        <w:spacing w:after="0" w:line="253"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256" w:gutter="0" w:footer="0" w:header="0"/>
        </w:sectPr>
      </w:pPr>
    </w:p>
    <w:bookmarkStart w:id="25" w:name="page26"/>
    <w:bookmarkEnd w:id="25"/>
    <w:p>
      <w:pPr>
        <w:ind w:left="220" w:right="2139" w:firstLine="206"/>
        <w:spacing w:after="0" w:line="253"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96" w:lineRule="exact"/>
        <w:rPr>
          <w:rFonts w:ascii="Courier New" w:cs="Courier New" w:eastAsia="Courier New" w:hAnsi="Courier New"/>
          <w:sz w:val="17"/>
          <w:szCs w:val="17"/>
          <w:color w:val="auto"/>
        </w:rPr>
      </w:pPr>
    </w:p>
    <w:p>
      <w:pPr>
        <w:ind w:left="220" w:right="2139" w:firstLine="206"/>
        <w:spacing w:after="0" w:line="254"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additions to, modifications of or deletions from the terms of such Debt Securities with respect to the Events of Default or covenants set forth in the applicable Indenture;</w:t>
      </w:r>
    </w:p>
    <w:p>
      <w:pPr>
        <w:spacing w:after="0" w:line="194"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issued in certificated or book-entry form;</w:t>
      </w:r>
    </w:p>
    <w:p>
      <w:pPr>
        <w:spacing w:after="0" w:line="191" w:lineRule="exact"/>
        <w:rPr>
          <w:rFonts w:ascii="Courier New" w:cs="Courier New" w:eastAsia="Courier New" w:hAnsi="Courier New"/>
          <w:sz w:val="17"/>
          <w:szCs w:val="17"/>
          <w:color w:val="auto"/>
        </w:rPr>
      </w:pPr>
    </w:p>
    <w:p>
      <w:pPr>
        <w:ind w:left="220" w:right="2139" w:firstLine="206"/>
        <w:spacing w:after="0" w:line="253"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95"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applicability, if any, of the defeasance and covenant defeasance provisions of Article XIV of the applicable Indenture;</w:t>
      </w:r>
    </w:p>
    <w:p>
      <w:pPr>
        <w:spacing w:after="0" w:line="191"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if any, upon which such Debt Securities may be</w:t>
      </w:r>
    </w:p>
    <w:p>
      <w:pPr>
        <w:spacing w:after="0" w:line="8" w:lineRule="exact"/>
        <w:rPr>
          <w:rFonts w:ascii="Courier New" w:cs="Courier New" w:eastAsia="Courier New" w:hAnsi="Courier New"/>
          <w:sz w:val="17"/>
          <w:szCs w:val="17"/>
          <w:color w:val="auto"/>
        </w:rPr>
      </w:pPr>
    </w:p>
    <w:p>
      <w:pPr>
        <w:ind w:left="220" w:right="21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95" w:lineRule="exact"/>
        <w:rPr>
          <w:rFonts w:ascii="Courier New" w:cs="Courier New" w:eastAsia="Courier New" w:hAnsi="Courier New"/>
          <w:sz w:val="17"/>
          <w:szCs w:val="17"/>
          <w:color w:val="auto"/>
        </w:rPr>
      </w:pPr>
    </w:p>
    <w:p>
      <w:pPr>
        <w:ind w:left="220" w:right="2139" w:firstLine="206"/>
        <w:spacing w:after="0" w:line="252"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97" w:lineRule="exact"/>
        <w:rPr>
          <w:rFonts w:ascii="Courier New" w:cs="Courier New" w:eastAsia="Courier New" w:hAnsi="Courier New"/>
          <w:sz w:val="17"/>
          <w:szCs w:val="17"/>
          <w:color w:val="auto"/>
        </w:rPr>
      </w:pPr>
    </w:p>
    <w:p>
      <w:pPr>
        <w:ind w:left="220" w:right="2459" w:firstLine="206"/>
        <w:spacing w:after="0" w:line="257" w:lineRule="auto"/>
        <w:tabs>
          <w:tab w:leader="none" w:pos="95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such Debt Securities not inconsistent with the provisions of the applicable Indenture (Section 301 of each Indenture).</w:t>
      </w:r>
    </w:p>
    <w:p>
      <w:pPr>
        <w:spacing w:after="0" w:line="192"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DENOMINATIONS, INTEREST, REGISTRATION AND TRANSFER</w:t>
      </w:r>
    </w:p>
    <w:p>
      <w:pPr>
        <w:spacing w:after="0" w:line="210"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Unless otherwise described in the applicable Prospectus Supplement, the Debt Securities of any series will be issuable in denominations of $1,000 and integral multiples thereof (Section 302 of each Indenture).</w:t>
      </w:r>
    </w:p>
    <w:p>
      <w:pPr>
        <w:spacing w:after="0" w:line="194"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19" w:right="1440" w:bottom="0" w:gutter="0" w:footer="0" w:header="0"/>
        </w:sectPr>
      </w:pPr>
    </w:p>
    <w:bookmarkStart w:id="26" w:name="page27"/>
    <w:bookmarkEnd w:id="26"/>
    <w:p>
      <w:pPr>
        <w:ind w:right="2039"/>
        <w:spacing w:after="0" w:line="252" w:lineRule="auto"/>
        <w:rPr>
          <w:sz w:val="20"/>
          <w:szCs w:val="20"/>
          <w:color w:val="auto"/>
        </w:rPr>
      </w:pPr>
      <w:r>
        <w:rPr>
          <w:rFonts w:ascii="Courier New" w:cs="Courier New" w:eastAsia="Courier New" w:hAnsi="Courier New"/>
          <w:sz w:val="17"/>
          <w:szCs w:val="17"/>
          <w:color w:val="auto"/>
        </w:rPr>
        <w:t>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CONSOLIDATION OR SALE</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86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CERTAIN COVENANTS</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Maintenance of</w:t>
            </w:r>
          </w:p>
        </w:tc>
        <w:tc>
          <w:tcPr>
            <w:tcW w:w="2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Properties. The Trust will</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cause all of</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its material</w:t>
            </w:r>
          </w:p>
        </w:tc>
      </w:tr>
      <w:tr>
        <w:trPr>
          <w:trHeight w:val="201"/>
        </w:trPr>
        <w:tc>
          <w:tcPr>
            <w:tcW w:w="1940" w:type="dxa"/>
            <w:vAlign w:val="bottom"/>
            <w:gridSpan w:val="3"/>
          </w:tcPr>
          <w:p>
            <w:pPr>
              <w:spacing w:after="0"/>
              <w:rPr>
                <w:sz w:val="20"/>
                <w:szCs w:val="20"/>
                <w:color w:val="auto"/>
              </w:rPr>
            </w:pPr>
            <w:r>
              <w:rPr>
                <w:rFonts w:ascii="Courier New" w:cs="Courier New" w:eastAsia="Courier New" w:hAnsi="Courier New"/>
                <w:sz w:val="17"/>
                <w:szCs w:val="17"/>
                <w:color w:val="auto"/>
              </w:rPr>
              <w:t>properties used or</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useful in the conduct of</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its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business</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or the business of any</w:t>
            </w:r>
          </w:p>
        </w:tc>
      </w:tr>
      <w:tr>
        <w:trPr>
          <w:trHeight w:val="201"/>
        </w:trPr>
        <w:tc>
          <w:tcPr>
            <w:tcW w:w="4620" w:type="dxa"/>
            <w:vAlign w:val="bottom"/>
            <w:gridSpan w:val="4"/>
          </w:tcPr>
          <w:p>
            <w:pPr>
              <w:spacing w:after="0"/>
              <w:rPr>
                <w:sz w:val="20"/>
                <w:szCs w:val="20"/>
                <w:color w:val="auto"/>
              </w:rPr>
            </w:pPr>
            <w:r>
              <w:rPr>
                <w:rFonts w:ascii="Courier New" w:cs="Courier New" w:eastAsia="Courier New" w:hAnsi="Courier New"/>
                <w:sz w:val="17"/>
                <w:szCs w:val="17"/>
                <w:color w:val="auto"/>
              </w:rPr>
              <w:t>Subsidiary to be maintained and kept in good</w:t>
            </w:r>
          </w:p>
        </w:tc>
        <w:tc>
          <w:tcPr>
            <w:tcW w:w="36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condition, repair and working</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order and</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supplied</w:t>
            </w:r>
          </w:p>
        </w:tc>
        <w:tc>
          <w:tcPr>
            <w:tcW w:w="3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with all necessary equipment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and will</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cause to be made all</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necessary</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repairs,</w:t>
            </w:r>
          </w:p>
        </w:tc>
        <w:tc>
          <w:tcPr>
            <w:tcW w:w="63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renewals, replacements, betterments and improvements</w:t>
            </w:r>
          </w:p>
        </w:tc>
      </w:tr>
      <w:tr>
        <w:trPr>
          <w:trHeight w:val="201"/>
        </w:trPr>
        <w:tc>
          <w:tcPr>
            <w:tcW w:w="1940" w:type="dxa"/>
            <w:vAlign w:val="bottom"/>
            <w:gridSpan w:val="3"/>
          </w:tcPr>
          <w:p>
            <w:pPr>
              <w:spacing w:after="0"/>
              <w:rPr>
                <w:sz w:val="20"/>
                <w:szCs w:val="20"/>
                <w:color w:val="auto"/>
              </w:rPr>
            </w:pPr>
            <w:r>
              <w:rPr>
                <w:rFonts w:ascii="Courier New" w:cs="Courier New" w:eastAsia="Courier New" w:hAnsi="Courier New"/>
                <w:sz w:val="17"/>
                <w:szCs w:val="17"/>
                <w:color w:val="auto"/>
              </w:rPr>
              <w:t>thereof, all as in</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the judgment of the Trust</w:t>
            </w:r>
          </w:p>
        </w:tc>
        <w:tc>
          <w:tcPr>
            <w:tcW w:w="36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may be necessary so that the</w:t>
            </w:r>
          </w:p>
        </w:tc>
      </w:tr>
      <w:tr>
        <w:trPr>
          <w:trHeight w:val="201"/>
        </w:trPr>
        <w:tc>
          <w:tcPr>
            <w:tcW w:w="4620" w:type="dxa"/>
            <w:vAlign w:val="bottom"/>
            <w:gridSpan w:val="4"/>
          </w:tcPr>
          <w:p>
            <w:pPr>
              <w:spacing w:after="0"/>
              <w:rPr>
                <w:sz w:val="20"/>
                <w:szCs w:val="20"/>
                <w:color w:val="auto"/>
              </w:rPr>
            </w:pPr>
            <w:r>
              <w:rPr>
                <w:rFonts w:ascii="Courier New" w:cs="Courier New" w:eastAsia="Courier New" w:hAnsi="Courier New"/>
                <w:sz w:val="17"/>
                <w:szCs w:val="17"/>
                <w:color w:val="auto"/>
              </w:rPr>
              <w:t>business carried on in connection therewith</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may</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be properly and advantageously</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conducted</w:t>
            </w:r>
          </w:p>
        </w:tc>
        <w:tc>
          <w:tcPr>
            <w:tcW w:w="36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 all times (Section 1005 of each</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Indenture).</w:t>
            </w:r>
          </w:p>
        </w:tc>
        <w:tc>
          <w:tcPr>
            <w:tcW w:w="2360" w:type="dxa"/>
            <w:vAlign w:val="bottom"/>
          </w:tcPr>
          <w:p>
            <w:pPr>
              <w:spacing w:after="0"/>
              <w:rPr>
                <w:sz w:val="17"/>
                <w:szCs w:val="17"/>
                <w:color w:val="auto"/>
              </w:rPr>
            </w:pPr>
          </w:p>
        </w:tc>
      </w:tr>
    </w:tbl>
    <w:p>
      <w:pPr>
        <w:spacing w:after="0" w:line="205"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0" w:lineRule="exact"/>
        <w:rPr>
          <w:sz w:val="20"/>
          <w:szCs w:val="20"/>
          <w:color w:val="auto"/>
        </w:rPr>
      </w:pPr>
    </w:p>
    <w:p>
      <w:pPr>
        <w:spacing w:after="0" w:line="203"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Additional Covenants. Any additional covenants of the Trust with respect to any series of Debt Securities will be set forth in the Prospectus Supplement relating thereto.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 NOTICE AND WAIVER</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659" w:gutter="0" w:footer="0" w:header="0"/>
        </w:sectPr>
      </w:pPr>
    </w:p>
    <w:bookmarkStart w:id="28" w:name="page29"/>
    <w:bookmarkEnd w:id="28"/>
    <w:p>
      <w:pPr>
        <w:ind w:right="1939"/>
        <w:spacing w:after="0" w:line="251" w:lineRule="auto"/>
        <w:rPr>
          <w:sz w:val="20"/>
          <w:szCs w:val="20"/>
          <w:color w:val="auto"/>
        </w:rPr>
      </w:pPr>
      <w:r>
        <w:rPr>
          <w:rFonts w:ascii="Courier New" w:cs="Courier New" w:eastAsia="Courier New" w:hAnsi="Courier New"/>
          <w:sz w:val="17"/>
          <w:szCs w:val="17"/>
          <w:color w:val="auto"/>
        </w:rPr>
        <w:t>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w:t>
      </w:r>
    </w:p>
    <w:p>
      <w:pPr>
        <w:ind w:right="2039" w:firstLine="7"/>
        <w:spacing w:after="0" w:line="252" w:lineRule="auto"/>
        <w:tabs>
          <w:tab w:leader="none" w:pos="41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97"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3" w:lineRule="auto"/>
        <w:rPr>
          <w:sz w:val="20"/>
          <w:szCs w:val="20"/>
          <w:color w:val="auto"/>
        </w:rPr>
      </w:pPr>
      <w:r>
        <w:rPr>
          <w:rFonts w:ascii="Courier New" w:cs="Courier New" w:eastAsia="Courier New" w:hAnsi="Courier New"/>
          <w:sz w:val="17"/>
          <w:szCs w:val="17"/>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659" w:gutter="0" w:footer="0" w:header="0"/>
        </w:sectPr>
      </w:pPr>
    </w:p>
    <w:bookmarkStart w:id="29" w:name="page30"/>
    <w:bookmarkEnd w:id="29"/>
    <w:p>
      <w:pPr>
        <w:ind w:right="1939"/>
        <w:spacing w:after="0" w:line="252" w:lineRule="auto"/>
        <w:rPr>
          <w:sz w:val="20"/>
          <w:szCs w:val="20"/>
          <w:color w:val="auto"/>
        </w:rPr>
      </w:pPr>
      <w:r>
        <w:rPr>
          <w:rFonts w:ascii="Courier New" w:cs="Courier New" w:eastAsia="Courier New" w:hAnsi="Courier New"/>
          <w:sz w:val="17"/>
          <w:szCs w:val="17"/>
          <w:color w:val="auto"/>
        </w:rPr>
        <w:t>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196"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202"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2"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95"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 (ii) to add to the covenants of the Trust for the benefit of the Holders of all or any series of Debt Securities or to surrender any right or power conferred upon the Trust in such Indenture; (iii) to add Events of Default for the benefit</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062" w:gutter="0" w:footer="0" w:header="0"/>
        </w:sectPr>
      </w:pPr>
    </w:p>
    <w:bookmarkStart w:id="30" w:name="page31"/>
    <w:bookmarkEnd w:id="30"/>
    <w:p>
      <w:pPr>
        <w:ind w:right="1939"/>
        <w:spacing w:after="0" w:line="251" w:lineRule="auto"/>
        <w:rPr>
          <w:sz w:val="20"/>
          <w:szCs w:val="20"/>
          <w:color w:val="auto"/>
        </w:rPr>
      </w:pPr>
      <w:r>
        <w:rPr>
          <w:rFonts w:ascii="Courier New" w:cs="Courier New" w:eastAsia="Courier New" w:hAnsi="Courier New"/>
          <w:sz w:val="17"/>
          <w:szCs w:val="17"/>
          <w:color w:val="auto"/>
        </w:rPr>
        <w:t>of the Holders of all or any series of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 (x) 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659" w:gutter="0" w:footer="0" w:header="0"/>
        </w:sectPr>
      </w:pPr>
    </w:p>
    <w:bookmarkStart w:id="31" w:name="page32"/>
    <w:bookmarkEnd w:id="31"/>
    <w:p>
      <w:pPr>
        <w:ind w:right="2779"/>
        <w:spacing w:after="0" w:line="257" w:lineRule="auto"/>
        <w:rPr>
          <w:sz w:val="20"/>
          <w:szCs w:val="20"/>
          <w:color w:val="auto"/>
        </w:rPr>
      </w:pPr>
      <w:r>
        <w:rPr>
          <w:rFonts w:ascii="Courier New" w:cs="Courier New" w:eastAsia="Courier New" w:hAnsi="Courier New"/>
          <w:sz w:val="17"/>
          <w:szCs w:val="17"/>
          <w:color w:val="auto"/>
        </w:rPr>
        <w:t>principal amount of the Outstanding Debt Securities of such series will constitute a quorum (Section 1504 of each Indenture).</w:t>
      </w:r>
    </w:p>
    <w:p>
      <w:pPr>
        <w:spacing w:after="0" w:line="192"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 (a) 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 (d) 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 (f) any binding commitment of the Trust to fund any real estate investment or to fund any investment in any entity making such real estate investment, in each case other than (1) any such indebtedness, obligation or liability referred to in clauses</w:t>
      </w:r>
    </w:p>
    <w:p>
      <w:pPr>
        <w:ind w:right="1939" w:firstLine="7"/>
        <w:spacing w:after="0" w:line="251" w:lineRule="auto"/>
        <w:tabs>
          <w:tab w:leader="none" w:pos="41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(f) above as to which, in the instrument creating or evidencing the same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w:t>
      </w: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the Subordinated Securities (Section 101 of the Subordinated Indenture). At September 30, 1993, Senior Debt aggregated approximately $300 million. There are no restrictions in the Subordinated Indenture upon the creation of additional Senior Debt.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DISCHARGE, DEFEASANCE AND COVENANT DEFEASANCE</w:t>
      </w:r>
    </w:p>
    <w:p>
      <w:pPr>
        <w:spacing w:after="0" w:line="210"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Under each Indenture, the Trust may discharge certain obligations to Holders of any series of Debt Securities issued thereunder that have not already been delivered to the applicable Trustee for cancellation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19" w:right="1440" w:bottom="256" w:gutter="0" w:footer="0" w:header="0"/>
        </w:sectPr>
      </w:pPr>
    </w:p>
    <w:bookmarkStart w:id="32" w:name="page33"/>
    <w:bookmarkEnd w:id="32"/>
    <w:p>
      <w:pPr>
        <w:ind w:right="1939"/>
        <w:spacing w:after="0" w:line="251" w:lineRule="auto"/>
        <w:rPr>
          <w:sz w:val="20"/>
          <w:szCs w:val="20"/>
          <w:color w:val="auto"/>
        </w:rPr>
      </w:pPr>
      <w:r>
        <w:rPr>
          <w:rFonts w:ascii="Courier New" w:cs="Courier New" w:eastAsia="Courier New" w:hAnsi="Courier New"/>
          <w:sz w:val="17"/>
          <w:szCs w:val="17"/>
          <w:color w:val="auto"/>
        </w:rPr>
        <w:t>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United States federal income tax law occurring after the date of the Indenture (Section 1404 of each Indenture).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860" w:gutter="0" w:footer="0" w:header="0"/>
        </w:sectPr>
      </w:pPr>
    </w:p>
    <w:bookmarkStart w:id="33" w:name="page34"/>
    <w:bookmarkEnd w:id="33"/>
    <w:p>
      <w:pPr>
        <w:ind w:right="1939" w:firstLine="209"/>
        <w:spacing w:after="0" w:line="251" w:lineRule="auto"/>
        <w:rPr>
          <w:sz w:val="20"/>
          <w:szCs w:val="20"/>
          <w:color w:val="auto"/>
        </w:rPr>
      </w:pPr>
      <w:r>
        <w:rPr>
          <w:rFonts w:ascii="Courier New" w:cs="Courier New" w:eastAsia="Courier New" w:hAnsi="Courier New"/>
          <w:sz w:val="17"/>
          <w:szCs w:val="17"/>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 (g) 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210" w:lineRule="exact"/>
        <w:rPr>
          <w:sz w:val="20"/>
          <w:szCs w:val="20"/>
          <w:color w:val="auto"/>
        </w:rPr>
      </w:pPr>
    </w:p>
    <w:p>
      <w:pPr>
        <w:ind w:right="1939" w:firstLine="209"/>
        <w:spacing w:after="0" w:line="253" w:lineRule="auto"/>
        <w:rPr>
          <w:sz w:val="20"/>
          <w:szCs w:val="20"/>
          <w:color w:val="auto"/>
        </w:rPr>
      </w:pPr>
      <w:r>
        <w:rPr>
          <w:rFonts w:ascii="Courier New" w:cs="Courier New" w:eastAsia="Courier New" w:hAnsi="Courier New"/>
          <w:sz w:val="17"/>
          <w:szCs w:val="17"/>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sectPr>
      </w:pPr>
    </w:p>
    <w:bookmarkStart w:id="34" w:name="page35"/>
    <w:bookmarkEnd w:id="34"/>
    <w:p>
      <w:pPr>
        <w:spacing w:after="0" w:line="2"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DESCRIPTION OF PREFERRED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The Trust is authorized to issue an unlimited number of preferred shares (the "Preferred Shares") of which no Preferred Shares were outstanding at December 13, 1993.</w:t>
      </w:r>
    </w:p>
    <w:p>
      <w:pPr>
        <w:spacing w:after="0" w:line="194"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Subject to the limitations prescribed by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01"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Reference is made to the Prospectus Supplement relating to the Preferred Shares offered thereby for specific terms, including:</w:t>
      </w:r>
    </w:p>
    <w:p>
      <w:pPr>
        <w:spacing w:after="0" w:line="192" w:lineRule="exact"/>
        <w:rPr>
          <w:sz w:val="20"/>
          <w:szCs w:val="20"/>
          <w:color w:val="auto"/>
        </w:rPr>
      </w:pPr>
    </w:p>
    <w:p>
      <w:pPr>
        <w:ind w:left="840" w:hanging="414"/>
        <w:spacing w:after="0"/>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and stated value of such Preferred Shares;</w:t>
      </w:r>
    </w:p>
    <w:p>
      <w:pPr>
        <w:spacing w:after="0" w:line="210" w:lineRule="exact"/>
        <w:rPr>
          <w:rFonts w:ascii="Courier New" w:cs="Courier New" w:eastAsia="Courier New" w:hAnsi="Courier New"/>
          <w:sz w:val="17"/>
          <w:szCs w:val="17"/>
          <w:color w:val="auto"/>
        </w:rPr>
      </w:pPr>
    </w:p>
    <w:p>
      <w:pPr>
        <w:ind w:left="220" w:right="2779" w:firstLine="206"/>
        <w:spacing w:after="0" w:line="257"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such Preferred Shares offered, the liquidation preference per share and the offering price of such Preferred Shares;</w:t>
      </w:r>
    </w:p>
    <w:p>
      <w:pPr>
        <w:spacing w:after="0" w:line="191" w:lineRule="exact"/>
        <w:rPr>
          <w:rFonts w:ascii="Courier New" w:cs="Courier New" w:eastAsia="Courier New" w:hAnsi="Courier New"/>
          <w:sz w:val="17"/>
          <w:szCs w:val="17"/>
          <w:color w:val="auto"/>
        </w:rPr>
      </w:pPr>
    </w:p>
    <w:p>
      <w:pPr>
        <w:ind w:left="220" w:right="2359" w:firstLine="206"/>
        <w:spacing w:after="0" w:line="257"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rate(s), period(s) and/or payment date(s) or method(s) of calculation thereof applicable to such Preferred Shares;</w:t>
      </w:r>
    </w:p>
    <w:p>
      <w:pPr>
        <w:spacing w:after="0" w:line="191" w:lineRule="exact"/>
        <w:rPr>
          <w:rFonts w:ascii="Courier New" w:cs="Courier New" w:eastAsia="Courier New" w:hAnsi="Courier New"/>
          <w:sz w:val="17"/>
          <w:szCs w:val="17"/>
          <w:color w:val="auto"/>
        </w:rPr>
      </w:pPr>
    </w:p>
    <w:p>
      <w:pPr>
        <w:ind w:left="220" w:right="3099" w:firstLine="206"/>
        <w:spacing w:after="0" w:line="257"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from which dividends on such Preferred Shares shall accumulate, if applicable;</w:t>
      </w:r>
    </w:p>
    <w:p>
      <w:pPr>
        <w:spacing w:after="0" w:line="191" w:lineRule="exact"/>
        <w:rPr>
          <w:rFonts w:ascii="Courier New" w:cs="Courier New" w:eastAsia="Courier New" w:hAnsi="Courier New"/>
          <w:sz w:val="17"/>
          <w:szCs w:val="17"/>
          <w:color w:val="auto"/>
        </w:rPr>
      </w:pPr>
    </w:p>
    <w:p>
      <w:pPr>
        <w:ind w:left="220" w:right="2679" w:firstLine="206"/>
        <w:spacing w:after="0" w:line="257"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for any auction and remarketing, if any, for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a sinking fund, if any, for such Preferred Shares;</w:t>
      </w:r>
    </w:p>
    <w:p>
      <w:pPr>
        <w:spacing w:after="0" w:line="210" w:lineRule="exact"/>
        <w:rPr>
          <w:rFonts w:ascii="Courier New" w:cs="Courier New" w:eastAsia="Courier New" w:hAnsi="Courier New"/>
          <w:sz w:val="17"/>
          <w:szCs w:val="17"/>
          <w:color w:val="auto"/>
        </w:rPr>
      </w:pPr>
    </w:p>
    <w:p>
      <w:pPr>
        <w:ind w:left="220" w:right="2879" w:firstLine="206"/>
        <w:spacing w:after="0" w:line="257"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provision for redemption, if applicable, of such Preferred Shares;</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listing of such Preferred Shares on any securities exchange;</w:t>
      </w:r>
    </w:p>
    <w:p>
      <w:pPr>
        <w:spacing w:after="0" w:line="210" w:lineRule="exact"/>
        <w:rPr>
          <w:rFonts w:ascii="Courier New" w:cs="Courier New" w:eastAsia="Courier New" w:hAnsi="Courier New"/>
          <w:sz w:val="17"/>
          <w:szCs w:val="17"/>
          <w:color w:val="auto"/>
        </w:rPr>
      </w:pPr>
    </w:p>
    <w:p>
      <w:pPr>
        <w:ind w:left="220" w:right="2359" w:firstLine="206"/>
        <w:spacing w:after="0" w:line="254" w:lineRule="auto"/>
        <w:tabs>
          <w:tab w:leader="none" w:pos="848"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and conditions, if applicable, upon which such Preferred Shares will be convertible into Common Shares of the Trust, including the conversion price (or manner of calculation thereof);</w:t>
      </w:r>
    </w:p>
    <w:p>
      <w:pPr>
        <w:spacing w:after="0" w:line="194" w:lineRule="exact"/>
        <w:rPr>
          <w:rFonts w:ascii="Courier New" w:cs="Courier New" w:eastAsia="Courier New" w:hAnsi="Courier New"/>
          <w:sz w:val="17"/>
          <w:szCs w:val="17"/>
          <w:color w:val="auto"/>
        </w:rPr>
      </w:pPr>
    </w:p>
    <w:p>
      <w:pPr>
        <w:ind w:left="220" w:right="2879" w:firstLine="206"/>
        <w:spacing w:after="0" w:line="257" w:lineRule="auto"/>
        <w:tabs>
          <w:tab w:leader="none" w:pos="9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specific terms, preferences, rights, limitations or restrictions of such Preferred Shares;</w:t>
      </w:r>
    </w:p>
    <w:p>
      <w:pPr>
        <w:spacing w:after="0" w:line="191" w:lineRule="exact"/>
        <w:rPr>
          <w:rFonts w:ascii="Courier New" w:cs="Courier New" w:eastAsia="Courier New" w:hAnsi="Courier New"/>
          <w:sz w:val="17"/>
          <w:szCs w:val="17"/>
          <w:color w:val="auto"/>
        </w:rPr>
      </w:pPr>
    </w:p>
    <w:p>
      <w:pPr>
        <w:ind w:left="220" w:right="2139" w:firstLine="206"/>
        <w:spacing w:after="0" w:line="257" w:lineRule="auto"/>
        <w:tabs>
          <w:tab w:leader="none" w:pos="9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discussion of federal income tax considerations applicable to such Preferred Shares;</w:t>
      </w:r>
    </w:p>
    <w:p>
      <w:pPr>
        <w:spacing w:after="0" w:line="191" w:lineRule="exact"/>
        <w:rPr>
          <w:rFonts w:ascii="Courier New" w:cs="Courier New" w:eastAsia="Courier New" w:hAnsi="Courier New"/>
          <w:sz w:val="17"/>
          <w:szCs w:val="17"/>
          <w:color w:val="auto"/>
        </w:rPr>
      </w:pPr>
    </w:p>
    <w:p>
      <w:pPr>
        <w:ind w:left="220" w:right="2259" w:firstLine="206"/>
        <w:spacing w:after="0" w:line="254" w:lineRule="auto"/>
        <w:tabs>
          <w:tab w:leader="none" w:pos="9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relative ranking and preferences of such Preferred Shares as to dividend rights and rights upon liquidation, dissolution or winding up of the affairs of the Trust;</w:t>
      </w:r>
    </w:p>
    <w:p>
      <w:pPr>
        <w:spacing w:after="0" w:line="194" w:lineRule="exact"/>
        <w:rPr>
          <w:rFonts w:ascii="Courier New" w:cs="Courier New" w:eastAsia="Courier New" w:hAnsi="Courier New"/>
          <w:sz w:val="17"/>
          <w:szCs w:val="17"/>
          <w:color w:val="auto"/>
        </w:rPr>
      </w:pPr>
    </w:p>
    <w:p>
      <w:pPr>
        <w:ind w:left="960" w:hanging="534"/>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issuance of any series of Preferred Shares</w:t>
      </w:r>
    </w:p>
    <w:p>
      <w:pPr>
        <w:spacing w:after="0" w:line="8" w:lineRule="exact"/>
        <w:rPr>
          <w:rFonts w:ascii="Courier New" w:cs="Courier New" w:eastAsia="Courier New" w:hAnsi="Courier New"/>
          <w:sz w:val="17"/>
          <w:szCs w:val="17"/>
          <w:color w:val="auto"/>
        </w:rPr>
      </w:pPr>
    </w:p>
    <w:p>
      <w:pPr>
        <w:ind w:left="220"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ranking senior to or on a parity with such series of Preferred Shares as to dividend rights and rights upon liquidation, dissolution or winding up of the affairs of the Trust; and</w:t>
      </w:r>
    </w:p>
    <w:p>
      <w:pPr>
        <w:spacing w:after="0" w:line="194" w:lineRule="exact"/>
        <w:rPr>
          <w:rFonts w:ascii="Courier New" w:cs="Courier New" w:eastAsia="Courier New" w:hAnsi="Courier New"/>
          <w:sz w:val="17"/>
          <w:szCs w:val="17"/>
          <w:color w:val="auto"/>
        </w:rPr>
      </w:pPr>
    </w:p>
    <w:p>
      <w:pPr>
        <w:jc w:val="both"/>
        <w:ind w:left="220" w:right="2359" w:firstLine="206"/>
        <w:spacing w:after="0" w:line="257" w:lineRule="auto"/>
        <w:tabs>
          <w:tab w:leader="none" w:pos="95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limitations on direct or beneficial ownership and restrictions on transfer, in each case as may be appropriate to preserve the status of</w:t>
      </w:r>
    </w:p>
    <w:p>
      <w:pPr>
        <w:sectPr>
          <w:pgSz w:w="11900" w:h="16841" w:orient="portrait"/>
          <w:cols w:equalWidth="0" w:num="1">
            <w:col w:w="10219"/>
          </w:cols>
          <w:pgMar w:left="240" w:top="719"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the Trust as a REIT.</w:t>
      </w:r>
    </w:p>
    <w:p>
      <w:pPr>
        <w:spacing w:after="0" w:line="210"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999"/>
          </w:cols>
          <w:pgMar w:left="460" w:top="14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RANK</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196"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w:t>
      </w:r>
    </w:p>
    <w:p>
      <w:pPr>
        <w:ind w:right="1939" w:firstLine="7"/>
        <w:spacing w:after="0" w:line="251" w:lineRule="auto"/>
        <w:tabs>
          <w:tab w:leader="none" w:pos="524"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1062" w:gutter="0" w:footer="0" w:header="0"/>
        </w:sectPr>
      </w:pPr>
    </w:p>
    <w:bookmarkStart w:id="37" w:name="page38"/>
    <w:bookmarkEnd w:id="37"/>
    <w:p>
      <w:pPr>
        <w:ind w:right="1939"/>
        <w:spacing w:after="0" w:line="251" w:lineRule="auto"/>
        <w:rPr>
          <w:sz w:val="20"/>
          <w:szCs w:val="20"/>
          <w:color w:val="auto"/>
        </w:rPr>
      </w:pPr>
      <w:r>
        <w:rPr>
          <w:rFonts w:ascii="Courier New" w:cs="Courier New" w:eastAsia="Courier New" w:hAnsi="Courier New"/>
          <w:sz w:val="17"/>
          <w:szCs w:val="17"/>
          <w:color w:val="auto"/>
        </w:rPr>
        <w:t>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00" w:lineRule="exact"/>
        <w:rPr>
          <w:sz w:val="20"/>
          <w:szCs w:val="20"/>
          <w:color w:val="auto"/>
        </w:rPr>
      </w:pPr>
    </w:p>
    <w:p>
      <w:pPr>
        <w:spacing w:after="0" w:line="203" w:lineRule="exact"/>
        <w:rPr>
          <w:sz w:val="20"/>
          <w:szCs w:val="20"/>
          <w:color w:val="auto"/>
        </w:rPr>
      </w:pPr>
    </w:p>
    <w:p>
      <w:pPr>
        <w:jc w:val="both"/>
        <w:ind w:right="2359" w:firstLine="209"/>
        <w:spacing w:after="0" w:line="254" w:lineRule="auto"/>
        <w:rPr>
          <w:sz w:val="20"/>
          <w:szCs w:val="20"/>
          <w:color w:val="auto"/>
        </w:rPr>
      </w:pPr>
      <w:r>
        <w:rPr>
          <w:rFonts w:ascii="Courier New" w:cs="Courier New" w:eastAsia="Courier New" w:hAnsi="Courier New"/>
          <w:sz w:val="17"/>
          <w:szCs w:val="17"/>
          <w:color w:val="auto"/>
        </w:rPr>
        <w:t>Any dividend payment made on shares of a series of Preferred Shares shall first be credited against the earliest accrued but unpaid dividend due with respect to shares of such series which remains payable.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95"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w:t>
      </w:r>
    </w:p>
    <w:p>
      <w:pPr>
        <w:ind w:right="1939" w:firstLine="7"/>
        <w:spacing w:after="0" w:line="251" w:lineRule="auto"/>
        <w:tabs>
          <w:tab w:leader="none" w:pos="52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9" w:right="1440" w:bottom="457" w:gutter="0" w:footer="0" w:header="0"/>
        </w:sectPr>
      </w:pPr>
    </w:p>
    <w:bookmarkStart w:id="38" w:name="page39"/>
    <w:bookmarkEnd w:id="38"/>
    <w:p>
      <w:pPr>
        <w:ind w:right="1939"/>
        <w:spacing w:after="0" w:line="252" w:lineRule="auto"/>
        <w:rPr>
          <w:sz w:val="20"/>
          <w:szCs w:val="20"/>
          <w:color w:val="auto"/>
        </w:rPr>
      </w:pPr>
      <w:r>
        <w:rPr>
          <w:rFonts w:ascii="Courier New" w:cs="Courier New" w:eastAsia="Courier New" w:hAnsi="Courier New"/>
          <w:sz w:val="17"/>
          <w:szCs w:val="17"/>
          <w:color w:val="auto"/>
        </w:rPr>
        <w:t>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Notice of</w:t>
            </w:r>
          </w:p>
        </w:tc>
        <w:tc>
          <w:tcPr>
            <w:tcW w:w="4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redemption will be mailed at least 30</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days</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but not more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than 60</w:t>
            </w:r>
          </w:p>
        </w:tc>
      </w:tr>
      <w:tr>
        <w:trPr>
          <w:trHeight w:val="201"/>
        </w:trPr>
        <w:tc>
          <w:tcPr>
            <w:tcW w:w="1160" w:type="dxa"/>
            <w:vAlign w:val="bottom"/>
            <w:gridSpan w:val="2"/>
          </w:tcPr>
          <w:p>
            <w:pPr>
              <w:spacing w:after="0"/>
              <w:rPr>
                <w:sz w:val="20"/>
                <w:szCs w:val="20"/>
                <w:color w:val="auto"/>
              </w:rPr>
            </w:pPr>
            <w:r>
              <w:rPr>
                <w:rFonts w:ascii="Courier New" w:cs="Courier New" w:eastAsia="Courier New" w:hAnsi="Courier New"/>
                <w:sz w:val="17"/>
                <w:szCs w:val="17"/>
                <w:color w:val="auto"/>
              </w:rPr>
              <w:t>days before</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2500" w:type="dxa"/>
            <w:vAlign w:val="bottom"/>
          </w:tcPr>
          <w:p>
            <w:pPr>
              <w:ind w:left="40"/>
              <w:spacing w:after="0"/>
              <w:rPr>
                <w:sz w:val="20"/>
                <w:szCs w:val="20"/>
                <w:color w:val="auto"/>
              </w:rPr>
            </w:pPr>
            <w:r>
              <w:rPr>
                <w:rFonts w:ascii="Courier New" w:cs="Courier New" w:eastAsia="Courier New" w:hAnsi="Courier New"/>
                <w:sz w:val="17"/>
                <w:szCs w:val="17"/>
                <w:color w:val="auto"/>
              </w:rPr>
              <w:t>redemption date to each</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holder of</w:t>
            </w:r>
          </w:p>
        </w:tc>
        <w:tc>
          <w:tcPr>
            <w:tcW w:w="1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record of</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Preferred Shares of</w:t>
            </w:r>
          </w:p>
        </w:tc>
      </w:tr>
      <w:tr>
        <w:trPr>
          <w:trHeight w:val="201"/>
        </w:trPr>
        <w:tc>
          <w:tcPr>
            <w:tcW w:w="1160" w:type="dxa"/>
            <w:vAlign w:val="bottom"/>
            <w:gridSpan w:val="2"/>
          </w:tcPr>
          <w:p>
            <w:pPr>
              <w:spacing w:after="0"/>
              <w:rPr>
                <w:sz w:val="20"/>
                <w:szCs w:val="20"/>
                <w:color w:val="auto"/>
              </w:rPr>
            </w:pPr>
            <w:r>
              <w:rPr>
                <w:rFonts w:ascii="Courier New" w:cs="Courier New" w:eastAsia="Courier New" w:hAnsi="Courier New"/>
                <w:sz w:val="17"/>
                <w:szCs w:val="17"/>
                <w:color w:val="auto"/>
              </w:rPr>
              <w:t>any series</w:t>
            </w:r>
          </w:p>
        </w:tc>
        <w:tc>
          <w:tcPr>
            <w:tcW w:w="5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to be redeemed at the address shown on the share</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transfer books of</w:t>
            </w:r>
          </w:p>
        </w:tc>
      </w:tr>
      <w:tr>
        <w:trPr>
          <w:trHeight w:val="201"/>
        </w:trPr>
        <w:tc>
          <w:tcPr>
            <w:tcW w:w="1160" w:type="dxa"/>
            <w:vAlign w:val="bottom"/>
            <w:gridSpan w:val="2"/>
          </w:tcPr>
          <w:p>
            <w:pPr>
              <w:spacing w:after="0"/>
              <w:rPr>
                <w:sz w:val="20"/>
                <w:szCs w:val="20"/>
                <w:color w:val="auto"/>
              </w:rPr>
            </w:pPr>
            <w:r>
              <w:rPr>
                <w:rFonts w:ascii="Courier New" w:cs="Courier New" w:eastAsia="Courier New" w:hAnsi="Courier New"/>
                <w:sz w:val="17"/>
                <w:szCs w:val="17"/>
                <w:color w:val="auto"/>
              </w:rPr>
              <w:t>the Trust.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Each</w:t>
            </w:r>
          </w:p>
        </w:tc>
        <w:tc>
          <w:tcPr>
            <w:tcW w:w="2500" w:type="dxa"/>
            <w:vAlign w:val="bottom"/>
          </w:tcPr>
          <w:p>
            <w:pPr>
              <w:ind w:left="40"/>
              <w:spacing w:after="0"/>
              <w:rPr>
                <w:sz w:val="20"/>
                <w:szCs w:val="20"/>
                <w:color w:val="auto"/>
              </w:rPr>
            </w:pPr>
            <w:r>
              <w:rPr>
                <w:rFonts w:ascii="Courier New" w:cs="Courier New" w:eastAsia="Courier New" w:hAnsi="Courier New"/>
                <w:sz w:val="17"/>
                <w:szCs w:val="17"/>
                <w:color w:val="auto"/>
              </w:rPr>
              <w:t>notice shall state: (i)</w:t>
            </w:r>
          </w:p>
        </w:tc>
        <w:tc>
          <w:tcPr>
            <w:tcW w:w="1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redemption</w:t>
            </w:r>
          </w:p>
        </w:tc>
        <w:tc>
          <w:tcPr>
            <w:tcW w:w="25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date; (ii) the number of</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59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series of the Preferred Shares to be redeemed; (iii) the</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redemption</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price;</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(iv)</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40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place or places where certificates for</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such</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Preferred Shares</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are to</w:t>
            </w:r>
          </w:p>
        </w:tc>
        <w:tc>
          <w:tcPr>
            <w:tcW w:w="6400" w:type="dxa"/>
            <w:vAlign w:val="bottom"/>
            <w:gridSpan w:val="7"/>
          </w:tcPr>
          <w:p>
            <w:pPr>
              <w:ind w:left="60"/>
              <w:spacing w:after="0"/>
              <w:rPr>
                <w:sz w:val="20"/>
                <w:szCs w:val="20"/>
                <w:color w:val="auto"/>
              </w:rPr>
            </w:pPr>
            <w:r>
              <w:rPr>
                <w:rFonts w:ascii="Courier New" w:cs="Courier New" w:eastAsia="Courier New" w:hAnsi="Courier New"/>
                <w:sz w:val="17"/>
                <w:szCs w:val="17"/>
                <w:color w:val="auto"/>
              </w:rPr>
              <w:t>be surrendered for payment of the redemption price; (v) that</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dividends</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on the</w:t>
            </w:r>
          </w:p>
        </w:tc>
        <w:tc>
          <w:tcPr>
            <w:tcW w:w="3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shares to be redeemed will cease</w:t>
            </w:r>
          </w:p>
        </w:tc>
        <w:tc>
          <w:tcPr>
            <w:tcW w:w="414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to accrue on such redemption date; and</w:t>
            </w:r>
          </w:p>
        </w:tc>
      </w:tr>
    </w:tbl>
    <w:p>
      <w:pPr>
        <w:spacing w:after="0" w:line="4" w:lineRule="exact"/>
        <w:rPr>
          <w:sz w:val="20"/>
          <w:szCs w:val="20"/>
          <w:color w:val="auto"/>
        </w:rPr>
      </w:pPr>
    </w:p>
    <w:p>
      <w:pPr>
        <w:ind w:right="1939" w:firstLine="7"/>
        <w:spacing w:after="0" w:line="251" w:lineRule="auto"/>
        <w:tabs>
          <w:tab w:leader="none" w:pos="52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LIQUIDATION PREFERENCE</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86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Holders of the Preferred Shares will not have any voting rights, except as set forth below or as otherwise from time to time required by law or as indicated in the applicable Prospectus Supplement.</w:t>
      </w:r>
    </w:p>
    <w:p>
      <w:pPr>
        <w:spacing w:after="0" w:line="194"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20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 (x) 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203"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RIGHTS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As discussed below under "Description of Common Shares--Shareholder Liability," the Declaration of Trust provides that no shareholder, including holders of Preferred Shares, shall be personally liable for the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19" w:right="1440" w:bottom="55" w:gutter="0" w:footer="0" w:header="0"/>
        </w:sectPr>
      </w:pPr>
    </w:p>
    <w:bookmarkStart w:id="40" w:name="page41"/>
    <w:bookmarkEnd w:id="40"/>
    <w:p>
      <w:pPr>
        <w:ind w:right="1939"/>
        <w:spacing w:after="0" w:line="251" w:lineRule="auto"/>
        <w:rPr>
          <w:sz w:val="20"/>
          <w:szCs w:val="20"/>
          <w:color w:val="auto"/>
        </w:rPr>
      </w:pPr>
      <w:r>
        <w:rPr>
          <w:rFonts w:ascii="Courier New" w:cs="Courier New" w:eastAsia="Courier New" w:hAnsi="Courier New"/>
          <w:sz w:val="17"/>
          <w:szCs w:val="17"/>
          <w:color w:val="auto"/>
        </w:rPr>
        <w:t>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RESTRICTIONS ON OWNERSHIP</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DESCRIPTION OF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0" w:lineRule="exact"/>
        <w:rPr>
          <w:sz w:val="20"/>
          <w:szCs w:val="20"/>
          <w:color w:val="auto"/>
        </w:rPr>
      </w:pPr>
    </w:p>
    <w:p>
      <w:pPr>
        <w:spacing w:after="0" w:line="203"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Without shareholder approval, the Trust may issue an unlimited number of securities, warrants, rights, or other options to purchase Common Shares and other securities convertible into Common Shares.</w:t>
      </w:r>
    </w:p>
    <w:p>
      <w:pPr>
        <w:spacing w:after="0" w:line="194"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19" w:right="1440" w:bottom="1440" w:gutter="0" w:footer="0" w:header="0"/>
        </w:sectPr>
      </w:pPr>
    </w:p>
    <w:bookmarkStart w:id="41" w:name="page42"/>
    <w:bookmarkEnd w:id="41"/>
    <w:p>
      <w:pPr>
        <w:ind w:right="2039"/>
        <w:spacing w:after="0" w:line="252" w:lineRule="auto"/>
        <w:rPr>
          <w:sz w:val="20"/>
          <w:szCs w:val="20"/>
          <w:color w:val="auto"/>
        </w:rPr>
      </w:pPr>
      <w:r>
        <w:rPr>
          <w:rFonts w:ascii="Courier New" w:cs="Courier New" w:eastAsia="Courier New" w:hAnsi="Courier New"/>
          <w:sz w:val="17"/>
          <w:szCs w:val="17"/>
          <w:color w:val="auto"/>
        </w:rPr>
        <w:t>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398"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REIT QUALIFICATION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Trust operates in a manner intended to qualify for treatment as a real estate investment trust ("REIT")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 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w:t>
      </w:r>
    </w:p>
    <w:p>
      <w:pPr>
        <w:ind w:right="1939" w:firstLine="7"/>
        <w:spacing w:after="0" w:line="251" w:lineRule="auto"/>
        <w:tabs>
          <w:tab w:leader="none" w:pos="419"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LIABILITY</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19" w:right="1440" w:bottom="860" w:gutter="0" w:footer="0" w:header="0"/>
        </w:sectPr>
      </w:pPr>
    </w:p>
    <w:bookmarkStart w:id="42" w:name="page43"/>
    <w:bookmarkEnd w:id="42"/>
    <w:p>
      <w:pPr>
        <w:ind w:right="1939"/>
        <w:spacing w:after="0" w:line="252" w:lineRule="auto"/>
        <w:rPr>
          <w:sz w:val="20"/>
          <w:szCs w:val="20"/>
          <w:color w:val="auto"/>
        </w:rPr>
      </w:pPr>
      <w:r>
        <w:rPr>
          <w:rFonts w:ascii="Courier New" w:cs="Courier New" w:eastAsia="Courier New" w:hAnsi="Courier New"/>
          <w:sz w:val="17"/>
          <w:szCs w:val="17"/>
          <w:color w:val="auto"/>
        </w:rPr>
        <w:t>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REGISTRAR AND TRANSFER AGENT</w:t>
      </w:r>
    </w:p>
    <w:p>
      <w:pPr>
        <w:spacing w:after="0" w:line="210"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The Registrar and Transfer Agent for the Common Shares is American Stock Transfer &amp; Trust Company, New York, New York.</w:t>
      </w:r>
    </w:p>
    <w:p>
      <w:pPr>
        <w:spacing w:after="0" w:line="19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PLAN OF DISTRIBUTION</w:t>
      </w:r>
    </w:p>
    <w:p>
      <w:pPr>
        <w:spacing w:after="0" w:line="210" w:lineRule="exact"/>
        <w:rPr>
          <w:sz w:val="20"/>
          <w:szCs w:val="20"/>
          <w:color w:val="auto"/>
        </w:rPr>
      </w:pPr>
    </w:p>
    <w:p>
      <w:pPr>
        <w:ind w:right="2139" w:firstLine="209"/>
        <w:spacing w:after="0" w:line="257" w:lineRule="auto"/>
        <w:rPr>
          <w:sz w:val="20"/>
          <w:szCs w:val="20"/>
          <w:color w:val="auto"/>
        </w:rPr>
      </w:pPr>
      <w:r>
        <w:rPr>
          <w:rFonts w:ascii="Courier New" w:cs="Courier New" w:eastAsia="Courier New" w:hAnsi="Courier New"/>
          <w:sz w:val="17"/>
          <w:szCs w:val="17"/>
          <w:color w:val="auto"/>
        </w:rPr>
        <w:t>The Trust may sell Securities to or through underwriters, and also may sell Securities directly to other purchasers or through agents.</w:t>
      </w:r>
    </w:p>
    <w:p>
      <w:pPr>
        <w:spacing w:after="0" w:line="192"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5"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3" w:lineRule="auto"/>
        <w:rPr>
          <w:sz w:val="20"/>
          <w:szCs w:val="20"/>
          <w:color w:val="auto"/>
        </w:rPr>
      </w:pPr>
      <w:r>
        <w:rPr>
          <w:rFonts w:ascii="Courier New" w:cs="Courier New" w:eastAsia="Courier New" w:hAnsi="Courier New"/>
          <w:sz w:val="17"/>
          <w:szCs w:val="17"/>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95" w:lineRule="exact"/>
        <w:rPr>
          <w:sz w:val="20"/>
          <w:szCs w:val="20"/>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Underwriters, dealers and agents may engage in transactions with, or perform services for, or be customers of, the Trust in the ordinary course of business.</w:t>
      </w:r>
    </w:p>
    <w:p>
      <w:pPr>
        <w:spacing w:after="0" w:line="192"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19" w:right="1440" w:bottom="1440" w:gutter="0" w:footer="0" w:header="0"/>
        </w:sectPr>
      </w:pPr>
    </w:p>
    <w:bookmarkStart w:id="43" w:name="page44"/>
    <w:bookmarkEnd w:id="43"/>
    <w:p>
      <w:pPr>
        <w:ind w:right="2039"/>
        <w:spacing w:after="0" w:line="253" w:lineRule="auto"/>
        <w:rPr>
          <w:sz w:val="20"/>
          <w:szCs w:val="20"/>
          <w:color w:val="auto"/>
        </w:rPr>
      </w:pPr>
      <w:r>
        <w:rPr>
          <w:rFonts w:ascii="Courier New" w:cs="Courier New" w:eastAsia="Courier New" w:hAnsi="Courier New"/>
          <w:sz w:val="17"/>
          <w:szCs w:val="17"/>
          <w:color w:val="auto"/>
        </w:rPr>
        <w:t>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95"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LEGAL OPINIONS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legality of the Securities offered hereby is being passed upon for the Trust by Kirkpatrick &amp; Lockhart,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EXPERTS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Consolidated Financial Statements and Schedules of the Trust as of December 31, 1992 and 1991 and for each of the years in the three year period ended December 31, 1992 incorporated herein by reference have been incorporated herein in reliance on the reports dated February 18, 1993, of Grant Thornton, independent certified public accountants, also incorporated by reference herein, and upon the authority of said firm as experts in accounting and auditing. The statement of revenue and certain expenses of Crossroads Shopping Center, included in the Trust's Current Report on Form 8-K, dated September 24, 1993, incorporated by reference herein, has been incorporated herein in reliance on the report dated August 27, 1993, of Coopers &amp; Lybrand, independent certified public accountants, also incorporated by reference herein, and upon the authority of said firm as experts in accounting and auditing. The historical summaries of gross income and direct operating expenses of certain properties included in the Trust's Current Report on Form 8-K, dated September 24, 1993, incorporated by reference herein, have been incorporated herein in reliance on the reports dated September 9, 1993, of Stoy, Malone &amp; Company, P.C., independent certified public accountants, also incorporated by reference herein, and upon the authority of said firm as experts in accounting and auditing.</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23</w:t>
      </w: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1)"/>
      <w:numFmt w:val="lowerRoman"/>
      <w:start w:val="2"/>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lowerRoman"/>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1"/>
    </w:lvl>
  </w:abstractNum>
  <w:abstractNum w:abstractNumId="18">
    <w:nsid w:val="721DA317"/>
    <w:multiLevelType w:val="hybridMultilevel"/>
    <w:lvl w:ilvl="0">
      <w:lvlJc w:val="left"/>
      <w:lvlText w:val="(%1)"/>
      <w:numFmt w:val="lowerRoman"/>
      <w:start w:val="10"/>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Roman"/>
      <w:start w:val="2"/>
    </w:lvl>
  </w:abstractNum>
  <w:abstractNum w:abstractNumId="22">
    <w:nsid w:val="75A2A8D4"/>
    <w:multiLevelType w:val="hybridMultilevel"/>
    <w:lvl w:ilvl="0">
      <w:lvlJc w:val="left"/>
      <w:lvlText w:val="(%1)"/>
      <w:numFmt w:val="lowerRoman"/>
      <w:start w:val="2"/>
    </w:lvl>
  </w:abstractNum>
  <w:abstractNum w:abstractNumId="23">
    <w:nsid w:val="8EDBDAB"/>
    <w:multiLevelType w:val="hybridMultilevel"/>
    <w:lvl w:ilvl="0">
      <w:lvlJc w:val="left"/>
      <w:lvlText w:val="(%1)"/>
      <w:numFmt w:val="lowerRoman"/>
      <w:start w:val="6"/>
    </w:lvl>
  </w:abstractNum>
  <w:abstractNum w:abstractNumId="24">
    <w:nsid w:val="79838CB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2019-12-12T06:21:46Z</dcterms:created>
  <dcterms:modified xsi:type="dcterms:W3CDTF">2019-12-12T06:21:46Z</dcterms:modified>
</cp:coreProperties>
</file>