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#313747206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#313747206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2,129,032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3,081,832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3,081,832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5.009%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#313747206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3,081,832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3,081,832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5.009%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4800 Hampden Lane</w:t>
      </w:r>
    </w:p>
    <w:p>
      <w:pPr>
        <w:ind w:left="1700"/>
        <w:spacing w:after="0" w:line="238" w:lineRule="auto"/>
        <w:rPr>
          <w:sz w:val="20"/>
          <w:szCs w:val="20"/>
          <w:color w:val="auto"/>
        </w:rPr>
      </w:pPr>
      <w:r>
        <w:rPr>
          <w:rFonts w:ascii="Courier New" w:cs="Courier New" w:eastAsia="Courier New" w:hAnsi="Courier New"/>
          <w:sz w:val="18"/>
          <w:szCs w:val="18"/>
          <w:color w:val="auto"/>
        </w:rPr>
        <w:t>Suite 500</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Bethesda, MD</w:t>
        <w:tab/>
        <w:t>20814</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3,081,832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5.009%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2,129,032</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3,081,832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Federal Realty Investment</w:t>
      </w:r>
    </w:p>
    <w:p>
      <w:pPr>
        <w:spacing w:after="0" w:line="6"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Trust. No one person's interest in the Common Stock of Federal Realty Investment Trust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952,800 shares or 1.549% of the Common Stock outstanding of Federal Realty Investment Trust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952,800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132 shares, or 0.000%, of the Common Stock outstanding of Federal Realty Investment Trust, beneficially owned through Strategic Advisers, Inc.</w:t>
      </w:r>
    </w:p>
    <w:p>
      <w:pPr>
        <w:spacing w:after="0" w:line="21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27,076 shares or 0.044% of the outstanding Common Stock of Federal</w:t>
      </w:r>
    </w:p>
    <w:p>
      <w:pPr>
        <w:spacing w:after="0" w:line="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Realty Investment Trust as a result of 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27,076 shares and sole power to vote or to direct the voting of 27,076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1,100 shares or 0.002% of the outstanding Common Stock of the Federal Realty Investment Trust as a result of its serving as investment manager of</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institutional accounts owning such shares.</w:t>
      </w:r>
    </w:p>
    <w:p>
      <w:pPr>
        <w:spacing w:after="0" w:line="207"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1,100 shares and sole power to vote or to direct the voting of 1,100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2,100,724 shares or 3.415%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39%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Federal Realty Investment Trust at December 31,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2019-12-10T00:59:08Z</dcterms:created>
  <dcterms:modified xsi:type="dcterms:W3CDTF">2019-12-10T00:59:08Z</dcterms:modified>
</cp:coreProperties>
</file>