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4"/>
              <w:spacing w:after="0"/>
              <w:rPr>
                <w:sz w:val="20"/>
                <w:szCs w:val="20"/>
                <w:color w:val="auto"/>
              </w:rPr>
            </w:pPr>
            <w:r>
              <w:rPr>
                <w:rFonts w:ascii="Arial" w:cs="Arial" w:eastAsia="Arial" w:hAnsi="Arial"/>
                <w:sz w:val="18"/>
                <w:szCs w:val="18"/>
                <w:b w:val="1"/>
                <w:bCs w:val="1"/>
                <w:color w:val="auto"/>
                <w:w w:val="93"/>
              </w:rPr>
              <w:t>Maryland</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4020" w:type="dxa"/>
            <w:vAlign w:val="bottom"/>
          </w:tcPr>
          <w:p>
            <w:pPr>
              <w:jc w:val="center"/>
              <w:ind w:right="24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4"/>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460" w:type="dxa"/>
            <w:vAlign w:val="bottom"/>
            <w:gridSpan w:val="2"/>
          </w:tcPr>
          <w:p>
            <w:pPr>
              <w:jc w:val="center"/>
              <w:ind w:right="1086"/>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4020" w:type="dxa"/>
            <w:vAlign w:val="bottom"/>
          </w:tcPr>
          <w:p>
            <w:pPr>
              <w:jc w:val="center"/>
              <w:ind w:left="12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annual meeting of shareholders of the Trust was held on May 4, 2011 in Rockville, Maryland. The following table sets forth the matters presented for a vote by the shareholders and the voting results with respect to such matters: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Votes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Matter</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Votes For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7"/>
              </w:rPr>
              <w:t>Withheld/Against</w:t>
            </w:r>
          </w:p>
        </w:tc>
        <w:tc>
          <w:tcPr>
            <w:tcW w:w="3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Abstentions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Proposal 1: Election of Trustees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Jon E. Bortz</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52,768,734</w:t>
            </w:r>
          </w:p>
        </w:tc>
        <w:tc>
          <w:tcPr>
            <w:tcW w:w="1020" w:type="dxa"/>
            <w:vAlign w:val="bottom"/>
          </w:tcPr>
          <w:p>
            <w:pPr>
              <w:jc w:val="right"/>
              <w:spacing w:after="0"/>
              <w:rPr>
                <w:sz w:val="20"/>
                <w:szCs w:val="20"/>
                <w:color w:val="auto"/>
              </w:rPr>
            </w:pPr>
            <w:r>
              <w:rPr>
                <w:rFonts w:ascii="Arial" w:cs="Arial" w:eastAsia="Arial" w:hAnsi="Arial"/>
                <w:sz w:val="18"/>
                <w:szCs w:val="18"/>
                <w:color w:val="auto"/>
              </w:rPr>
              <w:t>145,867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 Faeder</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51,437,337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1,477,265</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4,233,848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Kristin Gamble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51,231,331</w:t>
            </w:r>
          </w:p>
        </w:tc>
        <w:tc>
          <w:tcPr>
            <w:tcW w:w="1020" w:type="dxa"/>
            <w:vAlign w:val="bottom"/>
          </w:tcPr>
          <w:p>
            <w:pPr>
              <w:jc w:val="right"/>
              <w:spacing w:after="0"/>
              <w:rPr>
                <w:sz w:val="20"/>
                <w:szCs w:val="20"/>
                <w:color w:val="auto"/>
              </w:rPr>
            </w:pPr>
            <w:r>
              <w:rPr>
                <w:rFonts w:ascii="Arial" w:cs="Arial" w:eastAsia="Arial" w:hAnsi="Arial"/>
                <w:sz w:val="18"/>
                <w:szCs w:val="18"/>
                <w:color w:val="auto"/>
              </w:rPr>
              <w:t>1,683,271</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Warren M. Thompson</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52,738,431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176,171</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4,233,848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Donald C. Wood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52,835,140</w:t>
            </w:r>
          </w:p>
        </w:tc>
        <w:tc>
          <w:tcPr>
            <w:tcW w:w="1020" w:type="dxa"/>
            <w:vAlign w:val="bottom"/>
          </w:tcPr>
          <w:p>
            <w:pPr>
              <w:jc w:val="right"/>
              <w:spacing w:after="0"/>
              <w:rPr>
                <w:sz w:val="20"/>
                <w:szCs w:val="20"/>
                <w:color w:val="auto"/>
              </w:rPr>
            </w:pPr>
            <w:r>
              <w:rPr>
                <w:rFonts w:ascii="Arial" w:cs="Arial" w:eastAsia="Arial" w:hAnsi="Arial"/>
                <w:sz w:val="18"/>
                <w:szCs w:val="18"/>
                <w:color w:val="auto"/>
              </w:rPr>
              <w:t>79,462</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4,233,848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6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Proposal 2: Ratification of the appointment of Grant Thornton LLP as the Trust’s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2"/>
              </w:rPr>
              <w:t>independent registered public accounting firm for the year ending December 31, 2011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56,631,627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468,209</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48,614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Proposal 3: Advisory vote on compensation of our named executive officers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37,792,748</w:t>
            </w:r>
          </w:p>
        </w:tc>
        <w:tc>
          <w:tcPr>
            <w:tcW w:w="1020" w:type="dxa"/>
            <w:vAlign w:val="bottom"/>
          </w:tcPr>
          <w:p>
            <w:pPr>
              <w:jc w:val="right"/>
              <w:spacing w:after="0"/>
              <w:rPr>
                <w:sz w:val="20"/>
                <w:szCs w:val="20"/>
                <w:color w:val="auto"/>
              </w:rPr>
            </w:pPr>
            <w:r>
              <w:rPr>
                <w:rFonts w:ascii="Arial" w:cs="Arial" w:eastAsia="Arial" w:hAnsi="Arial"/>
                <w:sz w:val="18"/>
                <w:szCs w:val="18"/>
                <w:color w:val="auto"/>
              </w:rPr>
              <w:t>15,009,940</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111,872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4,233,890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Advisory vote on the frequency of the shareholders’ advisory vote on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1 Year</w:t>
            </w:r>
          </w:p>
        </w:tc>
        <w:tc>
          <w:tcPr>
            <w:tcW w:w="156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 Year</w:t>
            </w:r>
          </w:p>
        </w:tc>
        <w:tc>
          <w:tcPr>
            <w:tcW w:w="156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3 Year</w:t>
            </w:r>
          </w:p>
        </w:tc>
        <w:tc>
          <w:tcPr>
            <w:tcW w:w="15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Abstentions</w:t>
            </w:r>
          </w:p>
        </w:tc>
        <w:tc>
          <w:tcPr>
            <w:tcW w:w="15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Broker Non-Votes</w:t>
            </w:r>
          </w:p>
        </w:tc>
        <w:tc>
          <w:tcPr>
            <w:tcW w:w="100" w:type="dxa"/>
            <w:vAlign w:val="bottom"/>
          </w:tcPr>
          <w:p>
            <w:pPr>
              <w:spacing w:after="0"/>
              <w:rPr>
                <w:sz w:val="14"/>
                <w:szCs w:val="14"/>
                <w:color w:val="auto"/>
              </w:rPr>
            </w:pPr>
          </w:p>
        </w:tc>
      </w:tr>
      <w:tr>
        <w:trPr>
          <w:trHeight w:val="210"/>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44,602,826</w:t>
            </w:r>
          </w:p>
        </w:tc>
        <w:tc>
          <w:tcPr>
            <w:tcW w:w="3780" w:type="dxa"/>
            <w:vAlign w:val="bottom"/>
            <w:gridSpan w:val="3"/>
            <w:shd w:val="clear" w:color="auto" w:fill="CCEEFF"/>
          </w:tcPr>
          <w:p>
            <w:pPr>
              <w:jc w:val="right"/>
              <w:ind w:right="1560"/>
              <w:spacing w:after="0"/>
              <w:rPr>
                <w:sz w:val="20"/>
                <w:szCs w:val="20"/>
                <w:color w:val="auto"/>
              </w:rPr>
            </w:pPr>
            <w:r>
              <w:rPr>
                <w:rFonts w:ascii="Arial" w:cs="Arial" w:eastAsia="Arial" w:hAnsi="Arial"/>
                <w:sz w:val="18"/>
                <w:szCs w:val="18"/>
                <w:color w:val="auto"/>
              </w:rPr>
              <w:t>208,932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7,580,842</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521,998</w:t>
            </w:r>
          </w:p>
        </w:tc>
        <w:tc>
          <w:tcPr>
            <w:tcW w:w="2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4,233,851</w:t>
            </w:r>
          </w:p>
        </w:tc>
      </w:tr>
    </w:tbl>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light of the voting results, the Board of Trustees has decided to include the shareholders’ advisory vote on compensation of our named executive officers in our proxy materials on an annual basis until the next required advisory vote on the frequency of the shareholder vote on compensation of our named executive officers.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2011</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2019-12-10T00:48:46Z</dcterms:created>
  <dcterms:modified xsi:type="dcterms:W3CDTF">2019-12-10T00:48:46Z</dcterms:modified>
</cp:coreProperties>
</file>