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145"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b w:val="1"/>
          <w:bCs w:val="1"/>
          <w:color w:val="DE1A1E"/>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6, 2013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0" w:lineRule="exact"/>
        <w:rPr>
          <w:sz w:val="24"/>
          <w:szCs w:val="24"/>
          <w:color w:val="auto"/>
        </w:rPr>
      </w:pPr>
    </w:p>
    <w:p>
      <w:pPr>
        <w:ind w:left="504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434340</wp:posOffset>
            </wp:positionV>
            <wp:extent cx="215265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left="260"/>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5" w:lineRule="exact"/>
        <w:rPr>
          <w:sz w:val="24"/>
          <w:szCs w:val="24"/>
          <w:color w:val="auto"/>
        </w:rPr>
      </w:pPr>
    </w:p>
    <w:p>
      <w:pPr>
        <w:spacing w:after="0"/>
        <w:tabs>
          <w:tab w:leader="none" w:pos="5940" w:val="left"/>
          <w:tab w:leader="none" w:pos="9960" w:val="left"/>
          <w:tab w:leader="none" w:pos="10660" w:val="left"/>
        </w:tabs>
        <w:rPr>
          <w:sz w:val="20"/>
          <w:szCs w:val="20"/>
          <w:color w:val="auto"/>
        </w:rPr>
      </w:pPr>
      <w:r>
        <w:rPr>
          <w:rFonts w:ascii="Arial" w:cs="Arial" w:eastAsia="Arial" w:hAnsi="Arial"/>
          <w:sz w:val="18"/>
          <w:szCs w:val="18"/>
          <w:color w:val="auto"/>
        </w:rPr>
        <w:t>The notes offered by this prospectus supplement will bear interest at the rate of</w:t>
      </w:r>
      <w:r>
        <w:rPr>
          <w:sz w:val="20"/>
          <w:szCs w:val="20"/>
          <w:color w:val="auto"/>
        </w:rPr>
        <w:tab/>
      </w:r>
      <w:r>
        <w:rPr>
          <w:rFonts w:ascii="Arial" w:cs="Arial" w:eastAsia="Arial" w:hAnsi="Arial"/>
          <w:sz w:val="18"/>
          <w:szCs w:val="18"/>
          <w:color w:val="auto"/>
        </w:rPr>
        <w:t>% per year. Interest on the notes will be payable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w:t>
      </w:r>
    </w:p>
    <w:p>
      <w:pPr>
        <w:spacing w:after="0" w:line="15" w:lineRule="exact"/>
        <w:rPr>
          <w:sz w:val="24"/>
          <w:szCs w:val="24"/>
          <w:color w:val="auto"/>
        </w:rPr>
      </w:pPr>
    </w:p>
    <w:p>
      <w:pPr>
        <w:spacing w:after="0"/>
        <w:tabs>
          <w:tab w:leader="none" w:pos="1860" w:val="left"/>
          <w:tab w:leader="none" w:pos="4720" w:val="left"/>
          <w:tab w:leader="none" w:pos="5160" w:val="left"/>
        </w:tabs>
        <w:rPr>
          <w:sz w:val="20"/>
          <w:szCs w:val="20"/>
          <w:color w:val="auto"/>
        </w:rPr>
      </w:pPr>
      <w:r>
        <w:rPr>
          <w:rFonts w:ascii="Arial" w:cs="Arial" w:eastAsia="Arial" w:hAnsi="Arial"/>
          <w:sz w:val="18"/>
          <w:szCs w:val="18"/>
          <w:color w:val="auto"/>
        </w:rPr>
        <w:t>year, beginning on</w:t>
      </w:r>
      <w:r>
        <w:rPr>
          <w:sz w:val="20"/>
          <w:szCs w:val="20"/>
          <w:color w:val="auto"/>
        </w:rPr>
        <w:tab/>
      </w:r>
      <w:r>
        <w:rPr>
          <w:rFonts w:ascii="Arial" w:cs="Arial" w:eastAsia="Arial" w:hAnsi="Arial"/>
          <w:sz w:val="18"/>
          <w:szCs w:val="18"/>
          <w:color w:val="auto"/>
        </w:rPr>
        <w:t>, 2013. 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We may redeem some or all of the notes at any time before maturity. The redemption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prices are discussed under the caption “Description of Notes — Optional Redemption.”</w:t>
      </w:r>
    </w:p>
    <w:p>
      <w:pPr>
        <w:spacing w:after="0" w:line="84" w:lineRule="exact"/>
        <w:rPr>
          <w:sz w:val="24"/>
          <w:szCs w:val="24"/>
          <w:color w:val="auto"/>
        </w:rPr>
      </w:pPr>
    </w:p>
    <w:p>
      <w:pPr>
        <w:jc w:val="both"/>
        <w:ind w:right="62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indebtedness. The notes will be effectively subordinated to the prior claims of each secured mortgage lender to any specified property that secures such lender’s mortgage and to all of the unsecured indebtedness of our subsidiaries.</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Investing in the notes involves risks. See “Risk Factors” beginning on page S-6 of this prospectus supplement,</w:t>
      </w:r>
    </w:p>
    <w:p>
      <w:pPr>
        <w:spacing w:after="0" w:line="70" w:lineRule="exact"/>
        <w:rPr>
          <w:sz w:val="24"/>
          <w:szCs w:val="24"/>
          <w:color w:val="auto"/>
        </w:rPr>
      </w:pPr>
    </w:p>
    <w:p>
      <w:pPr>
        <w:jc w:val="center"/>
        <w:spacing w:after="0" w:line="328" w:lineRule="auto"/>
        <w:rPr>
          <w:sz w:val="20"/>
          <w:szCs w:val="20"/>
          <w:color w:val="auto"/>
        </w:rPr>
      </w:pPr>
      <w:r>
        <w:rPr>
          <w:rFonts w:ascii="Arial" w:cs="Arial" w:eastAsia="Arial" w:hAnsi="Arial"/>
          <w:sz w:val="21"/>
          <w:szCs w:val="21"/>
          <w:b w:val="1"/>
          <w:bCs w:val="1"/>
          <w:color w:val="auto"/>
        </w:rPr>
        <w:t>on page 3 of the accompanying prospectus and in our Annual Report on Form 10-K for the year ended December 31, 2012, filed with the Securities and Exchange Commission, or the SEC, on February 12, 2013.</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Note</w:t>
            </w:r>
          </w:p>
        </w:tc>
        <w:tc>
          <w:tcPr>
            <w:tcW w:w="380" w:type="dxa"/>
            <w:vAlign w:val="bottom"/>
          </w:tcPr>
          <w:p>
            <w:pPr>
              <w:spacing w:after="0"/>
              <w:rPr>
                <w:sz w:val="19"/>
                <w:szCs w:val="19"/>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88"/>
              </w:rPr>
              <w:t>Total</w:t>
            </w:r>
          </w:p>
        </w:tc>
      </w:tr>
      <w:tr>
        <w:trPr>
          <w:trHeight w:val="212"/>
        </w:trPr>
        <w:tc>
          <w:tcPr>
            <w:tcW w:w="25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5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us</w:t>
            </w:r>
            <w:r>
              <w:rPr>
                <w:rFonts w:ascii="Arial" w:cs="Arial" w:eastAsia="Arial" w:hAnsi="Arial"/>
                <w:sz w:val="11"/>
                <w:szCs w:val="11"/>
                <w:color w:val="auto"/>
                <w:w w:val="88"/>
              </w:rPr>
              <w:t>(1)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r>
      <w:tr>
        <w:trPr>
          <w:trHeight w:val="376"/>
        </w:trPr>
        <w:tc>
          <w:tcPr>
            <w:tcW w:w="2500" w:type="dxa"/>
            <w:vAlign w:val="bottom"/>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7"/>
                <w:szCs w:val="17"/>
                <w:color w:val="auto"/>
              </w:rPr>
              <w:t>Plus accrued interest from</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 2013, if settlement occurs after that date.</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2"/>
        </w:trPr>
        <w:tc>
          <w:tcPr>
            <w:tcW w:w="10620" w:type="dxa"/>
            <w:vAlign w:val="bottom"/>
            <w:gridSpan w:val="5"/>
          </w:tcPr>
          <w:p>
            <w:pPr>
              <w:spacing w:after="0"/>
              <w:rPr>
                <w:sz w:val="20"/>
                <w:szCs w:val="20"/>
                <w:color w:val="auto"/>
              </w:rPr>
            </w:pPr>
            <w:r>
              <w:rPr>
                <w:rFonts w:ascii="Arial" w:cs="Arial" w:eastAsia="Arial" w:hAnsi="Arial"/>
                <w:sz w:val="18"/>
                <w:szCs w:val="18"/>
                <w:color w:val="auto"/>
                <w:w w:val="89"/>
              </w:rPr>
              <w:t>The underwriters expect to deliver the notes to purchasers in book-entry only form through the facilities of The Depository Trust Company on or about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2013.</w:t>
            </w:r>
          </w:p>
        </w:tc>
        <w:tc>
          <w:tcPr>
            <w:tcW w:w="5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50" w:lineRule="exact"/>
        <w:rPr>
          <w:sz w:val="24"/>
          <w:szCs w:val="24"/>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pacing w:after="0" w:line="185" w:lineRule="exact"/>
        <w:rPr>
          <w:sz w:val="24"/>
          <w:szCs w:val="24"/>
          <w:color w:val="auto"/>
        </w:rPr>
      </w:pPr>
    </w:p>
    <w:p>
      <w:pPr>
        <w:spacing w:after="0"/>
        <w:tabs>
          <w:tab w:leader="none" w:pos="8640" w:val="left"/>
        </w:tabs>
        <w:rPr>
          <w:sz w:val="20"/>
          <w:szCs w:val="20"/>
          <w:color w:val="auto"/>
        </w:rPr>
      </w:pPr>
      <w:r>
        <w:rPr>
          <w:rFonts w:ascii="Arial" w:cs="Arial" w:eastAsia="Arial" w:hAnsi="Arial"/>
          <w:sz w:val="32"/>
          <w:szCs w:val="32"/>
          <w:b w:val="1"/>
          <w:bCs w:val="1"/>
          <w:color w:val="auto"/>
        </w:rPr>
        <w:t>Wells Fargo Securities</w:t>
      </w:r>
      <w:r>
        <w:rPr>
          <w:sz w:val="20"/>
          <w:szCs w:val="20"/>
          <w:color w:val="auto"/>
        </w:rPr>
        <w:tab/>
      </w:r>
      <w:r>
        <w:rPr>
          <w:rFonts w:ascii="Arial" w:cs="Arial" w:eastAsia="Arial" w:hAnsi="Arial"/>
          <w:sz w:val="31"/>
          <w:szCs w:val="31"/>
          <w:b w:val="1"/>
          <w:bCs w:val="1"/>
          <w:color w:val="auto"/>
        </w:rPr>
        <w:t>BofA Merrill Lynch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127000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230" w:right="239" w:bottom="991" w:gutter="0" w:footer="0" w:header="0"/>
        </w:sectPr>
      </w:pPr>
    </w:p>
    <w:p>
      <w:pPr>
        <w:spacing w:after="0" w:line="200" w:lineRule="exact"/>
        <w:rPr>
          <w:sz w:val="24"/>
          <w:szCs w:val="24"/>
          <w:color w:val="auto"/>
        </w:rPr>
      </w:pPr>
    </w:p>
    <w:p>
      <w:pPr>
        <w:spacing w:after="0" w:line="269"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May</w:t>
      </w:r>
      <w:r>
        <w:rPr>
          <w:sz w:val="20"/>
          <w:szCs w:val="20"/>
          <w:color w:val="auto"/>
        </w:rPr>
        <w:tab/>
      </w:r>
      <w:r>
        <w:rPr>
          <w:rFonts w:ascii="Arial" w:cs="Arial" w:eastAsia="Arial" w:hAnsi="Arial"/>
          <w:sz w:val="15"/>
          <w:szCs w:val="15"/>
          <w:b w:val="1"/>
          <w:bCs w:val="1"/>
          <w:color w:val="auto"/>
        </w:rPr>
        <w:t>, 2013.</w:t>
      </w:r>
    </w:p>
    <w:p>
      <w:pPr>
        <w:sectPr>
          <w:pgSz w:w="11900" w:h="16838" w:orient="portrait"/>
          <w:cols w:equalWidth="0" w:num="1">
            <w:col w:w="11420"/>
          </w:cols>
          <w:pgMar w:left="240" w:top="230" w:right="239" w:bottom="99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2012, filed with the SEC on February 12, 2013,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 spending a substantial amount upfront in infrastructure, and assume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6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2013, we owned or had a majority interest in community and neighborhood shopping centers and mixed-use properties which are operated as 88 predominantly retail real estate projects comprising approximately 19.5 million square feet. In total, the real estate projects were 95.1% leased and 94.5% occupied at March 31, 2013. A joint venture in which we own a 30% interest owned seven retail real estate projects totaling approximately 1.0 million square feet as of March 31, 2013. In total, the joint venture properties in which we own a 30% interest were 86.4% leased and 86.2% occupied at March 31, 2013. We have paid quarterly dividends to our shareholders continuously since our founding in 1962 and have increased our dividends per common share for 45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420" w:type="dxa"/>
            <w:vAlign w:val="bottom"/>
            <w:gridSpan w:val="7"/>
          </w:tcPr>
          <w:p>
            <w:pPr>
              <w:ind w:left="440"/>
              <w:spacing w:after="0"/>
              <w:rPr>
                <w:sz w:val="20"/>
                <w:szCs w:val="20"/>
                <w:color w:val="auto"/>
              </w:rPr>
            </w:pPr>
            <w:r>
              <w:rPr>
                <w:rFonts w:ascii="Arial" w:cs="Arial" w:eastAsia="Arial" w:hAnsi="Arial"/>
                <w:sz w:val="18"/>
                <w:szCs w:val="18"/>
                <w:color w:val="auto"/>
                <w:w w:val="97"/>
              </w:rPr>
              <w:t>The following table sets forth our historical ratios of earnings to fixed charges for the periods indicated:</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4160" w:type="dxa"/>
            <w:vAlign w:val="bottom"/>
          </w:tcPr>
          <w:p>
            <w:pPr>
              <w:spacing w:after="0"/>
              <w:rPr>
                <w:sz w:val="24"/>
                <w:szCs w:val="24"/>
                <w:color w:val="auto"/>
              </w:rPr>
            </w:pP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For the Three Months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160" w:type="dxa"/>
            <w:vAlign w:val="bottom"/>
          </w:tcPr>
          <w:p>
            <w:pPr>
              <w:spacing w:after="0"/>
              <w:rPr>
                <w:sz w:val="19"/>
                <w:szCs w:val="19"/>
                <w:color w:val="auto"/>
              </w:rPr>
            </w:pP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Ended March 31,</w:t>
            </w:r>
          </w:p>
        </w:tc>
        <w:tc>
          <w:tcPr>
            <w:tcW w:w="420" w:type="dxa"/>
            <w:vAlign w:val="bottom"/>
          </w:tcPr>
          <w:p>
            <w:pPr>
              <w:spacing w:after="0"/>
              <w:rPr>
                <w:sz w:val="19"/>
                <w:szCs w:val="19"/>
                <w:color w:val="auto"/>
              </w:rPr>
            </w:pPr>
          </w:p>
        </w:tc>
        <w:tc>
          <w:tcPr>
            <w:tcW w:w="3700" w:type="dxa"/>
            <w:vAlign w:val="bottom"/>
            <w:gridSpan w:val="7"/>
          </w:tcPr>
          <w:p>
            <w:pPr>
              <w:ind w:left="580"/>
              <w:spacing w:after="0"/>
              <w:rPr>
                <w:sz w:val="20"/>
                <w:szCs w:val="20"/>
                <w:color w:val="auto"/>
              </w:rPr>
            </w:pPr>
            <w:r>
              <w:rPr>
                <w:rFonts w:ascii="Arial" w:cs="Arial" w:eastAsia="Arial" w:hAnsi="Arial"/>
                <w:sz w:val="18"/>
                <w:szCs w:val="18"/>
                <w:b w:val="1"/>
                <w:bCs w:val="1"/>
                <w:color w:val="auto"/>
              </w:rPr>
              <w:t>For the Years Ended 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16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2013</w:t>
            </w:r>
          </w:p>
        </w:tc>
        <w:tc>
          <w:tcPr>
            <w:tcW w:w="56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2009</w:t>
            </w:r>
          </w:p>
        </w:tc>
        <w:tc>
          <w:tcPr>
            <w:tcW w:w="6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30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Issuer</w:t>
            </w:r>
          </w:p>
        </w:tc>
        <w:tc>
          <w:tcPr>
            <w:tcW w:w="5780" w:type="dxa"/>
            <w:vAlign w:val="bottom"/>
            <w:gridSpan w:val="2"/>
          </w:tcPr>
          <w:p>
            <w:pPr>
              <w:ind w:left="980"/>
              <w:spacing w:after="0"/>
              <w:rPr>
                <w:sz w:val="20"/>
                <w:szCs w:val="20"/>
                <w:color w:val="auto"/>
              </w:rPr>
            </w:pPr>
            <w:r>
              <w:rPr>
                <w:rFonts w:ascii="Arial" w:cs="Arial" w:eastAsia="Arial" w:hAnsi="Arial"/>
                <w:sz w:val="18"/>
                <w:szCs w:val="18"/>
                <w:color w:val="auto"/>
              </w:rPr>
              <w:t>Federal Realty Investment Trust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Securities offered</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4500" w:type="dxa"/>
            <w:vAlign w:val="bottom"/>
          </w:tcPr>
          <w:p>
            <w:pPr>
              <w:ind w:left="180"/>
              <w:spacing w:after="0"/>
              <w:rPr>
                <w:sz w:val="20"/>
                <w:szCs w:val="20"/>
                <w:color w:val="auto"/>
              </w:rPr>
            </w:pPr>
            <w:r>
              <w:rPr>
                <w:rFonts w:ascii="Arial" w:cs="Arial" w:eastAsia="Arial" w:hAnsi="Arial"/>
                <w:sz w:val="18"/>
                <w:szCs w:val="18"/>
                <w:color w:val="auto"/>
                <w:w w:val="95"/>
              </w:rPr>
              <w:t>million aggregate principal amount of   % notes due 20  .</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6560" w:type="dxa"/>
            <w:vAlign w:val="bottom"/>
            <w:gridSpan w:val="3"/>
          </w:tcPr>
          <w:p>
            <w:pPr>
              <w:ind w:left="980"/>
              <w:spacing w:after="0"/>
              <w:rPr>
                <w:sz w:val="20"/>
                <w:szCs w:val="20"/>
                <w:color w:val="auto"/>
              </w:rPr>
            </w:pPr>
            <w:r>
              <w:rPr>
                <w:rFonts w:ascii="Arial" w:cs="Arial" w:eastAsia="Arial" w:hAnsi="Arial"/>
                <w:sz w:val="18"/>
                <w:szCs w:val="18"/>
                <w:color w:val="auto"/>
                <w:w w:val="88"/>
              </w:rPr>
              <w:t>Unless redeemed prior to maturity as described below, the notes will mature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  .</w:t>
            </w:r>
          </w:p>
        </w:tc>
      </w:tr>
      <w:tr>
        <w:trPr>
          <w:trHeight w:val="304"/>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780" w:type="dxa"/>
            <w:vAlign w:val="bottom"/>
            <w:gridSpan w:val="2"/>
          </w:tcPr>
          <w:p>
            <w:pPr>
              <w:ind w:left="980"/>
              <w:spacing w:after="0"/>
              <w:rPr>
                <w:sz w:val="20"/>
                <w:szCs w:val="20"/>
                <w:color w:val="auto"/>
              </w:rPr>
            </w:pPr>
            <w:r>
              <w:rPr>
                <w:rFonts w:ascii="Arial" w:cs="Arial" w:eastAsia="Arial" w:hAnsi="Arial"/>
                <w:sz w:val="18"/>
                <w:szCs w:val="18"/>
                <w:color w:val="auto"/>
                <w:w w:val="93"/>
              </w:rPr>
              <w:t>Interest on the notes will be payable semi-annually in arrears on</w:t>
            </w:r>
          </w:p>
        </w:tc>
        <w:tc>
          <w:tcPr>
            <w:tcW w:w="780" w:type="dxa"/>
            <w:vAlign w:val="bottom"/>
          </w:tcPr>
          <w:p>
            <w:pPr>
              <w:ind w:left="140"/>
              <w:spacing w:after="0"/>
              <w:rPr>
                <w:sz w:val="20"/>
                <w:szCs w:val="20"/>
                <w:color w:val="auto"/>
              </w:rPr>
            </w:pPr>
            <w:r>
              <w:rPr>
                <w:rFonts w:ascii="Arial" w:cs="Arial" w:eastAsia="Arial" w:hAnsi="Arial"/>
                <w:sz w:val="18"/>
                <w:szCs w:val="18"/>
                <w:color w:val="auto"/>
              </w:rPr>
              <w:t>and</w:t>
            </w:r>
          </w:p>
        </w:tc>
        <w:tc>
          <w:tcPr>
            <w:tcW w:w="1080" w:type="dxa"/>
            <w:vAlign w:val="bottom"/>
          </w:tcPr>
          <w:p>
            <w:pPr>
              <w:jc w:val="right"/>
              <w:spacing w:after="0"/>
              <w:rPr>
                <w:sz w:val="20"/>
                <w:szCs w:val="20"/>
                <w:color w:val="auto"/>
              </w:rPr>
            </w:pPr>
            <w:r>
              <w:rPr>
                <w:rFonts w:ascii="Arial" w:cs="Arial" w:eastAsia="Arial" w:hAnsi="Arial"/>
                <w:sz w:val="18"/>
                <w:szCs w:val="18"/>
                <w:color w:val="auto"/>
                <w:w w:val="88"/>
              </w:rPr>
              <w:t>, beginning on</w:t>
            </w:r>
          </w:p>
        </w:tc>
      </w:tr>
      <w:tr>
        <w:trPr>
          <w:trHeight w:val="222"/>
        </w:trPr>
        <w:tc>
          <w:tcPr>
            <w:tcW w:w="3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 2013, and at maturity.</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Ranking</w:t>
            </w: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9"/>
              </w:rPr>
              <w:t xml:space="preserve">The notes will rank </w:t>
            </w:r>
            <w:r>
              <w:rPr>
                <w:rFonts w:ascii="Arial" w:cs="Arial" w:eastAsia="Arial" w:hAnsi="Arial"/>
                <w:sz w:val="18"/>
                <w:szCs w:val="18"/>
                <w:i w:val="1"/>
                <w:iCs w:val="1"/>
                <w:color w:val="auto"/>
                <w:w w:val="99"/>
              </w:rPr>
              <w:t>pari passu</w:t>
            </w:r>
            <w:r>
              <w:rPr>
                <w:rFonts w:ascii="Arial" w:cs="Arial" w:eastAsia="Arial" w:hAnsi="Arial"/>
                <w:sz w:val="18"/>
                <w:szCs w:val="18"/>
                <w:color w:val="auto"/>
                <w:w w:val="99"/>
              </w:rPr>
              <w:t>, or equally, with all of our other senior unsecured and</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88"/>
              </w:rPr>
              <w:t>unsubordinated indebtedness, and the notes will be effectively subordinated to the prior claims</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88"/>
              </w:rPr>
              <w:t>of each secured mortgage lender to any specific property that secures such lender’s mortgage</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0"/>
              </w:rPr>
              <w:t>and to all of the unsecured indebtedness of our subsidiaries. At March 31, 2013, after giving</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89"/>
              </w:rPr>
              <w:t>effect to this offering and to the use of the net proceeds from this offering, we had outstanding</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2"/>
              </w:rPr>
              <w:t>approximately $736 million (excluding net unamortized premium) of secured indebtedness</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0"/>
              </w:rPr>
              <w:t>collateralized by all or parts of 19 properties (of which approximately $505 million was issued</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4"/>
              </w:rPr>
              <w:t>by our subsidiaries), approximately $25 million of unsecured indebtedness issued by our</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4"/>
              </w:rPr>
              <w:t>subsidiaries (which will be senior to the notes) and approximately $1,469 million of other</w:t>
            </w:r>
          </w:p>
        </w:tc>
      </w:tr>
      <w:tr>
        <w:trPr>
          <w:trHeight w:val="222"/>
        </w:trPr>
        <w:tc>
          <w:tcPr>
            <w:tcW w:w="3320" w:type="dxa"/>
            <w:vAlign w:val="bottom"/>
          </w:tcPr>
          <w:p>
            <w:pPr>
              <w:spacing w:after="0"/>
              <w:rPr>
                <w:sz w:val="19"/>
                <w:szCs w:val="19"/>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89"/>
              </w:rPr>
              <w:t>unsecured indebtedness (excluding net unamortized discount) ranking equally with the notes.</w:t>
            </w: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Use of proceeds</w:t>
            </w: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0"/>
              </w:rPr>
              <w:t>We intend to use the net proceeds from this offering to redeem our outstanding 5.40% Notes</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89"/>
              </w:rPr>
              <w:t>due 2013, to pay off the outstanding balance under our revolving credit facility and for general</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8"/>
              </w:rPr>
              <w:t>corporate purposes, which may include without limitation funding potential acquisition</w:t>
            </w:r>
          </w:p>
        </w:tc>
      </w:tr>
      <w:tr>
        <w:trPr>
          <w:trHeight w:val="216"/>
        </w:trPr>
        <w:tc>
          <w:tcPr>
            <w:tcW w:w="3320" w:type="dxa"/>
            <w:vAlign w:val="bottom"/>
          </w:tcPr>
          <w:p>
            <w:pPr>
              <w:spacing w:after="0"/>
              <w:rPr>
                <w:sz w:val="18"/>
                <w:szCs w:val="18"/>
                <w:color w:val="auto"/>
              </w:rPr>
            </w:pPr>
          </w:p>
        </w:tc>
        <w:tc>
          <w:tcPr>
            <w:tcW w:w="7640" w:type="dxa"/>
            <w:vAlign w:val="bottom"/>
            <w:gridSpan w:val="4"/>
          </w:tcPr>
          <w:p>
            <w:pPr>
              <w:ind w:left="980"/>
              <w:spacing w:after="0"/>
              <w:rPr>
                <w:sz w:val="20"/>
                <w:szCs w:val="20"/>
                <w:color w:val="auto"/>
              </w:rPr>
            </w:pPr>
            <w:r>
              <w:rPr>
                <w:rFonts w:ascii="Arial" w:cs="Arial" w:eastAsia="Arial" w:hAnsi="Arial"/>
                <w:sz w:val="18"/>
                <w:szCs w:val="18"/>
                <w:color w:val="auto"/>
                <w:w w:val="90"/>
              </w:rPr>
              <w:t>opportunities or funding our redevelopment pipeline. See “Use of Proceeds” on page S-8 for</w:t>
            </w:r>
          </w:p>
        </w:tc>
      </w:tr>
      <w:tr>
        <w:trPr>
          <w:trHeight w:val="222"/>
        </w:trPr>
        <w:tc>
          <w:tcPr>
            <w:tcW w:w="3320" w:type="dxa"/>
            <w:vAlign w:val="bottom"/>
          </w:tcPr>
          <w:p>
            <w:pPr>
              <w:spacing w:after="0"/>
              <w:rPr>
                <w:sz w:val="19"/>
                <w:szCs w:val="19"/>
                <w:color w:val="auto"/>
              </w:rPr>
            </w:pPr>
          </w:p>
        </w:tc>
        <w:tc>
          <w:tcPr>
            <w:tcW w:w="5780" w:type="dxa"/>
            <w:vAlign w:val="bottom"/>
            <w:gridSpan w:val="2"/>
          </w:tcPr>
          <w:p>
            <w:pPr>
              <w:ind w:left="980"/>
              <w:spacing w:after="0"/>
              <w:rPr>
                <w:sz w:val="20"/>
                <w:szCs w:val="20"/>
                <w:color w:val="auto"/>
              </w:rPr>
            </w:pPr>
            <w:r>
              <w:rPr>
                <w:rFonts w:ascii="Arial" w:cs="Arial" w:eastAsia="Arial" w:hAnsi="Arial"/>
                <w:sz w:val="18"/>
                <w:szCs w:val="18"/>
                <w:color w:val="auto"/>
              </w:rPr>
              <w:t>more information.</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5780" w:type="dxa"/>
            <w:vAlign w:val="bottom"/>
            <w:gridSpan w:val="2"/>
          </w:tcPr>
          <w:p>
            <w:pPr>
              <w:ind w:left="980"/>
              <w:spacing w:after="0"/>
              <w:rPr>
                <w:sz w:val="20"/>
                <w:szCs w:val="20"/>
                <w:color w:val="auto"/>
              </w:rPr>
            </w:pPr>
            <w:r>
              <w:rPr>
                <w:rFonts w:ascii="Arial" w:cs="Arial" w:eastAsia="Arial" w:hAnsi="Arial"/>
                <w:sz w:val="18"/>
                <w:szCs w:val="18"/>
                <w:color w:val="auto"/>
                <w:w w:val="98"/>
              </w:rPr>
              <w:t>The notes contain various covenants, including the following:</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88" w:lineRule="exact"/>
        <w:rPr>
          <w:sz w:val="20"/>
          <w:szCs w:val="20"/>
          <w:color w:val="auto"/>
        </w:rPr>
      </w:pPr>
    </w:p>
    <w:p>
      <w:pPr>
        <w:ind w:left="4500" w:firstLine="5"/>
        <w:spacing w:after="0" w:line="288" w:lineRule="auto"/>
        <w:tabs>
          <w:tab w:leader="none" w:pos="47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140"/>
        <w:spacing w:after="0" w:line="298" w:lineRule="auto"/>
        <w:rPr>
          <w:sz w:val="20"/>
          <w:szCs w:val="20"/>
          <w:color w:val="auto"/>
        </w:rPr>
      </w:pPr>
      <w:r>
        <w:rPr>
          <w:rFonts w:ascii="Arial" w:cs="Arial" w:eastAsia="Arial" w:hAnsi="Arial"/>
          <w:sz w:val="16"/>
          <w:szCs w:val="16"/>
          <w:color w:val="auto"/>
        </w:rPr>
        <w:t>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45" w:lineRule="exact"/>
        <w:rPr>
          <w:sz w:val="20"/>
          <w:szCs w:val="20"/>
          <w:color w:val="auto"/>
        </w:rPr>
      </w:pPr>
    </w:p>
    <w:p>
      <w:pPr>
        <w:ind w:left="4500" w:firstLine="5"/>
        <w:spacing w:after="0" w:line="285" w:lineRule="auto"/>
        <w:tabs>
          <w:tab w:leader="none" w:pos="4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6" w:lineRule="auto"/>
        <w:tabs>
          <w:tab w:leader="none" w:pos="4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754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52" w:lineRule="exact"/>
        <w:rPr>
          <w:sz w:val="20"/>
          <w:szCs w:val="20"/>
          <w:color w:val="auto"/>
        </w:rPr>
      </w:pPr>
    </w:p>
    <w:p>
      <w:pPr>
        <w:jc w:val="both"/>
        <w:ind w:right="80" w:firstLine="5"/>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basis points (0. %), plus, in each case, accrued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detailed description is in “Description of Notes — Optional Redemption.”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2012, filed with the SEC on February 12, 2013, and the other information contained or incorporated by reference in this prospectus supplement and the accompanying prospectus</w:t>
      </w:r>
    </w:p>
    <w:p>
      <w:pPr>
        <w:spacing w:after="0" w:line="200"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30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930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spacing w:after="0" w:line="255" w:lineRule="auto"/>
        <w:rPr>
          <w:sz w:val="20"/>
          <w:szCs w:val="20"/>
          <w:color w:val="auto"/>
        </w:rPr>
      </w:pPr>
      <w:r>
        <w:rPr>
          <w:rFonts w:ascii="Arial" w:cs="Arial" w:eastAsia="Arial" w:hAnsi="Arial"/>
          <w:sz w:val="18"/>
          <w:szCs w:val="18"/>
          <w:color w:val="auto"/>
        </w:rPr>
        <w:t>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filed with the SEC on February 12, 2013 before you decide to purchase the notes. The risks and uncertainties described below and in the incorporated Form 10-K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2013, after giving effect to this offering, and to the issuance of the notes and the application of the net proceeds of this offering, our subsidiaries had approximately $530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2013, after giving effect to this offering and the application of the net proceeds of this offering, we had approximately $736 million (excluding net unamortized premium)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460"/>
        <w:spacing w:after="0"/>
        <w:tabs>
          <w:tab w:leader="none" w:pos="952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 deducting the</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underwriting discount and other estimated expenses of this offering payable by us. We intend to use these net proceeds to redeem our outstanding 5.40% Notes due 2013, to pay off the balance of $68.0 million outstanding under our revolving credit facility and for general corporate purposes, which may include without limitation funding potential acquisition opportunities or funding our redevelopment pipeline. As of March 31, 2013, $135.0 million of our 5.40% Notes due 2013 were outstanding. In addition to the payment of outstanding principal amount and accrued but unpaid interest, redemption of the 5.40% Notes due 2013 will be subject to a make-whole premium in the aggregate amount of $3.3 million. The 5.40% Notes due 2013 mature on December 1, 2013. Our revolving credit facility matures on April 21, 2017 (subject to a one-year extension at our option) and, as of May 1, 2013, accrues interest at a rate of LIBOR plus 90 basis points.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5.40% Notes due 2013. Such underwriters and their affiliates will receive a portion of the net proceeds from this offering to the extent they continue to hold 5.40% Notes due 2013 on any scheduled redemption date in relation thereto. See “Underwriting (Conflicts of Interest) — Conflicts of Interest.” Pending application of the net proceeds, we may invest the net proceeds in short-term income-producing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380"/>
          </w:cols>
          <w:pgMar w:left="240" w:top="459" w:right="27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million of our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which may be redeemed prior to that date in accordance with their terms.</w:t>
      </w:r>
    </w:p>
    <w:p>
      <w:pPr>
        <w:spacing w:after="0" w:line="124" w:lineRule="exact"/>
        <w:rPr>
          <w:sz w:val="20"/>
          <w:szCs w:val="20"/>
          <w:color w:val="auto"/>
        </w:rPr>
      </w:pPr>
    </w:p>
    <w:p>
      <w:pPr>
        <w:sectPr>
          <w:pgSz w:w="11900" w:h="16838" w:orient="portrait"/>
          <w:cols w:equalWidth="0" w:num="5">
            <w:col w:w="1700" w:space="380"/>
            <w:col w:w="980" w:space="220"/>
            <w:col w:w="1460" w:space="560"/>
            <w:col w:w="280" w:space="160"/>
            <w:col w:w="5640"/>
          </w:cols>
          <w:pgMar w:left="240" w:top="459" w:right="279" w:bottom="1440" w:gutter="0" w:footer="0" w:header="0"/>
          <w:type w:val="continuous"/>
        </w:sectPr>
      </w:pPr>
    </w:p>
    <w:p>
      <w:pPr>
        <w:jc w:val="center"/>
        <w:ind w:left="46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each year, beginning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2013, to the registered holders of the notes on</w:t>
      </w:r>
    </w:p>
    <w:p>
      <w:pPr>
        <w:spacing w:after="0" w:line="50" w:lineRule="exact"/>
        <w:rPr>
          <w:sz w:val="20"/>
          <w:szCs w:val="20"/>
          <w:color w:val="auto"/>
        </w:rPr>
      </w:pPr>
    </w:p>
    <w:p>
      <w:pPr>
        <w:sectPr>
          <w:pgSz w:w="11900" w:h="16838" w:orient="portrait"/>
          <w:cols w:equalWidth="0" w:num="4">
            <w:col w:w="4720" w:space="440"/>
            <w:col w:w="260" w:space="440"/>
            <w:col w:w="1640" w:space="560"/>
            <w:col w:w="3320"/>
          </w:cols>
          <w:pgMar w:left="240" w:top="459" w:right="279" w:bottom="1440" w:gutter="0" w:footer="0" w:header="0"/>
          <w:type w:val="continuous"/>
        </w:sectPr>
      </w:pPr>
    </w:p>
    <w:p>
      <w:pPr>
        <w:spacing w:after="0"/>
        <w:tabs>
          <w:tab w:leader="none" w:pos="1560" w:val="left"/>
          <w:tab w:leader="none" w:pos="2380" w:val="left"/>
        </w:tabs>
        <w:rPr>
          <w:sz w:val="20"/>
          <w:szCs w:val="20"/>
          <w:color w:val="auto"/>
        </w:rPr>
      </w:pPr>
      <w:r>
        <w:rPr>
          <w:rFonts w:ascii="Arial" w:cs="Arial" w:eastAsia="Arial" w:hAnsi="Arial"/>
          <w:sz w:val="18"/>
          <w:szCs w:val="18"/>
          <w:color w:val="auto"/>
        </w:rPr>
        <w:t>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459" w:right="279" w:bottom="1440" w:gutter="0" w:footer="0" w:header="0"/>
          <w:type w:val="continuous"/>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and the notes will be effectively subordinated to the prior claims of each secured mortgage lender to any specific property that secures such lender’s mortgage and to all of the unsecured indebtedness of our subsidiaries. At March 31, 2013, after giving effect to this offering and to the use of the net proceeds from this offering, we had outstanding approximately $736 million (excluding net unamortized premium) of secured indebtedness collateralized by all or parts of 19 properties (of which approximately $505 million was issued by our subsidiaries), approximately $25 million of unsecured indebtedness issued by our subsidiaries (which will be senior to the notes) and approximately $1,469 million of other unsecured indebtedness (excluding net unamortized discount) ranking equally with the notes.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w:t>
      </w:r>
    </w:p>
    <w:p>
      <w:pPr>
        <w:spacing w:after="0" w:line="3" w:lineRule="exact"/>
        <w:rPr>
          <w:sz w:val="20"/>
          <w:szCs w:val="20"/>
          <w:color w:val="auto"/>
        </w:rPr>
      </w:pPr>
    </w:p>
    <w:p>
      <w:pPr>
        <w:jc w:val="both"/>
        <w:ind w:right="520"/>
        <w:spacing w:after="0" w:line="302" w:lineRule="auto"/>
        <w:rPr>
          <w:sz w:val="20"/>
          <w:szCs w:val="20"/>
          <w:color w:val="auto"/>
        </w:rPr>
      </w:pPr>
      <w:r>
        <w:rPr>
          <w:rFonts w:ascii="Arial" w:cs="Arial" w:eastAsia="Arial" w:hAnsi="Arial"/>
          <w:sz w:val="16"/>
          <w:szCs w:val="16"/>
          <w:color w:val="auto"/>
        </w:rPr>
        <w:t>months) at the Adjusted Treasury Rate (as defined below) plus basis points (0. %),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Merrill Lynch, Pierce, Fenner &amp; Smith Incorporated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either of the Reference Treasury Dealers ceases to be a primary U.S. Government securities dealer, or a Primary Treasury Dealer, we will substitute therefor another Primary Treasury Dealer; and (2) any two other Primary Treasury Dealers selected by us.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2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90" w:lineRule="exact"/>
        <w:rPr>
          <w:rFonts w:ascii="Arial" w:cs="Arial" w:eastAsia="Arial" w:hAnsi="Arial"/>
          <w:sz w:val="18"/>
          <w:szCs w:val="18"/>
          <w:color w:val="auto"/>
        </w:rPr>
      </w:pPr>
    </w:p>
    <w:p>
      <w:pPr>
        <w:ind w:right="20" w:firstLine="464"/>
        <w:spacing w:after="0" w:line="289"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right="200" w:firstLine="693"/>
        <w:spacing w:after="0" w:line="268" w:lineRule="auto"/>
        <w:tabs>
          <w:tab w:leader="none" w:pos="933"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13" w:lineRule="exact"/>
        <w:rPr>
          <w:rFonts w:ascii="Arial" w:cs="Arial" w:eastAsia="Arial" w:hAnsi="Arial"/>
          <w:sz w:val="16"/>
          <w:szCs w:val="16"/>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or maintain a custodial relationship with a Direct Participant, either directly or indirectly, or Indirect Participants. The rules applicable to the Depositary and its Participants are on file with the SEC.</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2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4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0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as ordinary income when received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 accordance with the U.S. Holder’s regular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31"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 or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a 3.8% Medicare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22" w:lineRule="exact"/>
        <w:rPr>
          <w:sz w:val="20"/>
          <w:szCs w:val="20"/>
          <w:color w:val="auto"/>
        </w:rPr>
      </w:pPr>
    </w:p>
    <w:p>
      <w:pPr>
        <w:ind w:right="66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otherwise comply with applicable requirements of the backup withholding rules. A U.S. Holder that does not provide its correct taxpayer identification number also may be subject to penalties imposed by the IRS.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Holder generally will not be subject to U.S. federal income or withholding tax on payments of interest on a note, provided that:</w:t>
      </w:r>
    </w:p>
    <w:p>
      <w:pPr>
        <w:spacing w:after="0" w:line="84"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These forms may be required to be periodically updated.</w:t>
      </w:r>
    </w:p>
    <w:p>
      <w:pPr>
        <w:spacing w:after="0" w:line="4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Non-U.S. Holder generally will not be subject to U.S. federal income or withholding tax on gain from the sale, exchange, redemption or other taxable disposition of a note unless:</w:t>
      </w:r>
    </w:p>
    <w:p>
      <w:pPr>
        <w:spacing w:after="0" w:line="51" w:lineRule="exact"/>
        <w:rPr>
          <w:sz w:val="20"/>
          <w:szCs w:val="20"/>
          <w:color w:val="auto"/>
        </w:rPr>
      </w:pPr>
    </w:p>
    <w:p>
      <w:pPr>
        <w:ind w:left="660" w:right="5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Unearned Income Medicare Contribution for Foreign Estates and Trusts. </w:t>
      </w:r>
      <w:r>
        <w:rPr>
          <w:rFonts w:ascii="Arial" w:cs="Arial" w:eastAsia="Arial" w:hAnsi="Arial"/>
          <w:sz w:val="18"/>
          <w:szCs w:val="18"/>
          <w:color w:val="auto"/>
        </w:rPr>
        <w:t>As discussed in more detail under “— U.S. Holders — Unearned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Contribution,” a 3.8% Medicare tax will apply, in addition to regular income tax, to certain net investment income. The 3.8% tax generally applies only to U.S. Holders. However, the IRS has indicated in proposed Treasury regulations that the 3.8% Medicare tax may be applicable to Non-U.S. Holders that are estates or trusts and have one or more U.S. beneficiaries. Non-U.S. Holders that are estates or trusts should consult their tax advisors about the possible application of the 3.8% Medicare tax.</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(unless alternative procedures apply pursuant to an applicable intergovernmental agreement between the United States and the relevant foreign government). The obligation to withhold under FATCA is currently expected to apply to payments of U.S.-source interest and OID on obligations made on or after January 1, 2014 and payments of gross proceeds from the sale or other disposition of such obligations made on or after January 1, 2017. However, FATCA withholding will not apply to obligations outstanding on, and not the subject of a significant modification on or after, January 1, 2014 (or such other date as is specified in guidance issued by the U.S. Treasury Department). Because the notes will be issued prior to, and will be outstanding on, January 1, 2014, this new withholding tax is not expected to apply to payments on the notes unless they are modified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40" w:lineRule="exact"/>
        <w:rPr>
          <w:sz w:val="20"/>
          <w:szCs w:val="20"/>
          <w:color w:val="auto"/>
        </w:rPr>
      </w:pPr>
    </w:p>
    <w:p>
      <w:pPr>
        <w:ind w:right="300" w:firstLine="456"/>
        <w:spacing w:after="0" w:line="344"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New Tax Rates for U.S. Individuals, Estates and Trusts</w:t>
      </w:r>
    </w:p>
    <w:p>
      <w:pPr>
        <w:spacing w:after="0" w:line="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had expired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rates on ordinary income will be 39.6% (as compared to 35% prior to 2013) and the maximum rates on long-term capital gains and qualified dividend income will be 20% (as compared to 15% prior to</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2013). Estates and trusts have more compressed rate schedules. Prospective investors are urged to consult their tax advisors regarding the effect of the new tax rates and other tax provisions in the 2012 Relief Act on an investment in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9520" w:type="dxa"/>
            <w:vAlign w:val="bottom"/>
            <w:vMerge w:val="restart"/>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9520" w:type="dxa"/>
            <w:vAlign w:val="bottom"/>
            <w:vMerge w:val="continue"/>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10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5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20" w:type="dxa"/>
            <w:vAlign w:val="bottom"/>
            <w:gridSpan w:val="2"/>
          </w:tcPr>
          <w:p>
            <w:pPr>
              <w:ind w:left="980"/>
              <w:spacing w:after="0"/>
              <w:rPr>
                <w:sz w:val="20"/>
                <w:szCs w:val="20"/>
                <w:color w:val="auto"/>
              </w:rPr>
            </w:pPr>
            <w:r>
              <w:rPr>
                <w:rFonts w:ascii="Arial" w:cs="Arial" w:eastAsia="Arial" w:hAnsi="Arial"/>
                <w:sz w:val="18"/>
                <w:szCs w:val="18"/>
                <w:color w:val="auto"/>
              </w:rPr>
              <w:t>Incorporated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000" w:type="dxa"/>
            <w:vAlign w:val="bottom"/>
            <w:shd w:val="clear" w:color="auto" w:fill="CCEEFF"/>
          </w:tcPr>
          <w:p>
            <w:pPr>
              <w:spacing w:after="0"/>
              <w:rPr>
                <w:sz w:val="13"/>
                <w:szCs w:val="13"/>
                <w:color w:val="auto"/>
              </w:rPr>
            </w:pPr>
          </w:p>
        </w:tc>
        <w:tc>
          <w:tcPr>
            <w:tcW w:w="9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rPr>
                <w:sz w:val="12"/>
                <w:szCs w:val="12"/>
                <w:color w:val="auto"/>
              </w:rPr>
            </w:pPr>
          </w:p>
        </w:tc>
        <w:tc>
          <w:tcPr>
            <w:tcW w:w="95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0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0" w:type="dxa"/>
            <w:vAlign w:val="bottom"/>
          </w:tcPr>
          <w:p>
            <w:pPr>
              <w:spacing w:after="0"/>
              <w:rPr>
                <w:sz w:val="19"/>
                <w:szCs w:val="19"/>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6"/>
              </w:rPr>
              <w:t>Paid by Us</w:t>
            </w:r>
          </w:p>
        </w:tc>
      </w:tr>
      <w:tr>
        <w:trPr>
          <w:trHeight w:val="212"/>
        </w:trPr>
        <w:tc>
          <w:tcPr>
            <w:tcW w:w="104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Per note</w:t>
            </w:r>
          </w:p>
        </w:tc>
        <w:tc>
          <w:tcPr>
            <w:tcW w:w="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7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3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5.40% Notes due 2013. Such underwriters and their affiliates will receive a portion of the net proceeds from this offering to the extent they continue to hold 5.40% Notes due 2013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hanging="1"/>
        <w:spacing w:after="0" w:line="292" w:lineRule="auto"/>
        <w:tabs>
          <w:tab w:leader="none" w:pos="11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90" w:lineRule="exact"/>
        <w:rPr>
          <w:sz w:val="20"/>
          <w:szCs w:val="20"/>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23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20"/>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Wells Fargo Securities</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86" w:lineRule="exact"/>
        <w:rPr>
          <w:sz w:val="20"/>
          <w:szCs w:val="20"/>
          <w:color w:val="auto"/>
        </w:rPr>
      </w:pPr>
    </w:p>
    <w:p>
      <w:pPr>
        <w:ind w:left="5220"/>
        <w:spacing w:after="0"/>
        <w:tabs>
          <w:tab w:leader="none" w:pos="5760" w:val="left"/>
        </w:tabs>
        <w:rPr>
          <w:sz w:val="20"/>
          <w:szCs w:val="20"/>
          <w:color w:val="auto"/>
        </w:rPr>
      </w:pPr>
      <w:r>
        <w:rPr>
          <w:rFonts w:ascii="Arial" w:cs="Arial" w:eastAsia="Arial" w:hAnsi="Arial"/>
          <w:sz w:val="18"/>
          <w:szCs w:val="18"/>
          <w:b w:val="1"/>
          <w:bCs w:val="1"/>
          <w:color w:val="auto"/>
        </w:rPr>
        <w:t>May</w:t>
        <w:tab/>
        <w:t>, 2013</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lvl w:ilvl="1">
      <w:lvlJc w:val="left"/>
      <w:lvlText w:val="•"/>
      <w:numFmt w:val="bullet"/>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1)"/>
      <w:numFmt w:val="decimal"/>
      <w:start w:val="2"/>
    </w:lvl>
  </w:abstractNum>
  <w:abstractNum w:abstractNumId="5">
    <w:nsid w:val="579478FE"/>
    <w:multiLevelType w:val="hybridMultilevel"/>
    <w:lvl w:ilvl="0">
      <w:lvlJc w:val="left"/>
      <w:lvlText w:val="(%1)"/>
      <w:numFmt w:val="decimal"/>
      <w:start w:val="4"/>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lvl w:ilvl="1">
      <w:lvlJc w:val="left"/>
      <w:lvlText w:val="(%2)"/>
      <w:numFmt w:val="lowerLetter"/>
      <w:start w:val="1"/>
    </w:lvl>
  </w:abstractNum>
  <w:abstractNum w:abstractNumId="8">
    <w:nsid w:val="1BA026FA"/>
    <w:multiLevelType w:val="hybridMultilevel"/>
    <w:lvl w:ilvl="0">
      <w:lvlJc w:val="left"/>
      <w:lvlText w:val="%1."/>
      <w:numFmt w:val="decimal"/>
      <w:start w:val="7"/>
    </w:lvl>
    <w:lvl w:ilvl="1">
      <w:lvlJc w:val="left"/>
      <w:lvlText w:val="(%2)"/>
      <w:numFmt w:val="lowerLetter"/>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lvl w:ilvl="1">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3"/>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lvl w:ilvl="1">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lvl w:ilvl="1">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lvl w:ilvl="1">
      <w:lvlJc w:val="left"/>
      <w:lvlText w:val="(%2)"/>
      <w:numFmt w:val="lowerLetter"/>
      <w:start w:val="1"/>
    </w:lvl>
  </w:abstractNum>
  <w:abstractNum w:abstractNumId="42">
    <w:nsid w:val="5DB70AE5"/>
    <w:multiLevelType w:val="hybridMultilevel"/>
    <w:lvl w:ilvl="0">
      <w:lvlJc w:val="left"/>
      <w:lvlText w:val="%1."/>
      <w:numFmt w:val="decimal"/>
      <w:start w:val="7"/>
    </w:lvl>
    <w:lvl w:ilvl="1">
      <w:lvlJc w:val="left"/>
      <w:lvlText w:val="(%2)"/>
      <w:numFmt w:val="lowerLetter"/>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lvl w:ilvl="1">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lvl w:ilvl="1">
      <w:lvlJc w:val="left"/>
      <w:lvlText w:val="(%2)"/>
      <w:numFmt w:val="lowerRoman"/>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1)"/>
      <w:numFmt w:val="upperLetter"/>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lvl w:ilvl="1">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lvl w:ilvl="1">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Roman"/>
      <w:start w:val="3"/>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lvl w:ilvl="1">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Roman"/>
      <w:start w:val="2"/>
    </w:lvl>
  </w:abstractNum>
  <w:abstractNum w:abstractNumId="85">
    <w:nsid w:val="74DE0EE3"/>
    <w:multiLevelType w:val="hybridMultilevel"/>
    <w:lvl w:ilvl="0">
      <w:lvlJc w:val="left"/>
      <w:lvlText w:val="\emdash "/>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4"/>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2019-12-05T09:47:22Z</dcterms:created>
  <dcterms:modified xsi:type="dcterms:W3CDTF">2019-12-05T09:47:22Z</dcterms:modified>
</cp:coreProperties>
</file>