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8" w:right="3760" w:hanging="4382"/>
        <w:spacing w:after="0" w:line="260" w:lineRule="auto"/>
        <w:rPr>
          <w:sz w:val="20"/>
          <w:szCs w:val="20"/>
          <w:color w:val="auto"/>
        </w:rPr>
      </w:pPr>
      <w:r>
        <w:rPr>
          <w:rFonts w:ascii="Courier New" w:cs="Courier New" w:eastAsia="Courier New" w:hAnsi="Courier New"/>
          <w:sz w:val="14"/>
          <w:szCs w:val="14"/>
          <w:color w:val="auto"/>
        </w:rPr>
        <w:t>As filed with the Securities and Exchange Commission on October 29, 2002 Registration No. 333-</w:t>
      </w:r>
    </w:p>
    <w:p>
      <w:pPr>
        <w:jc w:val="center"/>
        <w:ind w:right="3312"/>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jc w:val="center"/>
        <w:ind w:right="349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492"/>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S-3</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THE SECURITIES ACT OF 1933</w:t>
      </w:r>
    </w:p>
    <w:p>
      <w:pPr>
        <w:spacing w:after="0" w:line="174"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jc w:val="center"/>
        <w:ind w:right="3392"/>
        <w:spacing w:after="0"/>
        <w:rPr>
          <w:sz w:val="20"/>
          <w:szCs w:val="20"/>
          <w:color w:val="auto"/>
        </w:rPr>
      </w:pPr>
      <w:r>
        <w:rPr>
          <w:rFonts w:ascii="Courier New" w:cs="Courier New" w:eastAsia="Courier New" w:hAnsi="Courier New"/>
          <w:sz w:val="15"/>
          <w:szCs w:val="15"/>
          <w:color w:val="auto"/>
        </w:rPr>
        <w:t>FEDERAL REALTY INVESTMENT TRUST</w:t>
      </w:r>
    </w:p>
    <w:p>
      <w:pPr>
        <w:spacing w:after="0" w:line="2" w:lineRule="exact"/>
        <w:rPr>
          <w:sz w:val="24"/>
          <w:szCs w:val="24"/>
          <w:color w:val="auto"/>
        </w:rPr>
      </w:pPr>
    </w:p>
    <w:p>
      <w:pPr>
        <w:jc w:val="center"/>
        <w:ind w:right="349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468"/>
          </w:cols>
          <w:pgMar w:left="232" w:top="577" w:right="1199" w:bottom="0" w:gutter="0" w:footer="0" w:header="0"/>
        </w:sectPr>
      </w:pPr>
    </w:p>
    <w:p>
      <w:pPr>
        <w:spacing w:after="0" w:line="200" w:lineRule="exact"/>
        <w:rPr>
          <w:sz w:val="24"/>
          <w:szCs w:val="24"/>
          <w:color w:val="auto"/>
        </w:rPr>
      </w:pPr>
    </w:p>
    <w:p>
      <w:pPr>
        <w:spacing w:after="0" w:line="318" w:lineRule="exact"/>
        <w:rPr>
          <w:sz w:val="24"/>
          <w:szCs w:val="24"/>
          <w:color w:val="auto"/>
        </w:rPr>
      </w:pPr>
    </w:p>
    <w:p>
      <w:pPr>
        <w:ind w:left="888"/>
        <w:spacing w:after="0"/>
        <w:tabs>
          <w:tab w:leader="none" w:pos="3648" w:val="left"/>
        </w:tabs>
        <w:rPr>
          <w:sz w:val="20"/>
          <w:szCs w:val="20"/>
          <w:color w:val="auto"/>
        </w:rPr>
      </w:pPr>
      <w:r>
        <w:rPr>
          <w:rFonts w:ascii="Courier New" w:cs="Courier New" w:eastAsia="Courier New" w:hAnsi="Courier New"/>
          <w:sz w:val="15"/>
          <w:szCs w:val="15"/>
          <w:color w:val="auto"/>
        </w:rPr>
        <w:t>Maryland</w:t>
      </w:r>
      <w:r>
        <w:rPr>
          <w:sz w:val="20"/>
          <w:szCs w:val="20"/>
          <w:color w:val="auto"/>
        </w:rPr>
        <w:tab/>
      </w:r>
      <w:r>
        <w:rPr>
          <w:rFonts w:ascii="Courier New" w:cs="Courier New" w:eastAsia="Courier New" w:hAnsi="Courier New"/>
          <w:sz w:val="15"/>
          <w:szCs w:val="15"/>
          <w:color w:val="auto"/>
        </w:rPr>
        <w:t>6798</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(State or other jurisdiction (Primary Standard Industrial</w:t>
      </w:r>
    </w:p>
    <w:p>
      <w:pPr>
        <w:spacing w:after="0" w:line="12" w:lineRule="exact"/>
        <w:rPr>
          <w:sz w:val="24"/>
          <w:szCs w:val="24"/>
          <w:color w:val="auto"/>
        </w:rPr>
      </w:pPr>
    </w:p>
    <w:p>
      <w:pPr>
        <w:ind w:left="528"/>
        <w:spacing w:after="0"/>
        <w:tabs>
          <w:tab w:leader="none" w:pos="2568" w:val="left"/>
        </w:tabs>
        <w:rPr>
          <w:sz w:val="20"/>
          <w:szCs w:val="20"/>
          <w:color w:val="auto"/>
        </w:rPr>
      </w:pPr>
      <w:r>
        <w:rPr>
          <w:rFonts w:ascii="Courier New" w:cs="Courier New" w:eastAsia="Courier New" w:hAnsi="Courier New"/>
          <w:sz w:val="15"/>
          <w:szCs w:val="15"/>
          <w:color w:val="auto"/>
        </w:rPr>
        <w:t>of organization)</w:t>
      </w:r>
      <w:r>
        <w:rPr>
          <w:sz w:val="20"/>
          <w:szCs w:val="20"/>
          <w:color w:val="auto"/>
        </w:rPr>
        <w:tab/>
      </w: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5"/>
          <w:szCs w:val="15"/>
          <w:color w:val="auto"/>
        </w:rPr>
        <w:t>52-0782497</w:t>
      </w:r>
    </w:p>
    <w:p>
      <w:pPr>
        <w:spacing w:after="0" w:line="2"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4"/>
          <w:szCs w:val="14"/>
          <w:color w:val="auto"/>
        </w:rPr>
        <w:t>Identification Number)</w:t>
      </w:r>
    </w:p>
    <w:p>
      <w:pPr>
        <w:spacing w:after="0" w:line="209" w:lineRule="exact"/>
        <w:rPr>
          <w:sz w:val="24"/>
          <w:szCs w:val="24"/>
          <w:color w:val="auto"/>
        </w:rPr>
      </w:pPr>
    </w:p>
    <w:p>
      <w:pPr>
        <w:sectPr>
          <w:pgSz w:w="11900" w:h="16838" w:orient="portrait"/>
          <w:cols w:equalWidth="0" w:num="2">
            <w:col w:w="5108" w:space="80"/>
            <w:col w:w="5280"/>
          </w:cols>
          <w:pgMar w:left="232" w:top="577" w:right="1199" w:bottom="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ind w:left="7608"/>
        <w:spacing w:after="0"/>
        <w:rPr>
          <w:sz w:val="20"/>
          <w:szCs w:val="20"/>
          <w:color w:val="auto"/>
        </w:rPr>
      </w:pPr>
      <w:r>
        <w:rPr>
          <w:rFonts w:ascii="Courier New" w:cs="Courier New" w:eastAsia="Courier New" w:hAnsi="Courier New"/>
          <w:sz w:val="15"/>
          <w:szCs w:val="15"/>
          <w:color w:val="auto"/>
        </w:rPr>
        <w:t>Dawn M. Becker</w:t>
      </w:r>
    </w:p>
    <w:p>
      <w:pPr>
        <w:spacing w:after="0" w:line="4" w:lineRule="exact"/>
        <w:rPr>
          <w:sz w:val="24"/>
          <w:szCs w:val="24"/>
          <w:color w:val="auto"/>
        </w:rPr>
      </w:pPr>
    </w:p>
    <w:p>
      <w:pPr>
        <w:ind w:left="6168"/>
        <w:spacing w:after="0"/>
        <w:rPr>
          <w:sz w:val="20"/>
          <w:szCs w:val="20"/>
          <w:color w:val="auto"/>
        </w:rPr>
      </w:pPr>
      <w:r>
        <w:rPr>
          <w:rFonts w:ascii="Courier New" w:cs="Courier New" w:eastAsia="Courier New" w:hAnsi="Courier New"/>
          <w:sz w:val="14"/>
          <w:szCs w:val="14"/>
          <w:color w:val="auto"/>
        </w:rPr>
        <w:t>Vice President, General Counsel and Secretary</w:t>
      </w:r>
    </w:p>
    <w:p>
      <w:pPr>
        <w:spacing w:after="0" w:line="12" w:lineRule="exact"/>
        <w:rPr>
          <w:sz w:val="24"/>
          <w:szCs w:val="24"/>
          <w:color w:val="auto"/>
        </w:rPr>
      </w:pPr>
    </w:p>
    <w:p>
      <w:pPr>
        <w:ind w:left="6788"/>
        <w:spacing w:after="0"/>
        <w:rPr>
          <w:sz w:val="20"/>
          <w:szCs w:val="20"/>
          <w:color w:val="auto"/>
        </w:rPr>
      </w:pPr>
      <w:r>
        <w:rPr>
          <w:rFonts w:ascii="Courier New" w:cs="Courier New" w:eastAsia="Courier New" w:hAnsi="Courier New"/>
          <w:sz w:val="15"/>
          <w:szCs w:val="15"/>
          <w:color w:val="auto"/>
        </w:rPr>
        <w:t>Federal Realty Investment Trust</w:t>
      </w:r>
    </w:p>
    <w:p>
      <w:pPr>
        <w:spacing w:after="0" w:line="2" w:lineRule="exact"/>
        <w:rPr>
          <w:sz w:val="24"/>
          <w:szCs w:val="24"/>
          <w:color w:val="auto"/>
        </w:rPr>
      </w:pPr>
    </w:p>
    <w:p>
      <w:pPr>
        <w:ind w:left="1788"/>
        <w:spacing w:after="0"/>
        <w:tabs>
          <w:tab w:leader="none" w:pos="7048" w:val="left"/>
        </w:tabs>
        <w:rPr>
          <w:sz w:val="20"/>
          <w:szCs w:val="20"/>
          <w:color w:val="auto"/>
        </w:rPr>
      </w:pPr>
      <w:r>
        <w:rPr>
          <w:rFonts w:ascii="Courier New" w:cs="Courier New" w:eastAsia="Courier New" w:hAnsi="Courier New"/>
          <w:sz w:val="15"/>
          <w:szCs w:val="15"/>
          <w:color w:val="auto"/>
        </w:rPr>
        <w:t>1626 East Jefferson Street</w:t>
      </w:r>
      <w:r>
        <w:rPr>
          <w:sz w:val="20"/>
          <w:szCs w:val="20"/>
          <w:color w:val="auto"/>
        </w:rPr>
        <w:tab/>
      </w:r>
      <w:r>
        <w:rPr>
          <w:rFonts w:ascii="Courier New" w:cs="Courier New" w:eastAsia="Courier New" w:hAnsi="Courier New"/>
          <w:sz w:val="14"/>
          <w:szCs w:val="14"/>
          <w:color w:val="auto"/>
        </w:rPr>
        <w:t>1626 East Jefferson Street</w:t>
      </w:r>
    </w:p>
    <w:p>
      <w:pPr>
        <w:spacing w:after="0" w:line="2" w:lineRule="exact"/>
        <w:rPr>
          <w:sz w:val="24"/>
          <w:szCs w:val="24"/>
          <w:color w:val="auto"/>
        </w:rPr>
      </w:pPr>
    </w:p>
    <w:p>
      <w:pPr>
        <w:ind w:left="1788"/>
        <w:spacing w:after="0"/>
        <w:tabs>
          <w:tab w:leader="none" w:pos="7048" w:val="left"/>
        </w:tabs>
        <w:rPr>
          <w:sz w:val="20"/>
          <w:szCs w:val="20"/>
          <w:color w:val="auto"/>
        </w:rPr>
      </w:pPr>
      <w:r>
        <w:rPr>
          <w:rFonts w:ascii="Courier New" w:cs="Courier New" w:eastAsia="Courier New" w:hAnsi="Courier New"/>
          <w:sz w:val="15"/>
          <w:szCs w:val="15"/>
          <w:color w:val="auto"/>
        </w:rPr>
        <w:t>Rockville, Maryland 20852</w:t>
      </w:r>
      <w:r>
        <w:rPr>
          <w:sz w:val="20"/>
          <w:szCs w:val="20"/>
          <w:color w:val="auto"/>
        </w:rPr>
        <w:tab/>
      </w:r>
      <w:r>
        <w:rPr>
          <w:rFonts w:ascii="Courier New" w:cs="Courier New" w:eastAsia="Courier New" w:hAnsi="Courier New"/>
          <w:sz w:val="14"/>
          <w:szCs w:val="14"/>
          <w:color w:val="auto"/>
        </w:rPr>
        <w:t>Rockville, Maryland 20852</w:t>
      </w:r>
    </w:p>
    <w:p>
      <w:pPr>
        <w:spacing w:after="0" w:line="2" w:lineRule="exact"/>
        <w:rPr>
          <w:sz w:val="24"/>
          <w:szCs w:val="24"/>
          <w:color w:val="auto"/>
        </w:rPr>
      </w:pPr>
    </w:p>
    <w:p>
      <w:pPr>
        <w:ind w:left="2328"/>
        <w:spacing w:after="0"/>
        <w:tabs>
          <w:tab w:leader="none" w:pos="7588" w:val="left"/>
        </w:tabs>
        <w:rPr>
          <w:sz w:val="20"/>
          <w:szCs w:val="20"/>
          <w:color w:val="auto"/>
        </w:rPr>
      </w:pPr>
      <w:r>
        <w:rPr>
          <w:rFonts w:ascii="Courier New" w:cs="Courier New" w:eastAsia="Courier New" w:hAnsi="Courier New"/>
          <w:sz w:val="15"/>
          <w:szCs w:val="15"/>
          <w:color w:val="auto"/>
        </w:rPr>
        <w:t>(301) 998-8100</w:t>
      </w:r>
      <w:r>
        <w:rPr>
          <w:sz w:val="20"/>
          <w:szCs w:val="20"/>
          <w:color w:val="auto"/>
        </w:rPr>
        <w:tab/>
      </w:r>
      <w:r>
        <w:rPr>
          <w:rFonts w:ascii="Courier New" w:cs="Courier New" w:eastAsia="Courier New" w:hAnsi="Courier New"/>
          <w:sz w:val="14"/>
          <w:szCs w:val="14"/>
          <w:color w:val="auto"/>
        </w:rPr>
        <w:t>(301) 998-8100</w:t>
      </w:r>
    </w:p>
    <w:p>
      <w:pPr>
        <w:sectPr>
          <w:pgSz w:w="11900" w:h="16838" w:orient="portrait"/>
          <w:cols w:equalWidth="0" w:num="1">
            <w:col w:w="10468"/>
          </w:cols>
          <w:pgMar w:left="232" w:top="577" w:right="1199" w:bottom="0" w:gutter="0" w:footer="0" w:header="0"/>
          <w:type w:val="continuous"/>
        </w:sectPr>
      </w:pPr>
    </w:p>
    <w:p>
      <w:pPr>
        <w:spacing w:after="0" w:line="4" w:lineRule="exact"/>
        <w:rPr>
          <w:sz w:val="24"/>
          <w:szCs w:val="24"/>
          <w:color w:val="auto"/>
        </w:rPr>
      </w:pPr>
    </w:p>
    <w:p>
      <w:pPr>
        <w:ind w:left="708" w:hanging="715"/>
        <w:spacing w:after="0"/>
        <w:rPr>
          <w:sz w:val="20"/>
          <w:szCs w:val="20"/>
          <w:color w:val="auto"/>
        </w:rPr>
      </w:pPr>
      <w:r>
        <w:rPr>
          <w:rFonts w:ascii="Courier New" w:cs="Courier New" w:eastAsia="Courier New" w:hAnsi="Courier New"/>
          <w:sz w:val="15"/>
          <w:szCs w:val="15"/>
          <w:color w:val="auto"/>
        </w:rPr>
        <w:t>(Address, including zip code, and telephone number, including area (Name, address, including zip code, and telephone code, of registrant's principal executive offices) number, including area code, of agent for service)</w:t>
      </w:r>
    </w:p>
    <w:p>
      <w:pPr>
        <w:sectPr>
          <w:pgSz w:w="11900" w:h="16838" w:orient="portrait"/>
          <w:cols w:equalWidth="0" w:num="1">
            <w:col w:w="10468"/>
          </w:cols>
          <w:pgMar w:left="232" w:top="577" w:right="1199" w:bottom="0" w:gutter="0" w:footer="0" w:header="0"/>
          <w:type w:val="continuous"/>
        </w:sectPr>
      </w:pPr>
    </w:p>
    <w:p>
      <w:pPr>
        <w:spacing w:after="0" w:line="346" w:lineRule="exact"/>
        <w:rPr>
          <w:sz w:val="24"/>
          <w:szCs w:val="24"/>
          <w:color w:val="auto"/>
        </w:rPr>
      </w:pPr>
    </w:p>
    <w:p>
      <w:pPr>
        <w:jc w:val="center"/>
        <w:ind w:right="3392"/>
        <w:spacing w:after="0"/>
        <w:rPr>
          <w:sz w:val="20"/>
          <w:szCs w:val="20"/>
          <w:color w:val="auto"/>
        </w:rPr>
      </w:pPr>
      <w:r>
        <w:rPr>
          <w:rFonts w:ascii="Courier New" w:cs="Courier New" w:eastAsia="Courier New" w:hAnsi="Courier New"/>
          <w:sz w:val="15"/>
          <w:szCs w:val="15"/>
          <w:color w:val="auto"/>
        </w:rPr>
        <w:t>With a copy to:</w:t>
      </w:r>
    </w:p>
    <w:p>
      <w:pPr>
        <w:spacing w:after="0" w:line="2" w:lineRule="exact"/>
        <w:rPr>
          <w:sz w:val="24"/>
          <w:szCs w:val="24"/>
          <w:color w:val="auto"/>
        </w:rPr>
      </w:pPr>
    </w:p>
    <w:p>
      <w:pPr>
        <w:jc w:val="center"/>
        <w:ind w:right="3492"/>
        <w:spacing w:after="0"/>
        <w:rPr>
          <w:sz w:val="20"/>
          <w:szCs w:val="20"/>
          <w:color w:val="auto"/>
        </w:rPr>
      </w:pPr>
      <w:r>
        <w:rPr>
          <w:rFonts w:ascii="Courier New" w:cs="Courier New" w:eastAsia="Courier New" w:hAnsi="Courier New"/>
          <w:sz w:val="15"/>
          <w:szCs w:val="15"/>
          <w:color w:val="auto"/>
        </w:rPr>
        <w:t>Sylvia M. Mahaffey</w:t>
      </w:r>
    </w:p>
    <w:p>
      <w:pPr>
        <w:spacing w:after="0" w:line="2" w:lineRule="exact"/>
        <w:rPr>
          <w:sz w:val="24"/>
          <w:szCs w:val="24"/>
          <w:color w:val="auto"/>
        </w:rPr>
      </w:pPr>
    </w:p>
    <w:p>
      <w:pPr>
        <w:jc w:val="center"/>
        <w:ind w:right="3492"/>
        <w:spacing w:after="0"/>
        <w:rPr>
          <w:sz w:val="20"/>
          <w:szCs w:val="20"/>
          <w:color w:val="auto"/>
        </w:rPr>
      </w:pPr>
      <w:r>
        <w:rPr>
          <w:rFonts w:ascii="Courier New" w:cs="Courier New" w:eastAsia="Courier New" w:hAnsi="Courier New"/>
          <w:sz w:val="15"/>
          <w:szCs w:val="15"/>
          <w:color w:val="auto"/>
        </w:rPr>
        <w:t>Shaw Pittman LLP</w:t>
      </w:r>
    </w:p>
    <w:p>
      <w:pPr>
        <w:spacing w:after="0" w:line="2" w:lineRule="exact"/>
        <w:rPr>
          <w:sz w:val="24"/>
          <w:szCs w:val="24"/>
          <w:color w:val="auto"/>
        </w:rPr>
      </w:pPr>
    </w:p>
    <w:p>
      <w:pPr>
        <w:jc w:val="center"/>
        <w:ind w:right="3392"/>
        <w:spacing w:after="0"/>
        <w:rPr>
          <w:sz w:val="20"/>
          <w:szCs w:val="20"/>
          <w:color w:val="auto"/>
        </w:rPr>
      </w:pPr>
      <w:r>
        <w:rPr>
          <w:rFonts w:ascii="Courier New" w:cs="Courier New" w:eastAsia="Courier New" w:hAnsi="Courier New"/>
          <w:sz w:val="15"/>
          <w:szCs w:val="15"/>
          <w:color w:val="auto"/>
        </w:rPr>
        <w:t>2300 N Street, N.W.</w:t>
      </w:r>
    </w:p>
    <w:p>
      <w:pPr>
        <w:spacing w:after="0" w:line="2" w:lineRule="exact"/>
        <w:rPr>
          <w:sz w:val="24"/>
          <w:szCs w:val="24"/>
          <w:color w:val="auto"/>
        </w:rPr>
      </w:pPr>
    </w:p>
    <w:p>
      <w:pPr>
        <w:jc w:val="center"/>
        <w:ind w:right="3492"/>
        <w:spacing w:after="0"/>
        <w:rPr>
          <w:sz w:val="20"/>
          <w:szCs w:val="20"/>
          <w:color w:val="auto"/>
        </w:rPr>
      </w:pPr>
      <w:r>
        <w:rPr>
          <w:rFonts w:ascii="Courier New" w:cs="Courier New" w:eastAsia="Courier New" w:hAnsi="Courier New"/>
          <w:sz w:val="15"/>
          <w:szCs w:val="15"/>
          <w:color w:val="auto"/>
        </w:rPr>
        <w:t>Washington, D.C. 20037</w:t>
      </w:r>
    </w:p>
    <w:p>
      <w:pPr>
        <w:spacing w:after="0" w:line="2" w:lineRule="exact"/>
        <w:rPr>
          <w:sz w:val="24"/>
          <w:szCs w:val="24"/>
          <w:color w:val="auto"/>
        </w:rPr>
      </w:pPr>
    </w:p>
    <w:p>
      <w:pPr>
        <w:ind w:left="3408" w:hanging="546"/>
        <w:spacing w:after="0"/>
        <w:tabs>
          <w:tab w:leader="none" w:pos="34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663-8000</w:t>
      </w:r>
    </w:p>
    <w:p>
      <w:pPr>
        <w:spacing w:after="0" w:line="174" w:lineRule="exact"/>
        <w:rPr>
          <w:rFonts w:ascii="Courier New" w:cs="Courier New" w:eastAsia="Courier New" w:hAnsi="Courier New"/>
          <w:sz w:val="15"/>
          <w:szCs w:val="15"/>
          <w:color w:val="auto"/>
        </w:rPr>
      </w:pPr>
    </w:p>
    <w:p>
      <w:pPr>
        <w:ind w:left="27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3500" w:firstLine="268"/>
        <w:spacing w:after="0" w:line="241" w:lineRule="auto"/>
        <w:rPr>
          <w:sz w:val="20"/>
          <w:szCs w:val="20"/>
          <w:color w:val="auto"/>
        </w:rPr>
      </w:pPr>
      <w:r>
        <w:rPr>
          <w:rFonts w:ascii="Courier New" w:cs="Courier New" w:eastAsia="Courier New" w:hAnsi="Courier New"/>
          <w:sz w:val="15"/>
          <w:szCs w:val="15"/>
          <w:color w:val="auto"/>
        </w:rPr>
        <w:t>Approximate date the registrant proposes to begin selling securities to the public: From time to time after the effective date of this registration statement.</w:t>
      </w:r>
    </w:p>
    <w:p>
      <w:pPr>
        <w:spacing w:after="0" w:line="176" w:lineRule="exact"/>
        <w:rPr>
          <w:sz w:val="24"/>
          <w:szCs w:val="24"/>
          <w:color w:val="auto"/>
        </w:rPr>
      </w:pPr>
    </w:p>
    <w:p>
      <w:pPr>
        <w:ind w:left="8" w:right="3400" w:firstLine="268"/>
        <w:spacing w:after="0" w:line="241"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[_]</w:t>
      </w:r>
    </w:p>
    <w:p>
      <w:pPr>
        <w:spacing w:after="0" w:line="176" w:lineRule="exact"/>
        <w:rPr>
          <w:sz w:val="24"/>
          <w:szCs w:val="24"/>
          <w:color w:val="auto"/>
        </w:rPr>
      </w:pPr>
    </w:p>
    <w:p>
      <w:pPr>
        <w:ind w:left="8" w:right="3500" w:firstLine="268"/>
        <w:spacing w:after="0" w:line="242"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in connection with dividend or interest reinvestment plans, check the following box. [X]</w:t>
      </w:r>
    </w:p>
    <w:p>
      <w:pPr>
        <w:spacing w:after="0" w:line="175" w:lineRule="exact"/>
        <w:rPr>
          <w:sz w:val="24"/>
          <w:szCs w:val="24"/>
          <w:color w:val="auto"/>
        </w:rPr>
      </w:pPr>
    </w:p>
    <w:p>
      <w:pPr>
        <w:ind w:left="8" w:right="3680" w:firstLine="268"/>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75" w:lineRule="exact"/>
        <w:rPr>
          <w:sz w:val="24"/>
          <w:szCs w:val="24"/>
          <w:color w:val="auto"/>
        </w:rPr>
      </w:pPr>
    </w:p>
    <w:p>
      <w:pPr>
        <w:ind w:left="8" w:right="3580" w:firstLine="26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75" w:lineRule="exact"/>
        <w:rPr>
          <w:sz w:val="24"/>
          <w:szCs w:val="24"/>
          <w:color w:val="auto"/>
        </w:rPr>
      </w:pPr>
    </w:p>
    <w:p>
      <w:pPr>
        <w:ind w:left="8" w:right="3580" w:firstLine="268"/>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174"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CALCULATION OF REGISTRATION FEE</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6" w:lineRule="exact"/>
        <w:rPr>
          <w:sz w:val="24"/>
          <w:szCs w:val="24"/>
          <w:color w:val="auto"/>
        </w:rPr>
      </w:pPr>
    </w:p>
    <w:p>
      <w:pPr>
        <w:ind w:left="4288"/>
        <w:spacing w:after="0"/>
        <w:tabs>
          <w:tab w:leader="none" w:pos="5968" w:val="left"/>
        </w:tabs>
        <w:rPr>
          <w:sz w:val="20"/>
          <w:szCs w:val="20"/>
          <w:color w:val="auto"/>
        </w:rPr>
      </w:pP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4"/>
          <w:szCs w:val="14"/>
          <w:color w:val="auto"/>
        </w:rPr>
        <w:t>Proposed Maximum</w:t>
      </w:r>
    </w:p>
    <w:p>
      <w:pPr>
        <w:spacing w:after="0" w:line="2" w:lineRule="exact"/>
        <w:rPr>
          <w:sz w:val="24"/>
          <w:szCs w:val="24"/>
          <w:color w:val="auto"/>
        </w:rPr>
      </w:pPr>
    </w:p>
    <w:p>
      <w:pPr>
        <w:ind w:left="8"/>
        <w:spacing w:after="0"/>
        <w:tabs>
          <w:tab w:leader="none" w:pos="2928" w:val="left"/>
          <w:tab w:leader="none" w:pos="4188" w:val="left"/>
          <w:tab w:leader="none" w:pos="8028" w:val="left"/>
        </w:tabs>
        <w:rPr>
          <w:sz w:val="20"/>
          <w:szCs w:val="20"/>
          <w:color w:val="auto"/>
        </w:rPr>
      </w:pPr>
      <w:r>
        <w:rPr>
          <w:rFonts w:ascii="Courier New" w:cs="Courier New" w:eastAsia="Courier New" w:hAnsi="Courier New"/>
          <w:sz w:val="15"/>
          <w:szCs w:val="15"/>
          <w:color w:val="auto"/>
        </w:rPr>
        <w:t>Title of Securities to be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Offering Price Per Aggregate Offering</w:t>
      </w:r>
      <w:r>
        <w:rPr>
          <w:sz w:val="20"/>
          <w:szCs w:val="20"/>
          <w:color w:val="auto"/>
        </w:rPr>
        <w:tab/>
      </w:r>
      <w:r>
        <w:rPr>
          <w:rFonts w:ascii="Courier New" w:cs="Courier New" w:eastAsia="Courier New" w:hAnsi="Courier New"/>
          <w:sz w:val="14"/>
          <w:szCs w:val="14"/>
          <w:color w:val="auto"/>
        </w:rPr>
        <w:t>Amount of</w:t>
      </w:r>
    </w:p>
    <w:p>
      <w:pPr>
        <w:spacing w:after="0" w:line="2" w:lineRule="exact"/>
        <w:rPr>
          <w:sz w:val="24"/>
          <w:szCs w:val="24"/>
          <w:color w:val="auto"/>
        </w:rPr>
      </w:pPr>
    </w:p>
    <w:p>
      <w:pPr>
        <w:ind w:left="528"/>
        <w:spacing w:after="0"/>
        <w:tabs>
          <w:tab w:leader="none" w:pos="2388" w:val="left"/>
          <w:tab w:leader="none" w:pos="4628" w:val="left"/>
          <w:tab w:leader="none" w:pos="6328" w:val="left"/>
          <w:tab w:leader="none" w:pos="7588" w:val="left"/>
        </w:tabs>
        <w:rPr>
          <w:sz w:val="20"/>
          <w:szCs w:val="20"/>
          <w:color w:val="auto"/>
        </w:rPr>
      </w:pPr>
      <w:r>
        <w:rPr>
          <w:rFonts w:ascii="Courier New" w:cs="Courier New" w:eastAsia="Courier New" w:hAnsi="Courier New"/>
          <w:sz w:val="15"/>
          <w:szCs w:val="15"/>
          <w:color w:val="auto"/>
        </w:rPr>
        <w:t>Registered(1)</w:t>
      </w:r>
      <w:r>
        <w:rPr>
          <w:sz w:val="20"/>
          <w:szCs w:val="20"/>
          <w:color w:val="auto"/>
        </w:rPr>
        <w:tab/>
      </w:r>
      <w:r>
        <w:rPr>
          <w:rFonts w:ascii="Courier New" w:cs="Courier New" w:eastAsia="Courier New" w:hAnsi="Courier New"/>
          <w:sz w:val="15"/>
          <w:szCs w:val="15"/>
          <w:color w:val="auto"/>
        </w:rPr>
        <w:t>to be Registered(2)</w:t>
      </w:r>
      <w:r>
        <w:rPr>
          <w:sz w:val="20"/>
          <w:szCs w:val="20"/>
          <w:color w:val="auto"/>
        </w:rPr>
        <w:tab/>
      </w:r>
      <w:r>
        <w:rPr>
          <w:rFonts w:ascii="Courier New" w:cs="Courier New" w:eastAsia="Courier New" w:hAnsi="Courier New"/>
          <w:sz w:val="15"/>
          <w:szCs w:val="15"/>
          <w:color w:val="auto"/>
        </w:rPr>
        <w:t>Share(3)</w:t>
      </w:r>
      <w:r>
        <w:rPr>
          <w:sz w:val="20"/>
          <w:szCs w:val="20"/>
          <w:color w:val="auto"/>
        </w:rPr>
        <w:tab/>
      </w:r>
      <w:r>
        <w:rPr>
          <w:rFonts w:ascii="Courier New" w:cs="Courier New" w:eastAsia="Courier New" w:hAnsi="Courier New"/>
          <w:sz w:val="15"/>
          <w:szCs w:val="15"/>
          <w:color w:val="auto"/>
        </w:rPr>
        <w:t>Price(3)</w:t>
      </w:r>
      <w:r>
        <w:rPr>
          <w:sz w:val="20"/>
          <w:szCs w:val="20"/>
          <w:color w:val="auto"/>
        </w:rPr>
        <w:tab/>
      </w:r>
      <w:r>
        <w:rPr>
          <w:rFonts w:ascii="Courier New" w:cs="Courier New" w:eastAsia="Courier New" w:hAnsi="Courier New"/>
          <w:sz w:val="14"/>
          <w:szCs w:val="14"/>
          <w:color w:val="auto"/>
        </w:rPr>
        <w:t>Registration Fee(4)</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Debt Securities</w:t>
            </w:r>
          </w:p>
        </w:tc>
        <w:tc>
          <w:tcPr>
            <w:tcW w:w="2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2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Preferred Shares</w:t>
            </w:r>
          </w:p>
        </w:tc>
        <w:tc>
          <w:tcPr>
            <w:tcW w:w="2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Depositary Shares</w:t>
            </w:r>
          </w:p>
        </w:tc>
        <w:tc>
          <w:tcPr>
            <w:tcW w:w="2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Warrants</w:t>
            </w:r>
          </w:p>
        </w:tc>
        <w:tc>
          <w:tcPr>
            <w:tcW w:w="2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Rights (5)</w:t>
            </w:r>
          </w:p>
        </w:tc>
        <w:tc>
          <w:tcPr>
            <w:tcW w:w="2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2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$500,000,000</w:t>
            </w:r>
          </w:p>
        </w:tc>
        <w:tc>
          <w:tcPr>
            <w:tcW w:w="13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$500,000,000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$46,000</w:t>
            </w:r>
          </w:p>
        </w:tc>
      </w:tr>
    </w:tbl>
    <w:p>
      <w:pPr>
        <w:spacing w:after="0" w:line="4"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468"/>
          </w:cols>
          <w:pgMar w:left="232" w:top="577" w:right="1199" w:bottom="0" w:gutter="0" w:footer="0" w:header="0"/>
          <w:type w:val="continuous"/>
        </w:sectPr>
      </w:pPr>
    </w:p>
    <w:bookmarkStart w:id="1" w:name="page2"/>
    <w:bookmarkEnd w:id="1"/>
    <w:p>
      <w:pPr>
        <w:ind w:left="348" w:right="3159" w:hanging="348"/>
        <w:spacing w:after="0" w:line="242" w:lineRule="auto"/>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Note (2), this registration statement registers an indeterminate number of common shares, preferred shares, depositary shares and warrants to be offered at indeterminate prices and an indeterminate number of common shares or preferred shares that may be issuable at indeterminate prices upon the exercise of any warrants or, as the case may be upon the conversion, redemption or exchange of any convertible, redeemable or exchangeable securities registered hereunder.</w:t>
      </w:r>
    </w:p>
    <w:p>
      <w:pPr>
        <w:spacing w:after="0" w:line="4" w:lineRule="exact"/>
        <w:rPr>
          <w:rFonts w:ascii="Courier New" w:cs="Courier New" w:eastAsia="Courier New" w:hAnsi="Courier New"/>
          <w:sz w:val="15"/>
          <w:szCs w:val="15"/>
          <w:color w:val="auto"/>
        </w:rPr>
      </w:pPr>
    </w:p>
    <w:p>
      <w:pPr>
        <w:ind w:left="348" w:right="3519" w:hanging="348"/>
        <w:spacing w:after="0" w:line="242" w:lineRule="auto"/>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will the aggregate maximum offering price of all securities registered under this Registration Statement exceed $500,000,000. The securities registered hereunder may be issued in one or more classes or series and may be offered and sold separately or in units with other securities registered hereunder.</w:t>
      </w:r>
    </w:p>
    <w:p>
      <w:pPr>
        <w:spacing w:after="0" w:line="3"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maximum offering price per security has been omitted pursuant to General Instruction II.D of Form S-3. The Registrant will establish the proposed maximum offering price per security if and when it offers securities registered under this Registration Statement.</w:t>
      </w:r>
    </w:p>
    <w:p>
      <w:pPr>
        <w:spacing w:after="0" w:line="2" w:lineRule="exact"/>
        <w:rPr>
          <w:rFonts w:ascii="Courier New" w:cs="Courier New" w:eastAsia="Courier New" w:hAnsi="Courier New"/>
          <w:sz w:val="15"/>
          <w:szCs w:val="15"/>
          <w:color w:val="auto"/>
        </w:rPr>
      </w:pPr>
    </w:p>
    <w:p>
      <w:pPr>
        <w:ind w:left="348" w:right="3519"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pursuant to Rule 457(o) under the Securities Act of 1933, as amended.</w:t>
      </w:r>
    </w:p>
    <w:p>
      <w:pPr>
        <w:spacing w:after="0" w:line="4"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acquire common shares are attached to, and trade with, the common shares. Value attributed to the rights, if any, is reflected in the market price of the common shares. Initially, the rights will be evidenced by common share certificates.</w:t>
      </w:r>
    </w:p>
    <w:p>
      <w:pPr>
        <w:spacing w:after="0" w:line="173"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519" w:firstLine="268"/>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files a further amendment which specifically states that this registration statement is to become effective in accordance with Section 8(a) of the Securities Act or until the registration statement becomes effective on the date the SEC, acting under Section 8(a), determines.</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313" w:right="1440" w:bottom="1440" w:gutter="0" w:footer="0" w:header="0"/>
        </w:sectPr>
      </w:pPr>
    </w:p>
    <w:bookmarkStart w:id="2" w:name="page3"/>
    <w:bookmarkEnd w:id="2"/>
    <w:p>
      <w:pPr>
        <w:ind w:right="3339"/>
        <w:spacing w:after="0" w:line="242"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Subject To Completion, Dated October 29, 2002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$500,000,000</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[LOGO]</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Securities, Common Shares, Preferred Shares, Depositary Shares and Warrants</w:t>
      </w:r>
    </w:p>
    <w:p>
      <w:pPr>
        <w:spacing w:after="0" w:line="185" w:lineRule="exact"/>
        <w:rPr>
          <w:sz w:val="20"/>
          <w:szCs w:val="20"/>
          <w:color w:val="auto"/>
        </w:rPr>
      </w:pPr>
    </w:p>
    <w:p>
      <w:pPr>
        <w:ind w:right="3879" w:firstLine="268"/>
        <w:spacing w:after="0"/>
        <w:rPr>
          <w:sz w:val="20"/>
          <w:szCs w:val="20"/>
          <w:color w:val="auto"/>
        </w:rPr>
      </w:pPr>
      <w:r>
        <w:rPr>
          <w:rFonts w:ascii="Courier New" w:cs="Courier New" w:eastAsia="Courier New" w:hAnsi="Courier New"/>
          <w:sz w:val="15"/>
          <w:szCs w:val="15"/>
          <w:color w:val="auto"/>
        </w:rPr>
        <w:t>We may from time to time offer, in one or more series, separately or together, the following:</w:t>
      </w:r>
    </w:p>
    <w:p>
      <w:pPr>
        <w:spacing w:after="0" w:line="176" w:lineRule="exact"/>
        <w:rPr>
          <w:sz w:val="20"/>
          <w:szCs w:val="20"/>
          <w:color w:val="auto"/>
        </w:rPr>
      </w:pPr>
    </w:p>
    <w:p>
      <w:pPr>
        <w:ind w:left="620" w:right="3699"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debt securities, which may be either senior debt securities or subordinated debt securities;</w:t>
      </w:r>
    </w:p>
    <w:p>
      <w:pPr>
        <w:spacing w:after="0" w:line="176" w:lineRule="exact"/>
        <w:rPr>
          <w:sz w:val="20"/>
          <w:szCs w:val="20"/>
          <w:color w:val="auto"/>
        </w:rPr>
      </w:pPr>
    </w:p>
    <w:p>
      <w:pPr>
        <w:ind w:left="620" w:right="3339" w:hanging="181"/>
        <w:spacing w:after="0" w:line="274" w:lineRule="auto"/>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common shares of beneficial interest (and rights to acquire common shares that are attached to, or trade with, our common shares);</w:t>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our preferred shares of beneficial interest;</w:t>
      </w:r>
    </w:p>
    <w:p>
      <w:pPr>
        <w:spacing w:after="0" w:line="176" w:lineRule="exact"/>
        <w:rPr>
          <w:sz w:val="20"/>
          <w:szCs w:val="20"/>
          <w:color w:val="auto"/>
        </w:rPr>
      </w:pPr>
    </w:p>
    <w:p>
      <w:pPr>
        <w:ind w:left="620" w:right="3439"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preferred shares of beneficial interest represented by depositary receipts; and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warrants to purchase our common and preferred shares.</w:t>
      </w:r>
    </w:p>
    <w:p>
      <w:pPr>
        <w:spacing w:after="0" w:line="176" w:lineRule="exact"/>
        <w:rPr>
          <w:sz w:val="20"/>
          <w:szCs w:val="20"/>
          <w:color w:val="auto"/>
        </w:rPr>
      </w:pPr>
    </w:p>
    <w:p>
      <w:pPr>
        <w:ind w:right="3439" w:firstLine="268"/>
        <w:spacing w:after="0"/>
        <w:rPr>
          <w:sz w:val="20"/>
          <w:szCs w:val="20"/>
          <w:color w:val="auto"/>
        </w:rPr>
      </w:pPr>
      <w:r>
        <w:rPr>
          <w:rFonts w:ascii="Courier New" w:cs="Courier New" w:eastAsia="Courier New" w:hAnsi="Courier New"/>
          <w:sz w:val="15"/>
          <w:szCs w:val="15"/>
          <w:color w:val="auto"/>
        </w:rPr>
        <w:t>The aggregate initial public offering price of the securities that we may offer through this prospectus will be up to $500,000,000.</w:t>
      </w:r>
    </w:p>
    <w:p>
      <w:pPr>
        <w:spacing w:after="0" w:line="176" w:lineRule="exact"/>
        <w:rPr>
          <w:sz w:val="20"/>
          <w:szCs w:val="20"/>
          <w:color w:val="auto"/>
        </w:rPr>
      </w:pPr>
    </w:p>
    <w:p>
      <w:pPr>
        <w:ind w:right="3599" w:firstLine="268"/>
        <w:spacing w:after="0" w:line="242" w:lineRule="auto"/>
        <w:rPr>
          <w:sz w:val="20"/>
          <w:szCs w:val="20"/>
          <w:color w:val="auto"/>
        </w:rPr>
      </w:pPr>
      <w:r>
        <w:rPr>
          <w:rFonts w:ascii="Courier New" w:cs="Courier New" w:eastAsia="Courier New" w:hAnsi="Courier New"/>
          <w:sz w:val="15"/>
          <w:szCs w:val="15"/>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w:t>
      </w:r>
    </w:p>
    <w:p>
      <w:pPr>
        <w:spacing w:after="0" w:line="175" w:lineRule="exact"/>
        <w:rPr>
          <w:sz w:val="20"/>
          <w:szCs w:val="20"/>
          <w:color w:val="auto"/>
        </w:rPr>
      </w:pPr>
    </w:p>
    <w:p>
      <w:pPr>
        <w:ind w:right="3339" w:firstLine="268"/>
        <w:spacing w:after="0"/>
        <w:rPr>
          <w:sz w:val="20"/>
          <w:szCs w:val="20"/>
          <w:color w:val="auto"/>
        </w:rPr>
      </w:pPr>
      <w:r>
        <w:rPr>
          <w:rFonts w:ascii="Courier New" w:cs="Courier New" w:eastAsia="Courier New" w:hAnsi="Courier New"/>
          <w:sz w:val="15"/>
          <w:szCs w:val="15"/>
          <w:color w:val="auto"/>
        </w:rPr>
        <w:t>Please read this prospectus and the applicable supplement carefully before you invest.</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173"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3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r>
      <w:tr>
        <w:trPr>
          <w:trHeight w:val="344"/>
        </w:trPr>
        <w:tc>
          <w:tcPr>
            <w:tcW w:w="35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The date of this prospectus is October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2002.</w:t>
            </w:r>
          </w:p>
        </w:tc>
      </w:tr>
    </w:tbl>
    <w:p>
      <w:pPr>
        <w:sectPr>
          <w:pgSz w:w="11900" w:h="16838" w:orient="portrait"/>
          <w:cols w:equalWidth="0" w:num="1">
            <w:col w:w="10219"/>
          </w:cols>
          <w:pgMar w:left="240" w:top="635" w:right="1440" w:bottom="1440" w:gutter="0" w:footer="0" w:header="0"/>
        </w:sectPr>
      </w:pPr>
    </w:p>
    <w:bookmarkStart w:id="3" w:name="page4"/>
    <w:bookmarkEnd w:id="3"/>
    <w:p>
      <w:pPr>
        <w:jc w:val="center"/>
        <w:ind w:right="3151"/>
        <w:spacing w:after="0"/>
        <w:rPr>
          <w:sz w:val="20"/>
          <w:szCs w:val="20"/>
          <w:color w:val="auto"/>
        </w:rPr>
      </w:pPr>
      <w:r>
        <w:rPr>
          <w:rFonts w:ascii="Courier New" w:cs="Courier New" w:eastAsia="Courier New" w:hAnsi="Courier New"/>
          <w:sz w:val="15"/>
          <w:szCs w:val="15"/>
          <w:color w:val="auto"/>
        </w:rPr>
        <w:t>ABOUT THIS PROSPECTUS</w:t>
      </w:r>
    </w:p>
    <w:p>
      <w:pPr>
        <w:spacing w:after="0" w:line="174"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This prospectus is part of a registration statement that we filed with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Securities and Exchange Commission using a "shelf" registration process. Under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this shelf process, we may sell any combination of the securities described in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this prospectus in one or more offerings up to a total dollar amount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$500,000,000. Our prospectus provides you with a general description of these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securities. Each time we sell securities, we will provide a prospectus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supplement that will contain specific information about all of the terms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that offering. Our prospectus supplement may also add, update or change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information contained in this prospectus. You should read both this prospectus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the applicable prospectus supplement, together with additional information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described under the heading "Where You Can Find More Information."</w:t>
      </w:r>
    </w:p>
    <w:p>
      <w:pPr>
        <w:spacing w:after="0" w:line="176" w:lineRule="exact"/>
        <w:rPr>
          <w:sz w:val="20"/>
          <w:szCs w:val="20"/>
          <w:color w:val="auto"/>
        </w:rPr>
      </w:pPr>
    </w:p>
    <w:p>
      <w:pPr>
        <w:ind w:left="8" w:right="3159" w:firstLine="268"/>
        <w:spacing w:after="0" w:line="241" w:lineRule="auto"/>
        <w:rPr>
          <w:sz w:val="20"/>
          <w:szCs w:val="20"/>
          <w:color w:val="auto"/>
        </w:rPr>
      </w:pPr>
      <w:r>
        <w:rPr>
          <w:rFonts w:ascii="Courier New" w:cs="Courier New" w:eastAsia="Courier New" w:hAnsi="Courier New"/>
          <w:sz w:val="15"/>
          <w:szCs w:val="15"/>
          <w:color w:val="auto"/>
        </w:rPr>
        <w:t>References to "we," "us" or "our" refer to Federal Realty Investment Trust and its directly or indirectly owned subsidiaries, unless the context otherwise requires. The term "you" refers to a prospective investor.</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FORWARD-LOOKING INFORMATION</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Before investing in our securities, you should be aware that there are various risks. Investors should carefully consider, among other factors, the factors discussed in this prospectus and in any prospectus supplement. This prospectus contains, and any accompanying prospectus supplement will contain, forward-looking statements within the meaning of Section 27A of the Securities Act of 1933, as amended, Section 21E of the Securities Exchange Act of 1934, as amended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83"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Federal Realty Investment Trust is an equity real estate investment trust specializing in the ownership, management, development and redevelopment of high-quality retail and mixed-use properties. As of September 30, 2002, we owned or had an interest in 113 community and neighborhood shopping centers and urban retail and mixed use properties comprising approximately 15 million square feet, and one apartment complex, all in strategic metropolitan markets across the United States.</w:t>
      </w:r>
    </w:p>
    <w:p>
      <w:pPr>
        <w:spacing w:after="0" w:line="177" w:lineRule="exact"/>
        <w:rPr>
          <w:sz w:val="20"/>
          <w:szCs w:val="20"/>
          <w:color w:val="auto"/>
        </w:rPr>
      </w:pPr>
    </w:p>
    <w:p>
      <w:pPr>
        <w:jc w:val="both"/>
        <w:ind w:left="8" w:right="3159" w:firstLine="268"/>
        <w:spacing w:after="0" w:line="260" w:lineRule="auto"/>
        <w:rPr>
          <w:sz w:val="20"/>
          <w:szCs w:val="20"/>
          <w:color w:val="auto"/>
        </w:rPr>
      </w:pPr>
      <w:r>
        <w:rPr>
          <w:rFonts w:ascii="Courier New" w:cs="Courier New" w:eastAsia="Courier New" w:hAnsi="Courier New"/>
          <w:sz w:val="14"/>
          <w:szCs w:val="14"/>
          <w:color w:val="auto"/>
        </w:rPr>
        <w:t>We operate in a manner intended to qualify as a real estate investment trust pursuant to provisions of the Internal Revenue Code. Our offices are located at 1626 East Jefferson Street, Rockville, Maryland 20852. Our telephone number is</w:t>
      </w:r>
    </w:p>
    <w:p>
      <w:pPr>
        <w:spacing w:after="0" w:line="1" w:lineRule="exact"/>
        <w:rPr>
          <w:sz w:val="20"/>
          <w:szCs w:val="20"/>
          <w:color w:val="auto"/>
        </w:rPr>
      </w:pPr>
    </w:p>
    <w:p>
      <w:pPr>
        <w:ind w:left="8" w:right="3159" w:hanging="8"/>
        <w:spacing w:after="0" w:line="274" w:lineRule="auto"/>
        <w:tabs>
          <w:tab w:leader="none" w:pos="54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998-8100 or (800) 658-8980. Our website address is www.federalrealty.com. The information contained in our website is not a part of this prospectus.</w:t>
      </w:r>
    </w:p>
    <w:p>
      <w:pPr>
        <w:spacing w:after="0" w:line="15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3" w:right="1440" w:bottom="1440" w:gutter="0" w:footer="0" w:header="0"/>
        </w:sectPr>
      </w:pPr>
    </w:p>
    <w:bookmarkStart w:id="4" w:name="page5"/>
    <w:bookmarkEnd w:id="4"/>
    <w:p>
      <w:pPr>
        <w:jc w:val="center"/>
        <w:ind w:right="3151"/>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left="8" w:right="3259" w:firstLine="268"/>
        <w:spacing w:after="0" w:line="241" w:lineRule="auto"/>
        <w:rPr>
          <w:sz w:val="20"/>
          <w:szCs w:val="20"/>
          <w:color w:val="auto"/>
        </w:rPr>
      </w:pPr>
      <w:r>
        <w:rPr>
          <w:rFonts w:ascii="Courier New" w:cs="Courier New" w:eastAsia="Courier New" w:hAnsi="Courier New"/>
          <w:sz w:val="15"/>
          <w:szCs w:val="15"/>
          <w:color w:val="auto"/>
        </w:rPr>
        <w:t>Unless otherwise specified in the applicable prospectus supplement, we will use the net proceeds from the sale of securities for one or more of the following:</w:t>
      </w:r>
    </w:p>
    <w:p>
      <w:pPr>
        <w:spacing w:after="0" w:line="174" w:lineRule="exact"/>
        <w:rPr>
          <w:sz w:val="20"/>
          <w:szCs w:val="20"/>
          <w:color w:val="auto"/>
        </w:rPr>
      </w:pPr>
    </w:p>
    <w:p>
      <w:pPr>
        <w:ind w:left="448" w:hanging="269"/>
        <w:spacing w:after="0"/>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repayment of debt;</w:t>
      </w:r>
    </w:p>
    <w:p>
      <w:pPr>
        <w:spacing w:after="0" w:line="174" w:lineRule="exact"/>
        <w:rPr>
          <w:sz w:val="20"/>
          <w:szCs w:val="20"/>
          <w:color w:val="auto"/>
        </w:rPr>
      </w:pPr>
    </w:p>
    <w:p>
      <w:pPr>
        <w:ind w:left="448" w:hanging="269"/>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additional properties;</w:t>
      </w:r>
    </w:p>
    <w:p>
      <w:pPr>
        <w:spacing w:after="0" w:line="174" w:lineRule="exact"/>
        <w:rPr>
          <w:rFonts w:ascii="Courier New" w:cs="Courier New" w:eastAsia="Courier New" w:hAnsi="Courier New"/>
          <w:sz w:val="15"/>
          <w:szCs w:val="15"/>
          <w:color w:val="auto"/>
        </w:rPr>
      </w:pPr>
    </w:p>
    <w:p>
      <w:pPr>
        <w:ind w:left="448" w:hanging="269"/>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of new properties;</w:t>
      </w:r>
    </w:p>
    <w:p>
      <w:pPr>
        <w:spacing w:after="0" w:line="174" w:lineRule="exact"/>
        <w:rPr>
          <w:rFonts w:ascii="Courier New" w:cs="Courier New" w:eastAsia="Courier New" w:hAnsi="Courier New"/>
          <w:sz w:val="15"/>
          <w:szCs w:val="15"/>
          <w:color w:val="auto"/>
        </w:rPr>
      </w:pPr>
    </w:p>
    <w:p>
      <w:pPr>
        <w:ind w:left="448" w:hanging="269"/>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redevelopment of existing properties; and</w:t>
      </w:r>
    </w:p>
    <w:p>
      <w:pPr>
        <w:spacing w:after="0" w:line="174" w:lineRule="exact"/>
        <w:rPr>
          <w:rFonts w:ascii="Courier New" w:cs="Courier New" w:eastAsia="Courier New" w:hAnsi="Courier New"/>
          <w:sz w:val="15"/>
          <w:szCs w:val="15"/>
          <w:color w:val="auto"/>
        </w:rPr>
      </w:pPr>
    </w:p>
    <w:p>
      <w:pPr>
        <w:ind w:left="448" w:hanging="269"/>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capital and general corporate purposes.</w:t>
      </w:r>
    </w:p>
    <w:p>
      <w:pPr>
        <w:spacing w:after="0" w:line="174"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RATIO OF EARNINGS TO COMBINED FIXED CHARGES AND PREFERRED SHARE DIVIDENDS</w:t>
      </w:r>
    </w:p>
    <w:p>
      <w:pPr>
        <w:spacing w:after="0" w:line="176" w:lineRule="exact"/>
        <w:rPr>
          <w:sz w:val="20"/>
          <w:szCs w:val="20"/>
          <w:color w:val="auto"/>
        </w:rPr>
      </w:pPr>
    </w:p>
    <w:p>
      <w:pPr>
        <w:ind w:left="8" w:right="3519" w:firstLine="268"/>
        <w:spacing w:after="0"/>
        <w:rPr>
          <w:sz w:val="20"/>
          <w:szCs w:val="20"/>
          <w:color w:val="auto"/>
        </w:rPr>
      </w:pPr>
      <w:r>
        <w:rPr>
          <w:rFonts w:ascii="Courier New" w:cs="Courier New" w:eastAsia="Courier New" w:hAnsi="Courier New"/>
          <w:sz w:val="15"/>
          <w:szCs w:val="15"/>
          <w:color w:val="auto"/>
        </w:rPr>
        <w:t>The following table sets forth our historical ratio of earnings to fixed charges and preferred share dividends for the periods indicated:</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the Six Months</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14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Ended June</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30,</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the Years</w:t>
            </w:r>
          </w:p>
        </w:tc>
        <w:tc>
          <w:tcPr>
            <w:tcW w:w="166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Ended December 31,</w:t>
            </w:r>
          </w:p>
        </w:tc>
      </w:tr>
      <w:tr>
        <w:trPr>
          <w:trHeight w:val="172"/>
        </w:trPr>
        <w:tc>
          <w:tcPr>
            <w:tcW w:w="51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290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14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5"/>
                <w:szCs w:val="15"/>
                <w:color w:val="auto"/>
              </w:rPr>
              <w:t>2002</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14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w w:val="99"/>
              </w:rPr>
              <w:t>Ratio of earnings to fixed charges.......................</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1.2x(1)</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1.5x</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1.5x</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1.5x</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1.7x</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1.7x</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1.7x</w:t>
            </w:r>
          </w:p>
        </w:tc>
      </w:tr>
      <w:tr>
        <w:trPr>
          <w:trHeight w:val="172"/>
        </w:trPr>
        <w:tc>
          <w:tcPr>
            <w:tcW w:w="514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w w:val="99"/>
              </w:rPr>
              <w:t>Ratio of earnings to combined fixed charges and preferred</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share dividends........................................</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1.1x(1)</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1.4x</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1.3x</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1.4x</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1.5x</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1.5x</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1.6x</w:t>
            </w:r>
          </w:p>
        </w:tc>
      </w:tr>
      <w:tr>
        <w:trPr>
          <w:trHeight w:val="172"/>
        </w:trPr>
        <w:tc>
          <w:tcPr>
            <w:tcW w:w="514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159" w:hanging="348"/>
        <w:spacing w:after="0" w:line="242"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Excluding a one-time $8.5 million restructuring charge incurred in the first quarter of 2002, for the six months ended June 30, 2002, the ratio of earnings to fixed charges would have been 1.4x, and the ratio of earnings to combined fixed charges and preferred share dividends would have been 1.2x.</w:t>
      </w:r>
    </w:p>
    <w:p>
      <w:pPr>
        <w:spacing w:after="0" w:line="175"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The ratios of earnings to fixed charges were computed by dividing earnings by fixed charges. For this purpose, earnings consist of income before gain (loss) on sale of real estate plus fixed charges. Fixed charges consist of interest on borrowed funds (including capitalized interest), amortization of debt discount and expense and the portion of rent expense representing an interest factor. The ratios of earnings to combined fixed charges and preferred share dividends were computed by dividing earnings by the sum of fixed charges and preferred share dividend requirements.</w:t>
      </w:r>
    </w:p>
    <w:p>
      <w:pPr>
        <w:spacing w:after="0" w:line="177" w:lineRule="exact"/>
        <w:rPr>
          <w:sz w:val="20"/>
          <w:szCs w:val="20"/>
          <w:color w:val="auto"/>
        </w:rPr>
      </w:pPr>
    </w:p>
    <w:p>
      <w:pPr>
        <w:ind w:left="8" w:right="3079" w:firstLine="268"/>
        <w:spacing w:after="0" w:line="263" w:lineRule="auto"/>
        <w:rPr>
          <w:sz w:val="20"/>
          <w:szCs w:val="20"/>
          <w:color w:val="auto"/>
        </w:rPr>
      </w:pPr>
      <w:r>
        <w:rPr>
          <w:rFonts w:ascii="Courier New" w:cs="Courier New" w:eastAsia="Courier New" w:hAnsi="Courier New"/>
          <w:sz w:val="14"/>
          <w:szCs w:val="14"/>
          <w:color w:val="auto"/>
        </w:rPr>
        <w:t>Earnings represent income before gain on real estate and extraordinary items and fixed charges on capital leases. Fixed charges consist of interest expense (including interest costs capitalized) and the portion of rent expense representing an interest factor. Preferred share dividends consist of dividends paid on our outstanding Series A preferred shares and Series B preferred shares.</w:t>
      </w:r>
    </w:p>
    <w:p>
      <w:pPr>
        <w:spacing w:after="0" w:line="161"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DESCRIPTION OF DEBT SECURITIES</w:t>
      </w:r>
    </w:p>
    <w:p>
      <w:pPr>
        <w:spacing w:after="0" w:line="176" w:lineRule="exact"/>
        <w:rPr>
          <w:sz w:val="20"/>
          <w:szCs w:val="20"/>
          <w:color w:val="auto"/>
        </w:rPr>
      </w:pPr>
    </w:p>
    <w:p>
      <w:pPr>
        <w:ind w:left="8" w:right="3439" w:firstLine="268"/>
        <w:spacing w:after="0" w:line="242" w:lineRule="auto"/>
        <w:rPr>
          <w:sz w:val="20"/>
          <w:szCs w:val="20"/>
          <w:color w:val="auto"/>
        </w:rPr>
      </w:pPr>
      <w:r>
        <w:rPr>
          <w:rFonts w:ascii="Courier New" w:cs="Courier New" w:eastAsia="Courier New" w:hAnsi="Courier New"/>
          <w:sz w:val="15"/>
          <w:szCs w:val="15"/>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General Terms of Debt Securities</w:t>
      </w:r>
    </w:p>
    <w:p>
      <w:pPr>
        <w:spacing w:after="0" w:line="176" w:lineRule="exact"/>
        <w:rPr>
          <w:sz w:val="20"/>
          <w:szCs w:val="20"/>
          <w:color w:val="auto"/>
        </w:rPr>
      </w:pPr>
    </w:p>
    <w:p>
      <w:pPr>
        <w:ind w:right="3159" w:firstLine="268"/>
        <w:spacing w:after="0"/>
        <w:rPr>
          <w:sz w:val="20"/>
          <w:szCs w:val="20"/>
          <w:color w:val="auto"/>
        </w:rPr>
      </w:pPr>
      <w:r>
        <w:rPr>
          <w:rFonts w:ascii="Courier New" w:cs="Courier New" w:eastAsia="Courier New" w:hAnsi="Courier New"/>
          <w:sz w:val="15"/>
          <w:szCs w:val="15"/>
          <w:color w:val="auto"/>
        </w:rPr>
        <w:t>Unless we say otherwise in a prospectus supplement, debt securities we offer through this prospectus:</w:t>
      </w:r>
    </w:p>
    <w:p>
      <w:pPr>
        <w:spacing w:after="0" w:line="174" w:lineRule="exact"/>
        <w:rPr>
          <w:sz w:val="20"/>
          <w:szCs w:val="20"/>
          <w:color w:val="auto"/>
        </w:rPr>
      </w:pPr>
    </w:p>
    <w:p>
      <w:pPr>
        <w:ind w:left="440" w:hanging="269"/>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our general, direct and unsecured obligations; and</w:t>
      </w:r>
    </w:p>
    <w:p>
      <w:pPr>
        <w:spacing w:after="0" w:line="174" w:lineRule="exact"/>
        <w:rPr>
          <w:sz w:val="20"/>
          <w:szCs w:val="20"/>
          <w:color w:val="auto"/>
        </w:rPr>
      </w:pPr>
    </w:p>
    <w:p>
      <w:pPr>
        <w:ind w:left="440" w:hanging="269"/>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either senior debt securities or subordinated debt securities.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75" w:lineRule="exact"/>
        <w:rPr>
          <w:sz w:val="20"/>
          <w:szCs w:val="20"/>
          <w:color w:val="auto"/>
        </w:rPr>
      </w:pPr>
    </w:p>
    <w:p>
      <w:pPr>
        <w:jc w:val="both"/>
        <w:ind w:right="3599" w:firstLine="268"/>
        <w:spacing w:after="0" w:line="241" w:lineRule="auto"/>
        <w:rPr>
          <w:sz w:val="20"/>
          <w:szCs w:val="20"/>
          <w:color w:val="auto"/>
        </w:rPr>
      </w:pPr>
      <w:r>
        <w:rPr>
          <w:rFonts w:ascii="Courier New" w:cs="Courier New" w:eastAsia="Courier New" w:hAnsi="Courier New"/>
          <w:sz w:val="15"/>
          <w:szCs w:val="15"/>
          <w:color w:val="auto"/>
        </w:rPr>
        <w:t>We may incur additional debt, subject to limitations in the agreements governing our credit and other debt facilities and other notes we may have issued.</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Unless we say otherwise in a prospectus supplement:</w:t>
      </w:r>
    </w:p>
    <w:p>
      <w:pPr>
        <w:spacing w:after="0" w:line="176" w:lineRule="exact"/>
        <w:rPr>
          <w:sz w:val="20"/>
          <w:szCs w:val="20"/>
          <w:color w:val="auto"/>
        </w:rPr>
      </w:pPr>
    </w:p>
    <w:p>
      <w:pPr>
        <w:ind w:left="440" w:right="3159" w:hanging="269"/>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securities we offer through this prospectus will not limit the amount of other debt that we may incur;</w:t>
      </w:r>
    </w:p>
    <w:p>
      <w:pPr>
        <w:spacing w:after="0" w:line="176" w:lineRule="exact"/>
        <w:rPr>
          <w:sz w:val="20"/>
          <w:szCs w:val="20"/>
          <w:color w:val="auto"/>
        </w:rPr>
      </w:pPr>
    </w:p>
    <w:p>
      <w:pPr>
        <w:ind w:left="440" w:right="3159" w:hanging="269"/>
        <w:spacing w:after="0" w:line="242"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175" w:lineRule="exact"/>
        <w:rPr>
          <w:sz w:val="20"/>
          <w:szCs w:val="20"/>
          <w:color w:val="auto"/>
        </w:rPr>
      </w:pPr>
    </w:p>
    <w:p>
      <w:pPr>
        <w:ind w:right="4059" w:firstLine="171"/>
        <w:spacing w:after="0" w:line="483" w:lineRule="auto"/>
        <w:tabs>
          <w:tab w:leader="none" w:pos="44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not list the debt securities on any securities exchange. The Indentures</w:t>
      </w:r>
    </w:p>
    <w:p>
      <w:pPr>
        <w:spacing w:after="0" w:line="4" w:lineRule="exact"/>
        <w:rPr>
          <w:sz w:val="20"/>
          <w:szCs w:val="20"/>
          <w:color w:val="auto"/>
        </w:rPr>
      </w:pPr>
    </w:p>
    <w:p>
      <w:pPr>
        <w:ind w:right="3159" w:firstLine="268"/>
        <w:spacing w:after="0" w:line="262" w:lineRule="auto"/>
        <w:rPr>
          <w:sz w:val="20"/>
          <w:szCs w:val="20"/>
          <w:color w:val="auto"/>
        </w:rPr>
      </w:pPr>
      <w:r>
        <w:rPr>
          <w:rFonts w:ascii="Courier New" w:cs="Courier New" w:eastAsia="Courier New" w:hAnsi="Courier New"/>
          <w:sz w:val="14"/>
          <w:szCs w:val="14"/>
          <w:color w:val="auto"/>
        </w:rPr>
        <w:t>Any debt securities we offer through this prospectus will be issued under an indenture between us and Wachovia Bank National Association, as successor to First Union National Bank, Trustee. We have filed with the SEC two indentures that are exhibits to the registration statement that includes this prospectus. The senior indenture describes the general terms of senior debt securities we may issue. In addition to describing the general terms of subordinated debt securities that we may issue, the subordinated indenture includes additional terms describing the subordination provisions of these securities. Each of the indentures is subject to the Trust Indenture Act of 1939, as amended.</w:t>
      </w:r>
    </w:p>
    <w:p>
      <w:pPr>
        <w:spacing w:after="0" w:line="162"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indentures do not include all the terms of debt securities we may issue through this prospectus. If we issue debt securities through this prospectus, our Board of Trustees will establish the additional terms for each series of debt securities. The additional terms will be either established pursuant to, and set forth in, a supplemental indenture, or established pursuant to a resolution of our Board of Trustees and set forth in an officer's certificate. Each indenture describes the additional terms that may be established and we summarize the additional terms that may be established under "-- Additional Terms of Debt Securities," below.</w:t>
      </w:r>
    </w:p>
    <w:p>
      <w:pPr>
        <w:spacing w:after="0" w:line="178"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We have summarized the provisions of the senior indenture and the subordinated indenture below. The summary is not complete. You should read the indentures for provisions that may be important to you. The extent, if any, to which the provisions of the base indentures apply to particular debt securities will be described in the prospectus supplement relating to those securities. You should read the prospectus supplement for more information regarding any particular issuance of debt securities.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Terms of Debt Securities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As described above, the terms of a particular series of debt securities we offer through this prospectus will be established by our Board of Trustees when we issue the series. We will describe the terms of the series in a prospectus supplement. Each indenture provides that the terms that may be established include the following:</w:t>
      </w:r>
    </w:p>
    <w:p>
      <w:pPr>
        <w:spacing w:after="0" w:line="175" w:lineRule="exact"/>
        <w:rPr>
          <w:sz w:val="20"/>
          <w:szCs w:val="20"/>
          <w:color w:val="auto"/>
        </w:rPr>
      </w:pPr>
    </w:p>
    <w:p>
      <w:pPr>
        <w:ind w:left="3400" w:right="5399" w:hanging="3229"/>
        <w:spacing w:after="0" w:line="483"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The title of the debt securities offered. 4</w:t>
      </w:r>
    </w:p>
    <w:p>
      <w:pPr>
        <w:sectPr>
          <w:pgSz w:w="11900" w:h="16838" w:orient="portrait"/>
          <w:cols w:equalWidth="0" w:num="1">
            <w:col w:w="10219"/>
          </w:cols>
          <w:pgMar w:left="240" w:top="633" w:right="1440" w:bottom="1440" w:gutter="0" w:footer="0" w:header="0"/>
        </w:sectPr>
      </w:pPr>
    </w:p>
    <w:bookmarkStart w:id="6" w:name="page7"/>
    <w:bookmarkEnd w:id="6"/>
    <w:p>
      <w:pPr>
        <w:ind w:left="269" w:right="3339" w:hanging="269"/>
        <w:spacing w:after="0"/>
        <w:tabs>
          <w:tab w:leader="none" w:pos="26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Any limit upon the total principal amount of the series of debt securities offered.</w:t>
      </w:r>
    </w:p>
    <w:p>
      <w:pPr>
        <w:spacing w:after="0" w:line="176" w:lineRule="exact"/>
        <w:rPr>
          <w:sz w:val="20"/>
          <w:szCs w:val="20"/>
          <w:color w:val="auto"/>
        </w:rPr>
      </w:pPr>
    </w:p>
    <w:p>
      <w:pPr>
        <w:ind w:left="269" w:right="3519" w:hanging="269"/>
        <w:spacing w:after="0" w:line="241" w:lineRule="auto"/>
        <w:tabs>
          <w:tab w:leader="none" w:pos="26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The date or dates on which the principal of and premium, if any, on the offered debt securities will mature or the method of determining such date or dates.</w:t>
      </w:r>
    </w:p>
    <w:p>
      <w:pPr>
        <w:spacing w:after="0" w:line="176" w:lineRule="exact"/>
        <w:rPr>
          <w:sz w:val="20"/>
          <w:szCs w:val="20"/>
          <w:color w:val="auto"/>
        </w:rPr>
      </w:pPr>
    </w:p>
    <w:p>
      <w:pPr>
        <w:ind w:left="269" w:right="3599" w:hanging="269"/>
        <w:spacing w:after="0" w:line="241" w:lineRule="auto"/>
        <w:tabs>
          <w:tab w:leader="none" w:pos="26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The rate or rates (which may be fixed or variable) at which the offered debt securities will bear interest, if any, or the method of calculating such rate or rates.</w:t>
      </w:r>
    </w:p>
    <w:p>
      <w:pPr>
        <w:spacing w:after="0" w:line="176" w:lineRule="exact"/>
        <w:rPr>
          <w:sz w:val="20"/>
          <w:szCs w:val="20"/>
          <w:color w:val="auto"/>
        </w:rPr>
      </w:pPr>
    </w:p>
    <w:p>
      <w:pPr>
        <w:ind w:left="269" w:right="3439" w:hanging="269"/>
        <w:spacing w:after="0"/>
        <w:tabs>
          <w:tab w:leader="none" w:pos="26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Accrual. The date or dates from which interest will accrue or the method by which such date or dates will be determined.</w:t>
      </w:r>
    </w:p>
    <w:p>
      <w:pPr>
        <w:spacing w:after="0" w:line="176" w:lineRule="exact"/>
        <w:rPr>
          <w:sz w:val="20"/>
          <w:szCs w:val="20"/>
          <w:color w:val="auto"/>
        </w:rPr>
      </w:pPr>
    </w:p>
    <w:p>
      <w:pPr>
        <w:ind w:left="269" w:right="3519" w:hanging="269"/>
        <w:spacing w:after="0" w:line="241" w:lineRule="auto"/>
        <w:tabs>
          <w:tab w:leader="none" w:pos="26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Payment Dates. The date or dates on which interest will be payable and the record date or dates to determine the persons who will receive payment.</w:t>
      </w:r>
    </w:p>
    <w:p>
      <w:pPr>
        <w:spacing w:after="0" w:line="176" w:lineRule="exact"/>
        <w:rPr>
          <w:sz w:val="20"/>
          <w:szCs w:val="20"/>
          <w:color w:val="auto"/>
        </w:rPr>
      </w:pPr>
    </w:p>
    <w:p>
      <w:pPr>
        <w:ind w:left="269" w:right="3339" w:hanging="269"/>
        <w:spacing w:after="0" w:line="242" w:lineRule="auto"/>
        <w:tabs>
          <w:tab w:leader="none" w:pos="26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of Payment. The place or places where principal of, premium, if any, and interest, on the offered debt securities will be payable or at which the offered debt securities may be surrendered for registration of transfer or exchange.</w:t>
      </w:r>
    </w:p>
    <w:p>
      <w:pPr>
        <w:spacing w:after="0" w:line="175" w:lineRule="exact"/>
        <w:rPr>
          <w:sz w:val="20"/>
          <w:szCs w:val="20"/>
          <w:color w:val="auto"/>
        </w:rPr>
      </w:pPr>
    </w:p>
    <w:p>
      <w:pPr>
        <w:ind w:left="269" w:right="3159" w:hanging="269"/>
        <w:spacing w:after="0" w:line="242" w:lineRule="auto"/>
        <w:tabs>
          <w:tab w:leader="none" w:pos="26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Redemption. The period or periods within which, the price or prices at which, the currency or currencies (if other than in U.S. dollars), including currency unit or units, in which, and the other terms and conditions upon which, the offered debt securities may be redeemed, in whole or in part, at our option, if we have that option.</w:t>
      </w:r>
    </w:p>
    <w:p>
      <w:pPr>
        <w:spacing w:after="0" w:line="175" w:lineRule="exact"/>
        <w:rPr>
          <w:sz w:val="20"/>
          <w:szCs w:val="20"/>
          <w:color w:val="auto"/>
        </w:rPr>
      </w:pPr>
    </w:p>
    <w:p>
      <w:pPr>
        <w:ind w:left="269" w:right="3259" w:hanging="269"/>
        <w:spacing w:after="0" w:line="242" w:lineRule="auto"/>
        <w:tabs>
          <w:tab w:leader="none" w:pos="26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Redemption. The obligation, if any, we have to redeem or repurchase the offered debt securities pursuant to any sinking fund or 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177" w:lineRule="exact"/>
        <w:rPr>
          <w:sz w:val="20"/>
          <w:szCs w:val="20"/>
          <w:color w:val="auto"/>
        </w:rPr>
      </w:pPr>
    </w:p>
    <w:p>
      <w:pPr>
        <w:ind w:left="269" w:right="3159" w:hanging="269"/>
        <w:spacing w:after="0"/>
        <w:tabs>
          <w:tab w:leader="none" w:pos="2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The denominations in which the offered debt securities are authorized to be issued.</w:t>
      </w:r>
    </w:p>
    <w:p>
      <w:pPr>
        <w:spacing w:after="0" w:line="176" w:lineRule="exact"/>
        <w:rPr>
          <w:sz w:val="20"/>
          <w:szCs w:val="20"/>
          <w:color w:val="auto"/>
        </w:rPr>
      </w:pPr>
    </w:p>
    <w:p>
      <w:pPr>
        <w:ind w:left="269" w:right="3159" w:hanging="269"/>
        <w:spacing w:after="0" w:line="242" w:lineRule="auto"/>
        <w:tabs>
          <w:tab w:leader="none" w:pos="26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The currency or currency unit in which the offered debt securities may be denominated and/or the currency or currencies, 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177" w:lineRule="exact"/>
        <w:rPr>
          <w:sz w:val="20"/>
          <w:szCs w:val="20"/>
          <w:color w:val="auto"/>
        </w:rPr>
      </w:pPr>
    </w:p>
    <w:p>
      <w:pPr>
        <w:jc w:val="both"/>
        <w:ind w:left="269" w:right="3259" w:hanging="269"/>
        <w:spacing w:after="0" w:line="242" w:lineRule="auto"/>
        <w:tabs>
          <w:tab w:leader="none" w:pos="26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Indexed Principal. If the amount of principal of, or premium, if any, or interest on, the offered debt securities may be determined with reference to an index or pursuant to a formula or other method, the manner in which such amounts will be determined.</w:t>
      </w:r>
    </w:p>
    <w:p>
      <w:pPr>
        <w:spacing w:after="0" w:line="175" w:lineRule="exact"/>
        <w:rPr>
          <w:sz w:val="20"/>
          <w:szCs w:val="20"/>
          <w:color w:val="auto"/>
        </w:rPr>
      </w:pPr>
    </w:p>
    <w:p>
      <w:pPr>
        <w:ind w:left="269" w:right="3159" w:hanging="269"/>
        <w:spacing w:after="0" w:line="241" w:lineRule="auto"/>
        <w:tabs>
          <w:tab w:leader="none" w:pos="26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on Acceleration. If other than the principal amount, the amount which will be payable upon declaration of the acceleration of the maturity or the method by which such portion shall be determined.</w:t>
      </w:r>
    </w:p>
    <w:p>
      <w:pPr>
        <w:spacing w:after="0" w:line="176" w:lineRule="exact"/>
        <w:rPr>
          <w:sz w:val="20"/>
          <w:szCs w:val="20"/>
          <w:color w:val="auto"/>
        </w:rPr>
      </w:pPr>
    </w:p>
    <w:p>
      <w:pPr>
        <w:ind w:left="269" w:right="3259" w:hanging="269"/>
        <w:spacing w:after="0" w:line="274" w:lineRule="auto"/>
        <w:tabs>
          <w:tab w:leader="none" w:pos="26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Rights. Provisions, if any, granting special rights to the holders of the offered debt securities if certain specified events occur.</w:t>
      </w:r>
    </w:p>
    <w:p>
      <w:pPr>
        <w:spacing w:after="0" w:line="154" w:lineRule="exact"/>
        <w:rPr>
          <w:sz w:val="20"/>
          <w:szCs w:val="20"/>
          <w:color w:val="auto"/>
        </w:rPr>
      </w:pPr>
    </w:p>
    <w:p>
      <w:pPr>
        <w:ind w:left="269" w:right="3159" w:hanging="269"/>
        <w:spacing w:after="0" w:line="241" w:lineRule="auto"/>
        <w:tabs>
          <w:tab w:leader="none" w:pos="26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Modifications to Indentures. Any addition to, or modification or deletion of, any event of default or any of the covenants specified in the indenture with respect to the offered debt securities.</w:t>
      </w:r>
    </w:p>
    <w:p>
      <w:pPr>
        <w:spacing w:after="0" w:line="176" w:lineRule="exact"/>
        <w:rPr>
          <w:sz w:val="20"/>
          <w:szCs w:val="20"/>
          <w:color w:val="auto"/>
        </w:rPr>
      </w:pPr>
    </w:p>
    <w:p>
      <w:pPr>
        <w:ind w:left="269" w:right="3159" w:hanging="269"/>
        <w:spacing w:after="0" w:line="241" w:lineRule="auto"/>
        <w:tabs>
          <w:tab w:leader="none" w:pos="26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"Gross-Up." The circumstances, if any, under which we will pay additional amounts on the offered debt securities held by non-U.S. persons for taxes, assessments or similar charges.</w:t>
      </w:r>
    </w:p>
    <w:p>
      <w:pPr>
        <w:spacing w:after="0" w:line="176" w:lineRule="exact"/>
        <w:rPr>
          <w:sz w:val="20"/>
          <w:szCs w:val="20"/>
          <w:color w:val="auto"/>
        </w:rPr>
      </w:pPr>
    </w:p>
    <w:p>
      <w:pPr>
        <w:ind w:left="269" w:right="3439" w:hanging="269"/>
        <w:spacing w:after="0"/>
        <w:tabs>
          <w:tab w:leader="none" w:pos="26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or Bearer Form. Whether the offered debt securities will be issued in registered or bearer form or both.</w:t>
      </w:r>
    </w:p>
    <w:p>
      <w:pPr>
        <w:spacing w:after="0" w:line="174" w:lineRule="exact"/>
        <w:rPr>
          <w:sz w:val="20"/>
          <w:szCs w:val="20"/>
          <w:color w:val="auto"/>
        </w:rPr>
      </w:pPr>
    </w:p>
    <w:p>
      <w:pPr>
        <w:ind w:left="322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049"/>
          </w:cols>
          <w:pgMar w:left="411" w:top="635" w:right="1440" w:bottom="1440" w:gutter="0" w:footer="0" w:header="0"/>
        </w:sectPr>
      </w:pPr>
    </w:p>
    <w:bookmarkStart w:id="7" w:name="page8"/>
    <w:bookmarkEnd w:id="7"/>
    <w:p>
      <w:pPr>
        <w:ind w:left="440" w:right="3259" w:hanging="269"/>
        <w:spacing w:after="0" w:line="242" w:lineRule="auto"/>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Dates of Certificates. The date as of which any offered debt securities in bearer form and any temporary global security representing outstanding securities are dated, if other than the original issuance date of the offered debt securities.</w:t>
      </w:r>
    </w:p>
    <w:p>
      <w:pPr>
        <w:spacing w:after="0" w:line="175" w:lineRule="exact"/>
        <w:rPr>
          <w:sz w:val="20"/>
          <w:szCs w:val="20"/>
          <w:color w:val="auto"/>
        </w:rPr>
      </w:pPr>
    </w:p>
    <w:p>
      <w:pPr>
        <w:ind w:left="440" w:right="3339" w:hanging="269"/>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Forms. The forms of the securities and interest coupons, if any, of the series.</w:t>
      </w:r>
    </w:p>
    <w:p>
      <w:pPr>
        <w:spacing w:after="0" w:line="176" w:lineRule="exact"/>
        <w:rPr>
          <w:sz w:val="20"/>
          <w:szCs w:val="20"/>
          <w:color w:val="auto"/>
        </w:rPr>
      </w:pPr>
    </w:p>
    <w:p>
      <w:pPr>
        <w:ind w:left="440" w:right="3339" w:hanging="269"/>
        <w:spacing w:after="0" w:line="241"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Registrar and Paying Agent. If other than the trustee under the applicable indenture, the identity of the registrar and any paying agent for the offered debt securities.</w:t>
      </w:r>
    </w:p>
    <w:p>
      <w:pPr>
        <w:spacing w:after="0" w:line="176" w:lineRule="exact"/>
        <w:rPr>
          <w:sz w:val="20"/>
          <w:szCs w:val="20"/>
          <w:color w:val="auto"/>
        </w:rPr>
      </w:pPr>
    </w:p>
    <w:p>
      <w:pPr>
        <w:ind w:left="440" w:right="3439" w:hanging="269"/>
        <w:spacing w:after="0"/>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Defeasance. Any means of defeasance or covenant defeasance that may be specified for the offered debt securities.</w:t>
      </w:r>
    </w:p>
    <w:p>
      <w:pPr>
        <w:spacing w:after="0" w:line="176" w:lineRule="exact"/>
        <w:rPr>
          <w:sz w:val="20"/>
          <w:szCs w:val="20"/>
          <w:color w:val="auto"/>
        </w:rPr>
      </w:pPr>
    </w:p>
    <w:p>
      <w:pPr>
        <w:ind w:left="440" w:right="3259" w:hanging="269"/>
        <w:spacing w:after="0" w:line="242"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Securities. Whether the offered debt securities are to be issued in whole or in part in the form of one or more temporary or 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177" w:lineRule="exact"/>
        <w:rPr>
          <w:sz w:val="20"/>
          <w:szCs w:val="20"/>
          <w:color w:val="auto"/>
        </w:rPr>
      </w:pPr>
    </w:p>
    <w:p>
      <w:pPr>
        <w:ind w:left="440" w:right="3159" w:hanging="269"/>
        <w:spacing w:after="0" w:line="242"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Documentation. If the offered debt securities may be issued or delivered, or any installation of principal or interest may be paid, only upon receipt of certain certificates or other documents or satisfaction of other conditions in addition to those specified in the applicable indenture, the form of those certificates, documents or conditions.</w:t>
      </w:r>
    </w:p>
    <w:p>
      <w:pPr>
        <w:spacing w:after="0" w:line="175" w:lineRule="exact"/>
        <w:rPr>
          <w:sz w:val="20"/>
          <w:szCs w:val="20"/>
          <w:color w:val="auto"/>
        </w:rPr>
      </w:pPr>
    </w:p>
    <w:p>
      <w:pPr>
        <w:ind w:left="440" w:right="3159" w:hanging="269"/>
        <w:spacing w:after="0" w:line="242" w:lineRule="auto"/>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Payees. If other than as provided in the applicable indenture, the person to whom any interest on any registered security of the series will be payable and the manner in which, or the person to whom, any interest on any bearer securities of the series will be payable.</w:t>
      </w:r>
    </w:p>
    <w:p>
      <w:pPr>
        <w:spacing w:after="0" w:line="175" w:lineRule="exact"/>
        <w:rPr>
          <w:sz w:val="20"/>
          <w:szCs w:val="20"/>
          <w:color w:val="auto"/>
        </w:rPr>
      </w:pPr>
    </w:p>
    <w:p>
      <w:pPr>
        <w:ind w:left="440" w:right="3159" w:hanging="269"/>
        <w:spacing w:after="0" w:line="242"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Any definitions for the offered debt securities of that series that are different from or in addition to the definitions included in the applicable indenture, including, without limitation, the definition of "unrestricted subsidiary" to be used for such series.</w:t>
      </w:r>
    </w:p>
    <w:p>
      <w:pPr>
        <w:spacing w:after="0" w:line="175" w:lineRule="exact"/>
        <w:rPr>
          <w:sz w:val="20"/>
          <w:szCs w:val="20"/>
          <w:color w:val="auto"/>
        </w:rPr>
      </w:pPr>
    </w:p>
    <w:p>
      <w:pPr>
        <w:ind w:left="440" w:right="3339" w:hanging="269"/>
        <w:spacing w:after="0" w:line="242" w:lineRule="auto"/>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In the case of the subordinated indenture, the relative degree to which the offered debt securities shall be senior to or junior to other debt securities, whether currently outstanding or to be offered in the future, and to other debt, in right of payment.</w:t>
      </w:r>
    </w:p>
    <w:p>
      <w:pPr>
        <w:spacing w:after="0" w:line="175" w:lineRule="exact"/>
        <w:rPr>
          <w:sz w:val="20"/>
          <w:szCs w:val="20"/>
          <w:color w:val="auto"/>
        </w:rPr>
      </w:pPr>
    </w:p>
    <w:p>
      <w:pPr>
        <w:ind w:left="440" w:right="3159" w:hanging="269"/>
        <w:spacing w:after="0" w:line="242" w:lineRule="auto"/>
        <w:tabs>
          <w:tab w:leader="none" w:pos="4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Guarantees. Whether the offered debt securities are guaranteed and, if so, the identity of the guarantors and the terms of the offered guarantees (including whether and the extent to which the guarantees are subordinated to other debt of the guarantors).</w:t>
      </w:r>
    </w:p>
    <w:p>
      <w:pPr>
        <w:spacing w:after="0" w:line="175" w:lineRule="exact"/>
        <w:rPr>
          <w:sz w:val="20"/>
          <w:szCs w:val="20"/>
          <w:color w:val="auto"/>
        </w:rPr>
      </w:pPr>
    </w:p>
    <w:p>
      <w:pPr>
        <w:ind w:left="440" w:right="3159" w:hanging="269"/>
        <w:spacing w:after="0" w:line="241" w:lineRule="auto"/>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terms, if any, upon which the offered debt securities may be converted or exchanged into or for our common shares, preferred shares or other securities or property.</w:t>
      </w:r>
    </w:p>
    <w:p>
      <w:pPr>
        <w:spacing w:after="0" w:line="176" w:lineRule="exact"/>
        <w:rPr>
          <w:sz w:val="20"/>
          <w:szCs w:val="20"/>
          <w:color w:val="auto"/>
        </w:rPr>
      </w:pPr>
    </w:p>
    <w:p>
      <w:pPr>
        <w:ind w:left="440" w:right="3259" w:hanging="269"/>
        <w:spacing w:after="0"/>
        <w:tabs>
          <w:tab w:leader="none" w:pos="4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Any restrictions on the registration, transfer or exchange of the offered debt securities.</w:t>
      </w:r>
    </w:p>
    <w:p>
      <w:pPr>
        <w:spacing w:after="0" w:line="176" w:lineRule="exact"/>
        <w:rPr>
          <w:sz w:val="20"/>
          <w:szCs w:val="20"/>
          <w:color w:val="auto"/>
        </w:rPr>
      </w:pPr>
    </w:p>
    <w:p>
      <w:pPr>
        <w:ind w:left="440" w:right="3159" w:hanging="269"/>
        <w:spacing w:after="0" w:line="265"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Terms. Any other terms not inconsistent with the terms of the applicable indenture pertaining to the offered debt securities or which may be required or advisable under U. S. laws or regulations or advisable, as we determine, in connection with marketing of securities of the series.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Securities and Related Matters</w:t>
      </w:r>
    </w:p>
    <w:p>
      <w:pPr>
        <w:spacing w:after="0" w:line="176" w:lineRule="exact"/>
        <w:rPr>
          <w:sz w:val="20"/>
          <w:szCs w:val="20"/>
          <w:color w:val="auto"/>
        </w:rPr>
      </w:pPr>
    </w:p>
    <w:p>
      <w:pPr>
        <w:ind w:right="3879" w:firstLine="268"/>
        <w:spacing w:after="0"/>
        <w:rPr>
          <w:sz w:val="20"/>
          <w:szCs w:val="20"/>
          <w:color w:val="auto"/>
        </w:rPr>
      </w:pPr>
      <w:r>
        <w:rPr>
          <w:rFonts w:ascii="Courier New" w:cs="Courier New" w:eastAsia="Courier New" w:hAnsi="Courier New"/>
          <w:sz w:val="15"/>
          <w:szCs w:val="15"/>
          <w:color w:val="auto"/>
        </w:rPr>
        <w:t>Registered or Bearer Form. Debt securities may be offered in either registered or bearer form.</w:t>
      </w:r>
    </w:p>
    <w:p>
      <w:pPr>
        <w:spacing w:after="0" w:line="176" w:lineRule="exact"/>
        <w:rPr>
          <w:sz w:val="20"/>
          <w:szCs w:val="20"/>
          <w:color w:val="auto"/>
        </w:rPr>
      </w:pPr>
    </w:p>
    <w:p>
      <w:pPr>
        <w:ind w:left="440" w:right="3519" w:hanging="269"/>
        <w:spacing w:after="0" w:line="241" w:lineRule="auto"/>
        <w:tabs>
          <w:tab w:leader="none" w:pos="4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debt securities are in registered form, we may treat the person named in the register as the owner of the debt securities for all purposes, including payment, exchange and transfer.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8" w:name="page9"/>
    <w:bookmarkEnd w:id="8"/>
    <w:p>
      <w:pPr>
        <w:ind w:left="440" w:right="3259" w:hanging="269"/>
        <w:spacing w:after="0" w:line="242" w:lineRule="auto"/>
        <w:tabs>
          <w:tab w:leader="none" w:pos="4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consequences relating to the offered debt securities in a prospectus supplement.</w:t>
      </w:r>
    </w:p>
    <w:p>
      <w:pPr>
        <w:spacing w:after="0" w:line="177" w:lineRule="exact"/>
        <w:rPr>
          <w:sz w:val="20"/>
          <w:szCs w:val="20"/>
          <w:color w:val="auto"/>
        </w:rPr>
      </w:pPr>
    </w:p>
    <w:p>
      <w:pPr>
        <w:ind w:right="3259" w:firstLine="268"/>
        <w:spacing w:after="0"/>
        <w:rPr>
          <w:sz w:val="20"/>
          <w:szCs w:val="20"/>
          <w:color w:val="auto"/>
        </w:rPr>
      </w:pPr>
      <w:r>
        <w:rPr>
          <w:rFonts w:ascii="Courier New" w:cs="Courier New" w:eastAsia="Courier New" w:hAnsi="Courier New"/>
          <w:sz w:val="15"/>
          <w:szCs w:val="15"/>
          <w:color w:val="auto"/>
        </w:rPr>
        <w:t>Denominations. Unless we say otherwise in a prospectus supplement, we will issue debt securities in denominations of:</w:t>
      </w:r>
    </w:p>
    <w:p>
      <w:pPr>
        <w:spacing w:after="0" w:line="176" w:lineRule="exact"/>
        <w:rPr>
          <w:sz w:val="20"/>
          <w:szCs w:val="20"/>
          <w:color w:val="auto"/>
        </w:rPr>
      </w:pPr>
    </w:p>
    <w:p>
      <w:pPr>
        <w:ind w:left="440" w:right="3439" w:hanging="269"/>
        <w:spacing w:after="0"/>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$1,000 (or multiples of $1,000) if we issue the debt securities in registered form; and</w:t>
      </w:r>
    </w:p>
    <w:p>
      <w:pPr>
        <w:spacing w:after="0" w:line="176" w:lineRule="exact"/>
        <w:rPr>
          <w:sz w:val="20"/>
          <w:szCs w:val="20"/>
          <w:color w:val="auto"/>
        </w:rPr>
      </w:pPr>
    </w:p>
    <w:p>
      <w:pPr>
        <w:ind w:left="440" w:right="3159" w:hanging="269"/>
        <w:spacing w:after="0"/>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$5,000 (or multiples of $5,000) if we issue debt securities in bearer form.</w:t>
      </w:r>
    </w:p>
    <w:p>
      <w:pPr>
        <w:spacing w:after="0" w:line="176" w:lineRule="exact"/>
        <w:rPr>
          <w:sz w:val="20"/>
          <w:szCs w:val="20"/>
          <w:color w:val="auto"/>
        </w:rPr>
      </w:pPr>
    </w:p>
    <w:p>
      <w:pPr>
        <w:ind w:right="3159" w:firstLine="268"/>
        <w:spacing w:after="0"/>
        <w:rPr>
          <w:sz w:val="20"/>
          <w:szCs w:val="20"/>
          <w:color w:val="auto"/>
        </w:rPr>
      </w:pPr>
      <w:r>
        <w:rPr>
          <w:rFonts w:ascii="Courier New" w:cs="Courier New" w:eastAsia="Courier New" w:hAnsi="Courier New"/>
          <w:sz w:val="15"/>
          <w:szCs w:val="15"/>
          <w:color w:val="auto"/>
        </w:rPr>
        <w:t>Payment Currencies and Indexed Securities. We may offer debt securities for which:</w:t>
      </w:r>
    </w:p>
    <w:p>
      <w:pPr>
        <w:spacing w:after="0" w:line="174" w:lineRule="exact"/>
        <w:rPr>
          <w:sz w:val="20"/>
          <w:szCs w:val="20"/>
          <w:color w:val="auto"/>
        </w:rPr>
      </w:pPr>
    </w:p>
    <w:p>
      <w:pPr>
        <w:ind w:left="440" w:hanging="269"/>
        <w:spacing w:after="0"/>
        <w:tabs>
          <w:tab w:leader="none" w:pos="4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is payable in a currency other than U.S. dollars;</w:t>
      </w:r>
    </w:p>
    <w:p>
      <w:pPr>
        <w:spacing w:after="0" w:line="174" w:lineRule="exact"/>
        <w:rPr>
          <w:sz w:val="20"/>
          <w:szCs w:val="20"/>
          <w:color w:val="auto"/>
        </w:rPr>
      </w:pPr>
    </w:p>
    <w:p>
      <w:pPr>
        <w:ind w:left="440" w:hanging="269"/>
        <w:spacing w:after="0"/>
        <w:tabs>
          <w:tab w:leader="none" w:pos="4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are denominated in a currency other than U.S. dollars; or</w:t>
      </w:r>
    </w:p>
    <w:p>
      <w:pPr>
        <w:spacing w:after="0" w:line="176" w:lineRule="exact"/>
        <w:rPr>
          <w:sz w:val="20"/>
          <w:szCs w:val="20"/>
          <w:color w:val="auto"/>
        </w:rPr>
      </w:pPr>
    </w:p>
    <w:p>
      <w:pPr>
        <w:ind w:left="440" w:right="3159" w:hanging="269"/>
        <w:spacing w:after="0"/>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or interest of, or any other amount due on, the offered debt securities in a currency other than U.S. dollars.</w:t>
      </w:r>
    </w:p>
    <w:p>
      <w:pPr>
        <w:spacing w:after="0" w:line="176"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The other currency may be a currency unit composed of various currencies, such as the European Currency Unit or ECU. Payments on debt securities may also be based on an index.</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Payment, Transfer and Exchange. Unless we say otherwise in a prospectus supplement, the office for paying principal, interest and other amounts on the debt securities is Wachovia Bank National Association, 401 S. Tryon Street, 12/th/ Floor, Charlotte, North Carolina 28288. We will notify you of any change in the office's location. At our option, however, we may make any interest payments on debt securities issued in registered form by:</w:t>
      </w:r>
    </w:p>
    <w:p>
      <w:pPr>
        <w:spacing w:after="0" w:line="174" w:lineRule="exact"/>
        <w:rPr>
          <w:sz w:val="20"/>
          <w:szCs w:val="20"/>
          <w:color w:val="auto"/>
        </w:rPr>
      </w:pPr>
    </w:p>
    <w:p>
      <w:pPr>
        <w:ind w:left="440" w:hanging="269"/>
        <w:spacing w:after="0"/>
        <w:tabs>
          <w:tab w:leader="none" w:pos="4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mailing checks to you at the address you specify; or</w:t>
      </w:r>
    </w:p>
    <w:p>
      <w:pPr>
        <w:spacing w:after="0" w:line="174" w:lineRule="exact"/>
        <w:rPr>
          <w:sz w:val="20"/>
          <w:szCs w:val="20"/>
          <w:color w:val="auto"/>
        </w:rPr>
      </w:pPr>
    </w:p>
    <w:p>
      <w:pPr>
        <w:ind w:left="440" w:hanging="269"/>
        <w:spacing w:after="0"/>
        <w:tabs>
          <w:tab w:leader="none" w:pos="4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wire transfer of immediately available funds to an account you specify.</w:t>
      </w:r>
    </w:p>
    <w:p>
      <w:pPr>
        <w:spacing w:after="0" w:line="176" w:lineRule="exact"/>
        <w:rPr>
          <w:sz w:val="20"/>
          <w:szCs w:val="20"/>
          <w:color w:val="auto"/>
        </w:rPr>
      </w:pPr>
    </w:p>
    <w:p>
      <w:pPr>
        <w:ind w:right="3259" w:firstLine="268"/>
        <w:spacing w:after="0" w:line="241" w:lineRule="auto"/>
        <w:rPr>
          <w:sz w:val="20"/>
          <w:szCs w:val="20"/>
          <w:color w:val="auto"/>
        </w:rPr>
      </w:pPr>
      <w:r>
        <w:rPr>
          <w:rFonts w:ascii="Courier New" w:cs="Courier New" w:eastAsia="Courier New" w:hAnsi="Courier New"/>
          <w:sz w:val="15"/>
          <w:szCs w:val="15"/>
          <w:color w:val="auto"/>
        </w:rPr>
        <w:t>Unless we say otherwise in a prospectus supplement, we will pay interest to the person whose name is in the register at the close of business on the regular record date for such interest.</w:t>
      </w:r>
    </w:p>
    <w:p>
      <w:pPr>
        <w:spacing w:after="0" w:line="176"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We will describe in a prospectus supplement how we will pay amounts owing on bearer securities. We will only pay amounts owing on bearer securities at an office outside the United States.</w:t>
      </w:r>
    </w:p>
    <w:p>
      <w:pPr>
        <w:spacing w:after="0" w:line="176" w:lineRule="exact"/>
        <w:rPr>
          <w:sz w:val="20"/>
          <w:szCs w:val="20"/>
          <w:color w:val="auto"/>
        </w:rPr>
      </w:pPr>
    </w:p>
    <w:p>
      <w:pPr>
        <w:ind w:right="3079" w:firstLine="268"/>
        <w:spacing w:after="0" w:line="265" w:lineRule="auto"/>
        <w:rPr>
          <w:sz w:val="20"/>
          <w:szCs w:val="20"/>
          <w:color w:val="auto"/>
        </w:rPr>
      </w:pPr>
      <w:r>
        <w:rPr>
          <w:rFonts w:ascii="Courier New" w:cs="Courier New" w:eastAsia="Courier New" w:hAnsi="Courier New"/>
          <w:sz w:val="14"/>
          <w:szCs w:val="14"/>
          <w:color w:val="auto"/>
        </w:rPr>
        <w:t>Unless we say otherwise in a prospectus supplement, you may transfer or exchange debt securities issued in registered form at an agency that we designate. You may transfer or exchange debt securities without service charge, although we may require you to pay any related tax or other governmental charge.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Securities</w:t>
      </w:r>
    </w:p>
    <w:p>
      <w:pPr>
        <w:spacing w:after="0" w:line="176" w:lineRule="exact"/>
        <w:rPr>
          <w:sz w:val="20"/>
          <w:szCs w:val="20"/>
          <w:color w:val="auto"/>
        </w:rPr>
      </w:pPr>
    </w:p>
    <w:p>
      <w:pPr>
        <w:ind w:right="3439" w:firstLine="268"/>
        <w:spacing w:after="0"/>
        <w:rPr>
          <w:sz w:val="20"/>
          <w:szCs w:val="20"/>
          <w:color w:val="auto"/>
        </w:rPr>
      </w:pPr>
      <w:r>
        <w:rPr>
          <w:rFonts w:ascii="Courier New" w:cs="Courier New" w:eastAsia="Courier New" w:hAnsi="Courier New"/>
          <w:sz w:val="15"/>
          <w:szCs w:val="15"/>
          <w:color w:val="auto"/>
        </w:rPr>
        <w:t>We may issue debt securities of a series in the form of one or more fully registered global securities. Each registered global security will:</w:t>
      </w:r>
    </w:p>
    <w:p>
      <w:pPr>
        <w:spacing w:after="0" w:line="174" w:lineRule="exact"/>
        <w:rPr>
          <w:sz w:val="20"/>
          <w:szCs w:val="20"/>
          <w:color w:val="auto"/>
        </w:rPr>
      </w:pPr>
    </w:p>
    <w:p>
      <w:pPr>
        <w:ind w:left="440" w:hanging="269"/>
        <w:spacing w:after="0"/>
        <w:tabs>
          <w:tab w:leader="none" w:pos="4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registered in the name of a depositary or a nominee for the depositary;</w:t>
      </w:r>
    </w:p>
    <w:p>
      <w:pPr>
        <w:spacing w:after="0" w:line="174"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deposited with the depositary or nominee or a custodian therefor; and</w:t>
      </w:r>
    </w:p>
    <w:p>
      <w:pPr>
        <w:spacing w:after="0" w:line="176" w:lineRule="exact"/>
        <w:rPr>
          <w:sz w:val="20"/>
          <w:szCs w:val="20"/>
          <w:color w:val="auto"/>
        </w:rPr>
      </w:pPr>
    </w:p>
    <w:p>
      <w:pPr>
        <w:ind w:left="440" w:right="3259" w:hanging="269"/>
        <w:spacing w:after="0"/>
        <w:tabs>
          <w:tab w:leader="none" w:pos="4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bear a legend regarding the restrictions on exchanges and registration of transfer and any such other appropriate matters.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9" w:name="page10"/>
    <w:bookmarkEnd w:id="9"/>
    <w:p>
      <w:pPr>
        <w:ind w:right="3439" w:firstLine="268"/>
        <w:spacing w:after="0" w:line="242" w:lineRule="auto"/>
        <w:rPr>
          <w:sz w:val="20"/>
          <w:szCs w:val="20"/>
          <w:color w:val="auto"/>
        </w:rPr>
      </w:pPr>
      <w:r>
        <w:rPr>
          <w:rFonts w:ascii="Courier New" w:cs="Courier New" w:eastAsia="Courier New" w:hAnsi="Courier New"/>
          <w:sz w:val="15"/>
          <w:szCs w:val="15"/>
          <w:color w:val="auto"/>
        </w:rPr>
        <w:t>Registered 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w:t>
      </w:r>
    </w:p>
    <w:p>
      <w:pPr>
        <w:spacing w:after="0" w:line="176" w:lineRule="exact"/>
        <w:rPr>
          <w:sz w:val="20"/>
          <w:szCs w:val="20"/>
          <w:color w:val="auto"/>
        </w:rPr>
      </w:pPr>
    </w:p>
    <w:p>
      <w:pPr>
        <w:jc w:val="both"/>
        <w:ind w:right="3439" w:firstLine="268"/>
        <w:spacing w:after="0" w:line="241" w:lineRule="auto"/>
        <w:rPr>
          <w:sz w:val="20"/>
          <w:szCs w:val="20"/>
          <w:color w:val="auto"/>
        </w:rPr>
      </w:pPr>
      <w:r>
        <w:rPr>
          <w:rFonts w:ascii="Courier New" w:cs="Courier New" w:eastAsia="Courier New" w:hAnsi="Courier New"/>
          <w:sz w:val="15"/>
          <w:szCs w:val="15"/>
          <w:color w:val="auto"/>
        </w:rPr>
        <w:t>Each indenture contains the following covenants. Any additional material covenants applicable to any series of debt securities will be set forth in a prospectus supplement.</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Existence. Except as permitted under "Consolidation, Merger or Sale of Assets," we will do or cause to be done all things necessary to preserve 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Maintenance of</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Properties.</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We will cause all</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our material properties</w:t>
            </w:r>
          </w:p>
        </w:tc>
      </w:tr>
      <w:tr>
        <w:trPr>
          <w:trHeight w:val="172"/>
        </w:trPr>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w w:val="98"/>
              </w:rPr>
              <w:t>used or useful in</w:t>
            </w: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conduct of our business to</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be</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w w:val="98"/>
              </w:rPr>
              <w:t>maintained and kept in good</w:t>
            </w:r>
          </w:p>
        </w:tc>
      </w:tr>
      <w:tr>
        <w:trPr>
          <w:trHeight w:val="172"/>
        </w:trPr>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w w:val="98"/>
              </w:rPr>
              <w:t>condition, repair</w:t>
            </w: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and working order and supplied</w:t>
            </w:r>
          </w:p>
        </w:tc>
        <w:tc>
          <w:tcPr>
            <w:tcW w:w="2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with all necessary equipment</w:t>
            </w:r>
          </w:p>
        </w:tc>
      </w:tr>
      <w:tr>
        <w:trPr>
          <w:trHeight w:val="172"/>
        </w:trPr>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w w:val="98"/>
              </w:rPr>
              <w:t>and will cause to</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be made all</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9"/>
              </w:rPr>
              <w:t>necessary repairs,</w:t>
            </w:r>
          </w:p>
        </w:tc>
        <w:tc>
          <w:tcPr>
            <w:tcW w:w="2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renewals, replacements,</w:t>
            </w:r>
          </w:p>
        </w:tc>
      </w:tr>
    </w:tbl>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5"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Insurance. We will keep all of our insurable properties insured against loss or damage at least equal to their then full insurable value with insurers of recognized responsibility and having a rating of at least A-:XII in Best's Key Rating Guide.</w:t>
      </w:r>
    </w:p>
    <w:p>
      <w:pPr>
        <w:spacing w:after="0" w:line="175" w:lineRule="exact"/>
        <w:rPr>
          <w:sz w:val="20"/>
          <w:szCs w:val="20"/>
          <w:color w:val="auto"/>
        </w:rPr>
      </w:pPr>
    </w:p>
    <w:p>
      <w:pPr>
        <w:ind w:right="3259" w:firstLine="268"/>
        <w:spacing w:after="0"/>
        <w:rPr>
          <w:sz w:val="20"/>
          <w:szCs w:val="20"/>
          <w:color w:val="auto"/>
        </w:rPr>
      </w:pPr>
      <w:r>
        <w:rPr>
          <w:rFonts w:ascii="Courier New" w:cs="Courier New" w:eastAsia="Courier New" w:hAnsi="Courier New"/>
          <w:sz w:val="15"/>
          <w:szCs w:val="15"/>
          <w:color w:val="auto"/>
        </w:rPr>
        <w:t>Payment of Taxes and Other Claims. We will pay or discharge or cause to be paid or discharged, before they shall become delinquent:</w:t>
      </w:r>
    </w:p>
    <w:p>
      <w:pPr>
        <w:spacing w:after="0" w:line="176" w:lineRule="exact"/>
        <w:rPr>
          <w:sz w:val="20"/>
          <w:szCs w:val="20"/>
          <w:color w:val="auto"/>
        </w:rPr>
      </w:pPr>
    </w:p>
    <w:p>
      <w:pPr>
        <w:ind w:left="440" w:right="3259" w:hanging="269"/>
        <w:spacing w:after="0"/>
        <w:tabs>
          <w:tab w:leader="none" w:pos="4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taxes, assessments and governmental charges levied or imposed upon us or upon our income, profits or property, and</w:t>
      </w:r>
    </w:p>
    <w:p>
      <w:pPr>
        <w:spacing w:after="0" w:line="176" w:lineRule="exact"/>
        <w:rPr>
          <w:sz w:val="20"/>
          <w:szCs w:val="20"/>
          <w:color w:val="auto"/>
        </w:rPr>
      </w:pPr>
    </w:p>
    <w:p>
      <w:pPr>
        <w:ind w:left="440" w:right="3599" w:hanging="269"/>
        <w:spacing w:after="0"/>
        <w:tabs>
          <w:tab w:leader="none" w:pos="4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lawful claims for labor, materials and supplies which, if unpaid, might by law become a lien upon our property;</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provided, however, that we shall not be required to pay or discharge or cause to be paid or discharged any such tax, assessment, charge or claim whose amount, applicability or validity is being contested in good faith.</w:t>
      </w:r>
    </w:p>
    <w:p>
      <w:pPr>
        <w:spacing w:after="0" w:line="176" w:lineRule="exact"/>
        <w:rPr>
          <w:sz w:val="20"/>
          <w:szCs w:val="20"/>
          <w:color w:val="auto"/>
        </w:rPr>
      </w:pPr>
    </w:p>
    <w:p>
      <w:pPr>
        <w:ind w:right="3159" w:firstLine="268"/>
        <w:spacing w:after="0" w:line="265" w:lineRule="auto"/>
        <w:rPr>
          <w:sz w:val="20"/>
          <w:szCs w:val="20"/>
          <w:color w:val="auto"/>
        </w:rPr>
      </w:pPr>
      <w:r>
        <w:rPr>
          <w:rFonts w:ascii="Courier New" w:cs="Courier New" w:eastAsia="Courier New" w:hAnsi="Courier New"/>
          <w:sz w:val="14"/>
          <w:szCs w:val="14"/>
          <w:color w:val="auto"/>
        </w:rPr>
        <w:t>Provision of Financial Information. Whether or not we are subject to Section 13 or 15(d) of the Exchange Act, we will, within 15 days of each of the respective dates by which we would have been required to file annual reports, quarterly reports and other documents with the SEC if we were so subject:</w:t>
      </w:r>
    </w:p>
    <w:p>
      <w:pPr>
        <w:spacing w:after="0" w:line="160" w:lineRule="exact"/>
        <w:rPr>
          <w:sz w:val="20"/>
          <w:szCs w:val="20"/>
          <w:color w:val="auto"/>
        </w:rPr>
      </w:pPr>
    </w:p>
    <w:p>
      <w:pPr>
        <w:ind w:left="440" w:right="3159" w:hanging="269"/>
        <w:spacing w:after="0" w:line="242" w:lineRule="auto"/>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175" w:lineRule="exact"/>
        <w:rPr>
          <w:sz w:val="20"/>
          <w:szCs w:val="20"/>
          <w:color w:val="auto"/>
        </w:rPr>
      </w:pPr>
    </w:p>
    <w:p>
      <w:pPr>
        <w:ind w:left="440" w:right="3259" w:hanging="269"/>
        <w:spacing w:after="0" w:line="242" w:lineRule="auto"/>
        <w:tabs>
          <w:tab w:leader="none" w:pos="4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75" w:lineRule="exact"/>
        <w:rPr>
          <w:sz w:val="20"/>
          <w:szCs w:val="20"/>
          <w:color w:val="auto"/>
        </w:rPr>
      </w:pPr>
    </w:p>
    <w:p>
      <w:pPr>
        <w:ind w:left="440" w:right="3699" w:hanging="269"/>
        <w:spacing w:after="0" w:line="241" w:lineRule="auto"/>
        <w:tabs>
          <w:tab w:leader="none" w:pos="4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written request and payment of the reasonable cost of duplication and delivery, supply copies of those documents to any prospective holder.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Consolidation, Merger or Sale of Assets</w:t>
      </w:r>
    </w:p>
    <w:p>
      <w:pPr>
        <w:spacing w:after="0" w:line="176"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We may consolidate with, or sell, lease or convey all or substantially all of our assets, or merge with or into any other entity, provided that we satisfy all of the following conditions:</w:t>
      </w:r>
    </w:p>
    <w:p>
      <w:pPr>
        <w:spacing w:after="0" w:line="174" w:lineRule="exact"/>
        <w:rPr>
          <w:sz w:val="20"/>
          <w:szCs w:val="20"/>
          <w:color w:val="auto"/>
        </w:rPr>
      </w:pPr>
    </w:p>
    <w:p>
      <w:pPr>
        <w:ind w:left="440" w:hanging="269"/>
        <w:spacing w:after="0"/>
        <w:tabs>
          <w:tab w:leader="none" w:pos="4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4" w:lineRule="exact"/>
        <w:rPr>
          <w:sz w:val="20"/>
          <w:szCs w:val="20"/>
          <w:color w:val="auto"/>
        </w:rPr>
      </w:pPr>
    </w:p>
    <w:p>
      <w:pPr>
        <w:ind w:left="800" w:hanging="272"/>
        <w:spacing w:after="0"/>
        <w:tabs>
          <w:tab w:leader="none" w:pos="8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be the continuing company, or</w:t>
      </w:r>
    </w:p>
    <w:p>
      <w:pPr>
        <w:spacing w:after="0" w:line="176" w:lineRule="exact"/>
        <w:rPr>
          <w:sz w:val="20"/>
          <w:szCs w:val="20"/>
          <w:color w:val="auto"/>
        </w:rPr>
      </w:pPr>
    </w:p>
    <w:p>
      <w:pPr>
        <w:ind w:left="800" w:right="3159" w:hanging="272"/>
        <w:spacing w:after="0" w:line="242" w:lineRule="auto"/>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75" w:lineRule="exact"/>
        <w:rPr>
          <w:sz w:val="20"/>
          <w:szCs w:val="20"/>
          <w:color w:val="auto"/>
        </w:rPr>
      </w:pPr>
    </w:p>
    <w:p>
      <w:pPr>
        <w:ind w:left="440" w:right="3519" w:hanging="269"/>
        <w:spacing w:after="0" w:line="241" w:lineRule="auto"/>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before and immediately after giving effect to such transactions, no default or event of default under the debt securities shall have occurred and be continuing; and</w:t>
      </w:r>
    </w:p>
    <w:p>
      <w:pPr>
        <w:spacing w:after="0" w:line="176" w:lineRule="exact"/>
        <w:rPr>
          <w:sz w:val="20"/>
          <w:szCs w:val="20"/>
          <w:color w:val="auto"/>
        </w:rPr>
      </w:pPr>
    </w:p>
    <w:p>
      <w:pPr>
        <w:ind w:left="440" w:right="3159" w:hanging="269"/>
        <w:spacing w:after="0" w:line="242" w:lineRule="auto"/>
        <w:tabs>
          <w:tab w:leader="none" w:pos="4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Generally. Unless we say otherwise in a prospectus supplement, the payment of principal, premium, if any, and interest on subordinated debt 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78" w:lineRule="exact"/>
        <w:rPr>
          <w:sz w:val="20"/>
          <w:szCs w:val="20"/>
          <w:color w:val="auto"/>
        </w:rPr>
      </w:pPr>
    </w:p>
    <w:p>
      <w:pPr>
        <w:jc w:val="both"/>
        <w:ind w:right="3159" w:firstLine="268"/>
        <w:spacing w:after="0" w:line="242" w:lineRule="auto"/>
        <w:rPr>
          <w:sz w:val="20"/>
          <w:szCs w:val="20"/>
          <w:color w:val="auto"/>
        </w:rPr>
      </w:pPr>
      <w:r>
        <w:rPr>
          <w:rFonts w:ascii="Courier New" w:cs="Courier New" w:eastAsia="Courier New" w:hAnsi="Courier New"/>
          <w:sz w:val="15"/>
          <w:szCs w:val="15"/>
          <w:color w:val="auto"/>
        </w:rPr>
        <w:t>Senior debt is defined in the subordinated indenture as the principal of and interest on, or substantially similar payments to be made by us in respect of, the following, whether outstanding at the date of execution of the subordinated indenture or thereafter incurred, created or assumed:</w:t>
      </w:r>
    </w:p>
    <w:p>
      <w:pPr>
        <w:spacing w:after="0" w:line="175" w:lineRule="exact"/>
        <w:rPr>
          <w:sz w:val="20"/>
          <w:szCs w:val="20"/>
          <w:color w:val="auto"/>
        </w:rPr>
      </w:pPr>
    </w:p>
    <w:p>
      <w:pPr>
        <w:ind w:left="440" w:right="4059" w:hanging="269"/>
        <w:spacing w:after="0"/>
        <w:tabs>
          <w:tab w:leader="none" w:pos="4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for money borrowed or represented by purchase-money obligations;</w:t>
      </w:r>
    </w:p>
    <w:p>
      <w:pPr>
        <w:spacing w:after="0" w:line="176" w:lineRule="exact"/>
        <w:rPr>
          <w:sz w:val="20"/>
          <w:szCs w:val="20"/>
          <w:color w:val="auto"/>
        </w:rPr>
      </w:pPr>
    </w:p>
    <w:p>
      <w:pPr>
        <w:ind w:left="440" w:right="3159" w:hanging="269"/>
        <w:spacing w:after="0" w:line="241" w:lineRule="auto"/>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evidenced by notes, debentures, or bonds, or other securities issued under the provisions of an indenture, fiscal agency agreement or other instrument;</w:t>
      </w:r>
    </w:p>
    <w:p>
      <w:pPr>
        <w:spacing w:after="0" w:line="176" w:lineRule="exact"/>
        <w:rPr>
          <w:sz w:val="20"/>
          <w:szCs w:val="20"/>
          <w:color w:val="auto"/>
        </w:rPr>
      </w:pPr>
    </w:p>
    <w:p>
      <w:pPr>
        <w:ind w:left="440" w:right="3159" w:hanging="269"/>
        <w:spacing w:after="0" w:line="274" w:lineRule="auto"/>
        <w:tabs>
          <w:tab w:leader="none" w:pos="4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obligations as lessee under leases of property whether made as part of any sale and leaseback transaction to which we are a party or otherwise;</w:t>
      </w:r>
    </w:p>
    <w:p>
      <w:pPr>
        <w:spacing w:after="0" w:line="154" w:lineRule="exact"/>
        <w:rPr>
          <w:sz w:val="20"/>
          <w:szCs w:val="20"/>
          <w:color w:val="auto"/>
        </w:rPr>
      </w:pPr>
    </w:p>
    <w:p>
      <w:pPr>
        <w:ind w:left="440" w:right="3339" w:hanging="269"/>
        <w:spacing w:after="0"/>
        <w:tabs>
          <w:tab w:leader="none" w:pos="4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partnerships and joint ventures which is included in our consolidated financial statements;</w:t>
      </w:r>
    </w:p>
    <w:p>
      <w:pPr>
        <w:spacing w:after="0" w:line="176" w:lineRule="exact"/>
        <w:rPr>
          <w:sz w:val="20"/>
          <w:szCs w:val="20"/>
          <w:color w:val="auto"/>
        </w:rPr>
      </w:pPr>
    </w:p>
    <w:p>
      <w:pPr>
        <w:ind w:left="440" w:right="3159" w:hanging="269"/>
        <w:spacing w:after="0" w:line="242" w:lineRule="auto"/>
        <w:tabs>
          <w:tab w:leader="none" w:pos="4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175" w:lineRule="exact"/>
        <w:rPr>
          <w:sz w:val="20"/>
          <w:szCs w:val="20"/>
          <w:color w:val="auto"/>
        </w:rPr>
      </w:pPr>
    </w:p>
    <w:p>
      <w:pPr>
        <w:ind w:left="440" w:right="3339" w:hanging="269"/>
        <w:spacing w:after="0" w:line="241" w:lineRule="auto"/>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binding commitment to fund any real estate investment or to fund any investment in any entity making a real estate investment, in each case other than</w:t>
      </w:r>
    </w:p>
    <w:p>
      <w:pPr>
        <w:spacing w:after="0" w:line="176" w:lineRule="exact"/>
        <w:rPr>
          <w:sz w:val="20"/>
          <w:szCs w:val="20"/>
          <w:color w:val="auto"/>
        </w:rPr>
      </w:pPr>
    </w:p>
    <w:p>
      <w:pPr>
        <w:ind w:left="800" w:right="3159" w:hanging="272"/>
        <w:spacing w:after="0" w:line="263" w:lineRule="auto"/>
        <w:tabs>
          <w:tab w:leader="none" w:pos="8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3" w:right="1440" w:bottom="1440" w:gutter="0" w:footer="0" w:header="0"/>
        </w:sectPr>
      </w:pPr>
    </w:p>
    <w:bookmarkStart w:id="11" w:name="page12"/>
    <w:bookmarkEnd w:id="11"/>
    <w:p>
      <w:pPr>
        <w:ind w:left="800" w:right="3259" w:hanging="272"/>
        <w:spacing w:after="0" w:line="242" w:lineRule="auto"/>
        <w:tabs>
          <w:tab w:leader="none" w:pos="8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173" w:lineRule="exact"/>
        <w:rPr>
          <w:sz w:val="20"/>
          <w:szCs w:val="20"/>
          <w:color w:val="auto"/>
        </w:rPr>
      </w:pPr>
    </w:p>
    <w:p>
      <w:pPr>
        <w:ind w:left="800" w:hanging="272"/>
        <w:spacing w:after="0"/>
        <w:tabs>
          <w:tab w:leader="none" w:pos="8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subordinated debt securities.</w:t>
      </w:r>
    </w:p>
    <w:p>
      <w:pPr>
        <w:spacing w:after="0" w:line="176" w:lineRule="exact"/>
        <w:rPr>
          <w:sz w:val="20"/>
          <w:szCs w:val="20"/>
          <w:color w:val="auto"/>
        </w:rPr>
      </w:pPr>
    </w:p>
    <w:p>
      <w:pPr>
        <w:ind w:right="3159" w:firstLine="268"/>
        <w:spacing w:after="0"/>
        <w:rPr>
          <w:sz w:val="20"/>
          <w:szCs w:val="20"/>
          <w:color w:val="auto"/>
        </w:rPr>
      </w:pPr>
      <w:r>
        <w:rPr>
          <w:rFonts w:ascii="Courier New" w:cs="Courier New" w:eastAsia="Courier New" w:hAnsi="Courier New"/>
          <w:sz w:val="15"/>
          <w:szCs w:val="15"/>
          <w:color w:val="auto"/>
        </w:rPr>
        <w:t>There are no restrictions in the subordinated indenture upon the creation of additional senior debt.</w:t>
      </w:r>
    </w:p>
    <w:p>
      <w:pPr>
        <w:spacing w:after="0" w:line="176" w:lineRule="exact"/>
        <w:rPr>
          <w:sz w:val="20"/>
          <w:szCs w:val="20"/>
          <w:color w:val="auto"/>
        </w:rPr>
      </w:pPr>
    </w:p>
    <w:p>
      <w:pPr>
        <w:ind w:right="3259" w:firstLine="268"/>
        <w:spacing w:after="0" w:line="241" w:lineRule="auto"/>
        <w:rPr>
          <w:sz w:val="20"/>
          <w:szCs w:val="20"/>
          <w:color w:val="auto"/>
        </w:rPr>
      </w:pPr>
      <w:r>
        <w:rPr>
          <w:rFonts w:ascii="Courier New" w:cs="Courier New" w:eastAsia="Courier New" w:hAnsi="Courier New"/>
          <w:sz w:val="15"/>
          <w:szCs w:val="15"/>
          <w:color w:val="auto"/>
        </w:rPr>
        <w:t>Payment Blockage for Payment Defaults. Unless we say otherwise in a prospectus supplement, if we have defaulted in the payment of any senior debt, we may not:</w:t>
      </w:r>
    </w:p>
    <w:p>
      <w:pPr>
        <w:spacing w:after="0" w:line="176" w:lineRule="exact"/>
        <w:rPr>
          <w:sz w:val="20"/>
          <w:szCs w:val="20"/>
          <w:color w:val="auto"/>
        </w:rPr>
      </w:pPr>
    </w:p>
    <w:p>
      <w:pPr>
        <w:ind w:left="440" w:right="3699" w:hanging="269"/>
        <w:spacing w:after="0"/>
        <w:tabs>
          <w:tab w:leader="none" w:pos="4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principal, premium, if any, or interest on subordinated debt securities; or</w:t>
      </w:r>
    </w:p>
    <w:p>
      <w:pPr>
        <w:spacing w:after="0" w:line="176" w:lineRule="exact"/>
        <w:rPr>
          <w:sz w:val="20"/>
          <w:szCs w:val="20"/>
          <w:color w:val="auto"/>
        </w:rPr>
      </w:pPr>
    </w:p>
    <w:p>
      <w:pPr>
        <w:ind w:left="440" w:right="3599" w:hanging="269"/>
        <w:spacing w:after="0"/>
        <w:tabs>
          <w:tab w:leader="none" w:pos="4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redeem, defease, or otherwise acquire any subordinated debt securities.</w:t>
      </w:r>
    </w:p>
    <w:p>
      <w:pPr>
        <w:spacing w:after="0" w:line="176"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This prohibition will not affect any payment we have already made to defease debt securities, as described under "-- Defeasance or Covenant Defeasance of Indentures," below.</w:t>
      </w:r>
    </w:p>
    <w:p>
      <w:pPr>
        <w:spacing w:after="0" w:line="176" w:lineRule="exact"/>
        <w:rPr>
          <w:sz w:val="20"/>
          <w:szCs w:val="20"/>
          <w:color w:val="auto"/>
        </w:rPr>
      </w:pPr>
    </w:p>
    <w:p>
      <w:pPr>
        <w:ind w:right="3519" w:firstLine="268"/>
        <w:spacing w:after="0"/>
        <w:rPr>
          <w:sz w:val="20"/>
          <w:szCs w:val="20"/>
          <w:color w:val="auto"/>
        </w:rPr>
      </w:pPr>
      <w:r>
        <w:rPr>
          <w:rFonts w:ascii="Courier New" w:cs="Courier New" w:eastAsia="Courier New" w:hAnsi="Courier New"/>
          <w:sz w:val="15"/>
          <w:szCs w:val="15"/>
          <w:color w:val="auto"/>
        </w:rPr>
        <w:t>We must resume payment on our subordinated debt securities, and make any payments we have missed, when one of the following has occurred:</w:t>
      </w:r>
    </w:p>
    <w:p>
      <w:pPr>
        <w:spacing w:after="0" w:line="174" w:lineRule="exact"/>
        <w:rPr>
          <w:sz w:val="20"/>
          <w:szCs w:val="20"/>
          <w:color w:val="auto"/>
        </w:rPr>
      </w:pPr>
    </w:p>
    <w:p>
      <w:pPr>
        <w:ind w:left="440" w:hanging="269"/>
        <w:spacing w:after="0"/>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senior debt has been discharged or paid in full;</w:t>
      </w:r>
    </w:p>
    <w:p>
      <w:pPr>
        <w:spacing w:after="0" w:line="174"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senior debt have waived payment; or</w:t>
      </w:r>
    </w:p>
    <w:p>
      <w:pPr>
        <w:spacing w:after="0" w:line="174"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default has otherwise been cured or ceased to exist.</w:t>
      </w:r>
    </w:p>
    <w:p>
      <w:pPr>
        <w:spacing w:after="0" w:line="176" w:lineRule="exact"/>
        <w:rPr>
          <w:sz w:val="20"/>
          <w:szCs w:val="20"/>
          <w:color w:val="auto"/>
        </w:rPr>
      </w:pPr>
    </w:p>
    <w:p>
      <w:pPr>
        <w:jc w:val="both"/>
        <w:ind w:right="3439" w:firstLine="268"/>
        <w:spacing w:after="0" w:line="241" w:lineRule="auto"/>
        <w:rPr>
          <w:sz w:val="20"/>
          <w:szCs w:val="20"/>
          <w:color w:val="auto"/>
        </w:rPr>
      </w:pPr>
      <w:r>
        <w:rPr>
          <w:rFonts w:ascii="Courier New" w:cs="Courier New" w:eastAsia="Courier New" w:hAnsi="Courier New"/>
          <w:sz w:val="15"/>
          <w:szCs w:val="15"/>
          <w:color w:val="auto"/>
        </w:rPr>
        <w:t>Payment Blockage for Non-Payment Defaults. Unless we say otherwise in a prospectus supplement, we will also be prohibited from paying any amounts or distributing any assets if:</w:t>
      </w:r>
    </w:p>
    <w:p>
      <w:pPr>
        <w:spacing w:after="0" w:line="176" w:lineRule="exact"/>
        <w:rPr>
          <w:sz w:val="20"/>
          <w:szCs w:val="20"/>
          <w:color w:val="auto"/>
        </w:rPr>
      </w:pPr>
    </w:p>
    <w:p>
      <w:pPr>
        <w:ind w:left="440" w:right="3259" w:hanging="269"/>
        <w:spacing w:after="0"/>
        <w:tabs>
          <w:tab w:leader="none" w:pos="4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defaulted on senior debt in a way that does not involve a failure to pay amounts but accelerates payment; and</w:t>
      </w:r>
    </w:p>
    <w:p>
      <w:pPr>
        <w:spacing w:after="0" w:line="176" w:lineRule="exact"/>
        <w:rPr>
          <w:sz w:val="20"/>
          <w:szCs w:val="20"/>
          <w:color w:val="auto"/>
        </w:rPr>
      </w:pPr>
    </w:p>
    <w:p>
      <w:pPr>
        <w:ind w:left="440" w:right="3599" w:hanging="269"/>
        <w:spacing w:after="0"/>
        <w:tabs>
          <w:tab w:leader="none" w:pos="4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and the trustee for the subordinated debt securities have received written notice of this default.</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Unless we say otherwise in a prospectus supplement, we will be required to suspend payments and distributions on our subordinated debt securities starting when we receive notice of the applicable default. We must resume payments on our subordinated debt securities, and make any payments we have missed, upon the earliest of:</w:t>
      </w:r>
    </w:p>
    <w:p>
      <w:pPr>
        <w:spacing w:after="0" w:line="175" w:lineRule="exact"/>
        <w:rPr>
          <w:sz w:val="20"/>
          <w:szCs w:val="20"/>
          <w:color w:val="auto"/>
        </w:rPr>
      </w:pPr>
    </w:p>
    <w:p>
      <w:pPr>
        <w:ind w:left="440" w:right="3159" w:hanging="269"/>
        <w:spacing w:after="0" w:line="241" w:lineRule="auto"/>
        <w:tabs>
          <w:tab w:leader="none" w:pos="4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that is 179 days after receipt of notice (unless we have previously been required to pay all amounts owing on the applicable senior debt);</w:t>
      </w:r>
    </w:p>
    <w:p>
      <w:pPr>
        <w:spacing w:after="0" w:line="176" w:lineRule="exact"/>
        <w:rPr>
          <w:sz w:val="20"/>
          <w:szCs w:val="20"/>
          <w:color w:val="auto"/>
        </w:rPr>
      </w:pPr>
    </w:p>
    <w:p>
      <w:pPr>
        <w:ind w:left="440" w:right="3159" w:hanging="269"/>
        <w:spacing w:after="0" w:line="274" w:lineRule="auto"/>
        <w:tabs>
          <w:tab w:leader="none" w:pos="4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the default and all other similar defaults as to which notice has been given shall have been cured, waived or shall have ceased to exist;</w:t>
      </w:r>
    </w:p>
    <w:p>
      <w:pPr>
        <w:spacing w:after="0" w:line="154" w:lineRule="exact"/>
        <w:rPr>
          <w:sz w:val="20"/>
          <w:szCs w:val="20"/>
          <w:color w:val="auto"/>
        </w:rPr>
      </w:pPr>
    </w:p>
    <w:p>
      <w:pPr>
        <w:ind w:left="440" w:right="3159" w:hanging="269"/>
        <w:spacing w:after="0" w:line="274" w:lineRule="auto"/>
        <w:tabs>
          <w:tab w:leader="none" w:pos="4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the applicable senior debt (and all other senior debt as to which notice has been given) shall have been discharged or paid in full; and</w:t>
      </w:r>
    </w:p>
    <w:p>
      <w:pPr>
        <w:spacing w:after="0" w:line="154" w:lineRule="exact"/>
        <w:rPr>
          <w:sz w:val="20"/>
          <w:szCs w:val="20"/>
          <w:color w:val="auto"/>
        </w:rPr>
      </w:pPr>
    </w:p>
    <w:p>
      <w:pPr>
        <w:ind w:left="440" w:right="3599" w:hanging="269"/>
        <w:spacing w:after="0" w:line="241" w:lineRule="auto"/>
        <w:tabs>
          <w:tab w:leader="none" w:pos="4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we or the trustee receives written notice from the representative of holders of senior debt or the holders of at least a majority of the senior debt terminating the blockage period.</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Default Provisions</w:t>
      </w:r>
    </w:p>
    <w:p>
      <w:pPr>
        <w:spacing w:after="0" w:line="176" w:lineRule="exact"/>
        <w:rPr>
          <w:sz w:val="20"/>
          <w:szCs w:val="20"/>
          <w:color w:val="auto"/>
        </w:rPr>
      </w:pPr>
    </w:p>
    <w:p>
      <w:pPr>
        <w:jc w:val="both"/>
        <w:ind w:right="3159" w:firstLine="268"/>
        <w:spacing w:after="0" w:line="241" w:lineRule="auto"/>
        <w:rPr>
          <w:sz w:val="20"/>
          <w:szCs w:val="20"/>
          <w:color w:val="auto"/>
        </w:rPr>
      </w:pPr>
      <w:r>
        <w:rPr>
          <w:rFonts w:ascii="Courier New" w:cs="Courier New" w:eastAsia="Courier New" w:hAnsi="Courier New"/>
          <w:sz w:val="15"/>
          <w:szCs w:val="15"/>
          <w:color w:val="auto"/>
        </w:rPr>
        <w:t>Events of Default. Unless we say otherwise in a prospectus supplement, each of the following is an event of default as to any of our senior or subordinated debt securities:</w:t>
      </w:r>
    </w:p>
    <w:p>
      <w:pPr>
        <w:spacing w:after="0" w:line="176" w:lineRule="exact"/>
        <w:rPr>
          <w:sz w:val="20"/>
          <w:szCs w:val="20"/>
          <w:color w:val="auto"/>
        </w:rPr>
      </w:pPr>
    </w:p>
    <w:p>
      <w:pPr>
        <w:ind w:left="260" w:right="3159" w:firstLine="268"/>
        <w:spacing w:after="0" w:line="241" w:lineRule="auto"/>
        <w:tabs>
          <w:tab w:leader="none" w:pos="88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in the payment of any interest on any debt security of that series when it becomes due and payable, if the default continues for a period of 30 days.</w:t>
      </w:r>
    </w:p>
    <w:p>
      <w:pPr>
        <w:spacing w:after="0" w:line="176" w:lineRule="exact"/>
        <w:rPr>
          <w:rFonts w:ascii="Courier New" w:cs="Courier New" w:eastAsia="Courier New" w:hAnsi="Courier New"/>
          <w:sz w:val="15"/>
          <w:szCs w:val="15"/>
          <w:color w:val="auto"/>
        </w:rPr>
      </w:pPr>
    </w:p>
    <w:p>
      <w:pPr>
        <w:ind w:left="260" w:right="3159" w:firstLine="268"/>
        <w:spacing w:after="0" w:line="241" w:lineRule="auto"/>
        <w:tabs>
          <w:tab w:leader="none" w:pos="88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in the payment of the principal of (or premium, if any, on) any debt security of that series at its maturity (upon acceleration, optional or mandatory redemption, required purchase or otherwise).</w:t>
      </w:r>
    </w:p>
    <w:p>
      <w:pPr>
        <w:spacing w:after="0" w:line="176" w:lineRule="exact"/>
        <w:rPr>
          <w:rFonts w:ascii="Courier New" w:cs="Courier New" w:eastAsia="Courier New" w:hAnsi="Courier New"/>
          <w:sz w:val="15"/>
          <w:szCs w:val="15"/>
          <w:color w:val="auto"/>
        </w:rPr>
      </w:pPr>
    </w:p>
    <w:p>
      <w:pPr>
        <w:ind w:left="260" w:right="3339" w:firstLine="268"/>
        <w:spacing w:after="0"/>
        <w:tabs>
          <w:tab w:leader="none" w:pos="88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in the deposit of any sinking fund payment as required by the terms of any debt security of that series.</w:t>
      </w:r>
    </w:p>
    <w:p>
      <w:pPr>
        <w:spacing w:after="0" w:line="174" w:lineRule="exact"/>
        <w:rPr>
          <w:rFonts w:ascii="Courier New" w:cs="Courier New" w:eastAsia="Courier New" w:hAnsi="Courier New"/>
          <w:sz w:val="15"/>
          <w:szCs w:val="15"/>
          <w:color w:val="auto"/>
        </w:rPr>
      </w:pPr>
    </w:p>
    <w:p>
      <w:pPr>
        <w:ind w:left="880" w:hanging="352"/>
        <w:spacing w:after="0"/>
        <w:tabs>
          <w:tab w:leader="none" w:pos="8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in the performance, or a breach, of any covenant or</w:t>
      </w:r>
    </w:p>
    <w:p>
      <w:pPr>
        <w:spacing w:after="0" w:line="3" w:lineRule="exact"/>
        <w:rPr>
          <w:rFonts w:ascii="Courier New" w:cs="Courier New" w:eastAsia="Courier New" w:hAnsi="Courier New"/>
          <w:sz w:val="15"/>
          <w:szCs w:val="15"/>
          <w:color w:val="auto"/>
        </w:rPr>
      </w:pPr>
    </w:p>
    <w:p>
      <w:pPr>
        <w:ind w:left="26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73"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 by the trustee; or</w:t>
      </w:r>
    </w:p>
    <w:p>
      <w:pPr>
        <w:spacing w:after="0" w:line="175" w:lineRule="exact"/>
        <w:rPr>
          <w:rFonts w:ascii="Courier New" w:cs="Courier New" w:eastAsia="Courier New" w:hAnsi="Courier New"/>
          <w:sz w:val="15"/>
          <w:szCs w:val="15"/>
          <w:color w:val="auto"/>
        </w:rPr>
      </w:pPr>
    </w:p>
    <w:p>
      <w:pPr>
        <w:ind w:left="620" w:right="3519" w:firstLine="266"/>
        <w:spacing w:after="0" w:line="241" w:lineRule="auto"/>
        <w:tabs>
          <w:tab w:leader="none" w:pos="1336"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 and the trustee by the holders of at least 25% in aggregate principal amount of the outstanding debt securities of the series.</w:t>
      </w:r>
    </w:p>
    <w:p>
      <w:pPr>
        <w:spacing w:after="0" w:line="176" w:lineRule="exact"/>
        <w:rPr>
          <w:rFonts w:ascii="Courier New" w:cs="Courier New" w:eastAsia="Courier New" w:hAnsi="Courier New"/>
          <w:sz w:val="15"/>
          <w:szCs w:val="15"/>
          <w:color w:val="auto"/>
        </w:rPr>
      </w:pPr>
    </w:p>
    <w:p>
      <w:pPr>
        <w:ind w:left="260" w:right="3159" w:firstLine="268"/>
        <w:spacing w:after="0" w:line="242" w:lineRule="auto"/>
        <w:tabs>
          <w:tab w:leader="none" w:pos="88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one or more defaults under any bond, debenture, note or other evidence of indebtedness for money borrowed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82" w:lineRule="exact"/>
        <w:rPr>
          <w:rFonts w:ascii="Courier New" w:cs="Courier New" w:eastAsia="Courier New" w:hAnsi="Courier New"/>
          <w:sz w:val="15"/>
          <w:szCs w:val="15"/>
          <w:color w:val="auto"/>
        </w:rPr>
      </w:pPr>
    </w:p>
    <w:p>
      <w:pPr>
        <w:ind w:left="260" w:right="3339" w:firstLine="268"/>
        <w:spacing w:after="0"/>
        <w:tabs>
          <w:tab w:leader="none" w:pos="88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of competent jurisdiction under any applicable bankruptcy law that:</w:t>
      </w:r>
    </w:p>
    <w:p>
      <w:pPr>
        <w:spacing w:after="0" w:line="176" w:lineRule="exact"/>
        <w:rPr>
          <w:rFonts w:ascii="Courier New" w:cs="Courier New" w:eastAsia="Courier New" w:hAnsi="Courier New"/>
          <w:sz w:val="15"/>
          <w:szCs w:val="15"/>
          <w:color w:val="auto"/>
        </w:rPr>
      </w:pPr>
    </w:p>
    <w:p>
      <w:pPr>
        <w:ind w:left="620" w:right="3259" w:firstLine="266"/>
        <w:spacing w:after="0"/>
        <w:tabs>
          <w:tab w:leader="none" w:pos="1336"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for relief against us or any of our significant subsidiaries in an involuntary case,</w:t>
      </w:r>
    </w:p>
    <w:p>
      <w:pPr>
        <w:spacing w:after="0" w:line="176" w:lineRule="exact"/>
        <w:rPr>
          <w:rFonts w:ascii="Courier New" w:cs="Courier New" w:eastAsia="Courier New" w:hAnsi="Courier New"/>
          <w:sz w:val="15"/>
          <w:szCs w:val="15"/>
          <w:color w:val="auto"/>
        </w:rPr>
      </w:pPr>
    </w:p>
    <w:p>
      <w:pPr>
        <w:jc w:val="both"/>
        <w:ind w:left="620" w:right="3339" w:firstLine="266"/>
        <w:spacing w:after="0" w:line="241" w:lineRule="auto"/>
        <w:tabs>
          <w:tab w:leader="none" w:pos="1336"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appoints a receiver in respect of us or any of our significant subsidiaries or for all or substantially all of the property of any of us; and</w:t>
      </w:r>
    </w:p>
    <w:p>
      <w:pPr>
        <w:spacing w:after="0" w:line="176" w:lineRule="exact"/>
        <w:rPr>
          <w:rFonts w:ascii="Courier New" w:cs="Courier New" w:eastAsia="Courier New" w:hAnsi="Courier New"/>
          <w:sz w:val="15"/>
          <w:szCs w:val="15"/>
          <w:color w:val="auto"/>
        </w:rPr>
      </w:pPr>
    </w:p>
    <w:p>
      <w:pPr>
        <w:ind w:left="620" w:right="3959" w:firstLine="266"/>
        <w:spacing w:after="0"/>
        <w:tabs>
          <w:tab w:leader="none" w:pos="1336"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orders our liquidation or the liquidation of any of our significant subsidiaries,</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and the order or decree remains unstayed and in effect for 90 days.</w:t>
      </w:r>
    </w:p>
    <w:p>
      <w:pPr>
        <w:spacing w:after="0" w:line="174" w:lineRule="exact"/>
        <w:rPr>
          <w:sz w:val="20"/>
          <w:szCs w:val="20"/>
          <w:color w:val="auto"/>
        </w:rPr>
      </w:pPr>
    </w:p>
    <w:p>
      <w:pPr>
        <w:ind w:left="880" w:hanging="352"/>
        <w:spacing w:after="0"/>
        <w:tabs>
          <w:tab w:leader="none" w:pos="8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or any of our significant subsidiaries do any of the following:</w:t>
      </w:r>
    </w:p>
    <w:p>
      <w:pPr>
        <w:spacing w:after="0" w:line="175" w:lineRule="exact"/>
        <w:rPr>
          <w:rFonts w:ascii="Courier New" w:cs="Courier New" w:eastAsia="Courier New" w:hAnsi="Courier New"/>
          <w:sz w:val="15"/>
          <w:szCs w:val="15"/>
          <w:color w:val="auto"/>
        </w:rPr>
      </w:pPr>
    </w:p>
    <w:p>
      <w:pPr>
        <w:ind w:left="620" w:right="3519" w:firstLine="266"/>
        <w:spacing w:after="0" w:line="241" w:lineRule="auto"/>
        <w:tabs>
          <w:tab w:leader="none" w:pos="1336"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 a voluntary case or proceeding under any applicable bankruptcy law or any other case or proceeding to be adjudicated bankrupt or insolvent;</w:t>
      </w:r>
    </w:p>
    <w:p>
      <w:pPr>
        <w:spacing w:after="0" w:line="176" w:lineRule="exact"/>
        <w:rPr>
          <w:rFonts w:ascii="Courier New" w:cs="Courier New" w:eastAsia="Courier New" w:hAnsi="Courier New"/>
          <w:sz w:val="15"/>
          <w:szCs w:val="15"/>
          <w:color w:val="auto"/>
        </w:rPr>
      </w:pPr>
    </w:p>
    <w:p>
      <w:pPr>
        <w:ind w:left="620" w:right="3159" w:firstLine="266"/>
        <w:spacing w:after="0" w:line="242" w:lineRule="auto"/>
        <w:tabs>
          <w:tab w:leader="none" w:pos="1336"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the entry of a decree or order for relief in respect of us or any of our significant subsidiaries in an involuntary case or proceeding under any applicable bankruptcy law or to the commencement of any bankruptcy or insolvency case or proceeding against us or it;</w:t>
      </w:r>
    </w:p>
    <w:p>
      <w:pPr>
        <w:spacing w:after="0" w:line="174" w:lineRule="exact"/>
        <w:rPr>
          <w:rFonts w:ascii="Courier New" w:cs="Courier New" w:eastAsia="Courier New" w:hAnsi="Courier New"/>
          <w:sz w:val="15"/>
          <w:szCs w:val="15"/>
          <w:color w:val="auto"/>
        </w:rPr>
      </w:pPr>
    </w:p>
    <w:p>
      <w:pPr>
        <w:ind w:left="620" w:right="3159" w:firstLine="266"/>
        <w:spacing w:after="0" w:line="241" w:lineRule="auto"/>
        <w:tabs>
          <w:tab w:leader="none" w:pos="1336"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the appointment of a receiver in respect of us or any of our significant subsidiaries for all or substantially all of our or its property; or</w:t>
      </w:r>
    </w:p>
    <w:p>
      <w:pPr>
        <w:spacing w:after="0" w:line="176" w:lineRule="exact"/>
        <w:rPr>
          <w:rFonts w:ascii="Courier New" w:cs="Courier New" w:eastAsia="Courier New" w:hAnsi="Courier New"/>
          <w:sz w:val="15"/>
          <w:szCs w:val="15"/>
          <w:color w:val="auto"/>
        </w:rPr>
      </w:pPr>
    </w:p>
    <w:p>
      <w:pPr>
        <w:ind w:left="620" w:right="3339" w:firstLine="266"/>
        <w:spacing w:after="0"/>
        <w:tabs>
          <w:tab w:leader="none" w:pos="1336"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a general assignment for the benefit of our creditors or the creditors of any of our significant subsidiaries.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3" w:right="1440" w:bottom="1440" w:gutter="0" w:footer="0" w:header="0"/>
        </w:sectPr>
      </w:pPr>
    </w:p>
    <w:bookmarkStart w:id="13" w:name="page14"/>
    <w:bookmarkEnd w:id="13"/>
    <w:p>
      <w:pPr>
        <w:ind w:left="260" w:right="3959" w:firstLine="268"/>
        <w:spacing w:after="0"/>
        <w:tabs>
          <w:tab w:leader="none" w:pos="88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with respect to the debt securities of that series.</w:t>
      </w:r>
    </w:p>
    <w:p>
      <w:pPr>
        <w:spacing w:after="0" w:line="176" w:lineRule="exact"/>
        <w:rPr>
          <w:sz w:val="20"/>
          <w:szCs w:val="20"/>
          <w:color w:val="auto"/>
        </w:rPr>
      </w:pPr>
    </w:p>
    <w:p>
      <w:pPr>
        <w:jc w:val="both"/>
        <w:ind w:right="3599" w:firstLine="268"/>
        <w:spacing w:after="0" w:line="241" w:lineRule="auto"/>
        <w:rPr>
          <w:sz w:val="20"/>
          <w:szCs w:val="20"/>
          <w:color w:val="auto"/>
        </w:rPr>
      </w:pPr>
      <w:r>
        <w:rPr>
          <w:rFonts w:ascii="Courier New" w:cs="Courier New" w:eastAsia="Courier New" w:hAnsi="Courier New"/>
          <w:sz w:val="15"/>
          <w:szCs w:val="15"/>
          <w:color w:val="auto"/>
        </w:rPr>
        <w:t>Waiver of Default. Unless we say otherwise in a prospectus supplement, holders of not less than a majority of the debt securities of a series may waive any past default except for:</w:t>
      </w:r>
    </w:p>
    <w:p>
      <w:pPr>
        <w:spacing w:after="0" w:line="174" w:lineRule="exact"/>
        <w:rPr>
          <w:sz w:val="20"/>
          <w:szCs w:val="20"/>
          <w:color w:val="auto"/>
        </w:rPr>
      </w:pPr>
    </w:p>
    <w:p>
      <w:pPr>
        <w:ind w:left="440" w:hanging="269"/>
        <w:spacing w:after="0"/>
        <w:tabs>
          <w:tab w:leader="none" w:pos="4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default; or</w:t>
      </w:r>
    </w:p>
    <w:p>
      <w:pPr>
        <w:spacing w:after="0" w:line="176" w:lineRule="exact"/>
        <w:rPr>
          <w:sz w:val="20"/>
          <w:szCs w:val="20"/>
          <w:color w:val="auto"/>
        </w:rPr>
      </w:pPr>
    </w:p>
    <w:p>
      <w:pPr>
        <w:ind w:left="440" w:right="3519" w:hanging="269"/>
        <w:spacing w:after="0"/>
        <w:tabs>
          <w:tab w:leader="none" w:pos="4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on any provision that requires the consent of all holders to modify.</w:t>
      </w:r>
    </w:p>
    <w:p>
      <w:pPr>
        <w:spacing w:after="0" w:line="176" w:lineRule="exact"/>
        <w:rPr>
          <w:sz w:val="20"/>
          <w:szCs w:val="20"/>
          <w:color w:val="auto"/>
        </w:rPr>
      </w:pPr>
    </w:p>
    <w:p>
      <w:pPr>
        <w:ind w:right="3259" w:firstLine="268"/>
        <w:spacing w:after="0" w:line="261" w:lineRule="auto"/>
        <w:rPr>
          <w:sz w:val="20"/>
          <w:szCs w:val="20"/>
          <w:color w:val="auto"/>
        </w:rPr>
      </w:pPr>
      <w:r>
        <w:rPr>
          <w:rFonts w:ascii="Courier New" w:cs="Courier New" w:eastAsia="Courier New" w:hAnsi="Courier New"/>
          <w:sz w:val="14"/>
          <w:szCs w:val="14"/>
          <w:color w:val="auto"/>
        </w:rPr>
        <w:t>Acceleration of Payment. Unless we say otherwise in a prospectus supplement, each indenture provides that if an event of default 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6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Waiver of Acceleration. Unless we say otherwise in a prospectus supplement, each indenture provides that, after a declaration of 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174" w:lineRule="exact"/>
        <w:rPr>
          <w:sz w:val="20"/>
          <w:szCs w:val="20"/>
          <w:color w:val="auto"/>
        </w:rPr>
      </w:pPr>
    </w:p>
    <w:p>
      <w:pPr>
        <w:ind w:left="440" w:hanging="269"/>
        <w:spacing w:after="0"/>
        <w:tabs>
          <w:tab w:leader="none" w:pos="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paid, or deposited with the trustee a sum sufficient to pay;</w:t>
      </w:r>
    </w:p>
    <w:p>
      <w:pPr>
        <w:spacing w:after="0" w:line="174" w:lineRule="exact"/>
        <w:rPr>
          <w:sz w:val="20"/>
          <w:szCs w:val="20"/>
          <w:color w:val="auto"/>
        </w:rPr>
      </w:pPr>
    </w:p>
    <w:p>
      <w:pPr>
        <w:ind w:left="800" w:hanging="272"/>
        <w:spacing w:after="0"/>
        <w:tabs>
          <w:tab w:leader="none" w:pos="8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interest on all debt securities of the applicable series,</w:t>
      </w:r>
    </w:p>
    <w:p>
      <w:pPr>
        <w:spacing w:after="0" w:line="176" w:lineRule="exact"/>
        <w:rPr>
          <w:sz w:val="20"/>
          <w:szCs w:val="20"/>
          <w:color w:val="auto"/>
        </w:rPr>
      </w:pPr>
    </w:p>
    <w:p>
      <w:pPr>
        <w:ind w:left="800" w:right="3159" w:hanging="272"/>
        <w:spacing w:after="0" w:line="242" w:lineRule="auto"/>
        <w:tabs>
          <w:tab w:leader="none" w:pos="8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premium, if any, on any debt securities of the applicable series which have become due other than by such declaration of acceleration, plus interest thereon at the rate borne by the debt securities,</w:t>
      </w:r>
    </w:p>
    <w:p>
      <w:pPr>
        <w:spacing w:after="0" w:line="175" w:lineRule="exact"/>
        <w:rPr>
          <w:sz w:val="20"/>
          <w:szCs w:val="20"/>
          <w:color w:val="auto"/>
        </w:rPr>
      </w:pPr>
    </w:p>
    <w:p>
      <w:pPr>
        <w:ind w:left="800" w:right="3339" w:hanging="272"/>
        <w:spacing w:after="0"/>
        <w:tabs>
          <w:tab w:leader="none" w:pos="8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interest at the rate borne by the debt securities, and</w:t>
      </w:r>
    </w:p>
    <w:p>
      <w:pPr>
        <w:spacing w:after="0" w:line="176" w:lineRule="exact"/>
        <w:rPr>
          <w:sz w:val="20"/>
          <w:szCs w:val="20"/>
          <w:color w:val="auto"/>
        </w:rPr>
      </w:pPr>
    </w:p>
    <w:p>
      <w:pPr>
        <w:jc w:val="both"/>
        <w:ind w:left="800" w:right="3339" w:hanging="272"/>
        <w:spacing w:after="0" w:line="241" w:lineRule="auto"/>
        <w:tabs>
          <w:tab w:leader="none" w:pos="8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under the indenture and the reasonable compensation, expenses, disbursements and advances of the trustee, its agents and counsel; and</w:t>
      </w:r>
    </w:p>
    <w:p>
      <w:pPr>
        <w:spacing w:after="0" w:line="176" w:lineRule="exact"/>
        <w:rPr>
          <w:sz w:val="20"/>
          <w:szCs w:val="20"/>
          <w:color w:val="auto"/>
        </w:rPr>
      </w:pPr>
    </w:p>
    <w:p>
      <w:pPr>
        <w:ind w:left="440" w:right="3159" w:hanging="269"/>
        <w:spacing w:after="0" w:line="241" w:lineRule="auto"/>
        <w:tabs>
          <w:tab w:leader="none" w:pos="4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other than the non-payment of principal of the debt securities which have become due solely by such declaration of acceleration, have been cured or waived.</w:t>
      </w:r>
    </w:p>
    <w:p>
      <w:pPr>
        <w:spacing w:after="0" w:line="176" w:lineRule="exact"/>
        <w:rPr>
          <w:sz w:val="20"/>
          <w:szCs w:val="20"/>
          <w:color w:val="auto"/>
        </w:rPr>
      </w:pPr>
    </w:p>
    <w:p>
      <w:pPr>
        <w:ind w:right="3159" w:firstLine="268"/>
        <w:spacing w:after="0" w:line="261" w:lineRule="auto"/>
        <w:rPr>
          <w:sz w:val="20"/>
          <w:szCs w:val="20"/>
          <w:color w:val="auto"/>
        </w:rPr>
      </w:pPr>
      <w:r>
        <w:rPr>
          <w:rFonts w:ascii="Courier New" w:cs="Courier New" w:eastAsia="Courier New" w:hAnsi="Courier New"/>
          <w:sz w:val="14"/>
          <w:szCs w:val="14"/>
          <w:color w:val="auto"/>
        </w:rPr>
        <w:t>Notices of Default. Unless we say otherwise in a prospectus supplement, we are required to deliver to the trustee, on or before a date not more than 120 days after the end of each fiscal year, a written statement as to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any debt security of such series or in the payment of any sinking fund installment in respect of any debt security of such series) if the trustee considers such withholding to be in the interest of the holders.</w:t>
      </w:r>
    </w:p>
    <w:p>
      <w:pPr>
        <w:spacing w:after="0" w:line="16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Limitation on Suits. Each indenture provides that no holders of debt securities of any series may institute any proceedings, judicial or otherwise, with respect to the indenture or for any remedy thereunder, except in the case of the failure of the trustee, for 60 days, to act after it has received a written request to institute proceedings in respect of an event of default from the holders of not less than 25% in aggregate principal amount of the debt securities of the applicable series outstanding, as well as an offer of indemnity reasonably satisfactory to it. This provision will not prevent, however, any holder of debt securities from instituting suit for the enforcement of</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5" w:right="1440" w:bottom="1440" w:gutter="0" w:footer="0" w:header="0"/>
        </w:sectPr>
      </w:pPr>
    </w:p>
    <w:bookmarkStart w:id="14" w:name="page15"/>
    <w:bookmarkEnd w:id="14"/>
    <w:p>
      <w:pPr>
        <w:ind w:right="3519"/>
        <w:spacing w:after="0"/>
        <w:rPr>
          <w:sz w:val="20"/>
          <w:szCs w:val="20"/>
          <w:color w:val="auto"/>
        </w:rPr>
      </w:pPr>
      <w:r>
        <w:rPr>
          <w:rFonts w:ascii="Courier New" w:cs="Courier New" w:eastAsia="Courier New" w:hAnsi="Courier New"/>
          <w:sz w:val="15"/>
          <w:szCs w:val="15"/>
          <w:color w:val="auto"/>
        </w:rPr>
        <w:t>payment of the principal of, and premium, if any, and interest on such debt securities at the respective due dates of the securities.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Obligations of Trustee. Unless we say otherwise in a prospectus supplement, the trustee is under no obligation to exercise any of the rights or 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 or Covenant Defeasance of Indenture</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176" w:lineRule="exact"/>
        <w:rPr>
          <w:sz w:val="20"/>
          <w:szCs w:val="20"/>
          <w:color w:val="auto"/>
        </w:rPr>
      </w:pPr>
    </w:p>
    <w:p>
      <w:pPr>
        <w:ind w:left="440" w:right="3259" w:hanging="269"/>
        <w:spacing w:after="0" w:line="242" w:lineRule="auto"/>
        <w:tabs>
          <w:tab w:leader="none" w:pos="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175" w:lineRule="exact"/>
        <w:rPr>
          <w:sz w:val="20"/>
          <w:szCs w:val="20"/>
          <w:color w:val="auto"/>
        </w:rPr>
      </w:pPr>
    </w:p>
    <w:p>
      <w:pPr>
        <w:ind w:left="440" w:right="3079" w:hanging="269"/>
        <w:spacing w:after="0" w:line="265" w:lineRule="auto"/>
        <w:tabs>
          <w:tab w:leader="none" w:pos="44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158" w:lineRule="exact"/>
        <w:rPr>
          <w:sz w:val="20"/>
          <w:szCs w:val="20"/>
          <w:color w:val="auto"/>
        </w:rPr>
      </w:pPr>
    </w:p>
    <w:p>
      <w:pPr>
        <w:ind w:left="440" w:hanging="269"/>
        <w:spacing w:after="0"/>
        <w:tabs>
          <w:tab w:leader="none" w:pos="4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powers, trusts, duties and immunities of the trustee; and</w:t>
      </w:r>
    </w:p>
    <w:p>
      <w:pPr>
        <w:spacing w:after="0" w:line="174"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defeasance provisions of the indenture.</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"-Events of Default" will no longer constitute an event of default with respect to the debt securities.</w:t>
      </w:r>
    </w:p>
    <w:p>
      <w:pPr>
        <w:spacing w:after="0" w:line="177" w:lineRule="exact"/>
        <w:rPr>
          <w:sz w:val="20"/>
          <w:szCs w:val="20"/>
          <w:color w:val="auto"/>
        </w:rPr>
      </w:pPr>
    </w:p>
    <w:p>
      <w:pPr>
        <w:ind w:right="3259" w:firstLine="268"/>
        <w:spacing w:after="0" w:line="241" w:lineRule="auto"/>
        <w:rPr>
          <w:sz w:val="20"/>
          <w:szCs w:val="20"/>
          <w:color w:val="auto"/>
        </w:rPr>
      </w:pPr>
      <w:r>
        <w:rPr>
          <w:rFonts w:ascii="Courier New" w:cs="Courier New" w:eastAsia="Courier New" w:hAnsi="Courier New"/>
          <w:sz w:val="15"/>
          <w:szCs w:val="15"/>
          <w:color w:val="auto"/>
        </w:rPr>
        <w:t>Unless we say otherwise in a prospectus supplement, in order to exercise either defeasance or covenant defeasance as to the outstanding debt securities of a series:</w:t>
      </w:r>
    </w:p>
    <w:p>
      <w:pPr>
        <w:spacing w:after="0" w:line="176" w:lineRule="exact"/>
        <w:rPr>
          <w:sz w:val="20"/>
          <w:szCs w:val="20"/>
          <w:color w:val="auto"/>
        </w:rPr>
      </w:pPr>
    </w:p>
    <w:p>
      <w:pPr>
        <w:ind w:left="440" w:right="3159" w:hanging="269"/>
        <w:spacing w:after="0" w:line="260" w:lineRule="auto"/>
        <w:tabs>
          <w:tab w:leader="none" w:pos="44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must irrevocably deposit with the trustee, in trust, for the benefit of the holders of the debt securities of the applicable series, an amount in</w:t>
      </w:r>
    </w:p>
    <w:p>
      <w:pPr>
        <w:ind w:left="440" w:right="3259" w:hanging="1"/>
        <w:spacing w:after="0" w:line="262" w:lineRule="auto"/>
        <w:tabs>
          <w:tab w:leader="none" w:pos="798"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currency, currencies or currency unit in which those debt securities are then specified as payable at maturity, (ii) government securities (as defined in the applicable indenture) or (iii) any combination thereof, as will be sufficient,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162" w:lineRule="exact"/>
        <w:rPr>
          <w:sz w:val="20"/>
          <w:szCs w:val="20"/>
          <w:color w:val="auto"/>
        </w:rPr>
      </w:pPr>
    </w:p>
    <w:p>
      <w:pPr>
        <w:ind w:left="440" w:right="3439" w:hanging="269"/>
        <w:spacing w:after="0"/>
        <w:tabs>
          <w:tab w:leader="none" w:pos="4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defeasance, we will deliver to the trustee an opinion of counsel confirming that either: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15" w:name="page16"/>
    <w:bookmarkEnd w:id="15"/>
    <w:p>
      <w:pPr>
        <w:ind w:left="800" w:right="3439" w:hanging="272"/>
        <w:spacing w:after="0"/>
        <w:tabs>
          <w:tab w:leader="none" w:pos="8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received from, or there has been published by, the Internal Revenue Service a ruling, or</w:t>
      </w:r>
    </w:p>
    <w:p>
      <w:pPr>
        <w:spacing w:after="0" w:line="176" w:lineRule="exact"/>
        <w:rPr>
          <w:sz w:val="20"/>
          <w:szCs w:val="20"/>
          <w:color w:val="auto"/>
        </w:rPr>
      </w:pPr>
    </w:p>
    <w:p>
      <w:pPr>
        <w:ind w:left="800" w:right="3519" w:hanging="272"/>
        <w:spacing w:after="0"/>
        <w:tabs>
          <w:tab w:leader="none" w:pos="8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we issued the applicable debt securities, there has been a change in the applicable federal income tax law,</w:t>
      </w:r>
    </w:p>
    <w:p>
      <w:pPr>
        <w:spacing w:after="0" w:line="176" w:lineRule="exact"/>
        <w:rPr>
          <w:sz w:val="20"/>
          <w:szCs w:val="20"/>
          <w:color w:val="auto"/>
        </w:rPr>
      </w:pPr>
    </w:p>
    <w:p>
      <w:pPr>
        <w:ind w:left="260" w:right="3159"/>
        <w:spacing w:after="0" w:line="242" w:lineRule="auto"/>
        <w:rPr>
          <w:sz w:val="20"/>
          <w:szCs w:val="20"/>
          <w:color w:val="auto"/>
        </w:rPr>
      </w:pPr>
      <w:r>
        <w:rPr>
          <w:rFonts w:ascii="Courier New" w:cs="Courier New" w:eastAsia="Courier New" w:hAnsi="Courier New"/>
          <w:sz w:val="15"/>
          <w:szCs w:val="15"/>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76" w:lineRule="exact"/>
        <w:rPr>
          <w:sz w:val="20"/>
          <w:szCs w:val="20"/>
          <w:color w:val="auto"/>
        </w:rPr>
      </w:pPr>
    </w:p>
    <w:p>
      <w:pPr>
        <w:ind w:left="440" w:right="3259" w:hanging="269"/>
        <w:spacing w:after="0" w:line="242" w:lineRule="auto"/>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7" w:lineRule="exact"/>
        <w:rPr>
          <w:sz w:val="20"/>
          <w:szCs w:val="20"/>
          <w:color w:val="auto"/>
        </w:rPr>
      </w:pPr>
    </w:p>
    <w:p>
      <w:pPr>
        <w:ind w:left="440" w:right="3439" w:hanging="269"/>
        <w:spacing w:after="0" w:line="242" w:lineRule="auto"/>
        <w:tabs>
          <w:tab w:leader="none" w:pos="4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175" w:lineRule="exact"/>
        <w:rPr>
          <w:sz w:val="20"/>
          <w:szCs w:val="20"/>
          <w:color w:val="auto"/>
        </w:rPr>
      </w:pPr>
    </w:p>
    <w:p>
      <w:pPr>
        <w:ind w:left="440" w:right="3439" w:hanging="269"/>
        <w:spacing w:after="0" w:line="242" w:lineRule="auto"/>
        <w:tabs>
          <w:tab w:leader="none" w:pos="44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175" w:lineRule="exact"/>
        <w:rPr>
          <w:sz w:val="20"/>
          <w:szCs w:val="20"/>
          <w:color w:val="auto"/>
        </w:rPr>
      </w:pPr>
    </w:p>
    <w:p>
      <w:pPr>
        <w:ind w:left="440" w:right="3259" w:hanging="269"/>
        <w:spacing w:after="0" w:line="242" w:lineRule="auto"/>
        <w:tabs>
          <w:tab w:leader="none" w:pos="44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175" w:lineRule="exact"/>
        <w:rPr>
          <w:sz w:val="20"/>
          <w:szCs w:val="20"/>
          <w:color w:val="auto"/>
        </w:rPr>
      </w:pPr>
    </w:p>
    <w:p>
      <w:pPr>
        <w:ind w:left="440" w:right="3159" w:hanging="269"/>
        <w:spacing w:after="0" w:line="242" w:lineRule="auto"/>
        <w:tabs>
          <w:tab w:leader="none" w:pos="4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representations under the Investment Company Act have been effected.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Modifications and Amendments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177" w:lineRule="exact"/>
        <w:rPr>
          <w:sz w:val="20"/>
          <w:szCs w:val="20"/>
          <w:color w:val="auto"/>
        </w:rPr>
      </w:pPr>
    </w:p>
    <w:p>
      <w:pPr>
        <w:ind w:left="440" w:right="3599" w:hanging="269"/>
        <w:spacing w:after="0"/>
        <w:tabs>
          <w:tab w:leader="none" w:pos="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installment of interest on, any debt security;</w:t>
      </w:r>
    </w:p>
    <w:p>
      <w:pPr>
        <w:spacing w:after="0" w:line="176" w:lineRule="exact"/>
        <w:rPr>
          <w:sz w:val="20"/>
          <w:szCs w:val="20"/>
          <w:color w:val="auto"/>
        </w:rPr>
      </w:pPr>
    </w:p>
    <w:p>
      <w:pPr>
        <w:ind w:left="440" w:right="3159" w:hanging="269"/>
        <w:spacing w:after="0"/>
        <w:tabs>
          <w:tab w:leader="none" w:pos="4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thereof or the rate of interest thereon or any premium payable upon the redemption thereof;</w:t>
      </w:r>
    </w:p>
    <w:p>
      <w:pPr>
        <w:spacing w:after="0" w:line="176" w:lineRule="exact"/>
        <w:rPr>
          <w:sz w:val="20"/>
          <w:szCs w:val="20"/>
          <w:color w:val="auto"/>
        </w:rPr>
      </w:pPr>
    </w:p>
    <w:p>
      <w:pPr>
        <w:ind w:left="440" w:right="3259" w:hanging="269"/>
        <w:spacing w:after="0"/>
        <w:tabs>
          <w:tab w:leader="none" w:pos="4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coin or currency in which the principal or premium, if any, of any debt security or the interest thereon is payable;</w:t>
      </w:r>
    </w:p>
    <w:p>
      <w:pPr>
        <w:spacing w:after="0" w:line="176" w:lineRule="exact"/>
        <w:rPr>
          <w:sz w:val="20"/>
          <w:szCs w:val="20"/>
          <w:color w:val="auto"/>
        </w:rPr>
      </w:pPr>
    </w:p>
    <w:p>
      <w:pPr>
        <w:ind w:left="440" w:right="3159" w:hanging="269"/>
        <w:spacing w:after="0" w:line="241" w:lineRule="auto"/>
        <w:tabs>
          <w:tab w:leader="none" w:pos="4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the enforcement of any such payment after the stated maturity of the debt security (or in the case of redemption, on or after the redemption date);</w:t>
      </w:r>
    </w:p>
    <w:p>
      <w:pPr>
        <w:spacing w:after="0" w:line="176" w:lineRule="exact"/>
        <w:rPr>
          <w:sz w:val="20"/>
          <w:szCs w:val="20"/>
          <w:color w:val="auto"/>
        </w:rPr>
      </w:pPr>
    </w:p>
    <w:p>
      <w:pPr>
        <w:ind w:left="440" w:right="3259" w:hanging="269"/>
        <w:spacing w:after="0" w:line="242" w:lineRule="auto"/>
        <w:tabs>
          <w:tab w:leader="none" w:pos="4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16" w:name="page17"/>
    <w:bookmarkEnd w:id="16"/>
    <w:p>
      <w:pPr>
        <w:ind w:left="440" w:right="3159" w:hanging="269"/>
        <w:spacing w:after="0" w:line="242" w:lineRule="auto"/>
        <w:tabs>
          <w:tab w:leader="none" w:pos="4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77"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Unless we say otherwise in a prospectus supplement, we and the trustee may modify and amend either indenture without the consent of the holders if the modification or amendment does only the following:</w:t>
      </w:r>
    </w:p>
    <w:p>
      <w:pPr>
        <w:spacing w:after="0" w:line="176" w:lineRule="exact"/>
        <w:rPr>
          <w:sz w:val="20"/>
          <w:szCs w:val="20"/>
          <w:color w:val="auto"/>
        </w:rPr>
      </w:pPr>
    </w:p>
    <w:p>
      <w:pPr>
        <w:ind w:left="440" w:right="3159" w:hanging="269"/>
        <w:spacing w:after="0" w:line="241" w:lineRule="auto"/>
        <w:tabs>
          <w:tab w:leader="none" w:pos="4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evidences the succession of another person to us and the assumption by any such successor of any covenants under the indenture and in the debt securities of any series;</w:t>
      </w:r>
    </w:p>
    <w:p>
      <w:pPr>
        <w:spacing w:after="0" w:line="176" w:lineRule="exact"/>
        <w:rPr>
          <w:sz w:val="20"/>
          <w:szCs w:val="20"/>
          <w:color w:val="auto"/>
        </w:rPr>
      </w:pPr>
    </w:p>
    <w:p>
      <w:pPr>
        <w:ind w:left="440" w:right="3259" w:hanging="269"/>
        <w:spacing w:after="0"/>
        <w:tabs>
          <w:tab w:leader="none" w:pos="44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adds to our covenants for the benefit of the holders of all or any series of debt securities or surrenders any of our rights or powers;</w:t>
      </w:r>
    </w:p>
    <w:p>
      <w:pPr>
        <w:spacing w:after="0" w:line="176" w:lineRule="exact"/>
        <w:rPr>
          <w:sz w:val="20"/>
          <w:szCs w:val="20"/>
          <w:color w:val="auto"/>
        </w:rPr>
      </w:pPr>
    </w:p>
    <w:p>
      <w:pPr>
        <w:ind w:left="440" w:right="3159" w:hanging="269"/>
        <w:spacing w:after="0"/>
        <w:tabs>
          <w:tab w:leader="none" w:pos="44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adds any additional event of default for the benefit of the holders of all or any series of debt securities;</w:t>
      </w:r>
    </w:p>
    <w:p>
      <w:pPr>
        <w:spacing w:after="0" w:line="174" w:lineRule="exact"/>
        <w:rPr>
          <w:sz w:val="20"/>
          <w:szCs w:val="20"/>
          <w:color w:val="auto"/>
        </w:rPr>
      </w:pPr>
    </w:p>
    <w:p>
      <w:pPr>
        <w:ind w:left="440" w:hanging="269"/>
        <w:spacing w:after="0"/>
        <w:tabs>
          <w:tab w:leader="none" w:pos="4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secures the debt securities of any series;</w:t>
      </w:r>
    </w:p>
    <w:p>
      <w:pPr>
        <w:spacing w:after="0" w:line="176" w:lineRule="exact"/>
        <w:rPr>
          <w:sz w:val="20"/>
          <w:szCs w:val="20"/>
          <w:color w:val="auto"/>
        </w:rPr>
      </w:pPr>
    </w:p>
    <w:p>
      <w:pPr>
        <w:ind w:left="440" w:right="3159" w:hanging="269"/>
        <w:spacing w:after="0" w:line="242" w:lineRule="auto"/>
        <w:tabs>
          <w:tab w:leader="none" w:pos="4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w:t>
      </w:r>
    </w:p>
    <w:p>
      <w:pPr>
        <w:spacing w:after="0" w:line="177" w:lineRule="exact"/>
        <w:rPr>
          <w:sz w:val="20"/>
          <w:szCs w:val="20"/>
          <w:color w:val="auto"/>
        </w:rPr>
      </w:pPr>
    </w:p>
    <w:p>
      <w:pPr>
        <w:ind w:left="440" w:right="3159" w:hanging="269"/>
        <w:spacing w:after="0"/>
        <w:tabs>
          <w:tab w:leader="none" w:pos="44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or eliminates any provision affecting only debt securities not yet issued;</w:t>
      </w:r>
    </w:p>
    <w:p>
      <w:pPr>
        <w:spacing w:after="0" w:line="176" w:lineRule="exact"/>
        <w:rPr>
          <w:sz w:val="20"/>
          <w:szCs w:val="20"/>
          <w:color w:val="auto"/>
        </w:rPr>
      </w:pPr>
    </w:p>
    <w:p>
      <w:pPr>
        <w:ind w:left="440" w:right="3519" w:hanging="269"/>
        <w:spacing w:after="0"/>
        <w:tabs>
          <w:tab w:leader="none" w:pos="4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establishes the form or terms of debt securities of any series not yet issued;</w:t>
      </w:r>
    </w:p>
    <w:p>
      <w:pPr>
        <w:spacing w:after="0" w:line="176" w:lineRule="exact"/>
        <w:rPr>
          <w:sz w:val="20"/>
          <w:szCs w:val="20"/>
          <w:color w:val="auto"/>
        </w:rPr>
      </w:pPr>
    </w:p>
    <w:p>
      <w:pPr>
        <w:ind w:left="440" w:right="3259" w:hanging="269"/>
        <w:spacing w:after="0" w:line="242" w:lineRule="auto"/>
        <w:tabs>
          <w:tab w:leader="none" w:pos="4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75" w:lineRule="exact"/>
        <w:rPr>
          <w:sz w:val="20"/>
          <w:szCs w:val="20"/>
          <w:color w:val="auto"/>
        </w:rPr>
      </w:pPr>
    </w:p>
    <w:p>
      <w:pPr>
        <w:ind w:left="440" w:right="3259" w:hanging="269"/>
        <w:spacing w:after="0" w:line="242" w:lineRule="auto"/>
        <w:tabs>
          <w:tab w:leader="none" w:pos="4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177" w:lineRule="exact"/>
        <w:rPr>
          <w:sz w:val="20"/>
          <w:szCs w:val="20"/>
          <w:color w:val="auto"/>
        </w:rPr>
      </w:pPr>
    </w:p>
    <w:p>
      <w:pPr>
        <w:ind w:left="440" w:right="3159" w:hanging="269"/>
        <w:spacing w:after="0" w:line="242" w:lineRule="auto"/>
        <w:tabs>
          <w:tab w:leader="none" w:pos="4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75"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Original Issue Discount</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17" w:name="page18"/>
    <w:bookmarkEnd w:id="17"/>
    <w:p>
      <w:pPr>
        <w:ind w:right="3159"/>
        <w:spacing w:after="0" w:line="241" w:lineRule="auto"/>
        <w:rPr>
          <w:sz w:val="20"/>
          <w:szCs w:val="20"/>
          <w:color w:val="auto"/>
        </w:rPr>
      </w:pPr>
      <w:r>
        <w:rPr>
          <w:rFonts w:ascii="Courier New" w:cs="Courier New" w:eastAsia="Courier New" w:hAnsi="Courier New"/>
          <w:sz w:val="15"/>
          <w:szCs w:val="15"/>
          <w:color w:val="auto"/>
        </w:rPr>
        <w:t>treated as original issue discount securities in the prospectus supplement relating to such securities. "Original issue discount security" generally means any debt security that:</w:t>
      </w:r>
    </w:p>
    <w:p>
      <w:pPr>
        <w:spacing w:after="0" w:line="174" w:lineRule="exact"/>
        <w:rPr>
          <w:sz w:val="20"/>
          <w:szCs w:val="20"/>
          <w:color w:val="auto"/>
        </w:rPr>
      </w:pPr>
    </w:p>
    <w:p>
      <w:pPr>
        <w:ind w:left="440" w:hanging="269"/>
        <w:spacing w:after="0"/>
        <w:tabs>
          <w:tab w:leader="none" w:pos="4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provide for the payment of interest prior to maturity; or</w:t>
      </w:r>
    </w:p>
    <w:p>
      <w:pPr>
        <w:spacing w:after="0" w:line="176" w:lineRule="exact"/>
        <w:rPr>
          <w:sz w:val="20"/>
          <w:szCs w:val="20"/>
          <w:color w:val="auto"/>
        </w:rPr>
      </w:pPr>
    </w:p>
    <w:p>
      <w:pPr>
        <w:ind w:left="440" w:right="3259" w:hanging="269"/>
        <w:spacing w:after="0" w:line="241" w:lineRule="auto"/>
        <w:tabs>
          <w:tab w:leader="none" w:pos="4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issued at a price lower than its face value and provides that upon redemption or acceleration of its stated maturity an amount less than its principal amount shall become due and payable.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6" w:lineRule="exact"/>
        <w:rPr>
          <w:sz w:val="20"/>
          <w:szCs w:val="20"/>
          <w:color w:val="auto"/>
        </w:rPr>
      </w:pPr>
    </w:p>
    <w:p>
      <w:pPr>
        <w:jc w:val="both"/>
        <w:ind w:right="3159" w:firstLine="268"/>
        <w:spacing w:after="0" w:line="241" w:lineRule="auto"/>
        <w:rPr>
          <w:sz w:val="20"/>
          <w:szCs w:val="20"/>
          <w:color w:val="auto"/>
        </w:rPr>
      </w:pPr>
      <w:r>
        <w:rPr>
          <w:rFonts w:ascii="Courier New" w:cs="Courier New" w:eastAsia="Courier New" w:hAnsi="Courier New"/>
          <w:sz w:val="15"/>
          <w:szCs w:val="15"/>
          <w:color w:val="auto"/>
        </w:rPr>
        <w:t>Unless we say otherwise in a prospectus supplement, we will send notices to holders of debt securities by mail to the holder's address as it appears in the register.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6" w:lineRule="exact"/>
        <w:rPr>
          <w:sz w:val="20"/>
          <w:szCs w:val="20"/>
          <w:color w:val="auto"/>
        </w:rPr>
      </w:pPr>
    </w:p>
    <w:p>
      <w:pPr>
        <w:ind w:right="3339" w:firstLine="268"/>
        <w:spacing w:after="0"/>
        <w:rPr>
          <w:sz w:val="20"/>
          <w:szCs w:val="20"/>
          <w:color w:val="auto"/>
        </w:rPr>
      </w:pPr>
      <w:r>
        <w:rPr>
          <w:rFonts w:ascii="Courier New" w:cs="Courier New" w:eastAsia="Courier New" w:hAnsi="Courier New"/>
          <w:sz w:val="15"/>
          <w:szCs w:val="15"/>
          <w:color w:val="auto"/>
        </w:rPr>
        <w:t>Unless we say otherwise in a prospectus supplement, each indenture and the debt securities will be governed by the laws of the State of New York.</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8" w:name="page19"/>
    <w:bookmarkEnd w:id="18"/>
    <w:p>
      <w:pPr>
        <w:ind w:left="1520"/>
        <w:spacing w:after="0"/>
        <w:rPr>
          <w:sz w:val="20"/>
          <w:szCs w:val="20"/>
          <w:color w:val="auto"/>
        </w:rPr>
      </w:pPr>
      <w:r>
        <w:rPr>
          <w:rFonts w:ascii="Courier New" w:cs="Courier New" w:eastAsia="Courier New" w:hAnsi="Courier New"/>
          <w:sz w:val="15"/>
          <w:szCs w:val="15"/>
          <w:color w:val="auto"/>
        </w:rPr>
        <w:t>DESCRIPTION OF SHARES OF BENEFICIAL INTEREST</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We are a Maryland real estate investment trust. Your rights as a shareholder are governed by the Code of Maryland, including Title 8 of the Corporations and Associations Article, our declaration of trust and our bylaws. The following summary of terms, rights and preferences of the shares of beneficial interest is not complete. You should read our declaration of trust and bylaws for more complete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Shares</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Our declaration of trust allows us to issue up to 100,000,000 common shares of beneficial interest, par value $.01 per share, and 15,000,000 preferred shares of beneficial interest, par value $.01 per share. As of September 30, 2002, we had issued and outstanding 43,300,533 common shares, 4,000,000 preferred shares which were designated as 7.95% Series A Cumulative Redeemable Preferred Shares and 5,400,000 preferred shares which were designated as 81/2% Series B Cumulative Redeemable Preferred Shares.</w:t>
      </w:r>
    </w:p>
    <w:p>
      <w:pPr>
        <w:spacing w:after="0" w:line="177" w:lineRule="exact"/>
        <w:rPr>
          <w:sz w:val="20"/>
          <w:szCs w:val="20"/>
          <w:color w:val="auto"/>
        </w:rPr>
      </w:pPr>
    </w:p>
    <w:p>
      <w:pPr>
        <w:ind w:right="3519" w:firstLine="268"/>
        <w:spacing w:after="0" w:line="242" w:lineRule="auto"/>
        <w:rPr>
          <w:sz w:val="20"/>
          <w:szCs w:val="20"/>
          <w:color w:val="auto"/>
        </w:rPr>
      </w:pPr>
      <w:r>
        <w:rPr>
          <w:rFonts w:ascii="Courier New" w:cs="Courier New" w:eastAsia="Courier New" w:hAnsi="Courier New"/>
          <w:sz w:val="15"/>
          <w:szCs w:val="15"/>
          <w:color w:val="auto"/>
        </w:rPr>
        <w:t>Authority of the Board of Trustees Relating to Authorization and Classification of Shares. Our declaration of trust allows our Board of Trustees to take the following actions without approval by you or any other shareholder:</w:t>
      </w:r>
    </w:p>
    <w:p>
      <w:pPr>
        <w:spacing w:after="0" w:line="175" w:lineRule="exact"/>
        <w:rPr>
          <w:sz w:val="20"/>
          <w:szCs w:val="20"/>
          <w:color w:val="auto"/>
        </w:rPr>
      </w:pPr>
    </w:p>
    <w:p>
      <w:pPr>
        <w:ind w:left="440" w:right="3779" w:hanging="269"/>
        <w:spacing w:after="0" w:line="241" w:lineRule="auto"/>
        <w:tabs>
          <w:tab w:leader="none" w:pos="4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classify or reclassify any authorized but unissued common shares or preferred shares into one or more classes or series of shares of beneficial interest;</w:t>
      </w:r>
    </w:p>
    <w:p>
      <w:pPr>
        <w:spacing w:after="0" w:line="176" w:lineRule="exact"/>
        <w:rPr>
          <w:sz w:val="20"/>
          <w:szCs w:val="20"/>
          <w:color w:val="auto"/>
        </w:rPr>
      </w:pPr>
    </w:p>
    <w:p>
      <w:pPr>
        <w:ind w:left="440" w:right="3519" w:hanging="269"/>
        <w:spacing w:after="0"/>
        <w:tabs>
          <w:tab w:leader="none" w:pos="4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the declaration of trust to change the total number of shares of beneficial interest authorized; and</w:t>
      </w:r>
    </w:p>
    <w:p>
      <w:pPr>
        <w:spacing w:after="0" w:line="176" w:lineRule="exact"/>
        <w:rPr>
          <w:sz w:val="20"/>
          <w:szCs w:val="20"/>
          <w:color w:val="auto"/>
        </w:rPr>
      </w:pPr>
    </w:p>
    <w:p>
      <w:pPr>
        <w:ind w:left="440" w:right="3339" w:hanging="269"/>
        <w:spacing w:after="0"/>
        <w:tabs>
          <w:tab w:leader="none" w:pos="4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the declaration of trust to change the authorized number of shares of any class or series of shares of beneficial interest.</w:t>
      </w:r>
    </w:p>
    <w:p>
      <w:pPr>
        <w:spacing w:after="0" w:line="176" w:lineRule="exact"/>
        <w:rPr>
          <w:sz w:val="20"/>
          <w:szCs w:val="20"/>
          <w:color w:val="auto"/>
        </w:rPr>
      </w:pPr>
    </w:p>
    <w:p>
      <w:pPr>
        <w:jc w:val="both"/>
        <w:ind w:right="3439" w:firstLine="268"/>
        <w:spacing w:after="0" w:line="241" w:lineRule="auto"/>
        <w:rPr>
          <w:sz w:val="20"/>
          <w:szCs w:val="20"/>
          <w:color w:val="auto"/>
        </w:rPr>
      </w:pPr>
      <w:r>
        <w:rPr>
          <w:rFonts w:ascii="Courier New" w:cs="Courier New" w:eastAsia="Courier New" w:hAnsi="Courier New"/>
          <w:sz w:val="15"/>
          <w:szCs w:val="15"/>
          <w:color w:val="auto"/>
        </w:rPr>
        <w:t>If there are any laws or stock exchange rules which require us to obtain shareholder approval in order for us to take these actions, however, we will contact you and other shareholders to solicit that approval.</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Liability</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Under Maryland law, you will not be personally liable for any obligation of ours solely because you are a shareholder. Under the declaration of trust, our shareholders are not personally liable for our debts or obligations and will not be subject to any personal liability, in tort, contract or otherwise, to any person in connection with our property or affairs by reason of being a shareholder.</w:t>
      </w:r>
    </w:p>
    <w:p>
      <w:pPr>
        <w:spacing w:after="0" w:line="176" w:lineRule="exact"/>
        <w:rPr>
          <w:sz w:val="20"/>
          <w:szCs w:val="20"/>
          <w:color w:val="auto"/>
        </w:rPr>
      </w:pPr>
    </w:p>
    <w:p>
      <w:pPr>
        <w:ind w:right="3159" w:firstLine="268"/>
        <w:spacing w:after="0" w:line="261" w:lineRule="auto"/>
        <w:rPr>
          <w:sz w:val="20"/>
          <w:szCs w:val="20"/>
          <w:color w:val="auto"/>
        </w:rPr>
      </w:pPr>
      <w:r>
        <w:rPr>
          <w:rFonts w:ascii="Courier New" w:cs="Courier New" w:eastAsia="Courier New" w:hAnsi="Courier New"/>
          <w:sz w:val="14"/>
          <w:szCs w:val="14"/>
          <w:color w:val="auto"/>
        </w:rPr>
        <w:t>Notwithstanding these limitations, common law theories of "piercing the corporate veil" may be used to impose liability on shareholders in certain instances. Also, to the extent, that we conduct operations in another jurisdiction where the law of that jurisdiction (i) does not recognize the limitations of liability afforded by contract, Maryland law or our declaration of trust, and (ii) does not provide similar limitations of liability applicable to real estate investment trusts or other trusts, a third party could attempt, under limited circumstances, to assert a claim against our shareholders based on the obligations of our company. We believe, based on our current operating structure and our review of relevant law, that there should not be a material risk of such liability. We believe that we have taken and we intend to continue to take such actions as we consider necessary or advisable in order to minimize, to the extent possible, the risk of this type of liability.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Common Shares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However, your right to receive those dividends may be affected by the preferential rights of any other class or series of</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You will also be entitled to receive dividends based on our assets available for distribution to common shareholders if we liquidate, dissolve or wind up our operations. The amount you, as a shareholder, would receive in the distribution would be determined by the amount of your beneficial ownership of us in comparison with other beneficial owners. Assets will be available for distribution to shareholders only after we have paid all of our known debts and liabilities and paid the holders of our Series A preferred shares and our Series B preferred shares and any other preferred shares we may issue which are outstanding at that time.</w:t>
      </w:r>
    </w:p>
    <w:p>
      <w:pPr>
        <w:spacing w:after="0" w:line="181" w:lineRule="exact"/>
        <w:rPr>
          <w:sz w:val="20"/>
          <w:szCs w:val="20"/>
          <w:color w:val="auto"/>
        </w:rPr>
      </w:pPr>
    </w:p>
    <w:p>
      <w:pPr>
        <w:ind w:right="3259" w:firstLine="268"/>
        <w:spacing w:after="0" w:line="260" w:lineRule="auto"/>
        <w:rPr>
          <w:sz w:val="20"/>
          <w:szCs w:val="20"/>
          <w:color w:val="auto"/>
        </w:rPr>
      </w:pPr>
      <w:r>
        <w:rPr>
          <w:rFonts w:ascii="Courier New" w:cs="Courier New" w:eastAsia="Courier New" w:hAnsi="Courier New"/>
          <w:sz w:val="14"/>
          <w:szCs w:val="14"/>
          <w:color w:val="auto"/>
        </w:rPr>
        <w:t>Voting Rights. Each outstanding common share owned by a shareholder entitles that holder to one vote on all matters submitted to a vote of shareholders, including the election of trustees. The right to vote is subject to the provisions of our declaration of trust regarding the restriction of the transfer of shares of beneficial interest, which we describe under</w:t>
      </w:r>
    </w:p>
    <w:p>
      <w:pPr>
        <w:spacing w:after="0" w:line="1"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 Restrictions on Ownership and Transfer," below. There is no cumulative voting in the election of trustees, which means that, under Maryland law and our bylaws, the holders of a plurality of the outstanding common shares can elect all of the trustees then standing for election, and the holders of the remaining shares will not be able to elect any trustees.</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 a holder of a common share, you will not have any right to:</w:t>
      </w:r>
    </w:p>
    <w:p>
      <w:pPr>
        <w:spacing w:after="0" w:line="174" w:lineRule="exact"/>
        <w:rPr>
          <w:sz w:val="20"/>
          <w:szCs w:val="20"/>
          <w:color w:val="auto"/>
        </w:rPr>
      </w:pPr>
    </w:p>
    <w:p>
      <w:pPr>
        <w:ind w:left="440" w:hanging="269"/>
        <w:spacing w:after="0"/>
        <w:tabs>
          <w:tab w:leader="none" w:pos="4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 your shares into any other security;</w:t>
      </w:r>
    </w:p>
    <w:p>
      <w:pPr>
        <w:spacing w:after="0" w:line="174"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any funds set aside for future payments;</w:t>
      </w:r>
    </w:p>
    <w:p>
      <w:pPr>
        <w:spacing w:after="0" w:line="174"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repurchase your shares; or</w:t>
      </w:r>
    </w:p>
    <w:p>
      <w:pPr>
        <w:spacing w:after="0" w:line="176" w:lineRule="exact"/>
        <w:rPr>
          <w:sz w:val="20"/>
          <w:szCs w:val="20"/>
          <w:color w:val="auto"/>
        </w:rPr>
      </w:pPr>
    </w:p>
    <w:p>
      <w:pPr>
        <w:ind w:left="440" w:right="3259" w:hanging="269"/>
        <w:spacing w:after="0"/>
        <w:tabs>
          <w:tab w:leader="none" w:pos="4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any of our securities, if other securities are offered for sale, other than as a member of the general public.</w:t>
      </w:r>
    </w:p>
    <w:p>
      <w:pPr>
        <w:spacing w:after="0" w:line="176" w:lineRule="exact"/>
        <w:rPr>
          <w:sz w:val="20"/>
          <w:szCs w:val="20"/>
          <w:color w:val="auto"/>
        </w:rPr>
      </w:pPr>
    </w:p>
    <w:p>
      <w:pPr>
        <w:ind w:right="3079" w:firstLine="268"/>
        <w:spacing w:after="0" w:line="267" w:lineRule="auto"/>
        <w:rPr>
          <w:sz w:val="20"/>
          <w:szCs w:val="20"/>
          <w:color w:val="auto"/>
        </w:rPr>
      </w:pPr>
      <w:r>
        <w:rPr>
          <w:rFonts w:ascii="Courier New" w:cs="Courier New" w:eastAsia="Courier New" w:hAnsi="Courier New"/>
          <w:sz w:val="14"/>
          <w:szCs w:val="14"/>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59"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76" w:lineRule="exact"/>
        <w:rPr>
          <w:sz w:val="20"/>
          <w:szCs w:val="20"/>
          <w:color w:val="auto"/>
        </w:rPr>
      </w:pPr>
    </w:p>
    <w:p>
      <w:pPr>
        <w:ind w:left="440" w:right="3159" w:hanging="269"/>
        <w:spacing w:after="0"/>
        <w:tabs>
          <w:tab w:leader="none" w:pos="44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trustees (which requires a plurality of all the votes cast at a meeting of our shareholders at which a quorum is present);</w:t>
      </w:r>
    </w:p>
    <w:p>
      <w:pPr>
        <w:spacing w:after="0" w:line="176" w:lineRule="exact"/>
        <w:rPr>
          <w:sz w:val="20"/>
          <w:szCs w:val="20"/>
          <w:color w:val="auto"/>
        </w:rPr>
      </w:pPr>
    </w:p>
    <w:p>
      <w:pPr>
        <w:ind w:left="440" w:right="3159" w:hanging="269"/>
        <w:spacing w:after="0" w:line="262" w:lineRule="auto"/>
        <w:tabs>
          <w:tab w:leader="none" w:pos="44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164" w:lineRule="exact"/>
        <w:rPr>
          <w:sz w:val="20"/>
          <w:szCs w:val="20"/>
          <w:color w:val="auto"/>
        </w:rPr>
      </w:pPr>
    </w:p>
    <w:p>
      <w:pPr>
        <w:ind w:left="440" w:right="3159" w:hanging="269"/>
        <w:spacing w:after="0" w:line="241" w:lineRule="auto"/>
        <w:tabs>
          <w:tab w:leader="none" w:pos="4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of our declaration of trust by shareholders (which requires the affirmative vote of two-thirds of all votes entitled to be cast on the matter only if the amendment was not approved by a</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3" w:right="1440" w:bottom="1440" w:gutter="0" w:footer="0" w:header="0"/>
        </w:sectPr>
      </w:pPr>
    </w:p>
    <w:bookmarkStart w:id="20" w:name="page21"/>
    <w:bookmarkEnd w:id="20"/>
    <w:p>
      <w:pPr>
        <w:ind w:left="440" w:right="3159"/>
        <w:spacing w:after="0" w:line="241" w:lineRule="auto"/>
        <w:rPr>
          <w:sz w:val="20"/>
          <w:szCs w:val="20"/>
          <w:color w:val="auto"/>
        </w:rPr>
      </w:pPr>
      <w:r>
        <w:rPr>
          <w:rFonts w:ascii="Courier New" w:cs="Courier New" w:eastAsia="Courier New" w:hAnsi="Courier New"/>
          <w:sz w:val="15"/>
          <w:szCs w:val="15"/>
          <w:color w:val="auto"/>
        </w:rPr>
        <w:t>unanimous vote of the Board of Trustees, but requires the affirmative vote of only a majority of votes entitled to be cast on the matter if the amendment was approved by a unanimous vote of the Board of Trustees);</w:t>
      </w:r>
    </w:p>
    <w:p>
      <w:pPr>
        <w:spacing w:after="0" w:line="176" w:lineRule="exact"/>
        <w:rPr>
          <w:sz w:val="20"/>
          <w:szCs w:val="20"/>
          <w:color w:val="auto"/>
        </w:rPr>
      </w:pPr>
    </w:p>
    <w:p>
      <w:pPr>
        <w:jc w:val="both"/>
        <w:ind w:left="440" w:right="3159" w:hanging="269"/>
        <w:spacing w:after="0" w:line="241" w:lineRule="auto"/>
        <w:tabs>
          <w:tab w:leader="none" w:pos="4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termination, winding up of affairs and liquidation (which requires the affirmative vote of two-thirds of all the votes entitled to be cast on the matter); and</w:t>
      </w:r>
    </w:p>
    <w:p>
      <w:pPr>
        <w:spacing w:after="0" w:line="176" w:lineRule="exact"/>
        <w:rPr>
          <w:sz w:val="20"/>
          <w:szCs w:val="20"/>
          <w:color w:val="auto"/>
        </w:rPr>
      </w:pPr>
    </w:p>
    <w:p>
      <w:pPr>
        <w:ind w:left="440" w:right="3339" w:hanging="269"/>
        <w:spacing w:after="0" w:line="242" w:lineRule="auto"/>
        <w:tabs>
          <w:tab w:leader="none" w:pos="44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5" w:lineRule="exact"/>
        <w:rPr>
          <w:sz w:val="20"/>
          <w:szCs w:val="20"/>
          <w:color w:val="auto"/>
        </w:rPr>
      </w:pPr>
    </w:p>
    <w:p>
      <w:pPr>
        <w:ind w:right="3159" w:firstLine="268"/>
        <w:spacing w:after="0" w:line="263" w:lineRule="auto"/>
        <w:rPr>
          <w:sz w:val="20"/>
          <w:szCs w:val="20"/>
          <w:color w:val="auto"/>
        </w:rPr>
      </w:pPr>
      <w:r>
        <w:rPr>
          <w:rFonts w:ascii="Courier New" w:cs="Courier New" w:eastAsia="Courier New" w:hAnsi="Courier New"/>
          <w:sz w:val="14"/>
          <w:szCs w:val="14"/>
          <w:color w:val="auto"/>
        </w:rPr>
        <w:t>Our declaration of trust permits the trustees to revoke our election to be taxed as a REIT or to determine that compliance with any restriction or limitations on ownership and transfers of shares set forth in the declaration of trust is no longer required in order for us to qualify as a REIT. Our declaration of trust also permits the trustees to amend the declaration of trust from time to time, without approval by you or the other shareholders, to:</w:t>
      </w:r>
    </w:p>
    <w:p>
      <w:pPr>
        <w:spacing w:after="0" w:line="161" w:lineRule="exact"/>
        <w:rPr>
          <w:sz w:val="20"/>
          <w:szCs w:val="20"/>
          <w:color w:val="auto"/>
        </w:rPr>
      </w:pPr>
    </w:p>
    <w:p>
      <w:pPr>
        <w:ind w:left="440" w:right="3779" w:hanging="269"/>
        <w:spacing w:after="0"/>
        <w:tabs>
          <w:tab w:leader="none" w:pos="44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qualify as a real estate investment trust under Maryland law or the Internal Revenue Code; or</w:t>
      </w:r>
    </w:p>
    <w:p>
      <w:pPr>
        <w:spacing w:after="0" w:line="176" w:lineRule="exact"/>
        <w:rPr>
          <w:sz w:val="20"/>
          <w:szCs w:val="20"/>
          <w:color w:val="auto"/>
        </w:rPr>
      </w:pPr>
    </w:p>
    <w:p>
      <w:pPr>
        <w:ind w:left="440" w:right="3599" w:hanging="269"/>
        <w:spacing w:after="0"/>
        <w:tabs>
          <w:tab w:leader="none" w:pos="44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or decrease the authorized aggregate number of shares and number of authorized shares of any class or series.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 addition, any provision of our bylaws may be adopted, altered or repealed by the shareholders, at any meeting of shareholders called for that purpose, by the affirmative vote of holders of not less than 80% of the shares then outstanding and entitled to vote.</w:t>
      </w:r>
    </w:p>
    <w:p>
      <w:pPr>
        <w:spacing w:after="0" w:line="175" w:lineRule="exact"/>
        <w:rPr>
          <w:sz w:val="20"/>
          <w:szCs w:val="20"/>
          <w:color w:val="auto"/>
        </w:rPr>
      </w:pPr>
    </w:p>
    <w:p>
      <w:pPr>
        <w:ind w:right="3259" w:firstLine="268"/>
        <w:spacing w:after="0"/>
        <w:rPr>
          <w:sz w:val="20"/>
          <w:szCs w:val="20"/>
          <w:color w:val="auto"/>
        </w:rPr>
      </w:pPr>
      <w:r>
        <w:rPr>
          <w:rFonts w:ascii="Courier New" w:cs="Courier New" w:eastAsia="Courier New" w:hAnsi="Courier New"/>
          <w:sz w:val="15"/>
          <w:szCs w:val="15"/>
          <w:color w:val="auto"/>
        </w:rPr>
        <w:t>Stock Exchange Listing. The common shares are traded on the New York Stock Exchange under the trading symbol "FRT."</w:t>
      </w:r>
    </w:p>
    <w:p>
      <w:pPr>
        <w:spacing w:after="0" w:line="174" w:lineRule="exact"/>
        <w:rPr>
          <w:sz w:val="20"/>
          <w:szCs w:val="20"/>
          <w:color w:val="auto"/>
        </w:rPr>
      </w:pPr>
    </w:p>
    <w:p>
      <w:pPr>
        <w:jc w:val="center"/>
        <w:ind w:right="3339"/>
        <w:spacing w:after="0"/>
        <w:tabs>
          <w:tab w:leader="none" w:pos="160" w:val="left"/>
        </w:tabs>
        <w:rPr>
          <w:sz w:val="20"/>
          <w:szCs w:val="20"/>
          <w:color w:val="auto"/>
        </w:rPr>
      </w:pPr>
      <w:r>
        <w:rPr>
          <w:rFonts w:ascii="Courier New" w:cs="Courier New" w:eastAsia="Courier New" w:hAnsi="Courier New"/>
          <w:sz w:val="15"/>
          <w:szCs w:val="15"/>
          <w:color w:val="auto"/>
        </w:rPr>
        <w:t>Transfer Agent and Registrar.</w:t>
      </w:r>
      <w:r>
        <w:rPr>
          <w:sz w:val="20"/>
          <w:szCs w:val="20"/>
          <w:color w:val="auto"/>
        </w:rPr>
        <w:tab/>
      </w:r>
      <w:r>
        <w:rPr>
          <w:rFonts w:ascii="Courier New" w:cs="Courier New" w:eastAsia="Courier New" w:hAnsi="Courier New"/>
          <w:sz w:val="14"/>
          <w:szCs w:val="14"/>
          <w:color w:val="auto"/>
        </w:rPr>
        <w:t>The transfer agent and registrar for the</w:t>
      </w:r>
    </w:p>
    <w:p>
      <w:pPr>
        <w:spacing w:after="0" w:line="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common shares is American Stock Transfer &amp; Trust Company, New York, New York.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Shares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General. Preferred shares may be offered and sold from time to time, in one or more series, as authorized by the Board of Trustees. The Board of 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80" w:lineRule="exact"/>
        <w:rPr>
          <w:sz w:val="20"/>
          <w:szCs w:val="20"/>
          <w:color w:val="auto"/>
        </w:rPr>
      </w:pPr>
    </w:p>
    <w:p>
      <w:pPr>
        <w:ind w:right="3439" w:firstLine="268"/>
        <w:spacing w:after="0" w:line="241" w:lineRule="auto"/>
        <w:rPr>
          <w:sz w:val="20"/>
          <w:szCs w:val="20"/>
          <w:color w:val="auto"/>
        </w:rPr>
      </w:pPr>
      <w:r>
        <w:rPr>
          <w:rFonts w:ascii="Courier New" w:cs="Courier New" w:eastAsia="Courier New" w:hAnsi="Courier New"/>
          <w:sz w:val="15"/>
          <w:szCs w:val="15"/>
          <w:color w:val="auto"/>
        </w:rPr>
        <w:t>Terms. You should refer to the prospectus supplement relating to the offering of any preferred shares for specific terms, including the following terms:</w:t>
      </w:r>
    </w:p>
    <w:p>
      <w:pPr>
        <w:spacing w:after="0" w:line="174" w:lineRule="exact"/>
        <w:rPr>
          <w:sz w:val="20"/>
          <w:szCs w:val="20"/>
          <w:color w:val="auto"/>
        </w:rPr>
      </w:pPr>
    </w:p>
    <w:p>
      <w:pPr>
        <w:ind w:left="440" w:hanging="269"/>
        <w:spacing w:after="0"/>
        <w:tabs>
          <w:tab w:leader="none" w:pos="4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those preferred shares;</w:t>
      </w:r>
    </w:p>
    <w:p>
      <w:pPr>
        <w:spacing w:after="0" w:line="176" w:lineRule="exact"/>
        <w:rPr>
          <w:sz w:val="20"/>
          <w:szCs w:val="20"/>
          <w:color w:val="auto"/>
        </w:rPr>
      </w:pPr>
    </w:p>
    <w:p>
      <w:pPr>
        <w:ind w:left="440" w:right="3519" w:hanging="269"/>
        <w:spacing w:after="0"/>
        <w:tabs>
          <w:tab w:leader="none" w:pos="4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preferred shares offered and the offering price of those preferred shares;</w:t>
      </w:r>
    </w:p>
    <w:p>
      <w:pPr>
        <w:spacing w:after="0" w:line="176" w:lineRule="exact"/>
        <w:rPr>
          <w:sz w:val="20"/>
          <w:szCs w:val="20"/>
          <w:color w:val="auto"/>
        </w:rPr>
      </w:pPr>
    </w:p>
    <w:p>
      <w:pPr>
        <w:jc w:val="both"/>
        <w:ind w:left="440" w:right="3879" w:hanging="269"/>
        <w:spacing w:after="0" w:line="241" w:lineRule="auto"/>
        <w:tabs>
          <w:tab w:leader="none" w:pos="44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rate(s), period(s), amounts and/or payment date(s) or method(s) of calculation of any of those terms that apply to those preferred shares;</w:t>
      </w:r>
    </w:p>
    <w:p>
      <w:pPr>
        <w:spacing w:after="0" w:line="176" w:lineRule="exact"/>
        <w:rPr>
          <w:sz w:val="20"/>
          <w:szCs w:val="20"/>
          <w:color w:val="auto"/>
        </w:rPr>
      </w:pPr>
    </w:p>
    <w:p>
      <w:pPr>
        <w:ind w:left="440" w:right="3339" w:hanging="269"/>
        <w:spacing w:after="0"/>
        <w:tabs>
          <w:tab w:leader="none" w:pos="44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from which dividends on those preferred shares will accumulate, if applicable;</w:t>
      </w:r>
    </w:p>
    <w:p>
      <w:pPr>
        <w:spacing w:after="0" w:line="176" w:lineRule="exact"/>
        <w:rPr>
          <w:sz w:val="20"/>
          <w:szCs w:val="20"/>
          <w:color w:val="auto"/>
        </w:rPr>
      </w:pPr>
    </w:p>
    <w:p>
      <w:pPr>
        <w:ind w:left="440" w:right="3779" w:hanging="269"/>
        <w:spacing w:after="0"/>
        <w:tabs>
          <w:tab w:leader="none" w:pos="44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amount of a sinking fund, if any, for the purchase or redemption of those preferred shares;</w:t>
      </w:r>
    </w:p>
    <w:p>
      <w:pPr>
        <w:spacing w:after="0" w:line="176" w:lineRule="exact"/>
        <w:rPr>
          <w:sz w:val="20"/>
          <w:szCs w:val="20"/>
          <w:color w:val="auto"/>
        </w:rPr>
      </w:pPr>
    </w:p>
    <w:p>
      <w:pPr>
        <w:ind w:left="440" w:right="3439" w:hanging="269"/>
        <w:spacing w:after="0"/>
        <w:tabs>
          <w:tab w:leader="none" w:pos="44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rights, including conditions, time(s) and the redemption price(s), if applicable, of those preferred shares;</w:t>
      </w:r>
    </w:p>
    <w:p>
      <w:pPr>
        <w:spacing w:after="0" w:line="174" w:lineRule="exact"/>
        <w:rPr>
          <w:sz w:val="20"/>
          <w:szCs w:val="20"/>
          <w:color w:val="auto"/>
        </w:rPr>
      </w:pPr>
    </w:p>
    <w:p>
      <w:pPr>
        <w:ind w:left="440" w:hanging="269"/>
        <w:spacing w:after="0"/>
        <w:tabs>
          <w:tab w:leader="none" w:pos="4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voting rights, if any, of those preferred shares;</w:t>
      </w:r>
    </w:p>
    <w:p>
      <w:pPr>
        <w:spacing w:after="0" w:line="176" w:lineRule="exact"/>
        <w:rPr>
          <w:sz w:val="20"/>
          <w:szCs w:val="20"/>
          <w:color w:val="auto"/>
        </w:rPr>
      </w:pPr>
    </w:p>
    <w:p>
      <w:pPr>
        <w:jc w:val="center"/>
        <w:ind w:left="3400" w:right="3959" w:hanging="3229"/>
        <w:spacing w:after="0" w:line="483" w:lineRule="auto"/>
        <w:tabs>
          <w:tab w:leader="none" w:pos="44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listing of those preferred shares on any securities exchange; 19</w:t>
      </w:r>
    </w:p>
    <w:p>
      <w:pPr>
        <w:sectPr>
          <w:pgSz w:w="11900" w:h="16838" w:orient="portrait"/>
          <w:cols w:equalWidth="0" w:num="1">
            <w:col w:w="10219"/>
          </w:cols>
          <w:pgMar w:left="240" w:top="635" w:right="1440" w:bottom="1440" w:gutter="0" w:footer="0" w:header="0"/>
        </w:sectPr>
      </w:pPr>
    </w:p>
    <w:bookmarkStart w:id="21" w:name="page22"/>
    <w:bookmarkEnd w:id="21"/>
    <w:p>
      <w:pPr>
        <w:ind w:left="440" w:right="3159" w:hanging="269"/>
        <w:spacing w:after="0" w:line="267" w:lineRule="auto"/>
        <w:tabs>
          <w:tab w:leader="none" w:pos="44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if applicable, upon which those preferred shares will be convertible into common shares or any of our other securities, including the conversion price or rate (or manner of calculation thereof);</w:t>
      </w:r>
    </w:p>
    <w:p>
      <w:pPr>
        <w:spacing w:after="0" w:line="159" w:lineRule="exact"/>
        <w:rPr>
          <w:sz w:val="20"/>
          <w:szCs w:val="20"/>
          <w:color w:val="auto"/>
        </w:rPr>
      </w:pPr>
    </w:p>
    <w:p>
      <w:pPr>
        <w:ind w:left="440" w:right="3159" w:hanging="269"/>
        <w:spacing w:after="0" w:line="241" w:lineRule="auto"/>
        <w:tabs>
          <w:tab w:leader="none" w:pos="4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relative ranking and preference of those preferred shares as to dividend rights and rights upon liquidation, dissolution or the winding up of our affairs;</w:t>
      </w:r>
    </w:p>
    <w:p>
      <w:pPr>
        <w:spacing w:after="0" w:line="176" w:lineRule="exact"/>
        <w:rPr>
          <w:sz w:val="20"/>
          <w:szCs w:val="20"/>
          <w:color w:val="auto"/>
        </w:rPr>
      </w:pPr>
    </w:p>
    <w:p>
      <w:pPr>
        <w:ind w:left="440" w:right="3159" w:hanging="269"/>
        <w:spacing w:after="0" w:line="242" w:lineRule="auto"/>
        <w:tabs>
          <w:tab w:leader="none" w:pos="44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175" w:lineRule="exact"/>
        <w:rPr>
          <w:sz w:val="20"/>
          <w:szCs w:val="20"/>
          <w:color w:val="auto"/>
        </w:rPr>
      </w:pPr>
    </w:p>
    <w:p>
      <w:pPr>
        <w:ind w:left="440" w:right="3959" w:hanging="269"/>
        <w:spacing w:after="0"/>
        <w:tabs>
          <w:tab w:leader="none" w:pos="4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for any auction and remarketing, if any, for those preferred shares;</w:t>
      </w:r>
    </w:p>
    <w:p>
      <w:pPr>
        <w:spacing w:after="0" w:line="176" w:lineRule="exact"/>
        <w:rPr>
          <w:sz w:val="20"/>
          <w:szCs w:val="20"/>
          <w:color w:val="auto"/>
        </w:rPr>
      </w:pPr>
    </w:p>
    <w:p>
      <w:pPr>
        <w:ind w:left="440" w:right="3159" w:hanging="269"/>
        <w:spacing w:after="0"/>
        <w:tabs>
          <w:tab w:leader="none" w:pos="44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specific terms, preferences, rights, limitations or restrictions of those preferred shares;</w:t>
      </w:r>
    </w:p>
    <w:p>
      <w:pPr>
        <w:spacing w:after="0" w:line="176" w:lineRule="exact"/>
        <w:rPr>
          <w:sz w:val="20"/>
          <w:szCs w:val="20"/>
          <w:color w:val="auto"/>
        </w:rPr>
      </w:pPr>
    </w:p>
    <w:p>
      <w:pPr>
        <w:ind w:left="440" w:right="3779" w:hanging="269"/>
        <w:spacing w:after="0"/>
        <w:tabs>
          <w:tab w:leader="none" w:pos="4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discussion of federal income tax consequences applicable to those preferred shares; and</w:t>
      </w:r>
    </w:p>
    <w:p>
      <w:pPr>
        <w:spacing w:after="0" w:line="176" w:lineRule="exact"/>
        <w:rPr>
          <w:sz w:val="20"/>
          <w:szCs w:val="20"/>
          <w:color w:val="auto"/>
        </w:rPr>
      </w:pPr>
    </w:p>
    <w:p>
      <w:pPr>
        <w:ind w:left="440" w:right="3339" w:hanging="269"/>
        <w:spacing w:after="0" w:line="242" w:lineRule="auto"/>
        <w:tabs>
          <w:tab w:leader="none" w:pos="4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limitations on direct or beneficial ownership and restrictions on transfer in addition to those described in "-- Restrictions on Ownership and Transfer," in each case as may be appropriate to preserve our status as a real estate investment trust.</w:t>
      </w:r>
    </w:p>
    <w:p>
      <w:pPr>
        <w:spacing w:after="0" w:line="175"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7" w:lineRule="exact"/>
        <w:rPr>
          <w:sz w:val="20"/>
          <w:szCs w:val="20"/>
          <w:color w:val="auto"/>
        </w:rPr>
      </w:pPr>
    </w:p>
    <w:p>
      <w:pPr>
        <w:jc w:val="both"/>
        <w:ind w:right="3439" w:firstLine="268"/>
        <w:spacing w:after="0" w:line="241" w:lineRule="auto"/>
        <w:rPr>
          <w:sz w:val="20"/>
          <w:szCs w:val="20"/>
          <w:color w:val="auto"/>
        </w:rPr>
      </w:pPr>
      <w:r>
        <w:rPr>
          <w:rFonts w:ascii="Courier New" w:cs="Courier New" w:eastAsia="Courier New" w:hAnsi="Courier New"/>
          <w:sz w:val="15"/>
          <w:szCs w:val="15"/>
          <w:color w:val="auto"/>
        </w:rPr>
        <w:t>Rank. Unless we say otherwise in a prospectus supplement, the preferred shares offered through that supplement will, with respect to dividend rights and rights upon our liquidation, dissolution or winding up, rank:</w:t>
      </w:r>
    </w:p>
    <w:p>
      <w:pPr>
        <w:spacing w:after="0" w:line="176" w:lineRule="exact"/>
        <w:rPr>
          <w:sz w:val="20"/>
          <w:szCs w:val="20"/>
          <w:color w:val="auto"/>
        </w:rPr>
      </w:pPr>
    </w:p>
    <w:p>
      <w:pPr>
        <w:ind w:left="440" w:right="3519" w:hanging="269"/>
        <w:spacing w:after="0"/>
        <w:tabs>
          <w:tab w:leader="none" w:pos="4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to all classes or series of our common shares, and to all other equity securities ranking junior to those preferred shares;</w:t>
      </w:r>
    </w:p>
    <w:p>
      <w:pPr>
        <w:spacing w:after="0" w:line="176" w:lineRule="exact"/>
        <w:rPr>
          <w:sz w:val="20"/>
          <w:szCs w:val="20"/>
          <w:color w:val="auto"/>
        </w:rPr>
      </w:pPr>
    </w:p>
    <w:p>
      <w:pPr>
        <w:ind w:left="440" w:right="3159" w:hanging="269"/>
        <w:spacing w:after="0"/>
        <w:tabs>
          <w:tab w:leader="none" w:pos="4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parity with all of our equity securities ranking on a parity with the preferred shares; and</w:t>
      </w:r>
    </w:p>
    <w:p>
      <w:pPr>
        <w:spacing w:after="0" w:line="176" w:lineRule="exact"/>
        <w:rPr>
          <w:sz w:val="20"/>
          <w:szCs w:val="20"/>
          <w:color w:val="auto"/>
        </w:rPr>
      </w:pPr>
    </w:p>
    <w:p>
      <w:pPr>
        <w:ind w:left="440" w:right="3519" w:hanging="269"/>
        <w:spacing w:after="0"/>
        <w:tabs>
          <w:tab w:leader="none" w:pos="4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junior to all of our equity securities ranking senior to the preferred shares.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term "equity securities" does not include convertible debt securities.</w:t>
      </w:r>
    </w:p>
    <w:p>
      <w:pPr>
        <w:spacing w:after="0" w:line="176" w:lineRule="exact"/>
        <w:rPr>
          <w:sz w:val="20"/>
          <w:szCs w:val="20"/>
          <w:color w:val="auto"/>
        </w:rPr>
      </w:pPr>
    </w:p>
    <w:p>
      <w:pPr>
        <w:ind w:right="3159" w:firstLine="268"/>
        <w:spacing w:after="0" w:line="262" w:lineRule="auto"/>
        <w:rPr>
          <w:sz w:val="20"/>
          <w:szCs w:val="20"/>
          <w:color w:val="auto"/>
        </w:rPr>
      </w:pPr>
      <w:r>
        <w:rPr>
          <w:rFonts w:ascii="Courier New" w:cs="Courier New" w:eastAsia="Courier New" w:hAnsi="Courier New"/>
          <w:sz w:val="14"/>
          <w:szCs w:val="14"/>
          <w:color w:val="auto"/>
        </w:rPr>
        <w:t>Dividends. Subject to any preferential rights of any outstanding shares or series of shares and to the provisions of our declaration of trust regarding ownership of shares in excess of the ownership limitation described below under "-- Restrictions on Ownership and Transfer," our preferred shareholders are entitled to receive dividends, when and as authorized by our Board of Trustees, out of legally available funds, and share pro rata based on the number of preferred shares, common shares and other parity equity securities outstanding.</w:t>
      </w:r>
    </w:p>
    <w:p>
      <w:pPr>
        <w:spacing w:after="0" w:line="164" w:lineRule="exact"/>
        <w:rPr>
          <w:sz w:val="20"/>
          <w:szCs w:val="20"/>
          <w:color w:val="auto"/>
        </w:rPr>
      </w:pPr>
    </w:p>
    <w:p>
      <w:pPr>
        <w:ind w:right="3439" w:firstLine="268"/>
        <w:spacing w:after="0" w:line="242" w:lineRule="auto"/>
        <w:rPr>
          <w:sz w:val="20"/>
          <w:szCs w:val="20"/>
          <w:color w:val="auto"/>
        </w:rPr>
      </w:pPr>
      <w:r>
        <w:rPr>
          <w:rFonts w:ascii="Courier New" w:cs="Courier New" w:eastAsia="Courier New" w:hAnsi="Courier New"/>
          <w:sz w:val="15"/>
          <w:szCs w:val="15"/>
          <w:color w:val="auto"/>
        </w:rPr>
        <w:t>Redemption. If we provide for a redemption right in a prospectus supplement, the preferred shares offered through that supplement will be subject to mandatory redemption or redemption at our option, in whole or in part, in each case upon the terms, at the times and at the redemption prices set forth in that supplement.</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Liquidation Preference. As to any liquidation preference applicable to preferred shares offered through this prospectus, the applicable supplement 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5" w:right="1440" w:bottom="1440" w:gutter="0" w:footer="0" w:header="0"/>
        </w:sectPr>
      </w:pPr>
    </w:p>
    <w:bookmarkStart w:id="22" w:name="page23"/>
    <w:bookmarkEnd w:id="22"/>
    <w:p>
      <w:pPr>
        <w:ind w:right="3159"/>
        <w:spacing w:after="0" w:line="242" w:lineRule="auto"/>
        <w:rPr>
          <w:sz w:val="20"/>
          <w:szCs w:val="20"/>
          <w:color w:val="auto"/>
        </w:rPr>
      </w:pPr>
      <w:r>
        <w:rPr>
          <w:rFonts w:ascii="Courier New" w:cs="Courier New" w:eastAsia="Courier New" w:hAnsi="Courier New"/>
          <w:sz w:val="15"/>
          <w:szCs w:val="15"/>
          <w:color w:val="auto"/>
        </w:rPr>
        <w:t>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4" w:lineRule="exact"/>
        <w:rPr>
          <w:sz w:val="20"/>
          <w:szCs w:val="20"/>
          <w:color w:val="auto"/>
        </w:rPr>
      </w:pPr>
    </w:p>
    <w:p>
      <w:pPr>
        <w:ind w:right="3519" w:firstLine="268"/>
        <w:spacing w:after="0" w:line="242" w:lineRule="auto"/>
        <w:rPr>
          <w:sz w:val="20"/>
          <w:szCs w:val="20"/>
          <w:color w:val="auto"/>
        </w:rPr>
      </w:pPr>
      <w:r>
        <w:rPr>
          <w:rFonts w:ascii="Courier New" w:cs="Courier New" w:eastAsia="Courier New" w:hAnsi="Courier New"/>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77"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Voting Rights. Unless otherwise indicated in the applicable supplement, holders of our preferred shares will not have any voting rights, except as may be required by applicable law or the rules and regulations of the New York Stock Exchange.</w:t>
      </w:r>
    </w:p>
    <w:p>
      <w:pPr>
        <w:spacing w:after="0" w:line="175" w:lineRule="exact"/>
        <w:rPr>
          <w:sz w:val="20"/>
          <w:szCs w:val="20"/>
          <w:color w:val="auto"/>
        </w:rPr>
      </w:pPr>
    </w:p>
    <w:p>
      <w:pPr>
        <w:jc w:val="both"/>
        <w:ind w:right="3159" w:firstLine="268"/>
        <w:spacing w:after="0" w:line="242" w:lineRule="auto"/>
        <w:rPr>
          <w:sz w:val="20"/>
          <w:szCs w:val="20"/>
          <w:color w:val="auto"/>
        </w:rPr>
      </w:pPr>
      <w:r>
        <w:rPr>
          <w:rFonts w:ascii="Courier New" w:cs="Courier New" w:eastAsia="Courier New" w:hAnsi="Courier New"/>
          <w:sz w:val="15"/>
          <w:szCs w:val="15"/>
          <w:color w:val="auto"/>
        </w:rPr>
        <w:t>Conversion Rights. The terms and conditions, if any, upon which any series of preferred shares is convertible into common shares will be set forth in the prospectus supplement relating to the offering of those preferred shares. These terms typically will include:</w:t>
      </w:r>
    </w:p>
    <w:p>
      <w:pPr>
        <w:spacing w:after="0" w:line="175" w:lineRule="exact"/>
        <w:rPr>
          <w:sz w:val="20"/>
          <w:szCs w:val="20"/>
          <w:color w:val="auto"/>
        </w:rPr>
      </w:pPr>
    </w:p>
    <w:p>
      <w:pPr>
        <w:ind w:left="440" w:right="4139" w:hanging="269"/>
        <w:spacing w:after="0"/>
        <w:tabs>
          <w:tab w:leader="none" w:pos="4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common shares into which the preferred shares are convertible;</w:t>
      </w:r>
    </w:p>
    <w:p>
      <w:pPr>
        <w:spacing w:after="0" w:line="174" w:lineRule="exact"/>
        <w:rPr>
          <w:sz w:val="20"/>
          <w:szCs w:val="20"/>
          <w:color w:val="auto"/>
        </w:rPr>
      </w:pPr>
    </w:p>
    <w:p>
      <w:pPr>
        <w:ind w:left="440" w:hanging="269"/>
        <w:spacing w:after="0"/>
        <w:tabs>
          <w:tab w:leader="none" w:pos="4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or rate (or manner of calculation thereof);</w:t>
      </w:r>
    </w:p>
    <w:p>
      <w:pPr>
        <w:spacing w:after="0" w:line="174"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period;</w:t>
      </w:r>
    </w:p>
    <w:p>
      <w:pPr>
        <w:spacing w:after="0" w:line="176" w:lineRule="exact"/>
        <w:rPr>
          <w:sz w:val="20"/>
          <w:szCs w:val="20"/>
          <w:color w:val="auto"/>
        </w:rPr>
      </w:pPr>
    </w:p>
    <w:p>
      <w:pPr>
        <w:ind w:left="440" w:right="3339" w:hanging="269"/>
        <w:spacing w:after="0"/>
        <w:tabs>
          <w:tab w:leader="none" w:pos="4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as to whether conversion will be at the option of the holders of the preferred shares or at our option;</w:t>
      </w:r>
    </w:p>
    <w:p>
      <w:pPr>
        <w:spacing w:after="0" w:line="174" w:lineRule="exact"/>
        <w:rPr>
          <w:sz w:val="20"/>
          <w:szCs w:val="20"/>
          <w:color w:val="auto"/>
        </w:rPr>
      </w:pPr>
    </w:p>
    <w:p>
      <w:pPr>
        <w:ind w:left="440" w:hanging="269"/>
        <w:spacing w:after="0"/>
        <w:tabs>
          <w:tab w:leader="none" w:pos="4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events requiring an adjustment of the conversion price; and</w:t>
      </w:r>
    </w:p>
    <w:p>
      <w:pPr>
        <w:spacing w:after="0" w:line="176" w:lineRule="exact"/>
        <w:rPr>
          <w:sz w:val="20"/>
          <w:szCs w:val="20"/>
          <w:color w:val="auto"/>
        </w:rPr>
      </w:pPr>
    </w:p>
    <w:p>
      <w:pPr>
        <w:ind w:left="440" w:right="3519" w:hanging="269"/>
        <w:spacing w:after="0"/>
        <w:tabs>
          <w:tab w:leader="none" w:pos="44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affecting conversion in the event of the redemption of that series of preferred shares.</w:t>
      </w:r>
    </w:p>
    <w:p>
      <w:pPr>
        <w:spacing w:after="0" w:line="176" w:lineRule="exact"/>
        <w:rPr>
          <w:sz w:val="20"/>
          <w:szCs w:val="20"/>
          <w:color w:val="auto"/>
        </w:rPr>
      </w:pPr>
    </w:p>
    <w:p>
      <w:pPr>
        <w:ind w:right="3519" w:firstLine="268"/>
        <w:spacing w:after="0" w:line="242" w:lineRule="auto"/>
        <w:rPr>
          <w:sz w:val="20"/>
          <w:szCs w:val="20"/>
          <w:color w:val="auto"/>
        </w:rPr>
      </w:pPr>
      <w:r>
        <w:rPr>
          <w:rFonts w:ascii="Courier New" w:cs="Courier New" w:eastAsia="Courier New" w:hAnsi="Courier New"/>
          <w:sz w:val="15"/>
          <w:szCs w:val="15"/>
          <w:color w:val="auto"/>
        </w:rPr>
        <w:t>Transfer Agent and Registrar. The transfer agent and registrar for the Series A preferred shares and Series B preferred shares is American Stock Transfer &amp; Trust Company, New York, New York. We will identify the transfer agent and registrar for any additional series of preferred shares issued through this prospectus in a prospectus supplement.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Depositary Shares</w:t>
      </w:r>
    </w:p>
    <w:p>
      <w:pPr>
        <w:spacing w:after="0" w:line="176" w:lineRule="exact"/>
        <w:rPr>
          <w:sz w:val="20"/>
          <w:szCs w:val="20"/>
          <w:color w:val="auto"/>
        </w:rPr>
      </w:pPr>
    </w:p>
    <w:p>
      <w:pPr>
        <w:ind w:right="3159" w:firstLine="268"/>
        <w:spacing w:after="0" w:line="261" w:lineRule="auto"/>
        <w:rPr>
          <w:sz w:val="20"/>
          <w:szCs w:val="20"/>
          <w:color w:val="auto"/>
        </w:rPr>
      </w:pPr>
      <w:r>
        <w:rPr>
          <w:rFonts w:ascii="Courier New" w:cs="Courier New" w:eastAsia="Courier New" w:hAnsi="Courier New"/>
          <w:sz w:val="14"/>
          <w:szCs w:val="14"/>
          <w:color w:val="auto"/>
        </w:rPr>
        <w:t>General. We may issue receipts for depositary shares, each of which will represent a fractional interest of a share of a particular series of preferred 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the rights and preferences that you would be entitled to if you owned the preferred share represented by your depositary share directly (including dividend, voting, redemption, conversion, subscription and liquidation rights).</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5" w:right="1440" w:bottom="1440" w:gutter="0" w:footer="0" w:header="0"/>
        </w:sectPr>
      </w:pPr>
    </w:p>
    <w:bookmarkStart w:id="23" w:name="page24"/>
    <w:bookmarkEnd w:id="23"/>
    <w:p>
      <w:pPr>
        <w:ind w:right="3159" w:firstLine="268"/>
        <w:spacing w:after="0" w:line="242" w:lineRule="auto"/>
        <w:rPr>
          <w:sz w:val="20"/>
          <w:szCs w:val="20"/>
          <w:color w:val="auto"/>
        </w:rPr>
      </w:pPr>
      <w:r>
        <w:rPr>
          <w:rFonts w:ascii="Courier New" w:cs="Courier New" w:eastAsia="Courier New" w:hAnsi="Courier New"/>
          <w:sz w:val="15"/>
          <w:szCs w:val="15"/>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Dividends and Other Provisions. If you are a "record holder" (as defined below) of depositary receipts and we pay a cash dividend or other cash 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77" w:lineRule="exact"/>
        <w:rPr>
          <w:sz w:val="20"/>
          <w:szCs w:val="20"/>
          <w:color w:val="auto"/>
        </w:rPr>
      </w:pPr>
    </w:p>
    <w:p>
      <w:pPr>
        <w:ind w:right="3259" w:firstLine="268"/>
        <w:spacing w:after="0" w:line="262" w:lineRule="auto"/>
        <w:rPr>
          <w:sz w:val="20"/>
          <w:szCs w:val="20"/>
          <w:color w:val="auto"/>
        </w:rPr>
      </w:pPr>
      <w:r>
        <w:rPr>
          <w:rFonts w:ascii="Courier New" w:cs="Courier New" w:eastAsia="Courier New" w:hAnsi="Courier New"/>
          <w:sz w:val="14"/>
          <w:szCs w:val="14"/>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63"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Withdrawal of Preferred Shares. If you surrender your depositary receipts, the depositary will be required to deliver certificates to you 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Redemption of Depositary Shares. If we redeem a series of preferred shares represented by depositary receipts, the depositary will redeem 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81"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Voting the Preferred Shares. When the depositary receives notice of any meeting at which the holders of preferred shares are entitled to vote, the 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1"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Liquidation Preference. In the event of our liquidation, dissolution or winding up, whether voluntary or involuntary, you will be entitled, as a record holder of depositary shares, to the fraction of the liquidation preference accorded each applicable preferred share, as has been set forth in a prospectus supplement.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5" w:right="1440" w:bottom="1440" w:gutter="0" w:footer="0" w:header="0"/>
        </w:sectPr>
      </w:pPr>
    </w:p>
    <w:bookmarkStart w:id="24" w:name="page25"/>
    <w:bookmarkEnd w:id="24"/>
    <w:p>
      <w:pPr>
        <w:ind w:right="3259" w:firstLine="268"/>
        <w:spacing w:after="0" w:line="242" w:lineRule="auto"/>
        <w:rPr>
          <w:sz w:val="20"/>
          <w:szCs w:val="20"/>
          <w:color w:val="auto"/>
        </w:rPr>
      </w:pPr>
      <w:r>
        <w:rPr>
          <w:rFonts w:ascii="Courier New" w:cs="Courier New" w:eastAsia="Courier New" w:hAnsi="Courier New"/>
          <w:sz w:val="15"/>
          <w:szCs w:val="15"/>
          <w:color w:val="auto"/>
        </w:rPr>
        <w:t>Conversion of Preferred Shares. Our depositary shares, as such, are not convertible into common shares or any of our other securities or property. 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83" w:lineRule="exact"/>
        <w:rPr>
          <w:sz w:val="20"/>
          <w:szCs w:val="20"/>
          <w:color w:val="auto"/>
        </w:rPr>
      </w:pPr>
    </w:p>
    <w:p>
      <w:pPr>
        <w:ind w:right="3079" w:firstLine="268"/>
        <w:spacing w:after="0" w:line="263" w:lineRule="auto"/>
        <w:rPr>
          <w:sz w:val="20"/>
          <w:szCs w:val="20"/>
          <w:color w:val="auto"/>
        </w:rPr>
      </w:pPr>
      <w:r>
        <w:rPr>
          <w:rFonts w:ascii="Courier New" w:cs="Courier New" w:eastAsia="Courier New" w:hAnsi="Courier New"/>
          <w:sz w:val="14"/>
          <w:szCs w:val="14"/>
          <w:color w:val="auto"/>
        </w:rPr>
        <w:t>Amendment and Termination of the Deposit Agreement. We and the depositary may amend the form of depositary receipt and any provision of 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160" w:lineRule="exact"/>
        <w:rPr>
          <w:sz w:val="20"/>
          <w:szCs w:val="20"/>
          <w:color w:val="auto"/>
        </w:rPr>
      </w:pPr>
    </w:p>
    <w:p>
      <w:pPr>
        <w:ind w:left="440" w:hanging="269"/>
        <w:spacing w:after="0"/>
        <w:tabs>
          <w:tab w:leader="none" w:pos="4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redeem all outstanding depositary shares;</w:t>
      </w:r>
    </w:p>
    <w:p>
      <w:pPr>
        <w:spacing w:after="0" w:line="176" w:lineRule="exact"/>
        <w:rPr>
          <w:sz w:val="20"/>
          <w:szCs w:val="20"/>
          <w:color w:val="auto"/>
        </w:rPr>
      </w:pPr>
    </w:p>
    <w:p>
      <w:pPr>
        <w:jc w:val="both"/>
        <w:ind w:left="440" w:right="3339" w:hanging="269"/>
        <w:spacing w:after="0" w:line="265" w:lineRule="auto"/>
        <w:tabs>
          <w:tab w:leader="none" w:pos="4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160" w:lineRule="exact"/>
        <w:rPr>
          <w:sz w:val="20"/>
          <w:szCs w:val="20"/>
          <w:color w:val="auto"/>
        </w:rPr>
      </w:pPr>
    </w:p>
    <w:p>
      <w:pPr>
        <w:ind w:left="440" w:right="3339" w:hanging="269"/>
        <w:spacing w:after="0" w:line="241" w:lineRule="auto"/>
        <w:tabs>
          <w:tab w:leader="none" w:pos="44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preferred share to which the depositary shares and agreement relate shall have been converted into shares of beneficial interest not represented by depositary shares.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Resignation and Removal of Depositary. The depositary may resign at any time by delivering a notice to us of its election to do so. Additionally, 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77"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Charges of Depositary. We will pay all transfer and other taxes and governmental charges arising solely from the existence of the depositary 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77"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Miscellaneous. The depositary will forward to you all reports and communications from us that we are required, or otherwise determine, to furnish to the holders of the preferred shares.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Ownership and Transfer</w:t>
      </w:r>
    </w:p>
    <w:p>
      <w:pPr>
        <w:spacing w:after="0" w:line="176" w:lineRule="exact"/>
        <w:rPr>
          <w:sz w:val="20"/>
          <w:szCs w:val="20"/>
          <w:color w:val="auto"/>
        </w:rPr>
      </w:pPr>
    </w:p>
    <w:p>
      <w:pPr>
        <w:jc w:val="both"/>
        <w:ind w:right="3519" w:firstLine="268"/>
        <w:spacing w:after="0" w:line="242" w:lineRule="auto"/>
        <w:rPr>
          <w:sz w:val="20"/>
          <w:szCs w:val="20"/>
          <w:color w:val="auto"/>
        </w:rPr>
      </w:pPr>
      <w:r>
        <w:rPr>
          <w:rFonts w:ascii="Courier New" w:cs="Courier New" w:eastAsia="Courier New" w:hAnsi="Courier New"/>
          <w:sz w:val="15"/>
          <w:szCs w:val="15"/>
          <w:color w:val="auto"/>
        </w:rPr>
        <w:t>Restrictions on ownership and transfer of shares are important to ensure that we meet certain conditions under the Internal Revenue Code of 1986, as amended, to qualify as a REIT. For example, the Code contains the following requirements.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5" w:right="1440" w:bottom="1440" w:gutter="0" w:footer="0" w:header="0"/>
        </w:sectPr>
      </w:pPr>
    </w:p>
    <w:bookmarkStart w:id="25" w:name="page26"/>
    <w:bookmarkEnd w:id="25"/>
    <w:p>
      <w:pPr>
        <w:ind w:left="440" w:right="3159" w:hanging="269"/>
        <w:spacing w:after="0" w:line="242" w:lineRule="auto"/>
        <w:tabs>
          <w:tab w:leader="none" w:pos="44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more than 50% in value of a REIT's shares may be owned, actually or constructively (based on attribution rules in the Code), by five or fewer individuals during the last half of a taxable year or a proportionate part of a shorter taxable year (the "5/50 Rule"). Under the Code, individuals include certain tax-exempt entities except that qualified domestic pension funds are not generally treated as individuals.</w:t>
      </w:r>
    </w:p>
    <w:p>
      <w:pPr>
        <w:spacing w:after="0" w:line="176" w:lineRule="exact"/>
        <w:rPr>
          <w:sz w:val="20"/>
          <w:szCs w:val="20"/>
          <w:color w:val="auto"/>
        </w:rPr>
      </w:pPr>
    </w:p>
    <w:p>
      <w:pPr>
        <w:ind w:left="440" w:right="3259" w:hanging="269"/>
        <w:spacing w:after="0" w:line="242" w:lineRule="auto"/>
        <w:tabs>
          <w:tab w:leader="none" w:pos="44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175" w:lineRule="exact"/>
        <w:rPr>
          <w:sz w:val="20"/>
          <w:szCs w:val="20"/>
          <w:color w:val="auto"/>
        </w:rPr>
      </w:pPr>
    </w:p>
    <w:p>
      <w:pPr>
        <w:ind w:left="440" w:right="3259" w:hanging="269"/>
        <w:spacing w:after="0" w:line="241"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REIT's stock or beneficial interests must be owned by 100 or more persons during at least 335 days of a taxable year of 12 months or during a proportionate part of a shorter taxable year.</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77" w:lineRule="exact"/>
        <w:rPr>
          <w:sz w:val="20"/>
          <w:szCs w:val="20"/>
          <w:color w:val="auto"/>
        </w:rPr>
      </w:pPr>
    </w:p>
    <w:p>
      <w:pPr>
        <w:ind w:right="3439" w:firstLine="268"/>
        <w:spacing w:after="0"/>
        <w:rPr>
          <w:sz w:val="20"/>
          <w:szCs w:val="20"/>
          <w:color w:val="auto"/>
        </w:rPr>
      </w:pPr>
      <w:r>
        <w:rPr>
          <w:rFonts w:ascii="Courier New" w:cs="Courier New" w:eastAsia="Courier New" w:hAnsi="Courier New"/>
          <w:sz w:val="15"/>
          <w:szCs w:val="15"/>
          <w:color w:val="auto"/>
        </w:rPr>
        <w:t>Any transfer of shares will be null and void, and the intended transferee will acquire no rights in such shares if the transfer:</w:t>
      </w:r>
    </w:p>
    <w:p>
      <w:pPr>
        <w:spacing w:after="0" w:line="176" w:lineRule="exact"/>
        <w:rPr>
          <w:sz w:val="20"/>
          <w:szCs w:val="20"/>
          <w:color w:val="auto"/>
        </w:rPr>
      </w:pPr>
    </w:p>
    <w:p>
      <w:pPr>
        <w:ind w:left="440" w:right="3259" w:hanging="269"/>
        <w:spacing w:after="0"/>
        <w:tabs>
          <w:tab w:leader="none" w:pos="4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in any person owning, directly or indirectly, shares in excess of the ownership limitation;</w:t>
      </w:r>
    </w:p>
    <w:p>
      <w:pPr>
        <w:spacing w:after="0" w:line="176" w:lineRule="exact"/>
        <w:rPr>
          <w:sz w:val="20"/>
          <w:szCs w:val="20"/>
          <w:color w:val="auto"/>
        </w:rPr>
      </w:pPr>
    </w:p>
    <w:p>
      <w:pPr>
        <w:ind w:left="440" w:right="3439" w:hanging="269"/>
        <w:spacing w:after="0"/>
        <w:tabs>
          <w:tab w:leader="none" w:pos="4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in the shares being owned by fewer than 100 persons (determined without reference to any rules of attribution);</w:t>
      </w:r>
    </w:p>
    <w:p>
      <w:pPr>
        <w:spacing w:after="0" w:line="176" w:lineRule="exact"/>
        <w:rPr>
          <w:sz w:val="20"/>
          <w:szCs w:val="20"/>
          <w:color w:val="auto"/>
        </w:rPr>
      </w:pPr>
    </w:p>
    <w:p>
      <w:pPr>
        <w:ind w:left="440" w:right="3259" w:hanging="269"/>
        <w:spacing w:after="0"/>
        <w:tabs>
          <w:tab w:leader="none" w:pos="4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in our being "closely held" (within the meaning of Section 856(h) of the Code); or</w:t>
      </w:r>
    </w:p>
    <w:p>
      <w:pPr>
        <w:spacing w:after="0" w:line="176" w:lineRule="exact"/>
        <w:rPr>
          <w:sz w:val="20"/>
          <w:szCs w:val="20"/>
          <w:color w:val="auto"/>
        </w:rPr>
      </w:pPr>
    </w:p>
    <w:p>
      <w:pPr>
        <w:ind w:left="440" w:right="3159" w:hanging="269"/>
        <w:spacing w:after="0" w:line="241" w:lineRule="auto"/>
        <w:tabs>
          <w:tab w:leader="none" w:pos="44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causes us to own, directly or constructively, 10% or more of the ownership interests in a tenant of our real property (within the meaning of Section 856(d)(2)(B) of the Code).</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Automatic Transfer of Shares to Trust. With certain exceptions described below, the shares will be designated as "shares-in-trust" and transferred automatically to a trust if any purported transfer of shares would violate any of the four restrictions that are listed above and cause the transfer to be null and void.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79"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may also designate a permitted transferee of the shares-in-trust. The permitted transferee must purchase the shares-in-trust for valuable consideration and acquire the shares-in-trust without resulting in the transfer being null and void.</w:t>
      </w:r>
    </w:p>
    <w:p>
      <w:pPr>
        <w:spacing w:after="0" w:line="178"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174" w:lineRule="exact"/>
        <w:rPr>
          <w:sz w:val="20"/>
          <w:szCs w:val="20"/>
          <w:color w:val="auto"/>
        </w:rPr>
      </w:pPr>
    </w:p>
    <w:p>
      <w:pPr>
        <w:ind w:left="440" w:hanging="269"/>
        <w:spacing w:after="0"/>
        <w:tabs>
          <w:tab w:leader="none" w:pos="44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per share, if any, paid by the record holder for the shares; or</w:t>
      </w:r>
    </w:p>
    <w:p>
      <w:pPr>
        <w:spacing w:after="0" w:line="176" w:lineRule="exact"/>
        <w:rPr>
          <w:sz w:val="20"/>
          <w:szCs w:val="20"/>
          <w:color w:val="auto"/>
        </w:rPr>
      </w:pPr>
    </w:p>
    <w:p>
      <w:pPr>
        <w:ind w:left="440" w:right="3259" w:hanging="269"/>
        <w:spacing w:after="0"/>
        <w:tabs>
          <w:tab w:leader="none" w:pos="44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amount was paid for such shares (e.g., if such shares were received through a gift or devise),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5" w:right="1440" w:bottom="1440" w:gutter="0" w:footer="0" w:header="0"/>
        </w:sectPr>
      </w:pPr>
    </w:p>
    <w:bookmarkStart w:id="26" w:name="page27"/>
    <w:bookmarkEnd w:id="26"/>
    <w:p>
      <w:pPr>
        <w:ind w:left="800" w:right="3259" w:hanging="272"/>
        <w:spacing w:after="0" w:line="241" w:lineRule="auto"/>
        <w:tabs>
          <w:tab w:leader="none" w:pos="80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per share equal to the market price (which is calculated as defined in our declaration of trust) on the date the shares were received, or</w:t>
      </w:r>
    </w:p>
    <w:p>
      <w:pPr>
        <w:spacing w:after="0" w:line="176" w:lineRule="exact"/>
        <w:rPr>
          <w:sz w:val="20"/>
          <w:szCs w:val="20"/>
          <w:color w:val="auto"/>
        </w:rPr>
      </w:pPr>
    </w:p>
    <w:p>
      <w:pPr>
        <w:ind w:left="800" w:right="3599" w:hanging="272"/>
        <w:spacing w:after="0"/>
        <w:tabs>
          <w:tab w:leader="none" w:pos="80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per share received by the trustee from the sale of such shares-in-trust.</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w:t>
      </w:r>
    </w:p>
    <w:p>
      <w:pPr>
        <w:spacing w:after="0" w:line="177" w:lineRule="exact"/>
        <w:rPr>
          <w:sz w:val="20"/>
          <w:szCs w:val="20"/>
          <w:color w:val="auto"/>
        </w:rPr>
      </w:pPr>
    </w:p>
    <w:p>
      <w:pPr>
        <w:ind w:right="3339" w:firstLine="268"/>
        <w:spacing w:after="0" w:line="263" w:lineRule="auto"/>
        <w:rPr>
          <w:sz w:val="20"/>
          <w:szCs w:val="20"/>
          <w:color w:val="auto"/>
        </w:rPr>
      </w:pPr>
      <w:r>
        <w:rPr>
          <w:rFonts w:ascii="Courier New" w:cs="Courier New" w:eastAsia="Courier New" w:hAnsi="Courier New"/>
          <w:sz w:val="14"/>
          <w:szCs w:val="14"/>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61"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to us of such event and provide us such other information as requested in order to determine the effect, if any, of such transfer on our status as a REIT.</w:t>
      </w:r>
    </w:p>
    <w:p>
      <w:pPr>
        <w:spacing w:after="0" w:line="176"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If a shareholder owns more than 5% of the outstanding common shares or preferred shares, then the shareholder must notify us of its share ownership by January 30 of each year.</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77"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Board of Trustees has agreed to exempt from the ownership limitation Morgan Stanley Investment Management, Inc., or MSIM. The MSIM exemption, which was granted on June 6, 2001 and is effective for four years, for itself and on behalf of its investment advisory clients on whose behalf MSIM owns our common shares, permits MSIM and its clients, as a group, to own up to 14.9% of our outstanding common shares.</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Warrants. We may issue warrants for the purchase of common or preferred shares. If we offer warrants, we will describe the terms in a prospectus 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80" w:lineRule="exact"/>
        <w:rPr>
          <w:sz w:val="20"/>
          <w:szCs w:val="20"/>
          <w:color w:val="auto"/>
        </w:rPr>
      </w:pPr>
    </w:p>
    <w:p>
      <w:pPr>
        <w:ind w:right="3519" w:firstLine="268"/>
        <w:spacing w:after="0"/>
        <w:rPr>
          <w:sz w:val="20"/>
          <w:szCs w:val="20"/>
          <w:color w:val="auto"/>
        </w:rPr>
      </w:pPr>
      <w:r>
        <w:rPr>
          <w:rFonts w:ascii="Courier New" w:cs="Courier New" w:eastAsia="Courier New" w:hAnsi="Courier New"/>
          <w:sz w:val="15"/>
          <w:szCs w:val="15"/>
          <w:color w:val="auto"/>
        </w:rPr>
        <w:t>The following are some of the warrant terms that could be described in a prospectus supplement:</w:t>
      </w:r>
    </w:p>
    <w:p>
      <w:pPr>
        <w:spacing w:after="0" w:line="174" w:lineRule="exact"/>
        <w:rPr>
          <w:sz w:val="20"/>
          <w:szCs w:val="20"/>
          <w:color w:val="auto"/>
        </w:rPr>
      </w:pPr>
    </w:p>
    <w:p>
      <w:pPr>
        <w:ind w:left="440" w:hanging="269"/>
        <w:spacing w:after="0"/>
        <w:tabs>
          <w:tab w:leader="none" w:pos="4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warrant;</w:t>
      </w:r>
    </w:p>
    <w:p>
      <w:pPr>
        <w:spacing w:after="0" w:line="174" w:lineRule="exact"/>
        <w:rPr>
          <w:sz w:val="20"/>
          <w:szCs w:val="20"/>
          <w:color w:val="auto"/>
        </w:rPr>
      </w:pPr>
    </w:p>
    <w:p>
      <w:pPr>
        <w:ind w:left="440" w:hanging="269"/>
        <w:spacing w:after="0"/>
        <w:tabs>
          <w:tab w:leader="none" w:pos="4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warrants;</w:t>
      </w:r>
    </w:p>
    <w:p>
      <w:pPr>
        <w:spacing w:after="0" w:line="176" w:lineRule="exact"/>
        <w:rPr>
          <w:sz w:val="20"/>
          <w:szCs w:val="20"/>
          <w:color w:val="auto"/>
        </w:rPr>
      </w:pPr>
    </w:p>
    <w:p>
      <w:pPr>
        <w:ind w:left="3400" w:right="4779" w:hanging="3229"/>
        <w:spacing w:after="0" w:line="483" w:lineRule="auto"/>
        <w:tabs>
          <w:tab w:leader="none" w:pos="448"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or prices at which the warrant will be issued; 25</w:t>
      </w:r>
    </w:p>
    <w:p>
      <w:pPr>
        <w:sectPr>
          <w:pgSz w:w="11900" w:h="16838" w:orient="portrait"/>
          <w:cols w:equalWidth="0" w:num="1">
            <w:col w:w="10219"/>
          </w:cols>
          <w:pgMar w:left="240" w:top="635" w:right="1440" w:bottom="1440" w:gutter="0" w:footer="0" w:header="0"/>
        </w:sectPr>
      </w:pPr>
    </w:p>
    <w:bookmarkStart w:id="27" w:name="page28"/>
    <w:bookmarkEnd w:id="27"/>
    <w:p>
      <w:pPr>
        <w:ind w:left="440" w:right="3159" w:hanging="269"/>
        <w:spacing w:after="0"/>
        <w:tabs>
          <w:tab w:leader="none" w:pos="4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number and terms of the preferred shares or common shares that may be purchased on exercise of the warrant;</w:t>
      </w:r>
    </w:p>
    <w:p>
      <w:pPr>
        <w:spacing w:after="0" w:line="176" w:lineRule="exact"/>
        <w:rPr>
          <w:sz w:val="20"/>
          <w:szCs w:val="20"/>
          <w:color w:val="auto"/>
        </w:rPr>
      </w:pPr>
    </w:p>
    <w:p>
      <w:pPr>
        <w:ind w:left="440" w:right="4059" w:hanging="269"/>
        <w:spacing w:after="0"/>
        <w:tabs>
          <w:tab w:leader="none" w:pos="44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if any, on and after which the warrant and the related securities will be separately transferable;</w:t>
      </w:r>
    </w:p>
    <w:p>
      <w:pPr>
        <w:spacing w:after="0" w:line="176" w:lineRule="exact"/>
        <w:rPr>
          <w:sz w:val="20"/>
          <w:szCs w:val="20"/>
          <w:color w:val="auto"/>
        </w:rPr>
      </w:pPr>
    </w:p>
    <w:p>
      <w:pPr>
        <w:ind w:left="440" w:right="3439" w:hanging="269"/>
        <w:spacing w:after="0"/>
        <w:tabs>
          <w:tab w:leader="none" w:pos="44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each security purchasable on exercise of the warrant may be purchased;</w:t>
      </w:r>
    </w:p>
    <w:p>
      <w:pPr>
        <w:spacing w:after="0" w:line="176" w:lineRule="exact"/>
        <w:rPr>
          <w:sz w:val="20"/>
          <w:szCs w:val="20"/>
          <w:color w:val="auto"/>
        </w:rPr>
      </w:pPr>
    </w:p>
    <w:p>
      <w:pPr>
        <w:ind w:left="440" w:right="3519" w:hanging="269"/>
        <w:spacing w:after="0"/>
        <w:tabs>
          <w:tab w:leader="none" w:pos="44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dates on which the right to purchase the securities purchasable on exercise of the warrant will begin and end;</w:t>
      </w:r>
    </w:p>
    <w:p>
      <w:pPr>
        <w:spacing w:after="0" w:line="176" w:lineRule="exact"/>
        <w:rPr>
          <w:sz w:val="20"/>
          <w:szCs w:val="20"/>
          <w:color w:val="auto"/>
        </w:rPr>
      </w:pPr>
    </w:p>
    <w:p>
      <w:pPr>
        <w:ind w:left="440" w:right="3339" w:hanging="269"/>
        <w:spacing w:after="0"/>
        <w:tabs>
          <w:tab w:leader="none" w:pos="44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minimum or maximum number of securities that may be purchased at any one time;</w:t>
      </w:r>
    </w:p>
    <w:p>
      <w:pPr>
        <w:spacing w:after="0" w:line="174" w:lineRule="exact"/>
        <w:rPr>
          <w:sz w:val="20"/>
          <w:szCs w:val="20"/>
          <w:color w:val="auto"/>
        </w:rPr>
      </w:pPr>
    </w:p>
    <w:p>
      <w:pPr>
        <w:ind w:left="440" w:hanging="269"/>
        <w:spacing w:after="0"/>
        <w:tabs>
          <w:tab w:leader="none" w:pos="44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anti-dilution protection;</w:t>
      </w:r>
    </w:p>
    <w:p>
      <w:pPr>
        <w:spacing w:after="0" w:line="174" w:lineRule="exact"/>
        <w:rPr>
          <w:sz w:val="20"/>
          <w:szCs w:val="20"/>
          <w:color w:val="auto"/>
        </w:rPr>
      </w:pPr>
    </w:p>
    <w:p>
      <w:pPr>
        <w:ind w:left="440" w:hanging="269"/>
        <w:spacing w:after="0"/>
        <w:tabs>
          <w:tab w:leader="none" w:pos="44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book-entry procedures, if any;</w:t>
      </w:r>
    </w:p>
    <w:p>
      <w:pPr>
        <w:spacing w:after="0" w:line="174" w:lineRule="exact"/>
        <w:rPr>
          <w:sz w:val="20"/>
          <w:szCs w:val="20"/>
          <w:color w:val="auto"/>
        </w:rPr>
      </w:pPr>
    </w:p>
    <w:p>
      <w:pPr>
        <w:ind w:left="440" w:hanging="269"/>
        <w:spacing w:after="0"/>
        <w:tabs>
          <w:tab w:leader="none" w:pos="44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discussion of certain federal income tax considerations; and</w:t>
      </w:r>
    </w:p>
    <w:p>
      <w:pPr>
        <w:spacing w:after="0" w:line="176" w:lineRule="exact"/>
        <w:rPr>
          <w:sz w:val="20"/>
          <w:szCs w:val="20"/>
          <w:color w:val="auto"/>
        </w:rPr>
      </w:pPr>
    </w:p>
    <w:p>
      <w:pPr>
        <w:ind w:left="440" w:right="3599" w:hanging="269"/>
        <w:spacing w:after="0"/>
        <w:tabs>
          <w:tab w:leader="none" w:pos="4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warrant terms, including terms relating to transferability, exchange or exercise of the warrant.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Provisions of Maryland Law and our Declaration of Trust and Bylaws</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1"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Business Combinations. Applicable Maryland law, as set forth in the Maryland General Corporation Law, prohibits us from entering into "business 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77" w:lineRule="exact"/>
        <w:rPr>
          <w:sz w:val="20"/>
          <w:szCs w:val="20"/>
          <w:color w:val="auto"/>
        </w:rPr>
      </w:pPr>
    </w:p>
    <w:p>
      <w:pPr>
        <w:ind w:left="440" w:right="3439" w:hanging="269"/>
        <w:spacing w:after="0"/>
        <w:tabs>
          <w:tab w:leader="none" w:pos="44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beneficially owns 10% or more of the voting power of our shares; or</w:t>
      </w:r>
    </w:p>
    <w:p>
      <w:pPr>
        <w:spacing w:after="0" w:line="176" w:lineRule="exact"/>
        <w:rPr>
          <w:sz w:val="20"/>
          <w:szCs w:val="20"/>
          <w:color w:val="auto"/>
        </w:rPr>
      </w:pPr>
    </w:p>
    <w:p>
      <w:pPr>
        <w:ind w:left="440" w:right="3159" w:hanging="269"/>
        <w:spacing w:after="0" w:line="241" w:lineRule="auto"/>
        <w:tabs>
          <w:tab w:leader="none" w:pos="44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our affiliates that beneficially owned 10% or more of the voting power of our shares within two years prior to the applicable date relating to the transaction.</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75" w:lineRule="exact"/>
        <w:rPr>
          <w:sz w:val="20"/>
          <w:szCs w:val="20"/>
          <w:color w:val="auto"/>
        </w:rPr>
      </w:pPr>
    </w:p>
    <w:p>
      <w:pPr>
        <w:jc w:val="both"/>
        <w:ind w:right="3159" w:firstLine="268"/>
        <w:spacing w:after="0" w:line="241" w:lineRule="auto"/>
        <w:rPr>
          <w:sz w:val="20"/>
          <w:szCs w:val="20"/>
          <w:color w:val="auto"/>
        </w:rPr>
      </w:pPr>
      <w:r>
        <w:rPr>
          <w:rFonts w:ascii="Courier New" w:cs="Courier New" w:eastAsia="Courier New" w:hAnsi="Courier New"/>
          <w:sz w:val="15"/>
          <w:szCs w:val="15"/>
          <w:color w:val="auto"/>
        </w:rPr>
        <w:t>We may engage in business combinations with an interested shareholder if at least five years have passed since the person became an interested shareholder, but only if the transaction is:</w:t>
      </w:r>
    </w:p>
    <w:p>
      <w:pPr>
        <w:spacing w:after="0" w:line="174" w:lineRule="exact"/>
        <w:rPr>
          <w:sz w:val="20"/>
          <w:szCs w:val="20"/>
          <w:color w:val="auto"/>
        </w:rPr>
      </w:pPr>
    </w:p>
    <w:p>
      <w:pPr>
        <w:ind w:left="440" w:hanging="269"/>
        <w:spacing w:after="0"/>
        <w:tabs>
          <w:tab w:leader="none" w:pos="44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by our Board of Trustees; and</w:t>
      </w:r>
    </w:p>
    <w:p>
      <w:pPr>
        <w:spacing w:after="0" w:line="174"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by at least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5" w:right="1440" w:bottom="1440" w:gutter="0" w:footer="0" w:header="0"/>
        </w:sectPr>
      </w:pPr>
    </w:p>
    <w:bookmarkStart w:id="28" w:name="page29"/>
    <w:bookmarkEnd w:id="28"/>
    <w:p>
      <w:pPr>
        <w:ind w:left="800" w:hanging="272"/>
        <w:spacing w:after="0"/>
        <w:tabs>
          <w:tab w:leader="none" w:pos="80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 of our outstanding shares entitled to vote; and</w:t>
      </w:r>
    </w:p>
    <w:p>
      <w:pPr>
        <w:spacing w:after="0" w:line="176" w:lineRule="exact"/>
        <w:rPr>
          <w:sz w:val="20"/>
          <w:szCs w:val="20"/>
          <w:color w:val="auto"/>
        </w:rPr>
      </w:pPr>
    </w:p>
    <w:p>
      <w:pPr>
        <w:ind w:left="800" w:right="3519" w:hanging="272"/>
        <w:spacing w:after="0"/>
        <w:tabs>
          <w:tab w:leader="none" w:pos="80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two-thirds of our outstanding shares entitled to vote that are not held by the interested shareholder.</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Control Share Acquisitions. Our bylaws exempt acquisitions of our shares of beneficial interest by any person from "control share acquisition" requirements discussed below. With the approval of our Board of Trustees, however, we could modify or eliminate the exemption in the future. If the exemption were eliminated, "control share acquisitions" would be subject to the following provisions.</w:t>
      </w:r>
    </w:p>
    <w:p>
      <w:pPr>
        <w:spacing w:after="0" w:line="176" w:lineRule="exact"/>
        <w:rPr>
          <w:sz w:val="20"/>
          <w:szCs w:val="20"/>
          <w:color w:val="auto"/>
        </w:rPr>
      </w:pPr>
    </w:p>
    <w:p>
      <w:pPr>
        <w:ind w:right="3159" w:firstLine="268"/>
        <w:spacing w:after="0" w:line="263" w:lineRule="auto"/>
        <w:rPr>
          <w:sz w:val="20"/>
          <w:szCs w:val="20"/>
          <w:color w:val="auto"/>
        </w:rPr>
      </w:pPr>
      <w:r>
        <w:rPr>
          <w:rFonts w:ascii="Courier New" w:cs="Courier New" w:eastAsia="Courier New" w:hAnsi="Courier New"/>
          <w:sz w:val="14"/>
          <w:szCs w:val="14"/>
          <w:color w:val="auto"/>
        </w:rPr>
        <w:t>The Maryland General Corporation Law provides that "control shares" of a Maryland real estate investment trust acquired in a "control share acquisition" have no voting rights unless two-thirds of the shareholders (excluding shares owned by the acquirer and by the officers and trustees who are employees of the Maryland real estate investment trust) approve their voting rights.</w:t>
      </w:r>
    </w:p>
    <w:p>
      <w:pPr>
        <w:spacing w:after="0" w:line="163" w:lineRule="exact"/>
        <w:rPr>
          <w:sz w:val="20"/>
          <w:szCs w:val="20"/>
          <w:color w:val="auto"/>
        </w:rPr>
      </w:pPr>
    </w:p>
    <w:p>
      <w:pPr>
        <w:ind w:right="3439" w:firstLine="268"/>
        <w:spacing w:after="0" w:line="274" w:lineRule="auto"/>
        <w:rPr>
          <w:sz w:val="20"/>
          <w:szCs w:val="20"/>
          <w:color w:val="auto"/>
        </w:rPr>
      </w:pPr>
      <w:r>
        <w:rPr>
          <w:rFonts w:ascii="Courier New" w:cs="Courier New" w:eastAsia="Courier New" w:hAnsi="Courier New"/>
          <w:sz w:val="14"/>
          <w:szCs w:val="14"/>
          <w:color w:val="auto"/>
        </w:rPr>
        <w:t>"Control Shares" are shares that, if added to all other shares previously acquired, would entitle that person to vote, in electing trustees:</w:t>
      </w:r>
    </w:p>
    <w:p>
      <w:pPr>
        <w:spacing w:after="0" w:line="152" w:lineRule="exact"/>
        <w:rPr>
          <w:sz w:val="20"/>
          <w:szCs w:val="20"/>
          <w:color w:val="auto"/>
        </w:rPr>
      </w:pPr>
    </w:p>
    <w:p>
      <w:pPr>
        <w:ind w:left="440" w:hanging="269"/>
        <w:spacing w:after="0"/>
        <w:tabs>
          <w:tab w:leader="none" w:pos="44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or more but less than one-third of such shares;</w:t>
      </w:r>
    </w:p>
    <w:p>
      <w:pPr>
        <w:spacing w:after="0" w:line="174" w:lineRule="exact"/>
        <w:rPr>
          <w:sz w:val="20"/>
          <w:szCs w:val="20"/>
          <w:color w:val="auto"/>
        </w:rPr>
      </w:pPr>
    </w:p>
    <w:p>
      <w:pPr>
        <w:ind w:left="440" w:hanging="269"/>
        <w:spacing w:after="0"/>
        <w:tabs>
          <w:tab w:leader="none" w:pos="44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one-third or more but less than a majority of such shares, or</w:t>
      </w:r>
    </w:p>
    <w:p>
      <w:pPr>
        <w:spacing w:after="0" w:line="174"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outstanding shares.</w:t>
      </w:r>
    </w:p>
    <w:p>
      <w:pPr>
        <w:spacing w:after="0" w:line="176" w:lineRule="exact"/>
        <w:rPr>
          <w:sz w:val="20"/>
          <w:szCs w:val="20"/>
          <w:color w:val="auto"/>
        </w:rPr>
      </w:pPr>
    </w:p>
    <w:p>
      <w:pPr>
        <w:ind w:right="3519" w:firstLine="268"/>
        <w:spacing w:after="0" w:line="241" w:lineRule="auto"/>
        <w:rPr>
          <w:sz w:val="20"/>
          <w:szCs w:val="20"/>
          <w:color w:val="auto"/>
        </w:rPr>
      </w:pPr>
      <w:r>
        <w:rPr>
          <w:rFonts w:ascii="Courier New" w:cs="Courier New" w:eastAsia="Courier New" w:hAnsi="Courier New"/>
          <w:sz w:val="15"/>
          <w:szCs w:val="15"/>
          <w:color w:val="auto"/>
        </w:rPr>
        <w:t>Control shares do not include shares the acquiring person is entitled to vote with shareholder approval. A "control share acquisition" means the acquisition of control shares, subject to certain exceptions.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75"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Rights Plan. On April 13, 1989, we adopted a shareholder rights plan and declared a dividend distribution of one right for each outstanding common share to shareholders of record at the close of business on April 24, 1989, with such rights to expire on April 24, 1999. On March 11, 1999, the expiration date of the rights plan was extended and certain other amendments to the terms of the rights plan were adopted. Except as set forth below, each right, when exercisable, entitles the registered holder to purchase from us a number of common shares equal in value to two times the purchase price, which is initially equal to $65.00 per share but is subject to adjustment upon the occurrence of specified events.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rights become exercisable upon the earlier to occur of</w:t>
      </w:r>
    </w:p>
    <w:p>
      <w:pPr>
        <w:spacing w:after="0" w:line="176" w:lineRule="exact"/>
        <w:rPr>
          <w:sz w:val="20"/>
          <w:szCs w:val="20"/>
          <w:color w:val="auto"/>
        </w:rPr>
      </w:pPr>
    </w:p>
    <w:p>
      <w:pPr>
        <w:ind w:left="440" w:right="3159" w:hanging="269"/>
        <w:spacing w:after="0" w:line="241" w:lineRule="auto"/>
        <w:tabs>
          <w:tab w:leader="none" w:pos="44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public announcement that, without our prior consent, a person or group of affiliated or associated persons has acquired, or obtained the right to acquire, beneficial ownership of 15% or more of our common shares; or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3" w:right="1440" w:bottom="1440" w:gutter="0" w:footer="0" w:header="0"/>
        </w:sectPr>
      </w:pPr>
    </w:p>
    <w:bookmarkStart w:id="29" w:name="page30"/>
    <w:bookmarkEnd w:id="29"/>
    <w:p>
      <w:pPr>
        <w:ind w:left="440" w:right="3159" w:hanging="269"/>
        <w:spacing w:after="0" w:line="242" w:lineRule="auto"/>
        <w:tabs>
          <w:tab w:leader="none" w:pos="44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 days following the commencement of (or a public announcement of an intention to make) a tender offer or exchange offer that would result in the beneficial ownership by a person or group of 15% or more of our common shares.</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to holders of record of our common shares, and the separate rights certificates alone will evidence the rights.</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 general, the rights will expire on the earliest of</w:t>
      </w:r>
    </w:p>
    <w:p>
      <w:pPr>
        <w:spacing w:after="0" w:line="174" w:lineRule="exact"/>
        <w:rPr>
          <w:sz w:val="20"/>
          <w:szCs w:val="20"/>
          <w:color w:val="auto"/>
        </w:rPr>
      </w:pPr>
    </w:p>
    <w:p>
      <w:pPr>
        <w:ind w:left="440" w:hanging="269"/>
        <w:spacing w:after="0"/>
        <w:tabs>
          <w:tab w:leader="none" w:pos="4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April 24, 2009;</w:t>
      </w:r>
    </w:p>
    <w:p>
      <w:pPr>
        <w:spacing w:after="0" w:line="176" w:lineRule="exact"/>
        <w:rPr>
          <w:sz w:val="20"/>
          <w:szCs w:val="20"/>
          <w:color w:val="auto"/>
        </w:rPr>
      </w:pPr>
    </w:p>
    <w:p>
      <w:pPr>
        <w:ind w:left="440" w:right="3159" w:hanging="269"/>
        <w:spacing w:after="0" w:line="241" w:lineRule="auto"/>
        <w:tabs>
          <w:tab w:leader="none" w:pos="4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merger transaction with a person or group who acquired common shares pursuant to a transaction approved by the Board of Trustees; or</w:t>
      </w:r>
    </w:p>
    <w:p>
      <w:pPr>
        <w:spacing w:after="0" w:line="174" w:lineRule="exact"/>
        <w:rPr>
          <w:sz w:val="20"/>
          <w:szCs w:val="20"/>
          <w:color w:val="auto"/>
        </w:rPr>
      </w:pPr>
    </w:p>
    <w:p>
      <w:pPr>
        <w:ind w:left="440" w:hanging="269"/>
        <w:spacing w:after="0"/>
        <w:tabs>
          <w:tab w:leader="none" w:pos="4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by us as described below.</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 the event that the rights become exercisable, each holder of a right will for a 60-day period thereafter have the right to receive upon exercise and payment of the purchase price (initially set at $65.00 but subject to adjustment) that number of our common shares (or fractional shares) having a then-current market value of two times the purchase price, subject to the availability of a sufficient number of authorized but unissued common shares. We are be entitled (but not required) to deliver, upon exercise of the right, in lieu of common shares, shares of equivalent securities.</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which at the time of such transaction would have a market value equal to two times the then-current purchase price of the right.</w:t>
      </w:r>
    </w:p>
    <w:p>
      <w:pPr>
        <w:spacing w:after="0" w:line="178"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At any time prior to the earlier to occur of the date the rights become exercisable or the expiration of the rights, we may redeem the rights in whole, but not in part, at a price of $0.01 per right, payable in cash or common shares.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15% or more of our common shares. Upon the effective date of the redemption of the rights, the right to exercise the rights will terminate and the only right of the holders of rights will be to receive the price of $0.01 per right.</w:t>
      </w:r>
    </w:p>
    <w:p>
      <w:pPr>
        <w:spacing w:after="0" w:line="182" w:lineRule="exact"/>
        <w:rPr>
          <w:sz w:val="20"/>
          <w:szCs w:val="20"/>
          <w:color w:val="auto"/>
        </w:rPr>
      </w:pPr>
    </w:p>
    <w:p>
      <w:pPr>
        <w:jc w:val="both"/>
        <w:ind w:right="3159" w:firstLine="268"/>
        <w:spacing w:after="0" w:line="241" w:lineRule="auto"/>
        <w:rPr>
          <w:sz w:val="20"/>
          <w:szCs w:val="20"/>
          <w:color w:val="auto"/>
        </w:rPr>
      </w:pPr>
      <w:r>
        <w:rPr>
          <w:rFonts w:ascii="Courier New" w:cs="Courier New" w:eastAsia="Courier New" w:hAnsi="Courier New"/>
          <w:sz w:val="15"/>
          <w:szCs w:val="15"/>
          <w:color w:val="auto"/>
        </w:rPr>
        <w:t>Until a right is exercised, the holder thereof, as such, will have no rights as one of our shareholders, including, without limitation, the right to vote or to receive dividends.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Duties of Trustees. Under Maryland law, there is a presumption that the act of a trustee satisfies the required standard of care. An act of a trustee relating to or affecting an acquisition or a potential acquisition of control is not subject under Maryland law to a higher duty or greater scrutiny than is applied to any other act of a trustee. This provision does not impose an enhanced level of scrutiny when a board implements anti-takeover measures in a change of control context, and shifts the burden of proof for demonstrating that the defensive mechanism adopted by a board is reasonable in relation to the threat posed to the board.</w:t>
      </w:r>
    </w:p>
    <w:p>
      <w:pPr>
        <w:spacing w:after="0" w:line="178"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Number of Trustees; Classified Board. The number of trustees may be increased or decreased pursuant to the bylaws, provided that the total number of trustees may not be less than three or more than 15. Under Maryland law and our declaration of trust, trustees, except for holders of preferred shares, are elected in three classes for staggered, three-year terms.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5" w:right="1440" w:bottom="1440" w:gutter="0" w:footer="0" w:header="0"/>
        </w:sectPr>
      </w:pPr>
    </w:p>
    <w:bookmarkStart w:id="30" w:name="page31"/>
    <w:bookmarkEnd w:id="30"/>
    <w:p>
      <w:pPr>
        <w:ind w:right="3259" w:firstLine="268"/>
        <w:spacing w:after="0" w:line="242" w:lineRule="auto"/>
        <w:rPr>
          <w:sz w:val="20"/>
          <w:szCs w:val="20"/>
          <w:color w:val="auto"/>
        </w:rPr>
      </w:pPr>
      <w:r>
        <w:rPr>
          <w:rFonts w:ascii="Courier New" w:cs="Courier New" w:eastAsia="Courier New" w:hAnsi="Courier New"/>
          <w:sz w:val="15"/>
          <w:szCs w:val="15"/>
          <w:color w:val="auto"/>
        </w:rPr>
        <w:t>Removal of Trustees. Under the declaration of trust, and subject to the rights of any holders of preferred shares, our shareholders may remove a trustee, with or without cause, at any meeting of shareholders called for that purpose, either by</w:t>
      </w:r>
    </w:p>
    <w:p>
      <w:pPr>
        <w:spacing w:after="0" w:line="175" w:lineRule="exact"/>
        <w:rPr>
          <w:sz w:val="20"/>
          <w:szCs w:val="20"/>
          <w:color w:val="auto"/>
        </w:rPr>
      </w:pPr>
    </w:p>
    <w:p>
      <w:pPr>
        <w:ind w:left="440" w:right="3159" w:hanging="269"/>
        <w:spacing w:after="0" w:line="242" w:lineRule="auto"/>
        <w:tabs>
          <w:tab w:leader="none" w:pos="44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175" w:lineRule="exact"/>
        <w:rPr>
          <w:sz w:val="20"/>
          <w:szCs w:val="20"/>
          <w:color w:val="auto"/>
        </w:rPr>
      </w:pPr>
    </w:p>
    <w:p>
      <w:pPr>
        <w:ind w:left="440" w:right="3159" w:hanging="269"/>
        <w:spacing w:after="0" w:line="242" w:lineRule="auto"/>
        <w:tabs>
          <w:tab w:leader="none" w:pos="4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Vacancies on the Board of Trustees. The bylaws provide that, subject to the rights of any holders of preferred shares, any vacancy on the Board of 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Series A preferred shares and the Series B preferred shares provide that, when six consecutive quarterly dividends payable to holders of Series A preferred shares, Series B preferred shares or any series or class of parity shares are in arrears, holders of Series A preferred shares and Series B preferred shares, together with the holders of any series or class of shares ranking on a parity with the Series A and Series B preferred shares, voting as a single class regardless of series, will be entitled to elect two additional trustees to serve on the Board of Trustees. Whenever all dividends in arrears on the Series A preferred shares, Series B preferred shares and any series or class of parity shares have been paid or set aside for payment, then these special voting rights immediately cease (subject to reinstatement under similar circumstances in the future), and the term of office of the trustees so elected automatically terminates.</w:t>
      </w:r>
    </w:p>
    <w:p>
      <w:pPr>
        <w:spacing w:after="0" w:line="181"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Meetings of Shareholders. Our bylaws provide for an annual meeting of shareholders, to be held in May after delivery of the annual report to shareholders, to elect individuals to the Board of Trustees for the class of trustees then standing for election and transact such other business as may properly be brought before the meeting. Special meetings of shareholders may be called by our President or by one-third of the Board of Trustees, and shall be called at the request in writing of the holders of 25% of all votes entitled to be cast at the meeting.</w:t>
      </w:r>
    </w:p>
    <w:p>
      <w:pPr>
        <w:spacing w:after="0" w:line="177"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Our declaration of trust provides that any action required or permitted to be taken at a meeting of shareholders may be taken without a meeting, if a majority of shares entitled to vote on the matter (or such larger</w:t>
      </w:r>
    </w:p>
    <w:p>
      <w:pPr>
        <w:spacing w:after="0" w:line="4" w:lineRule="exact"/>
        <w:rPr>
          <w:sz w:val="20"/>
          <w:szCs w:val="20"/>
          <w:color w:val="auto"/>
        </w:rPr>
      </w:pPr>
    </w:p>
    <w:p>
      <w:pPr>
        <w:jc w:val="both"/>
        <w:ind w:right="3159" w:firstLine="268"/>
        <w:spacing w:after="0" w:line="241" w:lineRule="auto"/>
        <w:rPr>
          <w:sz w:val="20"/>
          <w:szCs w:val="20"/>
          <w:color w:val="auto"/>
        </w:rPr>
      </w:pPr>
      <w:r>
        <w:rPr>
          <w:rFonts w:ascii="Courier New" w:cs="Courier New" w:eastAsia="Courier New" w:hAnsi="Courier New"/>
          <w:sz w:val="15"/>
          <w:szCs w:val="15"/>
          <w:color w:val="auto"/>
        </w:rPr>
        <w:t>proportion as shall be required to take the action) consent to the action in writing and the written consents are filed with the records of the meetings of shareholders.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Advance Notice for Shareholder Nominations and Shareholder New Business Proposals. Our bylaws require advance written notice for 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90/th /day nor earlier than the close of business on the 120/th/ day prior to the first anniversary of the date of the proxy statement relating to the preceding year's annual meeting. If the date of the annual meeting is advanced by more than 30 days or delayed by more than 60 days from the anniversary date, however, notice must be delivered not earlier than the close of business on the 120/th/ day prior to such annual meeting and not later than the close of business on the later of the 90/th/ day prior to the annual meeting or the 10/th/ day following the date on which public announcement is first made of the annual meeting.</w:t>
      </w:r>
    </w:p>
    <w:p>
      <w:pPr>
        <w:spacing w:after="0" w:line="182"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For a special meeting, to nominate a trustee, a shareholder must deliver notice to our Secretary not earlier that the close of business on the 120/th/ day prior to the special meeting and not later than the close of business on the later of the 90/th/ day prior to the special meeting or the 10/th/ day following the date on which public</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5" w:right="1440" w:bottom="1440" w:gutter="0" w:footer="0" w:header="0"/>
        </w:sectPr>
      </w:pPr>
    </w:p>
    <w:bookmarkStart w:id="31" w:name="page32"/>
    <w:bookmarkEnd w:id="31"/>
    <w:p>
      <w:pPr>
        <w:ind w:right="3159"/>
        <w:spacing w:after="0" w:line="242" w:lineRule="auto"/>
        <w:rPr>
          <w:sz w:val="20"/>
          <w:szCs w:val="20"/>
          <w:color w:val="auto"/>
        </w:rPr>
      </w:pPr>
      <w:r>
        <w:rPr>
          <w:rFonts w:ascii="Courier New" w:cs="Courier New" w:eastAsia="Courier New" w:hAnsi="Courier New"/>
          <w:sz w:val="15"/>
          <w:szCs w:val="15"/>
          <w:color w:val="auto"/>
        </w:rPr>
        <w:t>announcement is first made of the special meeting. Nominations for elections to the Board of Trustees at a special meeting may be made by shareholders only if the Board of Trustees has determined that trustees shall be elected at the special meeting.</w:t>
      </w:r>
    </w:p>
    <w:p>
      <w:pPr>
        <w:spacing w:after="0" w:line="175" w:lineRule="exact"/>
        <w:rPr>
          <w:sz w:val="20"/>
          <w:szCs w:val="20"/>
          <w:color w:val="auto"/>
        </w:rPr>
      </w:pPr>
    </w:p>
    <w:p>
      <w:pPr>
        <w:jc w:val="both"/>
        <w:ind w:right="3339" w:firstLine="268"/>
        <w:spacing w:after="0" w:line="265" w:lineRule="auto"/>
        <w:rPr>
          <w:sz w:val="20"/>
          <w:szCs w:val="20"/>
          <w:color w:val="auto"/>
        </w:rPr>
      </w:pPr>
      <w:r>
        <w:rPr>
          <w:rFonts w:ascii="Courier New" w:cs="Courier New" w:eastAsia="Courier New" w:hAnsi="Courier New"/>
          <w:sz w:val="14"/>
          <w:szCs w:val="14"/>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5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following sections summarize the federal income tax issues that you may consider relevant. Because this section is a summary, it does not address all of the tax issues that may be important to you.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 broker-dealers, and non-U.S. individuals and foreign corporations (except to the extent discussed in "-- Taxation of Non-U.S. Shareholders" below).</w:t>
      </w:r>
    </w:p>
    <w:p>
      <w:pPr>
        <w:spacing w:after="0" w:line="179"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75"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of the Company</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 the opinion of our tax counsel, Shaw Pittman LLP, (i) we qualified as a REIT under Sections 856 through 859 of the Code with respect to our taxable years ended through December 31, 2001; and (ii) we are organized in conformity with the requirements for qualification as a REIT under the Code and our current method of operation will enable us to meet the requirements for qualification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Shaw Pittman LLP will not monitor our compliance with the requirements for REIT qualification on an ongoing basis. Accordingly, no assurance can be given that our actual operating results will satisfy the qualification tests. For a discussion of the tax treatment of us and our shareholders if we fail to qualify as a REIT, see "-- Requirements for REIT Qualification -- Failure to Qualify."</w:t>
      </w:r>
    </w:p>
    <w:p>
      <w:pPr>
        <w:spacing w:after="0" w:line="187" w:lineRule="exact"/>
        <w:rPr>
          <w:sz w:val="20"/>
          <w:szCs w:val="20"/>
          <w:color w:val="auto"/>
        </w:rPr>
      </w:pPr>
    </w:p>
    <w:p>
      <w:pPr>
        <w:ind w:right="3259" w:firstLine="268"/>
        <w:spacing w:after="0" w:line="267" w:lineRule="auto"/>
        <w:rPr>
          <w:sz w:val="20"/>
          <w:szCs w:val="20"/>
          <w:color w:val="auto"/>
        </w:rPr>
      </w:pPr>
      <w:r>
        <w:rPr>
          <w:rFonts w:ascii="Courier New" w:cs="Courier New" w:eastAsia="Courier New" w:hAnsi="Courier New"/>
          <w:sz w:val="14"/>
          <w:szCs w:val="14"/>
          <w:color w:val="auto"/>
        </w:rPr>
        <w:t>If we qualify as a REIT, we generally will not be subject to federal income tax on the taxable income that we distribute to our shareholders. The benefit of that tax treatment is that it avoids the "double taxation" (i.e., at</w:t>
      </w:r>
    </w:p>
    <w:p>
      <w:pPr>
        <w:spacing w:after="0" w:line="15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5" w:right="1440" w:bottom="1440" w:gutter="0" w:footer="0" w:header="0"/>
        </w:sectPr>
      </w:pPr>
    </w:p>
    <w:bookmarkStart w:id="32" w:name="page33"/>
    <w:bookmarkEnd w:id="32"/>
    <w:p>
      <w:pPr>
        <w:ind w:right="3339"/>
        <w:spacing w:after="0" w:line="241" w:lineRule="auto"/>
        <w:rPr>
          <w:sz w:val="20"/>
          <w:szCs w:val="20"/>
          <w:color w:val="auto"/>
        </w:rPr>
      </w:pPr>
      <w:r>
        <w:rPr>
          <w:rFonts w:ascii="Courier New" w:cs="Courier New" w:eastAsia="Courier New" w:hAnsi="Courier New"/>
          <w:sz w:val="15"/>
          <w:szCs w:val="15"/>
          <w:color w:val="auto"/>
        </w:rPr>
        <w:t>both the corporate and stockholder levels) that generally results from owning stock in a corporation. However, we will be subject to federal tax in the following circumstances:</w:t>
      </w:r>
    </w:p>
    <w:p>
      <w:pPr>
        <w:spacing w:after="0" w:line="176" w:lineRule="exact"/>
        <w:rPr>
          <w:sz w:val="20"/>
          <w:szCs w:val="20"/>
          <w:color w:val="auto"/>
        </w:rPr>
      </w:pPr>
    </w:p>
    <w:p>
      <w:pPr>
        <w:ind w:left="440" w:right="3439" w:hanging="269"/>
        <w:spacing w:after="0" w:line="242" w:lineRule="auto"/>
        <w:tabs>
          <w:tab w:leader="none" w:pos="44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75" w:lineRule="exact"/>
        <w:rPr>
          <w:sz w:val="20"/>
          <w:szCs w:val="20"/>
          <w:color w:val="auto"/>
        </w:rPr>
      </w:pPr>
    </w:p>
    <w:p>
      <w:pPr>
        <w:ind w:left="440" w:right="3439" w:hanging="269"/>
        <w:spacing w:after="0" w:line="274" w:lineRule="auto"/>
        <w:tabs>
          <w:tab w:leader="none" w:pos="44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subject to the " alternative minimum tax" on any items of tax preference that we do not distribute or allocate to our shareholders;</w:t>
      </w:r>
    </w:p>
    <w:p>
      <w:pPr>
        <w:spacing w:after="0" w:line="154" w:lineRule="exact"/>
        <w:rPr>
          <w:sz w:val="20"/>
          <w:szCs w:val="20"/>
          <w:color w:val="auto"/>
        </w:rPr>
      </w:pPr>
    </w:p>
    <w:p>
      <w:pPr>
        <w:ind w:left="440" w:right="3339" w:hanging="269"/>
        <w:spacing w:after="0" w:line="242" w:lineRule="auto"/>
        <w:tabs>
          <w:tab w:leader="none" w:pos="44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75" w:lineRule="exact"/>
        <w:rPr>
          <w:sz w:val="20"/>
          <w:szCs w:val="20"/>
          <w:color w:val="auto"/>
        </w:rPr>
      </w:pPr>
    </w:p>
    <w:p>
      <w:pPr>
        <w:ind w:left="440" w:right="3439" w:hanging="269"/>
        <w:spacing w:after="0" w:line="242" w:lineRule="auto"/>
        <w:tabs>
          <w:tab w:leader="none" w:pos="44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75" w:lineRule="exact"/>
        <w:rPr>
          <w:sz w:val="20"/>
          <w:szCs w:val="20"/>
          <w:color w:val="auto"/>
        </w:rPr>
      </w:pPr>
    </w:p>
    <w:p>
      <w:pPr>
        <w:ind w:left="440" w:right="3339" w:hanging="269"/>
        <w:spacing w:after="0" w:line="242" w:lineRule="auto"/>
        <w:tabs>
          <w:tab w:leader="none" w:pos="44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fail to satisfy the 75% gross income test or the 95% gross income test (as described below under "-- Requirements for REIT Qualification -- Income Tests"), and nonetheless continue to qualify as a REIT because we meet certain other requirements, we will pay a 100% tax on (i) the gross income attributable to the greater of the amount by which we fail, respectively, the 75% or 95% gross income test, multiplied by (ii) a fraction intended to reflect our profitability;</w:t>
      </w:r>
    </w:p>
    <w:p>
      <w:pPr>
        <w:spacing w:after="0" w:line="177" w:lineRule="exact"/>
        <w:rPr>
          <w:sz w:val="20"/>
          <w:szCs w:val="20"/>
          <w:color w:val="auto"/>
        </w:rPr>
      </w:pPr>
    </w:p>
    <w:p>
      <w:pPr>
        <w:ind w:left="440" w:right="3159" w:hanging="269"/>
        <w:spacing w:after="0" w:line="263" w:lineRule="auto"/>
        <w:tabs>
          <w:tab w:leader="none" w:pos="44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163" w:lineRule="exact"/>
        <w:rPr>
          <w:sz w:val="20"/>
          <w:szCs w:val="20"/>
          <w:color w:val="auto"/>
        </w:rPr>
      </w:pPr>
    </w:p>
    <w:p>
      <w:pPr>
        <w:ind w:left="440" w:right="3519" w:hanging="269"/>
        <w:spacing w:after="0"/>
        <w:tabs>
          <w:tab w:leader="none" w:pos="44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elect to retain and pay income tax on our net long-term capital gain; or</w:t>
      </w:r>
    </w:p>
    <w:p>
      <w:pPr>
        <w:spacing w:after="0" w:line="176" w:lineRule="exact"/>
        <w:rPr>
          <w:sz w:val="20"/>
          <w:szCs w:val="20"/>
          <w:color w:val="auto"/>
        </w:rPr>
      </w:pPr>
    </w:p>
    <w:p>
      <w:pPr>
        <w:ind w:left="440" w:right="3159" w:hanging="269"/>
        <w:spacing w:after="0" w:line="242" w:lineRule="auto"/>
        <w:tabs>
          <w:tab w:leader="none" w:pos="44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we will pay tax at the highest regular corporate rate applicable if we recognize gain on the sale or disposition of such asset during the 10-year period after we acquire such asset. The amount of gain on which we will pay tax is the lesser of (i) the amount of gain that we recognize at the time of the sale or disposition and (ii) the amount of gain that we would have recognized if we had sold the asset at the time we acquired the asset.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Requirements for REIT Qualification</w:t>
      </w:r>
    </w:p>
    <w:p>
      <w:pPr>
        <w:spacing w:after="0" w:line="176" w:lineRule="exact"/>
        <w:rPr>
          <w:sz w:val="20"/>
          <w:szCs w:val="20"/>
          <w:color w:val="auto"/>
        </w:rPr>
      </w:pPr>
    </w:p>
    <w:p>
      <w:pPr>
        <w:ind w:right="4139" w:firstLine="268"/>
        <w:spacing w:after="0"/>
        <w:rPr>
          <w:sz w:val="20"/>
          <w:szCs w:val="20"/>
          <w:color w:val="auto"/>
        </w:rPr>
      </w:pPr>
      <w:r>
        <w:rPr>
          <w:rFonts w:ascii="Courier New" w:cs="Courier New" w:eastAsia="Courier New" w:hAnsi="Courier New"/>
          <w:sz w:val="15"/>
          <w:szCs w:val="15"/>
          <w:color w:val="auto"/>
        </w:rPr>
        <w:t>In order to qualify as a REIT, we must be a corporation, trust or association and meet the following requirements:</w:t>
      </w:r>
    </w:p>
    <w:p>
      <w:pPr>
        <w:spacing w:after="0" w:line="174" w:lineRule="exact"/>
        <w:rPr>
          <w:sz w:val="20"/>
          <w:szCs w:val="20"/>
          <w:color w:val="auto"/>
        </w:rPr>
      </w:pPr>
    </w:p>
    <w:p>
      <w:pPr>
        <w:ind w:left="620" w:hanging="270"/>
        <w:spacing w:after="0"/>
        <w:tabs>
          <w:tab w:leader="none" w:pos="6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managed by one or more trustees or directors;</w:t>
      </w:r>
    </w:p>
    <w:p>
      <w:pPr>
        <w:spacing w:after="0" w:line="175" w:lineRule="exact"/>
        <w:rPr>
          <w:rFonts w:ascii="Courier New" w:cs="Courier New" w:eastAsia="Courier New" w:hAnsi="Courier New"/>
          <w:sz w:val="15"/>
          <w:szCs w:val="15"/>
          <w:color w:val="auto"/>
        </w:rPr>
      </w:pPr>
    </w:p>
    <w:p>
      <w:pPr>
        <w:ind w:left="620" w:right="3599" w:hanging="270"/>
        <w:spacing w:after="0"/>
        <w:tabs>
          <w:tab w:leader="none" w:pos="6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beneficial ownership is evidenced by transferable shares, or by transferable certificates of beneficial interest;</w:t>
      </w:r>
    </w:p>
    <w:p>
      <w:pPr>
        <w:spacing w:after="0" w:line="176" w:lineRule="exact"/>
        <w:rPr>
          <w:rFonts w:ascii="Courier New" w:cs="Courier New" w:eastAsia="Courier New" w:hAnsi="Courier New"/>
          <w:sz w:val="15"/>
          <w:szCs w:val="15"/>
          <w:color w:val="auto"/>
        </w:rPr>
      </w:pPr>
    </w:p>
    <w:p>
      <w:pPr>
        <w:ind w:left="620" w:right="3599" w:hanging="270"/>
        <w:spacing w:after="0"/>
        <w:tabs>
          <w:tab w:leader="none" w:pos="6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would be taxable as a domestic corporation, but for Sections 856 through 860 of the Code;</w:t>
      </w:r>
    </w:p>
    <w:p>
      <w:pPr>
        <w:spacing w:after="0" w:line="176" w:lineRule="exact"/>
        <w:rPr>
          <w:rFonts w:ascii="Courier New" w:cs="Courier New" w:eastAsia="Courier New" w:hAnsi="Courier New"/>
          <w:sz w:val="15"/>
          <w:szCs w:val="15"/>
          <w:color w:val="auto"/>
        </w:rPr>
      </w:pPr>
    </w:p>
    <w:p>
      <w:pPr>
        <w:ind w:left="620" w:right="3259" w:hanging="270"/>
        <w:spacing w:after="0"/>
        <w:tabs>
          <w:tab w:leader="none" w:pos="6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neither a financial institution nor an insurance company subject to certain provisions of the Code;</w:t>
      </w:r>
    </w:p>
    <w:p>
      <w:pPr>
        <w:spacing w:after="0" w:line="176" w:lineRule="exact"/>
        <w:rPr>
          <w:rFonts w:ascii="Courier New" w:cs="Courier New" w:eastAsia="Courier New" w:hAnsi="Courier New"/>
          <w:sz w:val="15"/>
          <w:szCs w:val="15"/>
          <w:color w:val="auto"/>
        </w:rPr>
      </w:pPr>
    </w:p>
    <w:p>
      <w:pPr>
        <w:ind w:left="620" w:right="3439" w:hanging="270"/>
        <w:spacing w:after="0"/>
        <w:tabs>
          <w:tab w:leader="none" w:pos="6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100 persons are beneficial owners of our shares or ownership certificates;</w:t>
      </w:r>
    </w:p>
    <w:p>
      <w:pPr>
        <w:spacing w:after="0" w:line="176" w:lineRule="exact"/>
        <w:rPr>
          <w:rFonts w:ascii="Courier New" w:cs="Courier New" w:eastAsia="Courier New" w:hAnsi="Courier New"/>
          <w:sz w:val="15"/>
          <w:szCs w:val="15"/>
          <w:color w:val="auto"/>
        </w:rPr>
      </w:pPr>
    </w:p>
    <w:p>
      <w:pPr>
        <w:ind w:left="620" w:right="3259" w:hanging="270"/>
        <w:spacing w:after="0" w:line="242" w:lineRule="auto"/>
        <w:tabs>
          <w:tab w:leader="none" w:pos="6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5" w:right="1440" w:bottom="1440" w:gutter="0" w:footer="0" w:header="0"/>
        </w:sectPr>
      </w:pPr>
    </w:p>
    <w:bookmarkStart w:id="33" w:name="page34"/>
    <w:bookmarkEnd w:id="33"/>
    <w:p>
      <w:pPr>
        <w:ind w:left="620" w:right="3159" w:hanging="270"/>
        <w:spacing w:after="0" w:line="242" w:lineRule="auto"/>
        <w:tabs>
          <w:tab w:leader="none" w:pos="62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elect to be a REIT (or have made such election for a previous taxable year) and satisfy all relevant filing and other administrative requirements established by the Internal Revenue Service that must be met to elect and maintain REIT status;</w:t>
      </w:r>
    </w:p>
    <w:p>
      <w:pPr>
        <w:spacing w:after="0" w:line="174" w:lineRule="exact"/>
        <w:rPr>
          <w:rFonts w:ascii="Courier New" w:cs="Courier New" w:eastAsia="Courier New" w:hAnsi="Courier New"/>
          <w:sz w:val="15"/>
          <w:szCs w:val="15"/>
          <w:color w:val="auto"/>
        </w:rPr>
      </w:pPr>
    </w:p>
    <w:p>
      <w:pPr>
        <w:ind w:left="620" w:right="3339" w:hanging="270"/>
        <w:spacing w:after="0" w:line="241" w:lineRule="auto"/>
        <w:tabs>
          <w:tab w:leader="none" w:pos="62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use a calendar year for federal income tax purposes and comply with the record keeping requirements of the Code and the related Treasury regulations; and</w:t>
      </w:r>
    </w:p>
    <w:p>
      <w:pPr>
        <w:spacing w:after="0" w:line="176" w:lineRule="exact"/>
        <w:rPr>
          <w:rFonts w:ascii="Courier New" w:cs="Courier New" w:eastAsia="Courier New" w:hAnsi="Courier New"/>
          <w:sz w:val="15"/>
          <w:szCs w:val="15"/>
          <w:color w:val="auto"/>
        </w:rPr>
      </w:pPr>
    </w:p>
    <w:p>
      <w:pPr>
        <w:ind w:left="620" w:right="3439" w:hanging="270"/>
        <w:spacing w:after="0"/>
        <w:tabs>
          <w:tab w:leader="none" w:pos="62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meet certain other qualification tests, described below, regarding the nature of our income and assets.</w:t>
      </w:r>
    </w:p>
    <w:p>
      <w:pPr>
        <w:spacing w:after="0" w:line="176" w:lineRule="exact"/>
        <w:rPr>
          <w:sz w:val="20"/>
          <w:szCs w:val="20"/>
          <w:color w:val="auto"/>
        </w:rPr>
      </w:pPr>
    </w:p>
    <w:p>
      <w:pPr>
        <w:ind w:right="3519" w:firstLine="268"/>
        <w:spacing w:after="0" w:line="241" w:lineRule="auto"/>
        <w:rPr>
          <w:sz w:val="20"/>
          <w:szCs w:val="20"/>
          <w:color w:val="auto"/>
        </w:rPr>
      </w:pPr>
      <w:r>
        <w:rPr>
          <w:rFonts w:ascii="Courier New" w:cs="Courier New" w:eastAsia="Courier New" w:hAnsi="Courier New"/>
          <w:sz w:val="15"/>
          <w:szCs w:val="15"/>
          <w:color w:val="auto"/>
        </w:rPr>
        <w:t>We must meet requirements 1 through 4 during our entire taxable year and must meet requirement 5 during at least 335 days of a taxable year of 12 months, or during a proportionate part of a taxable year of less than</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80"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"Description of Shares of Beneficial Ownership-Restrictions on Ownership and Transfer."</w:t>
      </w:r>
    </w:p>
    <w:p>
      <w:pPr>
        <w:spacing w:after="0" w:line="177" w:lineRule="exact"/>
        <w:rPr>
          <w:sz w:val="20"/>
          <w:szCs w:val="20"/>
          <w:color w:val="auto"/>
        </w:rPr>
      </w:pPr>
    </w:p>
    <w:p>
      <w:pPr>
        <w:ind w:right="3159" w:firstLine="268"/>
        <w:spacing w:after="0" w:line="261" w:lineRule="auto"/>
        <w:rPr>
          <w:sz w:val="20"/>
          <w:szCs w:val="20"/>
          <w:color w:val="auto"/>
        </w:rPr>
      </w:pPr>
      <w:r>
        <w:rPr>
          <w:rFonts w:ascii="Courier New" w:cs="Courier New" w:eastAsia="Courier New" w:hAnsi="Courier New"/>
          <w:sz w:val="14"/>
          <w:szCs w:val="14"/>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they are not subject to federal corporate income taxation, though they may be subject to state and local taxation.</w:t>
      </w:r>
    </w:p>
    <w:p>
      <w:pPr>
        <w:spacing w:after="0" w:line="33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177" w:lineRule="exact"/>
        <w:rPr>
          <w:sz w:val="20"/>
          <w:szCs w:val="20"/>
          <w:color w:val="auto"/>
        </w:rPr>
      </w:pPr>
    </w:p>
    <w:p>
      <w:pPr>
        <w:ind w:right="3339" w:firstLine="268"/>
        <w:spacing w:after="0"/>
        <w:rPr>
          <w:sz w:val="20"/>
          <w:szCs w:val="20"/>
          <w:color w:val="auto"/>
        </w:rPr>
      </w:pPr>
      <w:r>
        <w:rPr>
          <w:rFonts w:ascii="Courier New" w:cs="Courier New" w:eastAsia="Courier New" w:hAnsi="Courier New"/>
          <w:sz w:val="15"/>
          <w:szCs w:val="15"/>
          <w:color w:val="auto"/>
        </w:rPr>
        <w:t>Income Tests. We must satisfy two gross income tests annually to maintain our qualification as a REIT:</w:t>
      </w:r>
    </w:p>
    <w:p>
      <w:pPr>
        <w:spacing w:after="0" w:line="176" w:lineRule="exact"/>
        <w:rPr>
          <w:sz w:val="20"/>
          <w:szCs w:val="20"/>
          <w:color w:val="auto"/>
        </w:rPr>
      </w:pPr>
    </w:p>
    <w:p>
      <w:pPr>
        <w:ind w:left="440" w:right="3339" w:hanging="269"/>
        <w:spacing w:after="0" w:line="242" w:lineRule="auto"/>
        <w:tabs>
          <w:tab w:leader="none" w:pos="44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5" w:right="1440" w:bottom="1440" w:gutter="0" w:footer="0" w:header="0"/>
        </w:sectPr>
      </w:pPr>
    </w:p>
    <w:bookmarkStart w:id="34" w:name="page35"/>
    <w:bookmarkEnd w:id="34"/>
    <w:p>
      <w:pPr>
        <w:ind w:left="440" w:right="3599"/>
        <w:spacing w:after="0" w:line="267" w:lineRule="auto"/>
        <w:rPr>
          <w:sz w:val="20"/>
          <w:szCs w:val="20"/>
          <w:color w:val="auto"/>
        </w:rPr>
      </w:pPr>
      <w:r>
        <w:rPr>
          <w:rFonts w:ascii="Courier New" w:cs="Courier New" w:eastAsia="Courier New" w:hAnsi="Courier New"/>
          <w:sz w:val="14"/>
          <w:szCs w:val="14"/>
          <w:color w:val="auto"/>
        </w:rPr>
        <w:t>from real property," interest on debt secured by mortgages on real property or on interests in real property, and dividends or other distributions on and gain from the sale of shares in other REITs; and</w:t>
      </w:r>
    </w:p>
    <w:p>
      <w:pPr>
        <w:spacing w:after="0" w:line="159" w:lineRule="exact"/>
        <w:rPr>
          <w:sz w:val="20"/>
          <w:szCs w:val="20"/>
          <w:color w:val="auto"/>
        </w:rPr>
      </w:pPr>
    </w:p>
    <w:p>
      <w:pPr>
        <w:ind w:left="440" w:right="3339" w:hanging="269"/>
        <w:spacing w:after="0" w:line="242" w:lineRule="auto"/>
        <w:tabs>
          <w:tab w:leader="none" w:pos="44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95% of our gross income (excluding gross income from prohibited transactions)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paragraphs discuss the specific application of these tests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Rental Income. Our primary source of income derives from leasing properties. Rent that we receive from real property that we own and lease to tenants will qualify as "rents from real property" (which is qualifying income for purposes of the 75% and 95% gross income tests) only if several conditions are met under the REIT tax rules:</w:t>
      </w:r>
    </w:p>
    <w:p>
      <w:pPr>
        <w:spacing w:after="0" w:line="175" w:lineRule="exact"/>
        <w:rPr>
          <w:sz w:val="20"/>
          <w:szCs w:val="20"/>
          <w:color w:val="auto"/>
        </w:rPr>
      </w:pPr>
    </w:p>
    <w:p>
      <w:pPr>
        <w:ind w:left="440" w:right="3159" w:hanging="269"/>
        <w:spacing w:after="0" w:line="242" w:lineRule="auto"/>
        <w:tabs>
          <w:tab w:leader="none" w:pos="44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w:t>
      </w:r>
    </w:p>
    <w:p>
      <w:pPr>
        <w:spacing w:after="0" w:line="175" w:lineRule="exact"/>
        <w:rPr>
          <w:sz w:val="20"/>
          <w:szCs w:val="20"/>
          <w:color w:val="auto"/>
        </w:rPr>
      </w:pPr>
    </w:p>
    <w:p>
      <w:pPr>
        <w:ind w:left="440" w:right="3159" w:hanging="269"/>
        <w:spacing w:after="0" w:line="242" w:lineRule="auto"/>
        <w:tabs>
          <w:tab w:leader="none" w:pos="44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186" w:lineRule="exact"/>
        <w:rPr>
          <w:sz w:val="20"/>
          <w:szCs w:val="20"/>
          <w:color w:val="auto"/>
        </w:rPr>
      </w:pPr>
    </w:p>
    <w:p>
      <w:pPr>
        <w:ind w:left="440" w:right="3159" w:hanging="269"/>
        <w:spacing w:after="0" w:line="242" w:lineRule="auto"/>
        <w:tabs>
          <w:tab w:leader="none" w:pos="44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179" w:lineRule="exact"/>
        <w:rPr>
          <w:sz w:val="20"/>
          <w:szCs w:val="20"/>
          <w:color w:val="auto"/>
        </w:rPr>
      </w:pPr>
    </w:p>
    <w:p>
      <w:pPr>
        <w:ind w:left="440" w:right="3159" w:hanging="269"/>
        <w:spacing w:after="0" w:line="242" w:lineRule="auto"/>
        <w:tabs>
          <w:tab w:leader="none" w:pos="44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w:t>
      </w:r>
    </w:p>
    <w:p>
      <w:pPr>
        <w:spacing w:after="0" w:line="177" w:lineRule="exact"/>
        <w:rPr>
          <w:sz w:val="20"/>
          <w:szCs w:val="20"/>
          <w:color w:val="auto"/>
        </w:rPr>
      </w:pPr>
    </w:p>
    <w:p>
      <w:pPr>
        <w:ind w:left="440" w:right="3259" w:hanging="269"/>
        <w:spacing w:after="0" w:line="242" w:lineRule="auto"/>
        <w:tabs>
          <w:tab w:leader="none" w:pos="4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5" w:right="1440" w:bottom="1440" w:gutter="0" w:footer="0" w:header="0"/>
        </w:sectPr>
      </w:pPr>
    </w:p>
    <w:bookmarkStart w:id="35" w:name="page36"/>
    <w:bookmarkEnd w:id="35"/>
    <w:p>
      <w:pPr>
        <w:ind w:left="440" w:right="3159"/>
        <w:spacing w:after="0" w:line="242" w:lineRule="auto"/>
        <w:rPr>
          <w:sz w:val="20"/>
          <w:szCs w:val="20"/>
          <w:color w:val="auto"/>
        </w:rPr>
      </w:pPr>
      <w:r>
        <w:rPr>
          <w:rFonts w:ascii="Courier New" w:cs="Courier New" w:eastAsia="Courier New" w:hAnsi="Courier New"/>
          <w:sz w:val="15"/>
          <w:szCs w:val="15"/>
          <w:color w:val="auto"/>
        </w:rPr>
        <w:t>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77"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Based on the foregoing, we believe that rent from leases should qualify as "rents from real property" for purposes of the 75% and 95% gross income tests. However, there can be no complete assurance that the IRS will not assert successfully a contrary position and, therefore, prevent us from qualifying as a REIT.</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On an ongoing basis, we will use our best efforts not to:</w:t>
      </w:r>
    </w:p>
    <w:p>
      <w:pPr>
        <w:spacing w:after="0" w:line="176" w:lineRule="exact"/>
        <w:rPr>
          <w:sz w:val="20"/>
          <w:szCs w:val="20"/>
          <w:color w:val="auto"/>
        </w:rPr>
      </w:pPr>
    </w:p>
    <w:p>
      <w:pPr>
        <w:jc w:val="both"/>
        <w:ind w:left="440" w:right="3599" w:hanging="269"/>
        <w:spacing w:after="0" w:line="241" w:lineRule="auto"/>
        <w:tabs>
          <w:tab w:leader="none" w:pos="44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 rent for any property that is based in whole or in part on the income or profits of any person (except by reason of being based on a percentage of receipts or sales, as described above);</w:t>
      </w:r>
    </w:p>
    <w:p>
      <w:pPr>
        <w:spacing w:after="0" w:line="176" w:lineRule="exact"/>
        <w:rPr>
          <w:sz w:val="20"/>
          <w:szCs w:val="20"/>
          <w:color w:val="auto"/>
        </w:rPr>
      </w:pPr>
    </w:p>
    <w:p>
      <w:pPr>
        <w:ind w:left="440" w:right="3159" w:hanging="269"/>
        <w:spacing w:after="0" w:line="242" w:lineRule="auto"/>
        <w:tabs>
          <w:tab w:leader="none" w:pos="44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175" w:lineRule="exact"/>
        <w:rPr>
          <w:sz w:val="20"/>
          <w:szCs w:val="20"/>
          <w:color w:val="auto"/>
        </w:rPr>
      </w:pPr>
    </w:p>
    <w:p>
      <w:pPr>
        <w:ind w:left="440" w:right="3259" w:hanging="269"/>
        <w:spacing w:after="0" w:line="242" w:lineRule="auto"/>
        <w:tabs>
          <w:tab w:leader="none" w:pos="44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175" w:lineRule="exact"/>
        <w:rPr>
          <w:sz w:val="20"/>
          <w:szCs w:val="20"/>
          <w:color w:val="auto"/>
        </w:rPr>
      </w:pPr>
    </w:p>
    <w:p>
      <w:pPr>
        <w:ind w:left="440" w:right="3159" w:hanging="269"/>
        <w:spacing w:after="0" w:line="242" w:lineRule="auto"/>
        <w:tabs>
          <w:tab w:leader="none" w:pos="44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76" w:lineRule="exact"/>
        <w:rPr>
          <w:sz w:val="20"/>
          <w:szCs w:val="20"/>
          <w:color w:val="auto"/>
        </w:rPr>
      </w:pPr>
    </w:p>
    <w:p>
      <w:pPr>
        <w:ind w:right="3159" w:firstLine="268"/>
        <w:spacing w:after="0"/>
        <w:rPr>
          <w:sz w:val="20"/>
          <w:szCs w:val="20"/>
          <w:color w:val="auto"/>
        </w:rPr>
      </w:pPr>
      <w:r>
        <w:rPr>
          <w:rFonts w:ascii="Courier New" w:cs="Courier New" w:eastAsia="Courier New" w:hAnsi="Courier New"/>
          <w:sz w:val="15"/>
          <w:szCs w:val="15"/>
          <w:color w:val="auto"/>
        </w:rPr>
        <w:t>Because the Code provisions applicable to REITs are complex, however, we may fail to meet one or more of the foregoing.</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Tax on Income From Property Acquired in Foreclosure. We will be subject to tax at the maximum corporate rate on any income from foreclosure 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76" w:lineRule="exact"/>
        <w:rPr>
          <w:sz w:val="20"/>
          <w:szCs w:val="20"/>
          <w:color w:val="auto"/>
        </w:rPr>
      </w:pPr>
    </w:p>
    <w:p>
      <w:pPr>
        <w:ind w:left="440" w:right="3259" w:hanging="269"/>
        <w:spacing w:after="0" w:line="242" w:lineRule="auto"/>
        <w:tabs>
          <w:tab w:leader="none" w:pos="44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175" w:lineRule="exact"/>
        <w:rPr>
          <w:sz w:val="20"/>
          <w:szCs w:val="20"/>
          <w:color w:val="auto"/>
        </w:rPr>
      </w:pPr>
    </w:p>
    <w:p>
      <w:pPr>
        <w:ind w:left="440" w:right="3159" w:hanging="269"/>
        <w:spacing w:after="0"/>
        <w:tabs>
          <w:tab w:leader="none" w:pos="44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which the related loan was acquired by the REIT at a time when default was not imminent or anticipated; and</w:t>
      </w:r>
    </w:p>
    <w:p>
      <w:pPr>
        <w:spacing w:after="0" w:line="176" w:lineRule="exact"/>
        <w:rPr>
          <w:sz w:val="20"/>
          <w:szCs w:val="20"/>
          <w:color w:val="auto"/>
        </w:rPr>
      </w:pPr>
    </w:p>
    <w:p>
      <w:pPr>
        <w:ind w:left="440" w:right="3779" w:hanging="269"/>
        <w:spacing w:after="0"/>
        <w:tabs>
          <w:tab w:leader="none" w:pos="4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which the REIT makes a proper election to treat the property as foreclosure property.</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75" w:lineRule="exact"/>
        <w:rPr>
          <w:sz w:val="20"/>
          <w:szCs w:val="20"/>
          <w:color w:val="auto"/>
        </w:rPr>
      </w:pPr>
    </w:p>
    <w:p>
      <w:pPr>
        <w:ind w:left="440" w:right="3159" w:hanging="269"/>
        <w:spacing w:after="0" w:line="241" w:lineRule="auto"/>
        <w:tabs>
          <w:tab w:leader="none" w:pos="44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last day of the third taxable year following the taxable year in which the REIT acquired the property (or longer if an extension is granted by the Secretary of the Treasury);</w:t>
      </w:r>
    </w:p>
    <w:p>
      <w:pPr>
        <w:spacing w:after="0" w:line="176" w:lineRule="exact"/>
        <w:rPr>
          <w:sz w:val="20"/>
          <w:szCs w:val="20"/>
          <w:color w:val="auto"/>
        </w:rPr>
      </w:pPr>
    </w:p>
    <w:p>
      <w:pPr>
        <w:ind w:left="440" w:right="3339" w:hanging="269"/>
        <w:spacing w:after="0" w:line="242" w:lineRule="auto"/>
        <w:tabs>
          <w:tab w:leader="none" w:pos="44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5" w:right="1440" w:bottom="1440" w:gutter="0" w:footer="0" w:header="0"/>
        </w:sectPr>
      </w:pPr>
    </w:p>
    <w:bookmarkStart w:id="36" w:name="page37"/>
    <w:bookmarkEnd w:id="36"/>
    <w:p>
      <w:pPr>
        <w:ind w:left="440" w:right="3159" w:hanging="269"/>
        <w:spacing w:after="0" w:line="242" w:lineRule="auto"/>
        <w:tabs>
          <w:tab w:leader="none" w:pos="44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75" w:lineRule="exact"/>
        <w:rPr>
          <w:sz w:val="20"/>
          <w:szCs w:val="20"/>
          <w:color w:val="auto"/>
        </w:rPr>
      </w:pPr>
    </w:p>
    <w:p>
      <w:pPr>
        <w:ind w:left="440" w:right="3259" w:hanging="269"/>
        <w:spacing w:after="0" w:line="242" w:lineRule="auto"/>
        <w:tabs>
          <w:tab w:leader="none" w:pos="44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Tax on Prohibited Transactions. A REIT will incur a 100% tax on net income derived from any "prohibited transaction." A "prohibited transaction" generally is a sale or other disposition of property (other than foreclosure property) that the REIT holds primarily for sale to customers in the ordinary course of a trade or business. We believe that none of our assets are held for sale to customers and that a sale of any such asset would not be in the ordinary course of its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82"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Tax and Deduction Limits on Certain Transactions with Taxable REIT Subsidiaries. A REIT will incur a 100% tax on certain transactions between a REIT and a taxable REIT subsidiary to the extent the transactions are not on an arms-length basis. In addition, under certain circumstances the interest paid by a taxable REIT subsidiary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Relief from Consequences of Failing to Meet Income Tests. If we fail to satisfy one or both of the 75% and 95% gross income tests for any taxable year, we nevertheless may qualify as a REIT for such year if we qualify for relief under certain provisions of the Code. Those relief provisions generally will be available if our failure to meet such tests is due to reasonable cause and not due to willful neglect, we attach a schedule of the sources of our income to our tax return, and any incorrect information on the schedule was not due to fraud with intent to evade tax. We may not qualify for the relief provisions in all circumstances. In addition, as discussed above in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1" w:lineRule="exact"/>
        <w:rPr>
          <w:sz w:val="20"/>
          <w:szCs w:val="20"/>
          <w:color w:val="auto"/>
        </w:rPr>
      </w:pPr>
    </w:p>
    <w:p>
      <w:pPr>
        <w:ind w:right="3259" w:firstLine="268"/>
        <w:spacing w:after="0"/>
        <w:rPr>
          <w:sz w:val="20"/>
          <w:szCs w:val="20"/>
          <w:color w:val="auto"/>
        </w:rPr>
      </w:pPr>
      <w:r>
        <w:rPr>
          <w:rFonts w:ascii="Courier New" w:cs="Courier New" w:eastAsia="Courier New" w:hAnsi="Courier New"/>
          <w:sz w:val="15"/>
          <w:szCs w:val="15"/>
          <w:color w:val="auto"/>
        </w:rPr>
        <w:t>Asset Tests. To maintain our qualification as a REIT, we also must satisfy two asset tests at the close of each quarter of each taxable year:</w:t>
      </w:r>
    </w:p>
    <w:p>
      <w:pPr>
        <w:spacing w:after="0" w:line="176" w:lineRule="exact"/>
        <w:rPr>
          <w:sz w:val="20"/>
          <w:szCs w:val="20"/>
          <w:color w:val="auto"/>
        </w:rPr>
      </w:pPr>
    </w:p>
    <w:p>
      <w:pPr>
        <w:jc w:val="both"/>
        <w:ind w:left="440" w:right="3159" w:hanging="269"/>
        <w:spacing w:after="0" w:line="267" w:lineRule="auto"/>
        <w:tabs>
          <w:tab w:leader="none" w:pos="44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75% of the value of our total assets must consist of cash or cash items (including certain receivables), government securities, "real estate assets," or qualifying temporary investments (the "75% asset test").</w:t>
      </w:r>
    </w:p>
    <w:p>
      <w:pPr>
        <w:spacing w:after="0" w:line="159" w:lineRule="exact"/>
        <w:rPr>
          <w:sz w:val="20"/>
          <w:szCs w:val="20"/>
          <w:color w:val="auto"/>
        </w:rPr>
      </w:pPr>
    </w:p>
    <w:p>
      <w:pPr>
        <w:ind w:left="800" w:right="3259" w:hanging="272"/>
        <w:spacing w:after="0" w:line="241"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assets" include interests in real property, interests in mortgages on real property and stock in other REITs. We believe that the properties qualify as real estate assets.</w:t>
      </w:r>
    </w:p>
    <w:p>
      <w:pPr>
        <w:spacing w:after="0" w:line="176" w:lineRule="exact"/>
        <w:rPr>
          <w:sz w:val="20"/>
          <w:szCs w:val="20"/>
          <w:color w:val="auto"/>
        </w:rPr>
      </w:pPr>
    </w:p>
    <w:p>
      <w:pPr>
        <w:ind w:left="800" w:right="3159" w:hanging="272"/>
        <w:spacing w:after="0" w:line="242" w:lineRule="auto"/>
        <w:tabs>
          <w:tab w:leader="none" w:pos="8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175" w:lineRule="exact"/>
        <w:rPr>
          <w:sz w:val="20"/>
          <w:szCs w:val="20"/>
          <w:color w:val="auto"/>
        </w:rPr>
      </w:pPr>
    </w:p>
    <w:p>
      <w:pPr>
        <w:ind w:left="800" w:right="3159" w:hanging="272"/>
        <w:spacing w:after="0" w:line="242" w:lineRule="auto"/>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Qualifying temporary investments are investments in stock or debt instruments during the one-year period following our receipt of new capital that we raise through equity or long-term (at least five-year) debt offerings.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5" w:right="1440" w:bottom="1440" w:gutter="0" w:footer="0" w:header="0"/>
        </w:sectPr>
      </w:pPr>
    </w:p>
    <w:bookmarkStart w:id="37" w:name="page38"/>
    <w:bookmarkEnd w:id="37"/>
    <w:p>
      <w:pPr>
        <w:ind w:left="440" w:right="3159" w:hanging="269"/>
        <w:spacing w:after="0" w:line="242" w:lineRule="auto"/>
        <w:tabs>
          <w:tab w:leader="none" w:pos="44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w:t>
      </w:r>
    </w:p>
    <w:p>
      <w:pPr>
        <w:spacing w:after="0" w:line="17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We intend to select future investments so as to comply with the asset tests.</w:t>
      </w:r>
    </w:p>
    <w:p>
      <w:pPr>
        <w:spacing w:after="0" w:line="18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If we failed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8"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Distribution Requirements. Each taxable year, we must distribute dividends (other than capital gain dividends and deemed distributions of retained 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We must pay such distributions in the taxable year to which they relate, or in the following taxable year if we declare the distribution before we timely file our federal income tax return for such year and pay the distribution on or before the first regular dividend payment date after such declaration.</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We will pay federal income tax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82"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80"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5" w:right="1440" w:bottom="1440" w:gutter="0" w:footer="0" w:header="0"/>
        </w:sectPr>
      </w:pPr>
    </w:p>
    <w:bookmarkStart w:id="38" w:name="page39"/>
    <w:bookmarkEnd w:id="38"/>
    <w:p>
      <w:pPr>
        <w:ind w:right="3159" w:firstLine="268"/>
        <w:spacing w:after="0" w:line="242" w:lineRule="auto"/>
        <w:rPr>
          <w:sz w:val="20"/>
          <w:szCs w:val="20"/>
          <w:color w:val="auto"/>
        </w:rPr>
      </w:pPr>
      <w:r>
        <w:rPr>
          <w:rFonts w:ascii="Courier New" w:cs="Courier New" w:eastAsia="Courier New" w:hAnsi="Courier New"/>
          <w:sz w:val="15"/>
          <w:szCs w:val="15"/>
          <w:color w:val="auto"/>
        </w:rPr>
        <w:t>Record Keeping Requirements. We must maintain certain records in order to qualify as a REIT. In addition, to avoid a monetary penalty, we must request on an annual basis certain information from our shareholders designed to disclose the actual ownership of our outstanding stock. We have complied, and we intend to continue to comply, with such requirements.</w:t>
      </w:r>
    </w:p>
    <w:p>
      <w:pPr>
        <w:spacing w:after="0" w:line="175" w:lineRule="exact"/>
        <w:rPr>
          <w:sz w:val="20"/>
          <w:szCs w:val="20"/>
          <w:color w:val="auto"/>
        </w:rPr>
      </w:pPr>
    </w:p>
    <w:p>
      <w:pPr>
        <w:ind w:right="3079" w:firstLine="268"/>
        <w:spacing w:after="0" w:line="261" w:lineRule="auto"/>
        <w:rPr>
          <w:sz w:val="20"/>
          <w:szCs w:val="20"/>
          <w:color w:val="auto"/>
        </w:rPr>
      </w:pPr>
      <w:r>
        <w:rPr>
          <w:rFonts w:ascii="Courier New" w:cs="Courier New" w:eastAsia="Courier New" w:hAnsi="Courier New"/>
          <w:sz w:val="14"/>
          <w:szCs w:val="14"/>
          <w:color w:val="auto"/>
        </w:rPr>
        <w:t>Failure to Qualify. If we failed to qualify as a REIT in any taxable year, and no relief provision applied, we would be subject to federal income tax (including any applicable alternative minimum tax) on our taxable income at regular corporate rates. In calculating our taxable income in a year in which we failed to qualify as a REIT, we would not be able to deduct amounts paid out to shareholders. In fact, we would not be required to distribute any amounts to shareholders in such year. In such event, to the extent of our current and accumulated earnings and profits, all distributions to shareholders would be taxable as ordinary income.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of Taxable U.S. Shareholders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As long as we qualify as a REIT, a taxable "U.S. shareholder" must take into account distributions out of our current or accumulated earnings and profits (and that we do not designate as capital gain dividends or retained long-term capital gain) as ordinary income. A corporate U.S. shareholder will not qualify for the dividends received deduction generally available to corporations. As used herein, the term "U.S. shareholder" means a holder of common shares that for U.S. federal income tax purposes is</w:t>
      </w:r>
    </w:p>
    <w:p>
      <w:pPr>
        <w:spacing w:after="0" w:line="175" w:lineRule="exact"/>
        <w:rPr>
          <w:sz w:val="20"/>
          <w:szCs w:val="20"/>
          <w:color w:val="auto"/>
        </w:rPr>
      </w:pPr>
    </w:p>
    <w:p>
      <w:pPr>
        <w:ind w:left="440" w:hanging="269"/>
        <w:spacing w:after="0"/>
        <w:tabs>
          <w:tab w:leader="none" w:pos="44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w:t>
      </w:r>
    </w:p>
    <w:p>
      <w:pPr>
        <w:spacing w:after="0" w:line="176" w:lineRule="exact"/>
        <w:rPr>
          <w:sz w:val="20"/>
          <w:szCs w:val="20"/>
          <w:color w:val="auto"/>
        </w:rPr>
      </w:pPr>
    </w:p>
    <w:p>
      <w:pPr>
        <w:ind w:left="440" w:right="3159" w:hanging="269"/>
        <w:spacing w:after="0" w:line="274" w:lineRule="auto"/>
        <w:tabs>
          <w:tab w:leader="none" w:pos="44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partnership, or other entity created or organized in or under the laws of the United States or of a political subdivision thereof;</w:t>
      </w:r>
    </w:p>
    <w:p>
      <w:pPr>
        <w:spacing w:after="0" w:line="154" w:lineRule="exact"/>
        <w:rPr>
          <w:sz w:val="20"/>
          <w:szCs w:val="20"/>
          <w:color w:val="auto"/>
        </w:rPr>
      </w:pPr>
    </w:p>
    <w:p>
      <w:pPr>
        <w:ind w:left="440" w:right="3959" w:hanging="269"/>
        <w:spacing w:after="0"/>
        <w:tabs>
          <w:tab w:leader="none" w:pos="44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whose income is subject to U.S. federal income taxation regardless of its source; or</w:t>
      </w:r>
    </w:p>
    <w:p>
      <w:pPr>
        <w:spacing w:after="0" w:line="176" w:lineRule="exact"/>
        <w:rPr>
          <w:sz w:val="20"/>
          <w:szCs w:val="20"/>
          <w:color w:val="auto"/>
        </w:rPr>
      </w:pPr>
    </w:p>
    <w:p>
      <w:pPr>
        <w:ind w:left="440" w:right="3259" w:hanging="269"/>
        <w:spacing w:after="0" w:line="242" w:lineRule="auto"/>
        <w:tabs>
          <w:tab w:leader="none" w:pos="44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trust with respect to which (A) a U.S. court is able to exercise primary supervision over the administration of such trust and (B) one or more U.S. persons have the authority to control all substantial decisions of the trust.</w:t>
      </w:r>
    </w:p>
    <w:p>
      <w:pPr>
        <w:spacing w:after="0" w:line="175" w:lineRule="exact"/>
        <w:rPr>
          <w:sz w:val="20"/>
          <w:szCs w:val="20"/>
          <w:color w:val="auto"/>
        </w:rPr>
      </w:pPr>
    </w:p>
    <w:p>
      <w:pPr>
        <w:ind w:right="3159" w:firstLine="268"/>
        <w:spacing w:after="0" w:line="262" w:lineRule="auto"/>
        <w:rPr>
          <w:sz w:val="20"/>
          <w:szCs w:val="20"/>
          <w:color w:val="auto"/>
        </w:rPr>
      </w:pPr>
      <w:r>
        <w:rPr>
          <w:rFonts w:ascii="Courier New" w:cs="Courier New" w:eastAsia="Courier New" w:hAnsi="Courier New"/>
          <w:sz w:val="14"/>
          <w:szCs w:val="14"/>
          <w:color w:val="auto"/>
        </w:rPr>
        <w:t>A U.S. shareholder will recognize distributions that we designate as capital gain dividends as long-term capital gain (to the extent they do not exceed our actual net capital gain for the taxable year) without regard to the period for which the U.S. shareholder has held its common shares. Subject to certain limitations, we will designate our capital gain dividends as either 20% or 25% rate distributions. A corporate U.S. shareholder, however, may be required to treat up to 20% of certain capital gain dividends as ordinary income.</w:t>
      </w:r>
    </w:p>
    <w:p>
      <w:pPr>
        <w:spacing w:after="0" w:line="164"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We may elect to retain and pay income tax on the net long-term capital gain that we receive in a taxable year. In that case, a U.S. shareholder would be taxed on its proportionate share of our undistributed long-term capital gain. The U.S. shareholder would receive a credit or refund for its proportionate share of the tax we paid. The U.S. shareholder would increase the basis in its stock by the amount of its proportionate share of our undistributed long-term capital gain, minus its share of the tax we paid.</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 U.S. shareholder will not incur tax on a distribution to the extent it exceeds our current and accumulated earnings and profits if such distribution does not exceed the adjusted basis of the U.S. shareholder's common shares. Instead, such distribution in excess of earnings and profits will reduce the adjusted basis of such common shares. To the extent a distribution exceeds both our current and accumulated earnings and profits and the U.S. shareholder's adjusted basis in its common shares, the U.S. shareholder will recognize long-term capital gain (or short-term capital gain if the common shares have been held for one year or less), assuming the common shares are a capital asset in the hands of the U.S. shareholder. In addition, if we declare a distribution in October,</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5" w:right="1440" w:bottom="1440" w:gutter="0" w:footer="0" w:header="0"/>
        </w:sectPr>
      </w:pPr>
    </w:p>
    <w:bookmarkStart w:id="39" w:name="page40"/>
    <w:bookmarkEnd w:id="39"/>
    <w:p>
      <w:pPr>
        <w:ind w:left="8" w:right="3259"/>
        <w:spacing w:after="0" w:line="262" w:lineRule="auto"/>
        <w:rPr>
          <w:sz w:val="20"/>
          <w:szCs w:val="20"/>
          <w:color w:val="auto"/>
        </w:rPr>
      </w:pPr>
      <w:r>
        <w:rPr>
          <w:rFonts w:ascii="Courier New" w:cs="Courier New" w:eastAsia="Courier New" w:hAnsi="Courier New"/>
          <w:sz w:val="14"/>
          <w:szCs w:val="14"/>
          <w:color w:val="auto"/>
        </w:rPr>
        <w:t>November, or December of any year that is payable to a U.S. shareholder of record on a specified date in any such month, such distribution shall be treated as both paid by us and received by the U.S. shareholder on December 31 of such year, provided that we actually pay the distribution during January of the following calendar year. We will notify U.S. shareholders after the close of our taxable year as to the portions of the distributions attributable to that year that constitute ordinary income or capital gain dividends.</w:t>
      </w:r>
    </w:p>
    <w:p>
      <w:pPr>
        <w:spacing w:after="0" w:line="164"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Taxation of U.S. Shareholders on the Disposition of the Common Shares. In general, a U.S. shareholder who is not a dealer in securities must treat any gain or loss realized upon a taxable disposition of the common shares as long-term capital gain or loss if the U.S. shareholder has held the common stock for more than one year and otherwise as short-term capital gain or loss. However, a U.S. shareholder must treat any loss upon a sale or exchange of common shares held by such shareholder for six months or less (after applying certain holding period rules) as a long-term capital loss to the extent of capital gain dividends and other distributions from us that such U.S. shareholder treats as long-term capital gain. All or a portion of any loss a U.S. shareholder realizes upon a taxable disposition of the common shares may be disallowed if the U.S. shareholder purchases additional common shares within 30 days before or after the disposition.</w:t>
      </w:r>
    </w:p>
    <w:p>
      <w:pPr>
        <w:spacing w:after="0" w:line="181" w:lineRule="exact"/>
        <w:rPr>
          <w:sz w:val="20"/>
          <w:szCs w:val="20"/>
          <w:color w:val="auto"/>
        </w:rPr>
      </w:pPr>
    </w:p>
    <w:p>
      <w:pPr>
        <w:ind w:left="8" w:right="3079" w:firstLine="268"/>
        <w:spacing w:after="0" w:line="260" w:lineRule="auto"/>
        <w:rPr>
          <w:sz w:val="20"/>
          <w:szCs w:val="20"/>
          <w:color w:val="auto"/>
        </w:rPr>
      </w:pPr>
      <w:r>
        <w:rPr>
          <w:rFonts w:ascii="Courier New" w:cs="Courier New" w:eastAsia="Courier New" w:hAnsi="Courier New"/>
          <w:sz w:val="14"/>
          <w:szCs w:val="14"/>
          <w:color w:val="auto"/>
        </w:rPr>
        <w:t>Capital Gains and Losses. A taxpayer generally must hold a capital asset for more than one year for gain or loss derived from its sale or exchange to be treated as long-term capital gain or loss. The highest marginal individual income tax rate for 2002 and 2003 is 38.6%. The maximum tax rate on long-term capital gain applicable to non-corporate taxpayers is generally 20% for sales and exchanges of assets held for more than one year. The maximum tax rate on long-term capital gain from the sale or exchange of "Section 1250 property" (i.e., depreciable real property) is 25% to the extent that such gain would have been treated as ordinary income if the property were "Section 1245 property." With respect to distributions that we designate as capital gain dividends and any retained capital gain that it is deemed to distribute, we may designate (subject to certain limits) whether such a distribution is taxable to our non-corporate shareholders at a 20% or 25% rate. Thus, the tax rate differential between capital gain and ordinary income for non-corporate taxpayers may be significant. A U.S. shareholder required to include retained long-term capital gains in income will be deemed to have paid, in the taxable year of the inclusion, its proportionate share of the tax paid by us in respect of such undistributed net capital gains. U.S. shareholders subject to these rules will be allowed a credit or a refund, as the case may be, for the tax deemed to have been paid by such shareholders. U.S. shareholders will increase their basis in their common shares by the difference between the amount of such includible gains and the tax deemed paid by the U.S. shareholder in respect of such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350" w:lineRule="exact"/>
        <w:rPr>
          <w:sz w:val="20"/>
          <w:szCs w:val="20"/>
          <w:color w:val="auto"/>
        </w:rPr>
      </w:pPr>
    </w:p>
    <w:p>
      <w:pPr>
        <w:ind w:left="8" w:right="3159" w:firstLine="268"/>
        <w:spacing w:after="0" w:line="260" w:lineRule="auto"/>
        <w:rPr>
          <w:sz w:val="20"/>
          <w:szCs w:val="20"/>
          <w:color w:val="auto"/>
        </w:rPr>
      </w:pPr>
      <w:r>
        <w:rPr>
          <w:rFonts w:ascii="Courier New" w:cs="Courier New" w:eastAsia="Courier New" w:hAnsi="Courier New"/>
          <w:sz w:val="14"/>
          <w:szCs w:val="14"/>
          <w:color w:val="auto"/>
        </w:rPr>
        <w:t>Information Reporting Requirements and Backup Withholding. We will report to our shareholders and to the IRS the amount of distributions we pay during each calendar year, and the amount of tax we withhold, if any. Under the backup withholding rules, a shareholder may be subject to backup withholding (at the rate of 30% for 2002 and 2003) with respect to distributions unless such holder</w:t>
      </w:r>
    </w:p>
    <w:p>
      <w:pPr>
        <w:spacing w:after="0" w:line="1" w:lineRule="exact"/>
        <w:rPr>
          <w:sz w:val="20"/>
          <w:szCs w:val="20"/>
          <w:color w:val="auto"/>
        </w:rPr>
      </w:pPr>
    </w:p>
    <w:p>
      <w:pPr>
        <w:ind w:left="8" w:right="3259" w:hanging="8"/>
        <w:spacing w:after="0" w:line="242" w:lineRule="auto"/>
        <w:tabs>
          <w:tab w:leader="none" w:pos="366"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shareholder's income tax liability. In addition, we may be required to withhold a portion of capital gain distributions to any shareholders who fail to certify their non-foreign status to us.</w:t>
      </w:r>
    </w:p>
    <w:p>
      <w:pPr>
        <w:spacing w:after="0" w:line="17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63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Taxation of Tax-Exempt U.S. Shareholders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common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it were a pension trust) divided by our total gross income for the year in which we pay the dividends. The UBTI rule applies to a pension trust holding more than 10% of our shares only if:</w:t>
      </w:r>
    </w:p>
    <w:p>
      <w:pPr>
        <w:spacing w:after="0" w:line="188" w:lineRule="exact"/>
        <w:rPr>
          <w:sz w:val="20"/>
          <w:szCs w:val="20"/>
          <w:color w:val="auto"/>
        </w:rPr>
      </w:pPr>
    </w:p>
    <w:p>
      <w:pPr>
        <w:ind w:left="440" w:hanging="269"/>
        <w:spacing w:after="0"/>
        <w:tabs>
          <w:tab w:leader="none" w:pos="44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UBTI Percentage is at least 5%;</w:t>
      </w:r>
    </w:p>
    <w:p>
      <w:pPr>
        <w:spacing w:after="0" w:line="176" w:lineRule="exact"/>
        <w:rPr>
          <w:sz w:val="20"/>
          <w:szCs w:val="20"/>
          <w:color w:val="auto"/>
        </w:rPr>
      </w:pPr>
    </w:p>
    <w:p>
      <w:pPr>
        <w:ind w:left="440" w:right="3079" w:hanging="269"/>
        <w:spacing w:after="0" w:line="267" w:lineRule="auto"/>
        <w:tabs>
          <w:tab w:leader="none" w:pos="44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159" w:lineRule="exact"/>
        <w:rPr>
          <w:sz w:val="20"/>
          <w:szCs w:val="20"/>
          <w:color w:val="auto"/>
        </w:rPr>
      </w:pPr>
    </w:p>
    <w:p>
      <w:pPr>
        <w:ind w:left="440" w:right="3159" w:hanging="269"/>
        <w:spacing w:after="0" w:line="242" w:lineRule="auto"/>
        <w:tabs>
          <w:tab w:leader="none" w:pos="44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75"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of Non-U.S. Shareholders</w:t>
      </w:r>
    </w:p>
    <w:p>
      <w:pPr>
        <w:spacing w:after="0" w:line="176" w:lineRule="exact"/>
        <w:rPr>
          <w:sz w:val="20"/>
          <w:szCs w:val="20"/>
          <w:color w:val="auto"/>
        </w:rPr>
      </w:pPr>
    </w:p>
    <w:p>
      <w:pPr>
        <w:ind w:right="3159" w:firstLine="268"/>
        <w:spacing w:after="0" w:line="263" w:lineRule="auto"/>
        <w:rPr>
          <w:sz w:val="20"/>
          <w:szCs w:val="20"/>
          <w:color w:val="auto"/>
        </w:rPr>
      </w:pPr>
      <w:r>
        <w:rPr>
          <w:rFonts w:ascii="Courier New" w:cs="Courier New" w:eastAsia="Courier New" w:hAnsi="Courier New"/>
          <w:sz w:val="14"/>
          <w:szCs w:val="14"/>
          <w:color w:val="auto"/>
        </w:rPr>
        <w:t>The rules governing U.S. federal income taxation of nonresident alien individuals, foreign corporations, foreign partnerships, and other foreign shareholders (collectively, "non-U.S. shareholders") are complex. This section is only a summary of such rules. We urge non-U.S. shareholders to consult their own tax advisors to determine the impact of federal, state, and local income tax laws on ownership of common shares, including any reporting requirements.</w:t>
      </w:r>
    </w:p>
    <w:p>
      <w:pPr>
        <w:spacing w:after="0" w:line="161" w:lineRule="exact"/>
        <w:rPr>
          <w:sz w:val="20"/>
          <w:szCs w:val="20"/>
          <w:color w:val="auto"/>
        </w:rPr>
      </w:pPr>
    </w:p>
    <w:p>
      <w:pPr>
        <w:ind w:right="3159" w:firstLine="268"/>
        <w:spacing w:after="0" w:line="261" w:lineRule="auto"/>
        <w:rPr>
          <w:sz w:val="20"/>
          <w:szCs w:val="20"/>
          <w:color w:val="auto"/>
        </w:rPr>
      </w:pPr>
      <w:r>
        <w:rPr>
          <w:rFonts w:ascii="Courier New" w:cs="Courier New" w:eastAsia="Courier New" w:hAnsi="Courier New"/>
          <w:sz w:val="14"/>
          <w:szCs w:val="14"/>
          <w:color w:val="auto"/>
        </w:rPr>
        <w:t>Ordinary Dividends. A non-U.S. shareholder that receives a distribution that is not attributable to gain from our sale or exchange of U.S. real property 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U.S. shareholders are taxed with respect to such distributions (and also may be subject to the 30% branch profits tax in the case of a non-U.S. shareholder that is a non-U.S. corporation). We plan to withhold U.S. income tax at the rate of 30% on the gross amount of any such</w:t>
      </w:r>
    </w:p>
    <w:p>
      <w:pPr>
        <w:spacing w:after="0" w:line="33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3" w:right="1440" w:bottom="1440" w:gutter="0" w:footer="0" w:header="0"/>
        </w:sectPr>
      </w:pPr>
    </w:p>
    <w:bookmarkStart w:id="41" w:name="page42"/>
    <w:bookmarkEnd w:id="41"/>
    <w:p>
      <w:pPr>
        <w:ind w:right="3339"/>
        <w:spacing w:after="0" w:line="263" w:lineRule="auto"/>
        <w:rPr>
          <w:sz w:val="20"/>
          <w:szCs w:val="20"/>
          <w:color w:val="auto"/>
        </w:rPr>
      </w:pPr>
      <w:r>
        <w:rPr>
          <w:rFonts w:ascii="Courier New" w:cs="Courier New" w:eastAsia="Courier New" w:hAnsi="Courier New"/>
          <w:sz w:val="14"/>
          <w:szCs w:val="14"/>
          <w:color w:val="auto"/>
        </w:rPr>
        <w:t>distribution paid to a non-U.S. shareholder unless (i) a lower treaty rate applies and the non-U.S. shareholder files IRS Form W-8BEN with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161"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Return of Capital. A non-U.S. shareholder will not incur tax on a distribution to the extent it exceeds our current and accumulated earnings and profits if such distribution does not exceed the adjusted basis of its common shares. Instead, such distribution in excess of earnings and profits will reduce the adjusted basis of such common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common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82" w:lineRule="exact"/>
        <w:rPr>
          <w:sz w:val="20"/>
          <w:szCs w:val="20"/>
          <w:color w:val="auto"/>
        </w:rPr>
      </w:pPr>
    </w:p>
    <w:p>
      <w:pPr>
        <w:ind w:right="3159" w:firstLine="268"/>
        <w:spacing w:after="0" w:line="260" w:lineRule="auto"/>
        <w:rPr>
          <w:sz w:val="20"/>
          <w:szCs w:val="20"/>
          <w:color w:val="auto"/>
        </w:rPr>
      </w:pPr>
      <w:r>
        <w:rPr>
          <w:rFonts w:ascii="Courier New" w:cs="Courier New" w:eastAsia="Courier New" w:hAnsi="Courier New"/>
          <w:sz w:val="14"/>
          <w:szCs w:val="14"/>
          <w:color w:val="auto"/>
        </w:rPr>
        <w:t>Capital Gain Dividends. For any year in which we qualify as a REIT, a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U.S. shareholders (subject to applicable alternative minimum tax and a special alternative minimum tax in the case of a nonresident alien individual). A non-U.S. corporate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349"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Sale of Shares. A non-U.S. shareholder generally will not incur tax under FIRPTA on gain from the sale of its common shares as long as we are a "domestically controlled REIT." A "domestically controlled REIT" is a REIT in which at all times during a specified testing period non-U.S. persons held, directly or indirectly, less than 50% in value of the stock. We anticipate that we will continue to be a "domestically controlled REIT." In addition, a non-U.S. shareholder that owns, actually or constructively, 5% or less of outstanding common shares at all times during a specified testing period will not incur tax under FIRPTA if the common shares are "regularly traded" on an established securities market. If neither of these exceptions were to apply, the gain on the sale of the common shares would be taxed under FIRPTA, in which case a non-U.S. shareholder would be taxed in the same manner as U.S. shareholders with respect to such gain (subject to applicable alternative minimum tax and a special alternative minimum tax in the case of nonresident alien individuals.</w:t>
      </w:r>
    </w:p>
    <w:p>
      <w:pPr>
        <w:spacing w:after="0" w:line="182"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A non-U.S. shareholder will incur tax on gain not subject to FIRPTA if (1) the gain is effectively connected with the non-U.S. shareholder's U.S. trade or business, in which case the non-U.S. shareholder will be subject to</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5" w:right="1440" w:bottom="1440" w:gutter="0" w:footer="0" w:header="0"/>
        </w:sectPr>
      </w:pPr>
    </w:p>
    <w:bookmarkStart w:id="42" w:name="page43"/>
    <w:bookmarkEnd w:id="42"/>
    <w:p>
      <w:pPr>
        <w:ind w:right="3259"/>
        <w:spacing w:after="0" w:line="242" w:lineRule="auto"/>
        <w:rPr>
          <w:sz w:val="20"/>
          <w:szCs w:val="20"/>
          <w:color w:val="auto"/>
        </w:rPr>
      </w:pPr>
      <w:r>
        <w:rPr>
          <w:rFonts w:ascii="Courier New" w:cs="Courier New" w:eastAsia="Courier New" w:hAnsi="Courier New"/>
          <w:sz w:val="15"/>
          <w:szCs w:val="15"/>
          <w:color w:val="auto"/>
        </w:rPr>
        <w:t>the same treatment as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Backup Withholding. Backup withholding tax (which generally is withholding tax, imposed at the rate of 30% in 2002 and 2003, on certain payments to persons that fail to furnish certain information under the United States information reporting requirements) and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178" w:lineRule="exact"/>
        <w:rPr>
          <w:sz w:val="20"/>
          <w:szCs w:val="20"/>
          <w:color w:val="auto"/>
        </w:rPr>
      </w:pPr>
    </w:p>
    <w:p>
      <w:pPr>
        <w:ind w:left="440" w:hanging="269"/>
        <w:spacing w:after="0"/>
        <w:tabs>
          <w:tab w:leader="none" w:pos="44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U.S. person;</w:t>
      </w:r>
    </w:p>
    <w:p>
      <w:pPr>
        <w:spacing w:after="0" w:line="176" w:lineRule="exact"/>
        <w:rPr>
          <w:sz w:val="20"/>
          <w:szCs w:val="20"/>
          <w:color w:val="auto"/>
        </w:rPr>
      </w:pPr>
    </w:p>
    <w:p>
      <w:pPr>
        <w:ind w:left="440" w:right="3259" w:hanging="269"/>
        <w:spacing w:after="0"/>
        <w:tabs>
          <w:tab w:leader="none" w:pos="44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derives 50% or more of its gross income for a specified three-year period from the conduct of a trade or business in the U.S.;</w:t>
      </w:r>
    </w:p>
    <w:p>
      <w:pPr>
        <w:spacing w:after="0" w:line="176" w:lineRule="exact"/>
        <w:rPr>
          <w:sz w:val="20"/>
          <w:szCs w:val="20"/>
          <w:color w:val="auto"/>
        </w:rPr>
      </w:pPr>
    </w:p>
    <w:p>
      <w:pPr>
        <w:ind w:left="440" w:right="3439" w:hanging="269"/>
        <w:spacing w:after="0"/>
        <w:tabs>
          <w:tab w:leader="none" w:pos="44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"controlled foreign corporation" (generally, a foreign corporation controlled by U.S. shareholders) for U.S. tax purposes; or</w:t>
      </w:r>
    </w:p>
    <w:p>
      <w:pPr>
        <w:spacing w:after="0" w:line="176" w:lineRule="exact"/>
        <w:rPr>
          <w:sz w:val="20"/>
          <w:szCs w:val="20"/>
          <w:color w:val="auto"/>
        </w:rPr>
      </w:pPr>
    </w:p>
    <w:p>
      <w:pPr>
        <w:jc w:val="both"/>
        <w:ind w:left="440" w:right="3339" w:hanging="269"/>
        <w:spacing w:after="0" w:line="241" w:lineRule="auto"/>
        <w:tabs>
          <w:tab w:leader="none" w:pos="44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is a foreign partnership, if at any time during its tax year 50% or more of its income or capital interest are held by U.S. persons or if it is engaged in the conduct of a trade or business in the U.S.,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Tax Consequences</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State and Local Taxes. We and/or you may be subject to state and local tax in various states and localities, including those states and localities in which 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17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We may sell securities from time to time in one or more transactions on a negotiated or competitive bid basis to or through one or more underwriters or dealers on a firm commitment or best efforts basis, in the over-the-counter market, on any national securities exchange or automated quotation system on which the securities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 We may also sell securities directly to institutional investors or other purchasers or through agents. We will identify any underwriter, dealer or agent involved in the offer and sale of securities, and any applicable commissions, discounts and other items constituting compensation to such underwriters, dealers or agents, in a prospectus supplement. Underwriters and agents from time to time may include Brinson Patrick Securities Corporation.</w:t>
      </w: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5"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The methods by which we may distribute securities include:</w:t>
      </w:r>
    </w:p>
    <w:p>
      <w:pPr>
        <w:spacing w:after="0" w:line="176" w:lineRule="exact"/>
        <w:rPr>
          <w:sz w:val="20"/>
          <w:szCs w:val="20"/>
          <w:color w:val="auto"/>
        </w:rPr>
      </w:pPr>
    </w:p>
    <w:p>
      <w:pPr>
        <w:ind w:left="440" w:right="3159" w:hanging="269"/>
        <w:spacing w:after="0" w:line="241" w:lineRule="auto"/>
        <w:tabs>
          <w:tab w:leader="none" w:pos="44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block trade (which may involve crosses) in which the dealer so engaged will attempt to sell the securities as agent but may position and resell a portion of the block as principal to facilitate the transaction;</w:t>
      </w:r>
    </w:p>
    <w:p>
      <w:pPr>
        <w:spacing w:after="0" w:line="176" w:lineRule="exact"/>
        <w:rPr>
          <w:sz w:val="20"/>
          <w:szCs w:val="20"/>
          <w:color w:val="auto"/>
        </w:rPr>
      </w:pPr>
    </w:p>
    <w:p>
      <w:pPr>
        <w:ind w:left="440" w:right="3699" w:hanging="269"/>
        <w:spacing w:after="0" w:line="274" w:lineRule="auto"/>
        <w:tabs>
          <w:tab w:leader="none" w:pos="44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by a dealer as principal and resale by such dealer for its account pursuant to this prospectus or any prospectus supplement;</w:t>
      </w:r>
    </w:p>
    <w:p>
      <w:pPr>
        <w:spacing w:after="0" w:line="154" w:lineRule="exact"/>
        <w:rPr>
          <w:sz w:val="20"/>
          <w:szCs w:val="20"/>
          <w:color w:val="auto"/>
        </w:rPr>
      </w:pPr>
    </w:p>
    <w:p>
      <w:pPr>
        <w:ind w:left="440" w:right="3159" w:hanging="269"/>
        <w:spacing w:after="0"/>
        <w:tabs>
          <w:tab w:leader="none" w:pos="44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 transactions and transactions in which the broker solicits purchasers; or</w:t>
      </w:r>
    </w:p>
    <w:p>
      <w:pPr>
        <w:spacing w:after="0" w:line="174" w:lineRule="exact"/>
        <w:rPr>
          <w:sz w:val="20"/>
          <w:szCs w:val="20"/>
          <w:color w:val="auto"/>
        </w:rPr>
      </w:pPr>
    </w:p>
    <w:p>
      <w:pPr>
        <w:ind w:left="440" w:hanging="269"/>
        <w:spacing w:after="0"/>
        <w:tabs>
          <w:tab w:leader="none" w:pos="44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legally available means.</w:t>
      </w:r>
    </w:p>
    <w:p>
      <w:pPr>
        <w:spacing w:after="0" w:line="176" w:lineRule="exact"/>
        <w:rPr>
          <w:sz w:val="20"/>
          <w:szCs w:val="20"/>
          <w:color w:val="auto"/>
        </w:rPr>
      </w:pPr>
    </w:p>
    <w:p>
      <w:pPr>
        <w:ind w:right="3159" w:firstLine="268"/>
        <w:spacing w:after="0" w:line="263" w:lineRule="auto"/>
        <w:rPr>
          <w:sz w:val="20"/>
          <w:szCs w:val="20"/>
          <w:color w:val="auto"/>
        </w:rPr>
      </w:pPr>
      <w:r>
        <w:rPr>
          <w:rFonts w:ascii="Courier New" w:cs="Courier New" w:eastAsia="Courier New" w:hAnsi="Courier New"/>
          <w:sz w:val="14"/>
          <w:szCs w:val="14"/>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61"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82" w:lineRule="exact"/>
        <w:rPr>
          <w:sz w:val="20"/>
          <w:szCs w:val="20"/>
          <w:color w:val="auto"/>
        </w:rPr>
      </w:pPr>
    </w:p>
    <w:p>
      <w:pPr>
        <w:ind w:right="3259" w:firstLine="268"/>
        <w:spacing w:after="0" w:line="241" w:lineRule="auto"/>
        <w:rPr>
          <w:sz w:val="20"/>
          <w:szCs w:val="20"/>
          <w:color w:val="auto"/>
        </w:rPr>
      </w:pPr>
      <w:r>
        <w:rPr>
          <w:rFonts w:ascii="Courier New" w:cs="Courier New" w:eastAsia="Courier New" w:hAnsi="Courier New"/>
          <w:sz w:val="15"/>
          <w:szCs w:val="15"/>
          <w:color w:val="auto"/>
        </w:rPr>
        <w:t>Underwriters, dealers and agents may be entitled, under agreements with us, to indemnification against and contribution toward certain civil liabilities, including liabilities under the Securities Act.</w:t>
      </w:r>
    </w:p>
    <w:p>
      <w:pPr>
        <w:spacing w:after="0" w:line="176" w:lineRule="exact"/>
        <w:rPr>
          <w:sz w:val="20"/>
          <w:szCs w:val="20"/>
          <w:color w:val="auto"/>
        </w:rPr>
      </w:pPr>
    </w:p>
    <w:p>
      <w:pPr>
        <w:ind w:right="3259" w:firstLine="268"/>
        <w:spacing w:after="0" w:line="261" w:lineRule="auto"/>
        <w:rPr>
          <w:sz w:val="20"/>
          <w:szCs w:val="20"/>
          <w:color w:val="auto"/>
        </w:rPr>
      </w:pPr>
      <w:r>
        <w:rPr>
          <w:rFonts w:ascii="Courier New" w:cs="Courier New" w:eastAsia="Courier New" w:hAnsi="Courier New"/>
          <w:sz w:val="14"/>
          <w:szCs w:val="14"/>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337" w:lineRule="exact"/>
        <w:rPr>
          <w:sz w:val="20"/>
          <w:szCs w:val="20"/>
          <w:color w:val="auto"/>
        </w:rPr>
      </w:pPr>
    </w:p>
    <w:p>
      <w:pPr>
        <w:jc w:val="both"/>
        <w:ind w:right="3159" w:firstLine="268"/>
        <w:spacing w:after="0" w:line="242" w:lineRule="auto"/>
        <w:rPr>
          <w:sz w:val="20"/>
          <w:szCs w:val="20"/>
          <w:color w:val="auto"/>
        </w:rPr>
      </w:pPr>
      <w:r>
        <w:rPr>
          <w:rFonts w:ascii="Courier New" w:cs="Courier New" w:eastAsia="Courier New" w:hAnsi="Courier New"/>
          <w:sz w:val="15"/>
          <w:szCs w:val="15"/>
          <w:color w:val="auto"/>
        </w:rPr>
        <w:t>The securities may or may not be listed on a national securities exchange or traded in the over-the-counter market (other than the common shares, the Series A preferred shares and the Series B preferred shares, each of which are quoted on The New York Stock Exchange). No assurance can be given as to the liquidity of the trading market for any such securities.</w:t>
      </w:r>
    </w:p>
    <w:p>
      <w:pPr>
        <w:spacing w:after="0" w:line="175"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3" w:right="1440" w:bottom="1440" w:gutter="0" w:footer="0" w:header="0"/>
        </w:sectPr>
      </w:pPr>
    </w:p>
    <w:bookmarkStart w:id="44" w:name="page45"/>
    <w:bookmarkEnd w:id="44"/>
    <w:p>
      <w:pPr>
        <w:ind w:right="3159"/>
        <w:spacing w:after="0" w:line="261" w:lineRule="auto"/>
        <w:rPr>
          <w:sz w:val="20"/>
          <w:szCs w:val="20"/>
          <w:color w:val="auto"/>
        </w:rPr>
      </w:pPr>
      <w:r>
        <w:rPr>
          <w:rFonts w:ascii="Courier New" w:cs="Courier New" w:eastAsia="Courier New" w:hAnsi="Courier New"/>
          <w:sz w:val="14"/>
          <w:szCs w:val="14"/>
          <w:color w:val="auto"/>
        </w:rPr>
        <w:t>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shares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or that such transactions, once commenced, may be discontinued without notice.</w:t>
      </w:r>
    </w:p>
    <w:p>
      <w:pPr>
        <w:spacing w:after="0" w:line="334"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Certain of the underwriters or agents and their associates may engage in transactions with and perform services for us or our affiliates in the ordinary course of their respective businesses.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Certain legal matters in connection with any offering of securities made by this prospectus will be passed upon for us by Shaw Pittman LLP, a law partnership including professional corporations. In addition, the description of federal income tax consequences contained in this prospectus under "Federal Income Tax Consequences" is, to the extent that it constitutes matters of law, summaries of legal matters or legal conclusions, the opinion of Shaw Pittman LLP.</w:t>
      </w:r>
    </w:p>
    <w:p>
      <w:pPr>
        <w:spacing w:after="0" w:line="17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NOTICE REGARDING ARTHUR ANDERSEN LLP</w:t>
      </w:r>
    </w:p>
    <w:p>
      <w:pPr>
        <w:spacing w:after="0" w:line="176" w:lineRule="exact"/>
        <w:rPr>
          <w:sz w:val="20"/>
          <w:szCs w:val="20"/>
          <w:color w:val="auto"/>
        </w:rPr>
      </w:pPr>
    </w:p>
    <w:p>
      <w:pPr>
        <w:jc w:val="both"/>
        <w:ind w:right="3439" w:firstLine="268"/>
        <w:spacing w:after="0" w:line="274" w:lineRule="auto"/>
        <w:rPr>
          <w:sz w:val="20"/>
          <w:szCs w:val="20"/>
          <w:color w:val="auto"/>
        </w:rPr>
      </w:pPr>
      <w:r>
        <w:rPr>
          <w:rFonts w:ascii="Courier New" w:cs="Courier New" w:eastAsia="Courier New" w:hAnsi="Courier New"/>
          <w:sz w:val="14"/>
          <w:szCs w:val="14"/>
          <w:color w:val="auto"/>
        </w:rPr>
        <w:t>On June 4, 2002, we announced that we had appointed Grant Thornton LLP as our independent auditor for fiscal year 2002, replacing Arthur Andersen LLP.</w:t>
      </w:r>
    </w:p>
    <w:p>
      <w:pPr>
        <w:spacing w:after="0" w:line="154" w:lineRule="exact"/>
        <w:rPr>
          <w:sz w:val="20"/>
          <w:szCs w:val="20"/>
          <w:color w:val="auto"/>
        </w:rPr>
      </w:pPr>
    </w:p>
    <w:p>
      <w:pPr>
        <w:ind w:right="3259" w:firstLine="268"/>
        <w:spacing w:after="0" w:line="261" w:lineRule="auto"/>
        <w:rPr>
          <w:sz w:val="20"/>
          <w:szCs w:val="20"/>
          <w:color w:val="auto"/>
        </w:rPr>
      </w:pPr>
      <w:r>
        <w:rPr>
          <w:rFonts w:ascii="Courier New" w:cs="Courier New" w:eastAsia="Courier New" w:hAnsi="Courier New"/>
          <w:sz w:val="14"/>
          <w:szCs w:val="14"/>
          <w:color w:val="auto"/>
        </w:rPr>
        <w:t>Section 11(a) of the Securities Act of 1933, as amended,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the registration statement (unless it is proved that at the time of the acquisition the person knew of the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the registration statement, report or valuation which purports to have been prepared or certified by the accountant.</w:t>
      </w:r>
    </w:p>
    <w:p>
      <w:pPr>
        <w:spacing w:after="0" w:line="16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Prior to the date of this prospectus, the Arthur Andersen partners who reviewed our most recent audited financial statements, as of December 31, 2001 and 2000 and for each of the three years in the period ended December 31, 2001 resigned from Arthur Andersen. As a result, after reasonable efforts, we have been unable to obtain Arthur Andersen's written consent to the incorporation by reference into this registration statement of its audit reports with respect to our financial statements.</w:t>
      </w:r>
    </w:p>
    <w:p>
      <w:pPr>
        <w:spacing w:after="0" w:line="177"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Under these circumstances, Rule 437a under the Securities Act permits us to file this registration statement without a written consent from Arthur Andersen. Accordingly, Arthur Andersen will not be liable to you under Section 11(a) of the Securities Act because it has not consented to being named as an expert in the registration statement.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5" w:right="1440" w:bottom="1440" w:gutter="0" w:footer="0" w:header="0"/>
        </w:sectPr>
      </w:pPr>
    </w:p>
    <w:bookmarkStart w:id="45" w:name="page46"/>
    <w:bookmarkEnd w:id="45"/>
    <w:p>
      <w:pPr>
        <w:jc w:val="center"/>
        <w:ind w:right="315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jc w:val="both"/>
        <w:ind w:right="3339" w:firstLine="268"/>
        <w:spacing w:after="0" w:line="242" w:lineRule="auto"/>
        <w:rPr>
          <w:sz w:val="20"/>
          <w:szCs w:val="20"/>
          <w:color w:val="auto"/>
        </w:rPr>
      </w:pPr>
      <w:r>
        <w:rPr>
          <w:rFonts w:ascii="Courier New" w:cs="Courier New" w:eastAsia="Courier New" w:hAnsi="Courier New"/>
          <w:sz w:val="15"/>
          <w:szCs w:val="15"/>
          <w:color w:val="auto"/>
        </w:rPr>
        <w:t>We file annual, quarterly and special reports, proxy statements and other information with the SEC. Our SEC filings are available to the public at the SEC's website at www.sec.gov. You may also read and copy any document we file at the SEC's Public Reference Room at:</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Public Reference Section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Room 1200</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450 Fifth Street, N.W.</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Washington, D.C. 20549</w:t>
      </w:r>
    </w:p>
    <w:p>
      <w:pPr>
        <w:spacing w:after="0" w:line="176" w:lineRule="exact"/>
        <w:rPr>
          <w:sz w:val="20"/>
          <w:szCs w:val="20"/>
          <w:color w:val="auto"/>
        </w:rPr>
      </w:pPr>
    </w:p>
    <w:p>
      <w:pPr>
        <w:ind w:right="3879" w:firstLine="268"/>
        <w:spacing w:after="0"/>
        <w:rPr>
          <w:sz w:val="20"/>
          <w:szCs w:val="20"/>
          <w:color w:val="auto"/>
        </w:rPr>
      </w:pPr>
      <w:r>
        <w:rPr>
          <w:rFonts w:ascii="Courier New" w:cs="Courier New" w:eastAsia="Courier New" w:hAnsi="Courier New"/>
          <w:sz w:val="15"/>
          <w:szCs w:val="15"/>
          <w:color w:val="auto"/>
        </w:rPr>
        <w:t>Please call the SEC at 1-800-SEC-0330 for further information on the operating rules and procedures for the public reference room.</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We incorporate by reference the documents listed below as well as any future filings made with the SEC under Sections 13(a), 13(c), 14, or 15(d) of the Securities Exchange Act (Exchange Act File No. 1-07533) from the date of the initial registration statement and prior to the effectiveness of this registration statement, and any filings made from the date of this prospectus until we sell all of the securities under this prospectus.</w:t>
      </w:r>
    </w:p>
    <w:p>
      <w:pPr>
        <w:spacing w:after="0" w:line="179" w:lineRule="exact"/>
        <w:rPr>
          <w:sz w:val="20"/>
          <w:szCs w:val="20"/>
          <w:color w:val="auto"/>
        </w:rPr>
      </w:pPr>
    </w:p>
    <w:p>
      <w:pPr>
        <w:ind w:left="440" w:right="3159" w:hanging="269"/>
        <w:spacing w:after="0"/>
        <w:tabs>
          <w:tab w:leader="none" w:pos="44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fiscal year ended December 31, 2001 and filed on March 22, 2002</w:t>
      </w:r>
    </w:p>
    <w:p>
      <w:pPr>
        <w:spacing w:after="0" w:line="176" w:lineRule="exact"/>
        <w:rPr>
          <w:sz w:val="20"/>
          <w:szCs w:val="20"/>
          <w:color w:val="auto"/>
        </w:rPr>
      </w:pPr>
    </w:p>
    <w:p>
      <w:pPr>
        <w:ind w:left="440" w:right="3339" w:hanging="269"/>
        <w:spacing w:after="0"/>
        <w:tabs>
          <w:tab w:leader="none" w:pos="44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on Form 10-Q for the fiscal quarter ended June 30, 2002 and filed on August 12, 2002</w:t>
      </w:r>
    </w:p>
    <w:p>
      <w:pPr>
        <w:spacing w:after="0" w:line="176" w:lineRule="exact"/>
        <w:rPr>
          <w:sz w:val="20"/>
          <w:szCs w:val="20"/>
          <w:color w:val="auto"/>
        </w:rPr>
      </w:pPr>
    </w:p>
    <w:p>
      <w:pPr>
        <w:ind w:left="440" w:right="3259" w:hanging="269"/>
        <w:spacing w:after="0"/>
        <w:tabs>
          <w:tab w:leader="none" w:pos="44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on Form 10-Q for the fiscal quarter ended March 31, 2002 and filed on May 2, 2002</w:t>
      </w:r>
    </w:p>
    <w:p>
      <w:pPr>
        <w:spacing w:after="0" w:line="176" w:lineRule="exact"/>
        <w:rPr>
          <w:sz w:val="20"/>
          <w:szCs w:val="20"/>
          <w:color w:val="auto"/>
        </w:rPr>
      </w:pPr>
    </w:p>
    <w:p>
      <w:pPr>
        <w:ind w:left="440" w:right="3879" w:hanging="269"/>
        <w:spacing w:after="0" w:line="274" w:lineRule="auto"/>
        <w:tabs>
          <w:tab w:leader="none" w:pos="44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common shares contained in the Registration Statement on Form 8-A/A filed with the SEC on June 6, 2002</w:t>
      </w:r>
    </w:p>
    <w:p>
      <w:pPr>
        <w:spacing w:after="0" w:line="154" w:lineRule="exact"/>
        <w:rPr>
          <w:sz w:val="20"/>
          <w:szCs w:val="20"/>
          <w:color w:val="auto"/>
        </w:rPr>
      </w:pPr>
    </w:p>
    <w:p>
      <w:pPr>
        <w:ind w:left="440" w:right="3259" w:hanging="269"/>
        <w:spacing w:after="0" w:line="274" w:lineRule="auto"/>
        <w:tabs>
          <w:tab w:leader="none" w:pos="44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common share purchase rights contained in the Registration Statement on Form 8-A/A filed with the SEC on March 11, 1999</w:t>
      </w:r>
    </w:p>
    <w:p>
      <w:pPr>
        <w:spacing w:after="0" w:line="154" w:lineRule="exact"/>
        <w:rPr>
          <w:sz w:val="20"/>
          <w:szCs w:val="20"/>
          <w:color w:val="auto"/>
        </w:rPr>
      </w:pPr>
    </w:p>
    <w:p>
      <w:pPr>
        <w:ind w:left="440" w:right="3159" w:hanging="269"/>
        <w:spacing w:after="0" w:line="241" w:lineRule="auto"/>
        <w:tabs>
          <w:tab w:leader="none" w:pos="44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Series A preferred shares contained in the Registration Statement on Form 8-A/A filed with the SEC on October 6, 1997 and the Form 8-A filed with the SEC on March 12, 2001</w:t>
      </w:r>
    </w:p>
    <w:p>
      <w:pPr>
        <w:spacing w:after="0" w:line="176" w:lineRule="exact"/>
        <w:rPr>
          <w:sz w:val="20"/>
          <w:szCs w:val="20"/>
          <w:color w:val="auto"/>
        </w:rPr>
      </w:pPr>
    </w:p>
    <w:p>
      <w:pPr>
        <w:ind w:left="440" w:right="3159" w:hanging="269"/>
        <w:spacing w:after="0" w:line="274" w:lineRule="auto"/>
        <w:tabs>
          <w:tab w:leader="none" w:pos="44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Series B preferred shares contained in the Registration Statement on Form 8-A filed with the SEC on November 26, 2001</w:t>
      </w:r>
    </w:p>
    <w:p>
      <w:pPr>
        <w:spacing w:after="0" w:line="154" w:lineRule="exact"/>
        <w:rPr>
          <w:sz w:val="20"/>
          <w:szCs w:val="20"/>
          <w:color w:val="auto"/>
        </w:rPr>
      </w:pPr>
    </w:p>
    <w:p>
      <w:pPr>
        <w:ind w:left="440" w:right="3439" w:hanging="269"/>
        <w:spacing w:after="0" w:line="241" w:lineRule="auto"/>
        <w:tabs>
          <w:tab w:leader="none" w:pos="44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Reports on Form 8-K filed with the SEC on September 4, 2002, August 12, 2002, June 11, 2002, June 5, 2002, April 30, 2002, March 28, 2002, March 12, 2002 and February 12, 2002</w:t>
      </w:r>
    </w:p>
    <w:p>
      <w:pPr>
        <w:spacing w:after="0" w:line="176" w:lineRule="exact"/>
        <w:rPr>
          <w:sz w:val="20"/>
          <w:szCs w:val="20"/>
          <w:color w:val="auto"/>
        </w:rPr>
      </w:pPr>
    </w:p>
    <w:p>
      <w:pPr>
        <w:ind w:right="3159" w:firstLine="268"/>
        <w:spacing w:after="0" w:line="262" w:lineRule="auto"/>
        <w:rPr>
          <w:sz w:val="20"/>
          <w:szCs w:val="20"/>
          <w:color w:val="auto"/>
        </w:rPr>
      </w:pPr>
      <w:r>
        <w:rPr>
          <w:rFonts w:ascii="Courier New" w:cs="Courier New" w:eastAsia="Courier New" w:hAnsi="Courier New"/>
          <w:sz w:val="14"/>
          <w:szCs w:val="14"/>
          <w:color w:val="auto"/>
        </w:rPr>
        <w:t>Copies of these filings are available at no cost at our website, www.federalrealty.com. Amendments to these filings will be posted to our website as soon as reasonably practical after filing with the SEC. 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 Please direct your request to:</w:t>
      </w:r>
    </w:p>
    <w:p>
      <w:pPr>
        <w:spacing w:after="0" w:line="16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Andrew P. Blocher</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Vice President, Investor Relations and Capital Markets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Federal Realty Investment Trust</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1626 E. Jefferson Street</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Rockville, Maryland 20852</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(301) 998-8100 OR (301) 658-8980</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3" w:right="1440" w:bottom="1440" w:gutter="0" w:footer="0" w:header="0"/>
        </w:sectPr>
      </w:pPr>
    </w:p>
    <w:bookmarkStart w:id="46" w:name="page47"/>
    <w:bookmarkEnd w:id="46"/>
    <w:p>
      <w:pPr>
        <w:ind w:right="3159" w:firstLine="268"/>
        <w:spacing w:after="0" w:line="242" w:lineRule="auto"/>
        <w:rPr>
          <w:sz w:val="20"/>
          <w:szCs w:val="20"/>
          <w:color w:val="auto"/>
        </w:rPr>
      </w:pPr>
      <w:r>
        <w:rPr>
          <w:rFonts w:ascii="Courier New" w:cs="Courier New" w:eastAsia="Courier New" w:hAnsi="Courier New"/>
          <w:sz w:val="15"/>
          <w:szCs w:val="15"/>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79" w:lineRule="exact"/>
        <w:rPr>
          <w:sz w:val="20"/>
          <w:szCs w:val="20"/>
          <w:color w:val="auto"/>
        </w:rPr>
      </w:pPr>
    </w:p>
    <w:p>
      <w:pPr>
        <w:jc w:val="both"/>
        <w:ind w:right="3339" w:firstLine="268"/>
        <w:spacing w:after="0" w:line="242" w:lineRule="auto"/>
        <w:rPr>
          <w:sz w:val="20"/>
          <w:szCs w:val="20"/>
          <w:color w:val="auto"/>
        </w:rPr>
      </w:pPr>
      <w:r>
        <w:rPr>
          <w:rFonts w:ascii="Courier New" w:cs="Courier New" w:eastAsia="Courier New" w:hAnsi="Courier New"/>
          <w:sz w:val="15"/>
          <w:szCs w:val="15"/>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5" w:right="1440" w:bottom="1440" w:gutter="0" w:footer="0" w:header="0"/>
        </w:sectPr>
      </w:pPr>
    </w:p>
    <w:bookmarkStart w:id="47" w:name="page48"/>
    <w:bookmarkEnd w:id="47"/>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following table itemizes the expenses incurred, or to be incurred, by us in connection with the registration and issuance of the securities being registered hereunder. As indicated below, all amounts shown are estimates except for the SEC registration fee.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Registration Fee -- SEC...............</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46,000</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Printing and Engraving Expenses.......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Accounting Fees and Expenses..........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Legal Fees and Expenses...............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400,000*</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Transfer Agent and Registrar Fees.....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Trustees' Fees........................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Rating Agency Fees....................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400,000*</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Miscellaneous (including listing fees)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478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$1,526,000*</w:t>
            </w:r>
          </w:p>
        </w:tc>
      </w:tr>
      <w:tr>
        <w:trPr>
          <w:trHeight w:val="172"/>
        </w:trPr>
        <w:tc>
          <w:tcPr>
            <w:tcW w:w="478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 Estimate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Item 15.  Indemnification of Trustees and Officers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176"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Our declaration of trust authorizes us, to the maximum extent permitted by Maryland law, to obligate itself to indemnify and to pay or reimburse reasonable expenses in advance of final disposition of a proceeding to:</w:t>
      </w:r>
    </w:p>
    <w:p>
      <w:pPr>
        <w:spacing w:after="0" w:line="176" w:lineRule="exact"/>
        <w:rPr>
          <w:sz w:val="20"/>
          <w:szCs w:val="20"/>
          <w:color w:val="auto"/>
        </w:rPr>
      </w:pPr>
    </w:p>
    <w:p>
      <w:pPr>
        <w:ind w:left="440" w:right="3159" w:hanging="269"/>
        <w:spacing w:after="0"/>
        <w:tabs>
          <w:tab w:leader="none" w:pos="44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individual who is either our present or former shareholder, trustee or officer; or</w:t>
      </w:r>
    </w:p>
    <w:p>
      <w:pPr>
        <w:spacing w:after="0" w:line="176" w:lineRule="exact"/>
        <w:rPr>
          <w:sz w:val="20"/>
          <w:szCs w:val="20"/>
          <w:color w:val="auto"/>
        </w:rPr>
      </w:pPr>
    </w:p>
    <w:p>
      <w:pPr>
        <w:ind w:left="440" w:right="3159" w:hanging="269"/>
        <w:spacing w:after="0" w:line="242" w:lineRule="auto"/>
        <w:tabs>
          <w:tab w:leader="none" w:pos="44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individual who, while a trustee and at our request, also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status.</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Our declaration of trust also permits us to indemnify and advance expenses to any person who served one of our predecessors in any of the capacities described above and to any of our employees or agents or the employees or agents of one of our predecessors.</w:t>
      </w:r>
    </w:p>
    <w:p>
      <w:pPr>
        <w:spacing w:after="0" w:line="175" w:lineRule="exact"/>
        <w:rPr>
          <w:sz w:val="20"/>
          <w:szCs w:val="20"/>
          <w:color w:val="auto"/>
        </w:rPr>
      </w:pPr>
    </w:p>
    <w:p>
      <w:pPr>
        <w:ind w:right="3259" w:firstLine="268"/>
        <w:spacing w:after="0"/>
        <w:rPr>
          <w:sz w:val="20"/>
          <w:szCs w:val="20"/>
          <w:color w:val="auto"/>
        </w:rPr>
      </w:pPr>
      <w:r>
        <w:rPr>
          <w:rFonts w:ascii="Courier New" w:cs="Courier New" w:eastAsia="Courier New" w:hAnsi="Courier New"/>
          <w:sz w:val="15"/>
          <w:szCs w:val="15"/>
          <w:color w:val="auto"/>
        </w:rPr>
        <w:t>Our bylaws obligate us, to the maximum extent permitted by Maryland law, to indemnify:</w:t>
      </w:r>
    </w:p>
    <w:p>
      <w:pPr>
        <w:spacing w:after="0" w:line="176" w:lineRule="exact"/>
        <w:rPr>
          <w:sz w:val="20"/>
          <w:szCs w:val="20"/>
          <w:color w:val="auto"/>
        </w:rPr>
      </w:pPr>
    </w:p>
    <w:p>
      <w:pPr>
        <w:ind w:left="440" w:right="3259" w:hanging="269"/>
        <w:spacing w:after="0" w:line="242" w:lineRule="auto"/>
        <w:tabs>
          <w:tab w:leader="none" w:pos="44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trustee, officer or shareholder or any former trustee, officer or shareholder, including any individual who, while a trustee, officer or shareholder and at our express request, also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and who has been successful, on the merits or otherwise, in the defense of a proceeding to which he was made a party by reason of service in such capacity, against reasonable expenses incurred by him in connection with the proceeding;</w:t>
      </w:r>
    </w:p>
    <w:p>
      <w:pPr>
        <w:spacing w:after="0" w:line="179" w:lineRule="exact"/>
        <w:rPr>
          <w:sz w:val="20"/>
          <w:szCs w:val="20"/>
          <w:color w:val="auto"/>
        </w:rPr>
      </w:pPr>
    </w:p>
    <w:p>
      <w:pPr>
        <w:ind w:left="440" w:right="3259" w:hanging="269"/>
        <w:spacing w:after="0" w:line="241" w:lineRule="auto"/>
        <w:tabs>
          <w:tab w:leader="none" w:pos="44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trustee or officer or any former trustee or officer against any claim or liability to which he may become subject by reason of such status unless it is established that</w:t>
      </w:r>
    </w:p>
    <w:p>
      <w:pPr>
        <w:spacing w:after="0" w:line="176" w:lineRule="exact"/>
        <w:rPr>
          <w:sz w:val="20"/>
          <w:szCs w:val="20"/>
          <w:color w:val="auto"/>
        </w:rPr>
      </w:pPr>
    </w:p>
    <w:p>
      <w:pPr>
        <w:ind w:left="800" w:right="3259" w:hanging="272"/>
        <w:spacing w:after="0" w:line="241" w:lineRule="auto"/>
        <w:tabs>
          <w:tab w:leader="none" w:pos="80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 act or omission was material to the matter giving rise to the proceeding and was committed in bad faith or was the result of active and deliberate dishonesty,</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33" w:right="1440" w:bottom="1440" w:gutter="0" w:footer="0" w:header="0"/>
        </w:sectPr>
      </w:pPr>
    </w:p>
    <w:bookmarkStart w:id="48" w:name="page49"/>
    <w:bookmarkEnd w:id="48"/>
    <w:p>
      <w:pPr>
        <w:ind w:left="800" w:right="3339" w:hanging="272"/>
        <w:spacing w:after="0"/>
        <w:tabs>
          <w:tab w:leader="none" w:pos="80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actually received an improper personal benefit in money, property or services, or</w:t>
      </w:r>
    </w:p>
    <w:p>
      <w:pPr>
        <w:spacing w:after="0" w:line="176" w:lineRule="exact"/>
        <w:rPr>
          <w:sz w:val="20"/>
          <w:szCs w:val="20"/>
          <w:color w:val="auto"/>
        </w:rPr>
      </w:pPr>
    </w:p>
    <w:p>
      <w:pPr>
        <w:ind w:left="800" w:right="3699" w:hanging="272"/>
        <w:spacing w:after="0"/>
        <w:tabs>
          <w:tab w:leader="none" w:pos="80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criminal proceeding, he had reasonable cause to believe that his act or omission was unlawful; and</w:t>
      </w:r>
    </w:p>
    <w:p>
      <w:pPr>
        <w:spacing w:after="0" w:line="176" w:lineRule="exact"/>
        <w:rPr>
          <w:sz w:val="20"/>
          <w:szCs w:val="20"/>
          <w:color w:val="auto"/>
        </w:rPr>
      </w:pPr>
    </w:p>
    <w:p>
      <w:pPr>
        <w:ind w:left="440" w:right="3339" w:hanging="269"/>
        <w:spacing w:after="0"/>
        <w:tabs>
          <w:tab w:leader="none" w:pos="44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shareholder or former shareholder against any claim or liability to which he may become subject by reason of such status.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 addition, we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we must have received:</w:t>
      </w:r>
    </w:p>
    <w:p>
      <w:pPr>
        <w:spacing w:after="0" w:line="176" w:lineRule="exact"/>
        <w:rPr>
          <w:sz w:val="20"/>
          <w:szCs w:val="20"/>
          <w:color w:val="auto"/>
        </w:rPr>
      </w:pPr>
    </w:p>
    <w:p>
      <w:pPr>
        <w:ind w:left="440" w:right="3339" w:hanging="269"/>
        <w:spacing w:after="0" w:line="241" w:lineRule="auto"/>
        <w:tabs>
          <w:tab w:leader="none" w:pos="44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written affirmation by the trustee or officer of his good faith belief that he has met the applicable standard of conduct necessary for indemnification; and</w:t>
      </w:r>
    </w:p>
    <w:p>
      <w:pPr>
        <w:spacing w:after="0" w:line="176" w:lineRule="exact"/>
        <w:rPr>
          <w:sz w:val="20"/>
          <w:szCs w:val="20"/>
          <w:color w:val="auto"/>
        </w:rPr>
      </w:pPr>
    </w:p>
    <w:p>
      <w:pPr>
        <w:ind w:left="440" w:right="3259" w:hanging="269"/>
        <w:spacing w:after="0" w:line="241" w:lineRule="auto"/>
        <w:tabs>
          <w:tab w:leader="none" w:pos="44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written undertaking by or on his behalf to repay the amount paid or reimbursed by us if it shall ultimately be determined that the applicable standard of conduct was not met.</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We may, with the approval of our trustees, provide such indemnification or payment or reimbursement of expenses to any trustee, officer or shareholder or any former trustee, officer or shareholder who served in such capacity to one of our predecessors and to any of our employees or agents or an employee or agent of one of our predecessors. Any indemnification or payment or reimbursement of the expenses permitted by our bylaws will be furnished in accordance with the procedures provided for indemnification or payment or reimbursement of expenses, as the case may be, under Section 2-418 of the Maryland General Corporation Law, or MGCL, for directors of Maryland corporations. We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81"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Title 8 of the MGCL permits a Maryland real estate investment trust to indemnify and advance expenses to its trustees, officers, employees and agents, and permits a corporation to indemnify its present and former trustees and officers, among others, against judgments, penalties, fines, settlements and reasonable expenses actually incurred by them in connection with any proceeding to which they may be made a party by reason of their service in those or other capacities unless it is established that</w:t>
      </w:r>
    </w:p>
    <w:p>
      <w:pPr>
        <w:spacing w:after="0" w:line="177" w:lineRule="exact"/>
        <w:rPr>
          <w:sz w:val="20"/>
          <w:szCs w:val="20"/>
          <w:color w:val="auto"/>
        </w:rPr>
      </w:pPr>
    </w:p>
    <w:p>
      <w:pPr>
        <w:ind w:left="440" w:right="3339" w:hanging="269"/>
        <w:spacing w:after="0"/>
        <w:tabs>
          <w:tab w:leader="none" w:pos="44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 or omission of the trustee or officer was material to the matter giving rise to the proceeding; and</w:t>
      </w:r>
    </w:p>
    <w:p>
      <w:pPr>
        <w:spacing w:after="0" w:line="174" w:lineRule="exact"/>
        <w:rPr>
          <w:sz w:val="20"/>
          <w:szCs w:val="20"/>
          <w:color w:val="auto"/>
        </w:rPr>
      </w:pPr>
    </w:p>
    <w:p>
      <w:pPr>
        <w:ind w:left="800" w:hanging="272"/>
        <w:spacing w:after="0"/>
        <w:tabs>
          <w:tab w:leader="none" w:pos="80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committed in bad faith, or</w:t>
      </w:r>
    </w:p>
    <w:p>
      <w:pPr>
        <w:spacing w:after="0" w:line="174" w:lineRule="exact"/>
        <w:rPr>
          <w:sz w:val="20"/>
          <w:szCs w:val="20"/>
          <w:color w:val="auto"/>
        </w:rPr>
      </w:pPr>
    </w:p>
    <w:p>
      <w:pPr>
        <w:ind w:left="800" w:hanging="272"/>
        <w:spacing w:after="0"/>
        <w:tabs>
          <w:tab w:leader="none" w:pos="80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the result of active and deliberate dishonesty;</w:t>
      </w:r>
    </w:p>
    <w:p>
      <w:pPr>
        <w:spacing w:after="0" w:line="176" w:lineRule="exact"/>
        <w:rPr>
          <w:sz w:val="20"/>
          <w:szCs w:val="20"/>
          <w:color w:val="auto"/>
        </w:rPr>
      </w:pPr>
    </w:p>
    <w:p>
      <w:pPr>
        <w:ind w:left="440" w:right="3339" w:hanging="269"/>
        <w:spacing w:after="0"/>
        <w:tabs>
          <w:tab w:leader="none" w:pos="44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or officer actually received an improper personal benefit in money, property or services; or</w:t>
      </w:r>
    </w:p>
    <w:p>
      <w:pPr>
        <w:spacing w:after="0" w:line="176" w:lineRule="exact"/>
        <w:rPr>
          <w:sz w:val="20"/>
          <w:szCs w:val="20"/>
          <w:color w:val="auto"/>
        </w:rPr>
      </w:pPr>
    </w:p>
    <w:p>
      <w:pPr>
        <w:jc w:val="both"/>
        <w:ind w:left="440" w:right="3879" w:hanging="269"/>
        <w:spacing w:after="0" w:line="274" w:lineRule="auto"/>
        <w:tabs>
          <w:tab w:leader="none" w:pos="44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criminal proceeding, the trustee or officer had reasonable cause to believe that the act or omission was unlawful.</w:t>
      </w:r>
    </w:p>
    <w:p>
      <w:pPr>
        <w:spacing w:after="0" w:line="154" w:lineRule="exact"/>
        <w:rPr>
          <w:sz w:val="20"/>
          <w:szCs w:val="20"/>
          <w:color w:val="auto"/>
        </w:rPr>
      </w:pPr>
    </w:p>
    <w:p>
      <w:pPr>
        <w:jc w:val="both"/>
        <w:ind w:right="3519" w:firstLine="268"/>
        <w:spacing w:after="0" w:line="241" w:lineRule="auto"/>
        <w:rPr>
          <w:sz w:val="20"/>
          <w:szCs w:val="20"/>
          <w:color w:val="auto"/>
        </w:rPr>
      </w:pPr>
      <w:r>
        <w:rPr>
          <w:rFonts w:ascii="Courier New" w:cs="Courier New" w:eastAsia="Courier New" w:hAnsi="Courier New"/>
          <w:sz w:val="15"/>
          <w:szCs w:val="15"/>
          <w:color w:val="auto"/>
        </w:rPr>
        <w:t>However, under Title 8, a Maryland real estate investment trust may not indemnify a trustee or officer in a suit by or in the right of the trust if such trustee or officer has been adjudged to be liable to the trust.</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trustees, officers or persons controlling us pursuant to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35" w:right="1440" w:bottom="1440" w:gutter="0" w:footer="0" w:header="0"/>
        </w:sectPr>
      </w:pPr>
    </w:p>
    <w:bookmarkStart w:id="49" w:name="page50"/>
    <w:bookmarkEnd w:id="49"/>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16.</w:t>
        <w:tab/>
        <w:t>Exhibits</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4728"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8" w:hanging="188"/>
        <w:spacing w:after="0"/>
        <w:tabs>
          <w:tab w:leader="none" w:pos="188"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83"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  Form of Underwriting or Purchase Agreement for Debt Securities</w:t>
      </w:r>
    </w:p>
    <w:p>
      <w:pPr>
        <w:spacing w:after="0" w:line="2"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  Form of Underwriting or Purchase Agreement for Equity Securities</w:t>
      </w:r>
    </w:p>
    <w:p>
      <w:pPr>
        <w:spacing w:after="0" w:line="3" w:lineRule="exact"/>
        <w:rPr>
          <w:rFonts w:ascii="Courier New" w:cs="Courier New" w:eastAsia="Courier New" w:hAnsi="Courier New"/>
          <w:sz w:val="14"/>
          <w:szCs w:val="14"/>
          <w:color w:val="auto"/>
        </w:rPr>
      </w:pPr>
    </w:p>
    <w:p>
      <w:pPr>
        <w:ind w:left="708" w:right="1019" w:hanging="537"/>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3.1 Declaration of Trust of Federal Realty Investment Trust (previously filed as Exhibit 3.2 to the Registrant's Current Report on Form 8-K filed with the SEC on May 21, 1999 and incorporated herein by reference)</w:t>
      </w:r>
    </w:p>
    <w:p>
      <w:pPr>
        <w:spacing w:after="0" w:line="4" w:lineRule="exact"/>
        <w:rPr>
          <w:rFonts w:ascii="Courier New" w:cs="Courier New" w:eastAsia="Courier New" w:hAnsi="Courier New"/>
          <w:sz w:val="14"/>
          <w:szCs w:val="14"/>
          <w:color w:val="auto"/>
        </w:rPr>
      </w:pPr>
    </w:p>
    <w:p>
      <w:pPr>
        <w:ind w:left="708" w:right="1379" w:hanging="537"/>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3.2 Bylaws of Federal Realty Investment Trust, as amended (previously filed as Exhibit 2 to the Registrant's Registration Statement on Form 8-A/A filed with the SEC on June 6, 2002 and incorporated herein by reference)</w:t>
      </w:r>
    </w:p>
    <w:p>
      <w:pPr>
        <w:spacing w:after="0" w:line="4" w:lineRule="exact"/>
        <w:rPr>
          <w:rFonts w:ascii="Courier New" w:cs="Courier New" w:eastAsia="Courier New" w:hAnsi="Courier New"/>
          <w:sz w:val="14"/>
          <w:szCs w:val="14"/>
          <w:color w:val="auto"/>
        </w:rPr>
      </w:pPr>
    </w:p>
    <w:p>
      <w:pPr>
        <w:ind w:left="708" w:right="1099" w:hanging="537"/>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4.1 Form of Common Share Certificate (previously filed as Exhibit 4(i) to the Registrant's Annual Report on Form 10-K for the year ended December 31, 1999 and incorporated herein by reference)</w:t>
      </w:r>
    </w:p>
    <w:p>
      <w:pPr>
        <w:ind w:left="708" w:right="379" w:hanging="537"/>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4.2 Articles Supplementary relating to the 8 1/2% Series B Cumulative Redeemable Preferred Shares (previously filed as Exhibit 4.2 to the Registrant's Registration Statement on Form 8-A filed with the SEC on November 26, 2001 and incorporated herein by reference)</w:t>
      </w:r>
    </w:p>
    <w:p>
      <w:pPr>
        <w:spacing w:after="0" w:line="2"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4.3*  Form of Articles Supplementary for Preferred Shares</w:t>
      </w:r>
    </w:p>
    <w:p>
      <w:pPr>
        <w:spacing w:after="0" w:line="3" w:lineRule="exact"/>
        <w:rPr>
          <w:rFonts w:ascii="Courier New" w:cs="Courier New" w:eastAsia="Courier New" w:hAnsi="Courier New"/>
          <w:sz w:val="14"/>
          <w:szCs w:val="14"/>
          <w:color w:val="auto"/>
        </w:rPr>
      </w:pPr>
    </w:p>
    <w:p>
      <w:pPr>
        <w:ind w:left="708" w:right="839" w:hanging="537"/>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4.4 Form of 7.95% Series A Cumulative Redeemable Preferred Share Certificate (previously filed as Exhibit 4(ii) to the Registrant's Annual Report on Form 10-K for the year ended December 31, 1999 and incorporated herein by reference)</w:t>
      </w:r>
    </w:p>
    <w:p>
      <w:pPr>
        <w:spacing w:after="0" w:line="4" w:lineRule="exact"/>
        <w:rPr>
          <w:rFonts w:ascii="Courier New" w:cs="Courier New" w:eastAsia="Courier New" w:hAnsi="Courier New"/>
          <w:sz w:val="14"/>
          <w:szCs w:val="14"/>
          <w:color w:val="auto"/>
        </w:rPr>
      </w:pPr>
    </w:p>
    <w:p>
      <w:pPr>
        <w:ind w:left="708" w:right="1199" w:hanging="537"/>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4.5 Form of 81/2% Series B Cumulative Redeemable Preferred Share Certificate (previously filed as Exhibit 4 to the Registrant's Registration Statement on Form 8-A filed with the SEC on November 26, 2001 and incorporated herein by reference)</w:t>
      </w:r>
    </w:p>
    <w:p>
      <w:pPr>
        <w:spacing w:after="0" w:line="2"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4.6*  Form of Preferred Share Certificate</w:t>
      </w:r>
    </w:p>
    <w:p>
      <w:pPr>
        <w:spacing w:after="0" w:line="3" w:lineRule="exact"/>
        <w:rPr>
          <w:rFonts w:ascii="Courier New" w:cs="Courier New" w:eastAsia="Courier New" w:hAnsi="Courier New"/>
          <w:sz w:val="14"/>
          <w:szCs w:val="14"/>
          <w:color w:val="auto"/>
        </w:rPr>
      </w:pPr>
    </w:p>
    <w:p>
      <w:pPr>
        <w:jc w:val="both"/>
        <w:ind w:left="708" w:right="1459" w:hanging="537"/>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4.7 Amended and Restated Rights Agreement, dated March 11, 1999, between the Registrant and American Stock Transfer &amp; Trust Company (previously filed as Exhibit 1 to the Registrant's Registration Statement on Form 8-A/A filed with the SEC on March 11, 1999 and incorporated herein by reference)</w:t>
      </w:r>
    </w:p>
    <w:p>
      <w:pPr>
        <w:spacing w:after="0" w:line="2" w:lineRule="exact"/>
        <w:rPr>
          <w:rFonts w:ascii="Courier New" w:cs="Courier New" w:eastAsia="Courier New" w:hAnsi="Courier New"/>
          <w:sz w:val="14"/>
          <w:szCs w:val="14"/>
          <w:color w:val="auto"/>
        </w:rPr>
      </w:pPr>
    </w:p>
    <w:p>
      <w:pPr>
        <w:ind w:left="708" w:right="479" w:hanging="537"/>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4.8 Indenture dated September 1, 1998 for Senior Debt Securities (previously filed as Exhibit 4(a) to the Registrant's Registration Statement on Form S-3 filed with the SEC on September 17, 1998</w:t>
      </w:r>
    </w:p>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(File No. 333-63619) and incorporated herein by reference).</w:t>
      </w:r>
    </w:p>
    <w:p>
      <w:pPr>
        <w:spacing w:after="0" w:line="4" w:lineRule="exact"/>
        <w:rPr>
          <w:sz w:val="20"/>
          <w:szCs w:val="20"/>
          <w:color w:val="auto"/>
        </w:rPr>
      </w:pPr>
    </w:p>
    <w:p>
      <w:pPr>
        <w:ind w:left="708" w:right="1559" w:hanging="536"/>
        <w:spacing w:after="0" w:line="241" w:lineRule="auto"/>
        <w:tabs>
          <w:tab w:leader="none" w:pos="688" w:val="left"/>
        </w:tabs>
        <w:rPr>
          <w:sz w:val="20"/>
          <w:szCs w:val="20"/>
          <w:color w:val="auto"/>
        </w:rPr>
      </w:pPr>
      <w:r>
        <w:rPr>
          <w:rFonts w:ascii="Courier New" w:cs="Courier New" w:eastAsia="Courier New" w:hAnsi="Courier New"/>
          <w:sz w:val="15"/>
          <w:szCs w:val="15"/>
          <w:color w:val="auto"/>
        </w:rPr>
        <w:t>4.9</w:t>
        <w:tab/>
        <w:t>Indenture dated December 13, 1993 for Subordinated Debt Securities (previously filed as Exhibit 4(b) to the Registrant's Registration Statement on Form S-3 filed with the SEC on November 12, 1993 (File No. 33-51029) and incorporated herein by reference).</w:t>
      </w:r>
    </w:p>
    <w:p>
      <w:pPr>
        <w:spacing w:after="0" w:line="2" w:lineRule="exact"/>
        <w:rPr>
          <w:sz w:val="20"/>
          <w:szCs w:val="20"/>
          <w:color w:val="auto"/>
        </w:rPr>
      </w:pPr>
    </w:p>
    <w:p>
      <w:pPr>
        <w:ind w:left="88"/>
        <w:spacing w:after="0"/>
        <w:tabs>
          <w:tab w:leader="none" w:pos="688"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4"/>
          <w:szCs w:val="14"/>
          <w:color w:val="auto"/>
        </w:rPr>
        <w:t>Form of Warrant Agreement</w:t>
      </w:r>
    </w:p>
    <w:p>
      <w:pPr>
        <w:spacing w:after="0" w:line="2" w:lineRule="exact"/>
        <w:rPr>
          <w:sz w:val="20"/>
          <w:szCs w:val="20"/>
          <w:color w:val="auto"/>
        </w:rPr>
      </w:pPr>
    </w:p>
    <w:p>
      <w:pPr>
        <w:ind w:left="88"/>
        <w:spacing w:after="0"/>
        <w:tabs>
          <w:tab w:leader="none" w:pos="688"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4"/>
          <w:szCs w:val="14"/>
          <w:color w:val="auto"/>
        </w:rPr>
        <w:t>Form of Deposit Agreement</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5.1** Opinion of Shaw Pittman LLP regarding the validity of the securities being registered</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8.1** Opinion of Shaw Pittman LLP regarding certain federal income tax matters</w:t>
      </w:r>
    </w:p>
    <w:p>
      <w:pPr>
        <w:spacing w:after="0" w:line="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12.1** Statement Regarding Computation of Ratios</w:t>
      </w:r>
    </w:p>
    <w:p>
      <w:pPr>
        <w:spacing w:after="0" w:line="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23.1** Consent of Shaw Pittman LLP (included as part of Exhibits 5.1 and 8.1)</w:t>
      </w:r>
    </w:p>
    <w:p>
      <w:pPr>
        <w:spacing w:after="0" w:line="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25.1** Powers of Attorney [included in the signature page hereto]</w:t>
      </w:r>
    </w:p>
    <w:p>
      <w:pPr>
        <w:spacing w:after="0" w:line="4" w:lineRule="exact"/>
        <w:rPr>
          <w:sz w:val="20"/>
          <w:szCs w:val="20"/>
          <w:color w:val="auto"/>
        </w:rPr>
      </w:pPr>
    </w:p>
    <w:p>
      <w:pPr>
        <w:ind w:left="708" w:right="379" w:hanging="625"/>
        <w:spacing w:after="0" w:line="260" w:lineRule="auto"/>
        <w:tabs>
          <w:tab w:leader="none" w:pos="688" w:val="left"/>
        </w:tabs>
        <w:rPr>
          <w:sz w:val="20"/>
          <w:szCs w:val="20"/>
          <w:color w:val="auto"/>
        </w:rPr>
      </w:pPr>
      <w:r>
        <w:rPr>
          <w:rFonts w:ascii="Courier New" w:cs="Courier New" w:eastAsia="Courier New" w:hAnsi="Courier New"/>
          <w:sz w:val="15"/>
          <w:szCs w:val="15"/>
          <w:color w:val="auto"/>
        </w:rPr>
        <w:t>25.2</w:t>
      </w:r>
      <w:r>
        <w:rPr>
          <w:sz w:val="20"/>
          <w:szCs w:val="20"/>
          <w:color w:val="auto"/>
        </w:rPr>
        <w:tab/>
      </w:r>
      <w:r>
        <w:rPr>
          <w:rFonts w:ascii="Courier New" w:cs="Courier New" w:eastAsia="Courier New" w:hAnsi="Courier New"/>
          <w:sz w:val="14"/>
          <w:szCs w:val="14"/>
          <w:color w:val="auto"/>
        </w:rPr>
        <w:t>Statement of Eligibility of Trustee on Form T-1 (previously filed as Exhibit 25(a) to the Registrant's Registration Statement on Form S-3 filed with the SEC on September 17, 1998 (File No. 333-63619)</w:t>
      </w:r>
    </w:p>
    <w:p>
      <w:pPr>
        <w:ind w:left="708"/>
        <w:spacing w:after="0" w:line="238" w:lineRule="auto"/>
        <w:rPr>
          <w:sz w:val="20"/>
          <w:szCs w:val="20"/>
          <w:color w:val="auto"/>
        </w:rPr>
      </w:pPr>
      <w:r>
        <w:rPr>
          <w:rFonts w:ascii="Courier New" w:cs="Courier New" w:eastAsia="Courier New" w:hAnsi="Courier New"/>
          <w:sz w:val="15"/>
          <w:szCs w:val="15"/>
          <w:color w:val="auto"/>
        </w:rPr>
        <w:t>and incorporated herein by reference)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268" w:right="3699" w:hanging="268"/>
        <w:spacing w:after="0"/>
        <w:tabs>
          <w:tab w:leader="none" w:pos="268"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or by Current Report on Form 8-K incorporated herein by reference.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Included with this filing.</w:t>
      </w:r>
    </w:p>
    <w:p>
      <w:pPr>
        <w:spacing w:after="0" w:line="174"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7"/>
          </w:cols>
          <w:pgMar w:left="232" w:top="633" w:right="1440" w:bottom="1440" w:gutter="0" w:footer="0" w:header="0"/>
        </w:sectPr>
      </w:pPr>
    </w:p>
    <w:bookmarkStart w:id="50" w:name="page51"/>
    <w:bookmarkEnd w:id="50"/>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4" w:lineRule="exact"/>
        <w:rPr>
          <w:sz w:val="20"/>
          <w:szCs w:val="20"/>
          <w:color w:val="auto"/>
        </w:rPr>
      </w:pPr>
    </w:p>
    <w:p>
      <w:pPr>
        <w:ind w:left="700" w:hanging="440"/>
        <w:spacing w:after="0"/>
        <w:tabs>
          <w:tab w:leader="none" w:pos="70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registrants hereby undertake:</w:t>
      </w:r>
    </w:p>
    <w:p>
      <w:pPr>
        <w:spacing w:after="0" w:line="175" w:lineRule="exact"/>
        <w:rPr>
          <w:rFonts w:ascii="Courier New" w:cs="Courier New" w:eastAsia="Courier New" w:hAnsi="Courier New"/>
          <w:sz w:val="15"/>
          <w:szCs w:val="15"/>
          <w:color w:val="auto"/>
        </w:rPr>
      </w:pPr>
    </w:p>
    <w:p>
      <w:pPr>
        <w:ind w:left="260" w:right="3259" w:firstLine="268"/>
        <w:spacing w:after="0"/>
        <w:tabs>
          <w:tab w:leader="none" w:pos="976" w:val="left"/>
        </w:tabs>
        <w:numPr>
          <w:ilvl w:val="1"/>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620" w:right="3439" w:firstLine="266"/>
        <w:spacing w:after="0"/>
        <w:tabs>
          <w:tab w:leader="none" w:pos="1336" w:val="left"/>
        </w:tabs>
        <w:numPr>
          <w:ilvl w:val="2"/>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6" w:lineRule="exact"/>
        <w:rPr>
          <w:rFonts w:ascii="Courier New" w:cs="Courier New" w:eastAsia="Courier New" w:hAnsi="Courier New"/>
          <w:sz w:val="15"/>
          <w:szCs w:val="15"/>
          <w:color w:val="auto"/>
        </w:rPr>
      </w:pPr>
    </w:p>
    <w:p>
      <w:pPr>
        <w:ind w:left="620" w:right="3259" w:firstLine="266"/>
        <w:spacing w:after="0" w:line="261" w:lineRule="auto"/>
        <w:tabs>
          <w:tab w:leader="none" w:pos="1425" w:val="left"/>
        </w:tabs>
        <w:numPr>
          <w:ilvl w:val="2"/>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"Calculation of Registration Fee" table in the effective registration statement; and</w:t>
      </w:r>
    </w:p>
    <w:p>
      <w:pPr>
        <w:spacing w:after="0" w:line="165" w:lineRule="exact"/>
        <w:rPr>
          <w:rFonts w:ascii="Courier New" w:cs="Courier New" w:eastAsia="Courier New" w:hAnsi="Courier New"/>
          <w:sz w:val="14"/>
          <w:szCs w:val="14"/>
          <w:color w:val="auto"/>
        </w:rPr>
      </w:pPr>
    </w:p>
    <w:p>
      <w:pPr>
        <w:jc w:val="both"/>
        <w:ind w:left="620" w:right="3079" w:firstLine="266"/>
        <w:spacing w:after="0" w:line="267" w:lineRule="auto"/>
        <w:tabs>
          <w:tab w:leader="none" w:pos="1515" w:val="left"/>
        </w:tabs>
        <w:numPr>
          <w:ilvl w:val="2"/>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59" w:lineRule="exact"/>
        <w:rPr>
          <w:sz w:val="20"/>
          <w:szCs w:val="20"/>
          <w:color w:val="auto"/>
        </w:rPr>
      </w:pPr>
    </w:p>
    <w:p>
      <w:pPr>
        <w:ind w:left="260" w:right="3159"/>
        <w:spacing w:after="0" w:line="242" w:lineRule="auto"/>
        <w:rPr>
          <w:sz w:val="20"/>
          <w:szCs w:val="20"/>
          <w:color w:val="auto"/>
        </w:rPr>
      </w:pPr>
      <w:r>
        <w:rPr>
          <w:rFonts w:ascii="Courier New" w:cs="Courier New" w:eastAsia="Courier New" w:hAnsi="Courier New"/>
          <w:sz w:val="15"/>
          <w:szCs w:val="15"/>
          <w:color w:val="auto"/>
        </w:rPr>
        <w:t>provided, however, that paragraphs (a)(1)(i) and (a)(1)(ii) herein do not apply if the information required to be included in a post-effective amendment by those paragraphs is contained in periodic reports filed with or furnished to the SEC by the undersigned registrant(s) pursuant to Section 13 or Section 15(d) of the Securities Exchange Act of 1934 that are incorporated by reference in the registration statement.</w:t>
      </w:r>
    </w:p>
    <w:p>
      <w:pPr>
        <w:spacing w:after="0" w:line="176" w:lineRule="exact"/>
        <w:rPr>
          <w:sz w:val="20"/>
          <w:szCs w:val="20"/>
          <w:color w:val="auto"/>
        </w:rPr>
      </w:pPr>
    </w:p>
    <w:p>
      <w:pPr>
        <w:ind w:left="260" w:right="3159" w:firstLine="268"/>
        <w:spacing w:after="0" w:line="242" w:lineRule="auto"/>
        <w:tabs>
          <w:tab w:leader="none" w:pos="976"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260" w:right="3339" w:firstLine="268"/>
        <w:spacing w:after="0" w:line="241" w:lineRule="auto"/>
        <w:tabs>
          <w:tab w:leader="none" w:pos="976"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rFonts w:ascii="Courier New" w:cs="Courier New" w:eastAsia="Courier New" w:hAnsi="Courier New"/>
          <w:sz w:val="15"/>
          <w:szCs w:val="15"/>
          <w:color w:val="auto"/>
        </w:rPr>
      </w:pPr>
    </w:p>
    <w:p>
      <w:pPr>
        <w:ind w:right="3159" w:firstLine="260"/>
        <w:spacing w:after="0" w:line="262" w:lineRule="auto"/>
        <w:tabs>
          <w:tab w:leader="none" w:pos="716"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right="3159" w:firstLine="260"/>
        <w:spacing w:after="0" w:line="242" w:lineRule="auto"/>
        <w:tabs>
          <w:tab w:leader="none" w:pos="716"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trustees, officers and controlling persons of the registrants pursuant to the provisions described under Item 15 above,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respective registrant of expenses incurred or paid by a trustee, officer, or controlling person of the registrant in the successful defense of any action, suit or proceeding) is asserted by such trustee,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2" w:lineRule="exact"/>
        <w:rPr>
          <w:rFonts w:ascii="Courier New" w:cs="Courier New" w:eastAsia="Courier New" w:hAnsi="Courier New"/>
          <w:sz w:val="15"/>
          <w:szCs w:val="15"/>
          <w:color w:val="auto"/>
        </w:rPr>
      </w:pPr>
    </w:p>
    <w:p>
      <w:pPr>
        <w:ind w:right="3159" w:firstLine="260"/>
        <w:spacing w:after="0" w:line="242" w:lineRule="auto"/>
        <w:tabs>
          <w:tab w:leader="none" w:pos="716"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633" w:right="1440" w:bottom="1440" w:gutter="0" w:footer="0" w:header="0"/>
        </w:sectPr>
      </w:pPr>
    </w:p>
    <w:bookmarkStart w:id="51" w:name="page52"/>
    <w:bookmarkEnd w:id="51"/>
    <w:p>
      <w:pPr>
        <w:jc w:val="center"/>
        <w:ind w:right="3259"/>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County of Montgomery, State of Maryland, on October 29, 2002.</w:t>
      </w:r>
    </w:p>
    <w:p>
      <w:pPr>
        <w:spacing w:after="0" w:line="17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By: /s/ DONALD C. WOOD</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Donald C. Wood</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President and Chief</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Operating Officer</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Each person whose signature appears below hereby constitutes and appoints each of Steven J. Guttman, Donald C. Wood, Larry E. Finger and Dawn M. Becker as his or her attorney-in-fact and agent, with full power of substitution and resubstitution for him or her in any and all capacities, to sign any or all amendments or post-effective amendments to this Registration Statement, or any Registration Statement for the same offering that is to be effective upon filing pursuant to Rule 462(b) under the Securities Act of 1933, as amended, and to file the same, with exhibits thereto and other documents in connection therewith or in connection with the registration of the securities under the Securities Act of 1934, as amended, with the Securities and Exchange Commission,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182"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indicated.</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Title Date</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 ----- ----</w:t>
      </w:r>
    </w:p>
    <w:p>
      <w:pPr>
        <w:spacing w:after="0" w:line="17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/s/ STEVEN J. GUTTMAN</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Chief</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October 29, 2002</w:t>
            </w:r>
          </w:p>
        </w:tc>
      </w:tr>
      <w:tr>
        <w:trPr>
          <w:trHeight w:val="172"/>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Executive Officer and Trustee</w:t>
            </w:r>
          </w:p>
        </w:tc>
        <w:tc>
          <w:tcPr>
            <w:tcW w:w="1460" w:type="dxa"/>
            <w:vAlign w:val="bottom"/>
          </w:tcPr>
          <w:p>
            <w:pPr>
              <w:spacing w:after="0"/>
              <w:rPr>
                <w:sz w:val="14"/>
                <w:szCs w:val="14"/>
                <w:color w:val="auto"/>
              </w:rPr>
            </w:pPr>
          </w:p>
        </w:tc>
      </w:tr>
      <w:tr>
        <w:trPr>
          <w:trHeight w:val="172"/>
        </w:trPr>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Steven J. Guttman</w:t>
            </w: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(principal executive officer)</w:t>
            </w:r>
          </w:p>
        </w:tc>
        <w:tc>
          <w:tcPr>
            <w:tcW w:w="1460" w:type="dxa"/>
            <w:vAlign w:val="bottom"/>
          </w:tcPr>
          <w:p>
            <w:pPr>
              <w:spacing w:after="0"/>
              <w:rPr>
                <w:sz w:val="14"/>
                <w:szCs w:val="14"/>
                <w:color w:val="auto"/>
              </w:rPr>
            </w:pPr>
          </w:p>
        </w:tc>
      </w:tr>
      <w:tr>
        <w:trPr>
          <w:trHeight w:val="344"/>
        </w:trPr>
        <w:tc>
          <w:tcPr>
            <w:tcW w:w="20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/s/ LARRY E. FINGER</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Chief</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October 29, 2002</w:t>
            </w:r>
          </w:p>
        </w:tc>
      </w:tr>
      <w:tr>
        <w:trPr>
          <w:trHeight w:val="172"/>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Financial Officer and Treasurer</w:t>
            </w:r>
          </w:p>
        </w:tc>
        <w:tc>
          <w:tcPr>
            <w:tcW w:w="1460" w:type="dxa"/>
            <w:vAlign w:val="bottom"/>
          </w:tcPr>
          <w:p>
            <w:pPr>
              <w:spacing w:after="0"/>
              <w:rPr>
                <w:sz w:val="14"/>
                <w:szCs w:val="14"/>
                <w:color w:val="auto"/>
              </w:rPr>
            </w:pPr>
          </w:p>
        </w:tc>
      </w:tr>
      <w:tr>
        <w:trPr>
          <w:trHeight w:val="172"/>
        </w:trPr>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Larry E. Finger</w:t>
            </w: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(principal financial and</w:t>
            </w:r>
          </w:p>
        </w:tc>
        <w:tc>
          <w:tcPr>
            <w:tcW w:w="1460" w:type="dxa"/>
            <w:vAlign w:val="bottom"/>
          </w:tcPr>
          <w:p>
            <w:pPr>
              <w:spacing w:after="0"/>
              <w:rPr>
                <w:sz w:val="14"/>
                <w:szCs w:val="14"/>
                <w:color w:val="auto"/>
              </w:rPr>
            </w:pPr>
          </w:p>
        </w:tc>
      </w:tr>
      <w:tr>
        <w:trPr>
          <w:trHeight w:val="172"/>
        </w:trPr>
        <w:tc>
          <w:tcPr>
            <w:tcW w:w="202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accounting officer)</w:t>
            </w:r>
          </w:p>
        </w:tc>
        <w:tc>
          <w:tcPr>
            <w:tcW w:w="1460" w:type="dxa"/>
            <w:vAlign w:val="bottom"/>
          </w:tcPr>
          <w:p>
            <w:pPr>
              <w:spacing w:after="0"/>
              <w:rPr>
                <w:sz w:val="14"/>
                <w:szCs w:val="14"/>
                <w:color w:val="auto"/>
              </w:rPr>
            </w:pPr>
          </w:p>
        </w:tc>
      </w:tr>
      <w:tr>
        <w:trPr>
          <w:trHeight w:val="344"/>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9"/>
              </w:rPr>
              <w:t>/s/ DENNIS L. BERMAN</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Trustee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October 29, 2002</w:t>
            </w:r>
          </w:p>
        </w:tc>
      </w:tr>
      <w:tr>
        <w:trPr>
          <w:trHeight w:val="172"/>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9"/>
              </w:rPr>
              <w:t>Dennis L. Berman</w:t>
            </w:r>
          </w:p>
        </w:tc>
        <w:tc>
          <w:tcPr>
            <w:tcW w:w="3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44"/>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8"/>
              </w:rPr>
              <w:t>/s/ KRISTIN GAMBLE</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Trustee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October 29, 2002</w:t>
            </w:r>
          </w:p>
        </w:tc>
      </w:tr>
      <w:tr>
        <w:trPr>
          <w:trHeight w:val="172"/>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9"/>
              </w:rPr>
              <w:t>Kristin Gamble</w:t>
            </w:r>
          </w:p>
        </w:tc>
        <w:tc>
          <w:tcPr>
            <w:tcW w:w="3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44"/>
        </w:trPr>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/s/ AMY B. LANE</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Trustee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October 29, 2002</w:t>
            </w:r>
          </w:p>
        </w:tc>
      </w:tr>
      <w:tr>
        <w:trPr>
          <w:trHeight w:val="172"/>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Amy B. Lane</w:t>
            </w:r>
          </w:p>
        </w:tc>
        <w:tc>
          <w:tcPr>
            <w:tcW w:w="3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44"/>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8"/>
              </w:rPr>
              <w:t>/s/ WALTER F. LOEB</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Trustee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October 29, 2002</w:t>
            </w:r>
          </w:p>
        </w:tc>
      </w:tr>
      <w:tr>
        <w:trPr>
          <w:trHeight w:val="172"/>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9"/>
              </w:rPr>
              <w:t>Walter F. Loeb</w:t>
            </w:r>
          </w:p>
        </w:tc>
        <w:tc>
          <w:tcPr>
            <w:tcW w:w="3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44"/>
        </w:trPr>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/s/ MARK S. ORDAN</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Trustee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October 29, 2002</w:t>
            </w:r>
          </w:p>
        </w:tc>
      </w:tr>
      <w:tr>
        <w:trPr>
          <w:trHeight w:val="172"/>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Mark S. Ordan</w:t>
            </w:r>
          </w:p>
        </w:tc>
        <w:tc>
          <w:tcPr>
            <w:tcW w:w="3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44"/>
        </w:trPr>
        <w:tc>
          <w:tcPr>
            <w:tcW w:w="5060" w:type="dxa"/>
            <w:vAlign w:val="bottom"/>
            <w:gridSpan w:val="2"/>
          </w:tcPr>
          <w:p>
            <w:pPr>
              <w:spacing w:after="0"/>
              <w:rPr>
                <w:sz w:val="20"/>
                <w:szCs w:val="20"/>
                <w:color w:val="auto"/>
              </w:rPr>
            </w:pPr>
            <w:r>
              <w:rPr>
                <w:rFonts w:ascii="Courier New" w:cs="Courier New" w:eastAsia="Courier New" w:hAnsi="Courier New"/>
                <w:sz w:val="15"/>
                <w:szCs w:val="15"/>
                <w:color w:val="auto"/>
              </w:rPr>
              <w:t>/s/ JOSEPH VASSALLUZZO Trustee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October 29, 2002</w:t>
            </w:r>
          </w:p>
        </w:tc>
      </w:tr>
      <w:tr>
        <w:trPr>
          <w:trHeight w:val="172"/>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8"/>
              </w:rPr>
              <w:t>Joseph Vassalluzzo</w:t>
            </w:r>
          </w:p>
        </w:tc>
        <w:tc>
          <w:tcPr>
            <w:tcW w:w="304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633" w:right="1440" w:bottom="1440" w:gutter="0" w:footer="0" w:header="0"/>
        </w:sectPr>
      </w:pPr>
    </w:p>
    <w:bookmarkStart w:id="52" w:name="page53"/>
    <w:bookmarkEnd w:id="52"/>
    <w:p>
      <w:pPr>
        <w:ind w:left="2148"/>
        <w:spacing w:after="0"/>
        <w:rPr>
          <w:sz w:val="20"/>
          <w:szCs w:val="20"/>
          <w:color w:val="auto"/>
        </w:rPr>
      </w:pPr>
      <w:r>
        <w:rPr>
          <w:rFonts w:ascii="Courier New" w:cs="Courier New" w:eastAsia="Courier New" w:hAnsi="Courier New"/>
          <w:sz w:val="15"/>
          <w:szCs w:val="15"/>
          <w:color w:val="auto"/>
        </w:rPr>
        <w:t>[LETTERHEAD OF SHAW PITTMAN LLP]</w:t>
      </w:r>
    </w:p>
    <w:p>
      <w:pPr>
        <w:spacing w:after="0" w:line="3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5.1</w:t>
      </w:r>
    </w:p>
    <w:p>
      <w:pPr>
        <w:spacing w:after="0" w:line="4" w:lineRule="exact"/>
        <w:rPr>
          <w:sz w:val="20"/>
          <w:szCs w:val="20"/>
          <w:color w:val="auto"/>
        </w:rPr>
      </w:pPr>
    </w:p>
    <w:p>
      <w:pPr>
        <w:ind w:left="6168"/>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October 29, 2002</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Federal Realty Investment Trust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1626 East Jefferson Street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Rockville, Maryland 20852</w:t>
      </w:r>
    </w:p>
    <w:p>
      <w:pPr>
        <w:spacing w:after="0" w:line="346" w:lineRule="exact"/>
        <w:rPr>
          <w:sz w:val="20"/>
          <w:szCs w:val="20"/>
          <w:color w:val="auto"/>
        </w:rPr>
      </w:pPr>
    </w:p>
    <w:p>
      <w:pPr>
        <w:ind w:left="708"/>
        <w:spacing w:after="0"/>
        <w:tabs>
          <w:tab w:leader="none" w:pos="1148" w:val="left"/>
        </w:tabs>
        <w:rPr>
          <w:sz w:val="20"/>
          <w:szCs w:val="20"/>
          <w:color w:val="auto"/>
        </w:rPr>
      </w:pPr>
      <w:r>
        <w:rPr>
          <w:rFonts w:ascii="Courier New" w:cs="Courier New" w:eastAsia="Courier New" w:hAnsi="Courier New"/>
          <w:sz w:val="15"/>
          <w:szCs w:val="15"/>
          <w:color w:val="auto"/>
        </w:rPr>
        <w:t>Re:</w:t>
        <w:tab/>
        <w:t>Federal Realty Investment Trust</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Registration Statement on Form S-3</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Ladies and Gentlemen:</w:t>
      </w:r>
    </w:p>
    <w:p>
      <w:pPr>
        <w:spacing w:after="0" w:line="176" w:lineRule="exact"/>
        <w:rPr>
          <w:sz w:val="20"/>
          <w:szCs w:val="20"/>
          <w:color w:val="auto"/>
        </w:rPr>
      </w:pPr>
    </w:p>
    <w:p>
      <w:pPr>
        <w:ind w:left="8" w:right="3079" w:firstLine="1163"/>
        <w:spacing w:after="0" w:line="260" w:lineRule="auto"/>
        <w:rPr>
          <w:sz w:val="20"/>
          <w:szCs w:val="20"/>
          <w:color w:val="auto"/>
        </w:rPr>
      </w:pPr>
      <w:r>
        <w:rPr>
          <w:rFonts w:ascii="Courier New" w:cs="Courier New" w:eastAsia="Courier New" w:hAnsi="Courier New"/>
          <w:sz w:val="14"/>
          <w:szCs w:val="14"/>
          <w:color w:val="auto"/>
        </w:rPr>
        <w:t>We have acted as counsel to Federal Realty Investment Trust, a Maryland real estate investment trust (the "Company"), in connection with a Registration Statement on Form S-3 (the "Registration Statement") filed with the Securities and Exchange Commission under the Securities Act of 1933, as amended. The Registration Statement relates to the offering and sale from time to time of securities with an aggregate public offering price of up to $500,000,000. The securities offered and sold by the Company pursuant to the Registration Statement may be all or any combination of: (1) senior debt securities of the Company (the "Senior Debt Securities"), (2) subordinated debt securities of the Company (the "Subordinated Debt Securities"), (3) common shares of beneficial interest, par value $.01 per share (the "Common Shares"), in any class or series, of the Company, (4) preferred shares of beneficial interest, par value $.01 per share (the "Preferred Shares"), in any class or series, of the Company,</w:t>
      </w:r>
    </w:p>
    <w:p>
      <w:pPr>
        <w:spacing w:after="0" w:line="3" w:lineRule="exact"/>
        <w:rPr>
          <w:sz w:val="20"/>
          <w:szCs w:val="20"/>
          <w:color w:val="auto"/>
        </w:rPr>
      </w:pPr>
    </w:p>
    <w:p>
      <w:pPr>
        <w:ind w:left="8" w:right="3079" w:hanging="8"/>
        <w:spacing w:after="0" w:line="242" w:lineRule="auto"/>
        <w:tabs>
          <w:tab w:leader="none" w:pos="366"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Shares represented by depositary receipts ("Depositary Shares") and/or (6) Warrants to purchase Common Shares, in any class or series, or Preferred Shares, in any class or series, (the "Warrants"). The Senior Debt Securities and the Subordinated Debt Securities are collectively referred to herein as the "Debt Securities." The Debt Securities, the Common Shares, the Preferred Shares, the Depositary Shares and the Warrants are collectively referred to herein as the "Securities." The Senior Debt Securities will be offered and sold pursuant to an Indenture (the "Senior Indenture") dated September 1, 1998 between the Company and Wachovia Bank National Association, formerly known as First Union National Bank (the "Trustee"). The Subordinated Debt Securities will be offered and sold pursuant to an Indenture (the "Subordinated Indenture") dated December 13, 1993 between the Company and the Trustee. The Senior Indenture and Subordinated Indenture are collectively referred to herein as the "Indentures." The Common Shares and/or Preferred Shares may be offered in any class or series and to the extent required will be offered and sold pursuant to Articles Supplementary or amendments to the Company's Declaration of Trust, as amended, restated or supplemented, to be filed with the Maryland State Department of Assessments and Taxation ("SDAT"). Any Depositary Shares will be issued under one or more deposit agreements (each, a "Deposit Agreement"), each between the Company and a financial institution identified therein as the depositary (each, a "Depositary"). Any Warrants will be offered and sold pursuant to a written warrant agreement (the "Warrant Agreement").</w:t>
      </w:r>
    </w:p>
    <w:p>
      <w:pPr>
        <w:spacing w:after="0" w:line="188" w:lineRule="exact"/>
        <w:rPr>
          <w:sz w:val="20"/>
          <w:szCs w:val="20"/>
          <w:color w:val="auto"/>
        </w:rPr>
      </w:pPr>
    </w:p>
    <w:p>
      <w:pPr>
        <w:ind w:left="8" w:right="3339" w:firstLine="1163"/>
        <w:spacing w:after="0"/>
        <w:rPr>
          <w:sz w:val="20"/>
          <w:szCs w:val="20"/>
          <w:color w:val="auto"/>
        </w:rPr>
      </w:pPr>
      <w:r>
        <w:rPr>
          <w:rFonts w:ascii="Courier New" w:cs="Courier New" w:eastAsia="Courier New" w:hAnsi="Courier New"/>
          <w:sz w:val="15"/>
          <w:szCs w:val="15"/>
          <w:color w:val="auto"/>
        </w:rPr>
        <w:t>For the purposes of this opinion, we have examined copies of the following documents:</w:t>
      </w:r>
    </w:p>
    <w:p>
      <w:pPr>
        <w:spacing w:after="0" w:line="174" w:lineRule="exact"/>
        <w:rPr>
          <w:sz w:val="20"/>
          <w:szCs w:val="20"/>
          <w:color w:val="auto"/>
        </w:rPr>
      </w:pPr>
    </w:p>
    <w:p>
      <w:pPr>
        <w:ind w:left="1528" w:hanging="365"/>
        <w:spacing w:after="0"/>
        <w:tabs>
          <w:tab w:leader="none" w:pos="1528"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w:t>
      </w:r>
    </w:p>
    <w:p>
      <w:pPr>
        <w:spacing w:after="0" w:line="175" w:lineRule="exact"/>
        <w:rPr>
          <w:rFonts w:ascii="Courier New" w:cs="Courier New" w:eastAsia="Courier New" w:hAnsi="Courier New"/>
          <w:sz w:val="15"/>
          <w:szCs w:val="15"/>
          <w:color w:val="auto"/>
        </w:rPr>
      </w:pPr>
    </w:p>
    <w:p>
      <w:pPr>
        <w:ind w:left="1528" w:right="3159" w:hanging="365"/>
        <w:spacing w:after="0" w:line="242" w:lineRule="auto"/>
        <w:tabs>
          <w:tab w:leader="none" w:pos="1528"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of Trust of the Company (the "Declaration of Trust"), as amended, restated or supplemented, as certified by the Maryland State Department of Assessments and Taxation on October 25, 2002 and as certified to us by the Secretary of the Company as being in effect as of the date hereof;</w:t>
      </w:r>
    </w:p>
    <w:p>
      <w:pPr>
        <w:spacing w:after="0" w:line="175" w:lineRule="exact"/>
        <w:rPr>
          <w:rFonts w:ascii="Courier New" w:cs="Courier New" w:eastAsia="Courier New" w:hAnsi="Courier New"/>
          <w:sz w:val="15"/>
          <w:szCs w:val="15"/>
          <w:color w:val="auto"/>
        </w:rPr>
      </w:pPr>
    </w:p>
    <w:p>
      <w:pPr>
        <w:ind w:left="1528" w:right="3159" w:hanging="365"/>
        <w:spacing w:after="0" w:line="241" w:lineRule="auto"/>
        <w:tabs>
          <w:tab w:leader="none" w:pos="1528"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Company (the "Bylaws"), as amended, restated or supplemented, as certified to us by the Secretary of the Company as being in effect as of the date hereof;</w:t>
      </w:r>
    </w:p>
    <w:p>
      <w:pPr>
        <w:sectPr>
          <w:pgSz w:w="11900" w:h="16838" w:orient="portrait"/>
          <w:cols w:equalWidth="0" w:num="1">
            <w:col w:w="10227"/>
          </w:cols>
          <w:pgMar w:left="232" w:top="484" w:right="1440" w:bottom="1440" w:gutter="0" w:footer="0" w:header="0"/>
        </w:sectPr>
      </w:pPr>
    </w:p>
    <w:bookmarkStart w:id="53" w:name="page54"/>
    <w:bookmarkEnd w:id="53"/>
    <w:p>
      <w:pPr>
        <w:ind w:left="1528" w:hanging="365"/>
        <w:spacing w:after="0"/>
        <w:tabs>
          <w:tab w:leader="none" w:pos="1528"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Indentures;</w:t>
      </w:r>
    </w:p>
    <w:p>
      <w:pPr>
        <w:spacing w:after="0" w:line="175" w:lineRule="exact"/>
        <w:rPr>
          <w:rFonts w:ascii="Courier New" w:cs="Courier New" w:eastAsia="Courier New" w:hAnsi="Courier New"/>
          <w:sz w:val="15"/>
          <w:szCs w:val="15"/>
          <w:color w:val="auto"/>
        </w:rPr>
      </w:pPr>
    </w:p>
    <w:p>
      <w:pPr>
        <w:ind w:left="1528" w:right="3259" w:hanging="365"/>
        <w:spacing w:after="0"/>
        <w:tabs>
          <w:tab w:leader="none" w:pos="1528"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Resolutions of the Board of Trustees of the Company dated October 29, 2002 (the "Resolutions");</w:t>
      </w:r>
    </w:p>
    <w:p>
      <w:pPr>
        <w:spacing w:after="0" w:line="176" w:lineRule="exact"/>
        <w:rPr>
          <w:rFonts w:ascii="Courier New" w:cs="Courier New" w:eastAsia="Courier New" w:hAnsi="Courier New"/>
          <w:sz w:val="15"/>
          <w:szCs w:val="15"/>
          <w:color w:val="auto"/>
        </w:rPr>
      </w:pPr>
    </w:p>
    <w:p>
      <w:pPr>
        <w:ind w:left="1528" w:right="3079" w:hanging="365"/>
        <w:spacing w:after="0"/>
        <w:tabs>
          <w:tab w:leader="none" w:pos="1528"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an officer of the Company dated as of the date hereof; and</w:t>
      </w:r>
    </w:p>
    <w:p>
      <w:pPr>
        <w:spacing w:after="0" w:line="176" w:lineRule="exact"/>
        <w:rPr>
          <w:rFonts w:ascii="Courier New" w:cs="Courier New" w:eastAsia="Courier New" w:hAnsi="Courier New"/>
          <w:sz w:val="15"/>
          <w:szCs w:val="15"/>
          <w:color w:val="auto"/>
        </w:rPr>
      </w:pPr>
    </w:p>
    <w:p>
      <w:pPr>
        <w:jc w:val="both"/>
        <w:ind w:left="1528" w:right="3079" w:hanging="365"/>
        <w:spacing w:after="0" w:line="241" w:lineRule="auto"/>
        <w:tabs>
          <w:tab w:leader="none" w:pos="1528"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documents, corporate records, certificates of public officials and other instruments as we have deemed necessary for the purposes of rendering this opinion.</w:t>
      </w:r>
    </w:p>
    <w:p>
      <w:pPr>
        <w:spacing w:after="0" w:line="176" w:lineRule="exact"/>
        <w:rPr>
          <w:sz w:val="20"/>
          <w:szCs w:val="20"/>
          <w:color w:val="auto"/>
        </w:rPr>
      </w:pPr>
    </w:p>
    <w:p>
      <w:pPr>
        <w:ind w:left="8" w:right="3079" w:firstLine="1163"/>
        <w:spacing w:after="0" w:line="242" w:lineRule="auto"/>
        <w:rPr>
          <w:sz w:val="20"/>
          <w:szCs w:val="20"/>
          <w:color w:val="auto"/>
        </w:rPr>
      </w:pPr>
      <w:r>
        <w:rPr>
          <w:rFonts w:ascii="Courier New" w:cs="Courier New" w:eastAsia="Courier New" w:hAnsi="Courier New"/>
          <w:sz w:val="15"/>
          <w:szCs w:val="15"/>
          <w:color w:val="auto"/>
        </w:rPr>
        <w:t>In our examination of the aforesaid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that, at and prior to the time of the sale and delivery of any Securities pursuant to the Registration Statement, (i) the Board of Trustees of the Company (or the committee of the Board or the officers authorized to act on behalf of the Company as the case may be) will have duly established the rights, powers, privileges and preferences and other terms, if any, of any class or series, as applicable, of the Debt Securities, the Common Shares, the Preferred Shares, the Depositary Shares or the Warrants,</w:t>
      </w:r>
    </w:p>
    <w:p>
      <w:pPr>
        <w:spacing w:after="0" w:line="8" w:lineRule="exact"/>
        <w:rPr>
          <w:sz w:val="20"/>
          <w:szCs w:val="20"/>
          <w:color w:val="auto"/>
        </w:rPr>
      </w:pPr>
    </w:p>
    <w:p>
      <w:pPr>
        <w:ind w:left="8" w:right="3159" w:hanging="8"/>
        <w:spacing w:after="0" w:line="242" w:lineRule="auto"/>
        <w:tabs>
          <w:tab w:leader="none" w:pos="455"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Resolutions have not been amended, modified or rescinded, (iii) the Registration Statement has been declared effective and no stop order suspending the effectiveness of the Registration Statement has been issued and no proceedings with respect thereto have been commenced or threatened, and (iv) there has not occurred any change in law materially adversely affecting the power of the Company to offer and sell the Securities or the validity of the Securities.</w:t>
      </w:r>
    </w:p>
    <w:p>
      <w:pPr>
        <w:spacing w:after="0" w:line="177" w:lineRule="exact"/>
        <w:rPr>
          <w:sz w:val="20"/>
          <w:szCs w:val="20"/>
          <w:color w:val="auto"/>
        </w:rPr>
      </w:pPr>
    </w:p>
    <w:p>
      <w:pPr>
        <w:ind w:left="8" w:right="3079" w:firstLine="1163"/>
        <w:spacing w:after="0" w:line="242" w:lineRule="auto"/>
        <w:rPr>
          <w:sz w:val="20"/>
          <w:szCs w:val="20"/>
          <w:color w:val="auto"/>
        </w:rPr>
      </w:pPr>
      <w:r>
        <w:rPr>
          <w:rFonts w:ascii="Courier New" w:cs="Courier New" w:eastAsia="Courier New" w:hAnsi="Courier New"/>
          <w:sz w:val="15"/>
          <w:szCs w:val="15"/>
          <w:color w:val="auto"/>
        </w:rPr>
        <w:t>We have also assumed that the terms of any Debt Securities, Common Shares, Preferred Shares, Depositary Shares or Warrants to be established subsequent to the date hereof, the offering, sale and delivery of any such Securities, and compliance by the Company with the rights, powers, privileges and preferences and other terms, if any, of such Debt Securities, Common Shares, Preferred Shares, Depositary Shares or Warrants will not at the time of such offering, sale and delivery violate or conflict with (i) the Declaration of Trust, as then amended, restated and supplemented, and Bylaws, as then amended, restated and supplemented, (ii) any provision of any license, indenture, instrument, mortgage, contract, document or agreement to which the Company is then a party or by which the Company is then bound, or (iii) any law or regulation or any decree, judgment or order then applicable to the Company. We have further assumed that the number of Common Shares or Preferred Shares to be offered and sold pursuant to the Registration Statement will not at the time of such offering and sale exceed the amount of such class of capital shares authorized in the Declaration of Trust, as then amended, restated or supplemented, and unissued (and not otherwise reserved for issuance) at such time. We have also assumed that prior to the offering and sale, (i) in the case of Preferred Shares and Depositary Shares, as applicable, Articles Supplementary will have been filed with, and accepted for record by, SDAT, (ii) in the case of Depositary Shares, a Deposit Agreement will have been executed and delivered by the Company (and any other maker thereof), and (iii) in the case of Warrants, a Warrant Agreement will have been executed and delivered by the Company (and any other maker thereof). Notwithstanding anything herein to the contrary, we have also assumed that in no event will the combined aggregate purchase prices for the Securities to be offered pursuant to the Registration Statement exceed the registered amount of $500,000,000.</w:t>
      </w:r>
    </w:p>
    <w:p>
      <w:pPr>
        <w:spacing w:after="0" w:line="190" w:lineRule="exact"/>
        <w:rPr>
          <w:sz w:val="20"/>
          <w:szCs w:val="20"/>
          <w:color w:val="auto"/>
        </w:rPr>
      </w:pPr>
    </w:p>
    <w:p>
      <w:pPr>
        <w:ind w:left="8" w:right="3079" w:firstLine="1163"/>
        <w:spacing w:after="0" w:line="261" w:lineRule="auto"/>
        <w:rPr>
          <w:sz w:val="20"/>
          <w:szCs w:val="20"/>
          <w:color w:val="auto"/>
        </w:rPr>
      </w:pPr>
      <w:r>
        <w:rPr>
          <w:rFonts w:ascii="Courier New" w:cs="Courier New" w:eastAsia="Courier New" w:hAnsi="Courier New"/>
          <w:sz w:val="14"/>
          <w:szCs w:val="14"/>
          <w:color w:val="auto"/>
        </w:rPr>
        <w:t>To the extent that the obligations of the Company with respect to the Securities may be dependent upon such matters, we assume for purposes of this opinion that the other party under the Indentures for any Debt Securities, under the Warrant Agreement for any Warrants and under the Deposit Agreement for any Depositary Shares, namely, the Trustee, the warrant agent or the Depositary, respectively, is duly organized, validly existing and in good standing under the laws of its jurisdiction of organization; that such other party is duly qualified to engage in the activities contemplated by the Indenture, Warrant Agreement or Deposit Agreement, as applicable; that the Indentures, Warrant Agreement or Deposit Agreement, as applicable, has been duly authorized, executed and delivered by the other party and constitutes the legal, valid and binding obligation of the other party enforceable against the other party in accordance with its terms; that such other party is in compliance with respect to performance of its obligations under the Indentures, Warrant Agreement or Deposit Agreement, as applicable, with all applicable laws and regulations; and that such other party has the requisite organizational and legal power and</w:t>
      </w:r>
    </w:p>
    <w:p>
      <w:pPr>
        <w:sectPr>
          <w:pgSz w:w="11900" w:h="16838" w:orient="portrait"/>
          <w:cols w:equalWidth="0" w:num="1">
            <w:col w:w="10227"/>
          </w:cols>
          <w:pgMar w:left="232" w:top="461" w:right="1440" w:bottom="1440" w:gutter="0" w:footer="0" w:header="0"/>
        </w:sectPr>
      </w:pPr>
    </w:p>
    <w:bookmarkStart w:id="54" w:name="page55"/>
    <w:bookmarkEnd w:id="54"/>
    <w:p>
      <w:pPr>
        <w:ind w:right="3159"/>
        <w:spacing w:after="0"/>
        <w:rPr>
          <w:sz w:val="20"/>
          <w:szCs w:val="20"/>
          <w:color w:val="auto"/>
        </w:rPr>
      </w:pPr>
      <w:r>
        <w:rPr>
          <w:rFonts w:ascii="Courier New" w:cs="Courier New" w:eastAsia="Courier New" w:hAnsi="Courier New"/>
          <w:sz w:val="15"/>
          <w:szCs w:val="15"/>
          <w:color w:val="auto"/>
        </w:rPr>
        <w:t>authority to perform its obligations under the Indentures, Warrant Agreement or Deposit Agreement, as applicable.</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Based upon, subject to and limited by the foregoing, we are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that:</w:t>
      </w:r>
    </w:p>
    <w:p>
      <w:pPr>
        <w:spacing w:after="0" w:line="176" w:lineRule="exact"/>
        <w:rPr>
          <w:sz w:val="20"/>
          <w:szCs w:val="20"/>
          <w:color w:val="auto"/>
        </w:rPr>
      </w:pPr>
    </w:p>
    <w:p>
      <w:pPr>
        <w:ind w:right="3079" w:firstLine="1155"/>
        <w:spacing w:after="0" w:line="242" w:lineRule="auto"/>
        <w:tabs>
          <w:tab w:leader="none" w:pos="1521"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Debt Securities will constitute legally valid and binding obligations of the Company, enforceable against the Company in accordance with their terms when (i) the final terms of the Debt Securities have been duly established in accordance with the Declaration of Trust and applicable law, (ii) the Board of Trustees or a duly authorized committee thereof has adopted a resolution, in form and content as required by applicable law and in accordance with the applicable Indenture, establishing or authorizing the establishment of the terms of the Debt Securities and duly authorizing the issuance and delivery of the Debt Securities and (iii) duly executed and delivered by the Company against payment therefor and countersigned by the Trustee in accordance with the applicable Indenture and delivered to and paid for by the purchasers of the Debt Securities in the manner contemplated by the Registration Statement, the applicable prospectus supplement and such resolution.</w:t>
      </w:r>
    </w:p>
    <w:p>
      <w:pPr>
        <w:spacing w:after="0" w:line="180" w:lineRule="exact"/>
        <w:rPr>
          <w:rFonts w:ascii="Courier New" w:cs="Courier New" w:eastAsia="Courier New" w:hAnsi="Courier New"/>
          <w:sz w:val="15"/>
          <w:szCs w:val="15"/>
          <w:color w:val="auto"/>
        </w:rPr>
      </w:pPr>
    </w:p>
    <w:p>
      <w:pPr>
        <w:ind w:right="3079" w:firstLine="1155"/>
        <w:spacing w:after="0" w:line="242" w:lineRule="auto"/>
        <w:tabs>
          <w:tab w:leader="none" w:pos="1521"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adoption by the Board of Trustees or an authorized committee thereof of a resolution in form and content as required by applicable law, and upon issuance and delivery of and payment in the manner contemplated by, and in accordance with, the Registration Statement and the applicable prospectus supplement and by such resolution, the Common Shares offered and sold pursuant to the Registration Statement will be validly issued, fully paid and nonassessable.</w:t>
      </w:r>
    </w:p>
    <w:p>
      <w:pPr>
        <w:spacing w:after="0" w:line="176" w:lineRule="exact"/>
        <w:rPr>
          <w:rFonts w:ascii="Courier New" w:cs="Courier New" w:eastAsia="Courier New" w:hAnsi="Courier New"/>
          <w:sz w:val="15"/>
          <w:szCs w:val="15"/>
          <w:color w:val="auto"/>
        </w:rPr>
      </w:pPr>
    </w:p>
    <w:p>
      <w:pPr>
        <w:ind w:right="3079" w:firstLine="1155"/>
        <w:spacing w:after="0" w:line="242" w:lineRule="auto"/>
        <w:tabs>
          <w:tab w:leader="none" w:pos="1521"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adoption by the Board of Trustees or an authorized committee thereof of a resolution in form and content as required by applicable law, and upon issuance and delivery of and payment in the manner contemplated by, and in accordance with, the Registration Statement and the applicable prospectus supplement and by such resolution, the Preferred Shares (including and Preferred Shares represented by Depositary Shares) offered and sold pursuant to the Registration Statement will be validly issued, fully paid and nonassessable.</w:t>
      </w:r>
    </w:p>
    <w:p>
      <w:pPr>
        <w:spacing w:after="0" w:line="177" w:lineRule="exact"/>
        <w:rPr>
          <w:rFonts w:ascii="Courier New" w:cs="Courier New" w:eastAsia="Courier New" w:hAnsi="Courier New"/>
          <w:sz w:val="15"/>
          <w:szCs w:val="15"/>
          <w:color w:val="auto"/>
        </w:rPr>
      </w:pPr>
    </w:p>
    <w:p>
      <w:pPr>
        <w:ind w:right="3159" w:firstLine="1155"/>
        <w:spacing w:after="0" w:line="242" w:lineRule="auto"/>
        <w:tabs>
          <w:tab w:leader="none" w:pos="1521"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receipts evidencing the Depositary Shares, upon due countersignature thereof and issuance against a deposit of Preferred Shares in accordance with the deposit agreement relating thereto, will entitle the holders thereof to the rights specified in such depositary receipts and deposit agreement.</w:t>
      </w:r>
    </w:p>
    <w:p>
      <w:pPr>
        <w:spacing w:after="0" w:line="175" w:lineRule="exact"/>
        <w:rPr>
          <w:rFonts w:ascii="Courier New" w:cs="Courier New" w:eastAsia="Courier New" w:hAnsi="Courier New"/>
          <w:sz w:val="15"/>
          <w:szCs w:val="15"/>
          <w:color w:val="auto"/>
        </w:rPr>
      </w:pPr>
    </w:p>
    <w:p>
      <w:pPr>
        <w:ind w:right="3079" w:firstLine="1155"/>
        <w:spacing w:after="0" w:line="242" w:lineRule="auto"/>
        <w:tabs>
          <w:tab w:leader="none" w:pos="1521"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Warrants will constitute legally valid and binding obligations of the Company, enforceable against the Company in accordance with their terms when (i) the final terms of the Warrants and applicable Warrant Agreement have been duly established in accordance with the Declaration of Trust and applicable law, (ii) the Board of Trustees or a duly authorized committee thereof has adopted a resolution, in form and content as required by applicable law, establishing or authorizing the establishment of the terms of the Warrants and applicable Warrant Agreement and duly authorizing the issuance and delivery of the Warrants and (iii) duly executed and delivered by the Company against payment therefor and countersigned by the applicable warrant agent in accordance with the applicable Warrant Agreement and delivered to and paid for by the purchasers of the Warrants in the manner contemplated by, and in accordance with, the Registration Statement, the applicable prospectus supplement and such resolution.</w:t>
      </w:r>
    </w:p>
    <w:p>
      <w:pPr>
        <w:spacing w:after="0" w:line="182" w:lineRule="exact"/>
        <w:rPr>
          <w:sz w:val="20"/>
          <w:szCs w:val="20"/>
          <w:color w:val="auto"/>
        </w:rPr>
      </w:pPr>
    </w:p>
    <w:p>
      <w:pPr>
        <w:ind w:right="3079" w:firstLine="1163"/>
        <w:spacing w:after="0" w:line="242" w:lineRule="auto"/>
        <w:rPr>
          <w:sz w:val="20"/>
          <w:szCs w:val="20"/>
          <w:color w:val="auto"/>
        </w:rPr>
      </w:pPr>
      <w:r>
        <w:rPr>
          <w:rFonts w:ascii="Courier New" w:cs="Courier New" w:eastAsia="Courier New" w:hAnsi="Courier New"/>
          <w:sz w:val="15"/>
          <w:szCs w:val="15"/>
          <w:color w:val="auto"/>
        </w:rPr>
        <w:t>The opinions expressed in Paragraphs 1, 4 and 5 above with respect to the enforceability of obligations may be limited by bankruptcy, insolvency, reorganization, moratorium or other laws affecting creditors' rights (including, without limitation, the effect of statutory and other law regarding fraudulent conveyances, fraudulent transfers and preferential transfers) and by the exercise of judicial discretion and the application of principles of equity, including, without limitation, requirements of good faith, fair dealing, conscionability and materiality (regardless of whether the Securities are considered in a proceeding in equity or at law). Such opinions shall be understood to mean only that if there is a default in performance of an obligation, (i) if a failure to pay or other damage can be shown and (ii) if the defaulting party can be brought into a court which will hear the case and apply the governing law, then, subject to the availability of defenses and to the exceptions set forth in the previous sentence, the court will provide a money damage (or perhaps injunctive or specific performance) remedy.</w:t>
      </w:r>
    </w:p>
    <w:p>
      <w:pPr>
        <w:spacing w:after="0" w:line="182" w:lineRule="exact"/>
        <w:rPr>
          <w:sz w:val="20"/>
          <w:szCs w:val="20"/>
          <w:color w:val="auto"/>
        </w:rPr>
      </w:pPr>
    </w:p>
    <w:p>
      <w:pPr>
        <w:ind w:right="3079" w:firstLine="1163"/>
        <w:spacing w:after="0" w:line="263" w:lineRule="auto"/>
        <w:rPr>
          <w:sz w:val="20"/>
          <w:szCs w:val="20"/>
          <w:color w:val="auto"/>
        </w:rPr>
      </w:pPr>
      <w:r>
        <w:rPr>
          <w:rFonts w:ascii="Courier New" w:cs="Courier New" w:eastAsia="Courier New" w:hAnsi="Courier New"/>
          <w:sz w:val="14"/>
          <w:szCs w:val="14"/>
          <w:color w:val="auto"/>
        </w:rPr>
        <w:t>This opinion is limited to the laws of the United States, the General Corporation Law of Maryland and New York contract law (but not including any statutes, ordinances, administrative decisions, rules or regulations of any political subdivision of the State of New York), in each case excluding choice of law provisions thereof. We render no opinions with respect to the law of any other jurisdiction. Our opinion is rendered only with respect to the</w:t>
      </w:r>
    </w:p>
    <w:p>
      <w:pPr>
        <w:sectPr>
          <w:pgSz w:w="11900" w:h="16838" w:orient="portrait"/>
          <w:cols w:equalWidth="0" w:num="1">
            <w:col w:w="10219"/>
          </w:cols>
          <w:pgMar w:left="240" w:top="635" w:right="1440" w:bottom="1440" w:gutter="0" w:footer="0" w:header="0"/>
        </w:sectPr>
      </w:pPr>
    </w:p>
    <w:bookmarkStart w:id="55" w:name="page56"/>
    <w:bookmarkEnd w:id="55"/>
    <w:p>
      <w:pPr>
        <w:ind w:right="3079"/>
        <w:spacing w:after="0" w:line="242" w:lineRule="auto"/>
        <w:rPr>
          <w:sz w:val="20"/>
          <w:szCs w:val="20"/>
          <w:color w:val="auto"/>
        </w:rPr>
      </w:pPr>
      <w:r>
        <w:rPr>
          <w:rFonts w:ascii="Courier New" w:cs="Courier New" w:eastAsia="Courier New" w:hAnsi="Courier New"/>
          <w:sz w:val="15"/>
          <w:szCs w:val="15"/>
          <w:color w:val="auto"/>
        </w:rPr>
        <w:t>laws and the rules, regulations and orders thereunder that are currently in effect. We assume no obligation to advise you of any changes in the foregoing subsequent to the delivery of this opinion. This opinion has been prepared solely for your use in connection with the filing of the Registration Statement, and should not be quoted in whole or in part or otherwise be referred to, nor otherwise be filed with or furnished to, any governmental agency or other person or entity, without our express prior written consent.</w:t>
      </w:r>
    </w:p>
    <w:p>
      <w:pPr>
        <w:spacing w:after="0" w:line="177" w:lineRule="exact"/>
        <w:rPr>
          <w:sz w:val="20"/>
          <w:szCs w:val="20"/>
          <w:color w:val="auto"/>
        </w:rPr>
      </w:pPr>
    </w:p>
    <w:p>
      <w:pPr>
        <w:ind w:right="3159" w:firstLine="1163"/>
        <w:spacing w:after="0" w:line="242"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and to the use of our name therein under the caption "Legal Matters." The giving of this consent, however, does not constitute an admission that we are "experts" within the meaning of Section 11 of the Securities Act of 1933 (the "Act"), as amended, or within the category of persons whose consent is required by Section 7 of the Act.</w:t>
      </w:r>
    </w:p>
    <w:p>
      <w:pPr>
        <w:spacing w:after="0" w:line="17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Very truly yours,</w:t>
      </w:r>
    </w:p>
    <w:p>
      <w:pPr>
        <w:spacing w:after="0" w:line="34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/s/ Shaw Pittman LLP</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SHAW PITTMAN LLP</w:t>
      </w:r>
    </w:p>
    <w:p>
      <w:pPr>
        <w:sectPr>
          <w:pgSz w:w="11900" w:h="16838" w:orient="portrait"/>
          <w:cols w:equalWidth="0" w:num="1">
            <w:col w:w="10219"/>
          </w:cols>
          <w:pgMar w:left="240" w:top="635" w:right="1440" w:bottom="1440" w:gutter="0" w:footer="0" w:header="0"/>
        </w:sectPr>
      </w:pPr>
    </w:p>
    <w:bookmarkStart w:id="56" w:name="page57"/>
    <w:bookmarkEnd w:id="56"/>
    <w:p>
      <w:pPr>
        <w:jc w:val="right"/>
        <w:ind w:right="3079"/>
        <w:spacing w:after="0"/>
        <w:rPr>
          <w:sz w:val="20"/>
          <w:szCs w:val="20"/>
          <w:color w:val="auto"/>
        </w:rPr>
      </w:pPr>
      <w:r>
        <w:rPr>
          <w:rFonts w:ascii="Courier New" w:cs="Courier New" w:eastAsia="Courier New" w:hAnsi="Courier New"/>
          <w:sz w:val="15"/>
          <w:szCs w:val="15"/>
          <w:color w:val="auto"/>
        </w:rPr>
        <w:t>EXHIBIT 8.1</w:t>
      </w:r>
    </w:p>
    <w:p>
      <w:pPr>
        <w:spacing w:after="0" w:line="346"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[LETTERHEAD OF SHAW PITTMAN LLP]</w:t>
      </w:r>
    </w:p>
    <w:p>
      <w:pPr>
        <w:spacing w:after="0" w:line="34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October 29, 2002</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1626 East Jefferson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Rockville, Maryland 20852</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right="3159" w:firstLine="1163"/>
        <w:spacing w:after="0" w:line="265" w:lineRule="auto"/>
        <w:rPr>
          <w:sz w:val="20"/>
          <w:szCs w:val="20"/>
          <w:color w:val="auto"/>
        </w:rPr>
      </w:pPr>
      <w:r>
        <w:rPr>
          <w:rFonts w:ascii="Courier New" w:cs="Courier New" w:eastAsia="Courier New" w:hAnsi="Courier New"/>
          <w:sz w:val="14"/>
          <w:szCs w:val="14"/>
          <w:color w:val="auto"/>
        </w:rPr>
        <w:t>You have requested certain opinions regarding the application of U.S. federal income tax laws to Federal Realty Investment Trust (the "Company") in connection with the filing of a registration statement on Form S-3 (the "Registration Statement") with the Securities and Exchange Commission.</w:t>
      </w:r>
    </w:p>
    <w:p>
      <w:pPr>
        <w:spacing w:after="0" w:line="160" w:lineRule="exact"/>
        <w:rPr>
          <w:sz w:val="20"/>
          <w:szCs w:val="20"/>
          <w:color w:val="auto"/>
        </w:rPr>
      </w:pPr>
    </w:p>
    <w:p>
      <w:pPr>
        <w:ind w:right="3079" w:firstLine="1163"/>
        <w:spacing w:after="0" w:line="261" w:lineRule="auto"/>
        <w:rPr>
          <w:sz w:val="20"/>
          <w:szCs w:val="20"/>
          <w:color w:val="auto"/>
        </w:rPr>
      </w:pPr>
      <w:r>
        <w:rPr>
          <w:rFonts w:ascii="Courier New" w:cs="Courier New" w:eastAsia="Courier New" w:hAnsi="Courier New"/>
          <w:sz w:val="14"/>
          <w:szCs w:val="14"/>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 of Trust of the Company, as amended, restated or supplemented (the "Declaration of Trust"), (3) certain written representations of the Company contained in a letter to us dated as of the date hereof, (4) copies of the representative leases entered into by the Company as of the date hereof, and (5) such other documents or information as we have deemed necessary to render the opinions set forth in this letter. In our review, we have assumed, with your consent, that the documents listed above that we reviewed in proposed form will be executed in substantially the same form, all of the representations and statements set forth in such documents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3" w:lineRule="exact"/>
        <w:rPr>
          <w:sz w:val="20"/>
          <w:szCs w:val="20"/>
          <w:color w:val="auto"/>
        </w:rPr>
      </w:pPr>
    </w:p>
    <w:p>
      <w:pPr>
        <w:ind w:right="3079" w:firstLine="1163"/>
        <w:spacing w:after="0" w:line="242" w:lineRule="auto"/>
        <w:rPr>
          <w:sz w:val="20"/>
          <w:szCs w:val="20"/>
          <w:color w:val="auto"/>
        </w:rPr>
      </w:pPr>
      <w:r>
        <w:rPr>
          <w:rFonts w:ascii="Courier New" w:cs="Courier New" w:eastAsia="Courier New" w:hAnsi="Courier New"/>
          <w:sz w:val="15"/>
          <w:szCs w:val="15"/>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82" w:lineRule="exact"/>
        <w:rPr>
          <w:sz w:val="20"/>
          <w:szCs w:val="20"/>
          <w:color w:val="auto"/>
        </w:rPr>
      </w:pPr>
    </w:p>
    <w:p>
      <w:pPr>
        <w:ind w:right="3159" w:firstLine="1163"/>
        <w:spacing w:after="0" w:line="242" w:lineRule="auto"/>
        <w:rPr>
          <w:sz w:val="20"/>
          <w:szCs w:val="20"/>
          <w:color w:val="auto"/>
        </w:rPr>
      </w:pPr>
      <w:r>
        <w:rPr>
          <w:rFonts w:ascii="Courier New" w:cs="Courier New" w:eastAsia="Courier New" w:hAnsi="Courier New"/>
          <w:sz w:val="15"/>
          <w:szCs w:val="15"/>
          <w:color w:val="auto"/>
        </w:rPr>
        <w:t>Based upon and subject to the foregoing and to the qualifications below, we are of the opinion that (i) the Company qualified as a REIT under the Code for its taxable years ending through December 31, 2001, and (ii) the Company is organized in conformity with the requirements for qualification as a REIT under the Code, and its current method of operation will enable it to meet the requirements for qualification as a REIT for the current taxable year and for future taxable years.</w:t>
      </w:r>
    </w:p>
    <w:p>
      <w:pPr>
        <w:spacing w:after="0" w:line="177" w:lineRule="exact"/>
        <w:rPr>
          <w:sz w:val="20"/>
          <w:szCs w:val="20"/>
          <w:color w:val="auto"/>
        </w:rPr>
      </w:pPr>
    </w:p>
    <w:p>
      <w:pPr>
        <w:ind w:right="3259" w:firstLine="1163"/>
        <w:spacing w:after="0"/>
        <w:rPr>
          <w:sz w:val="20"/>
          <w:szCs w:val="20"/>
          <w:color w:val="auto"/>
        </w:rPr>
      </w:pPr>
      <w:r>
        <w:rPr>
          <w:rFonts w:ascii="Courier New" w:cs="Courier New" w:eastAsia="Courier New" w:hAnsi="Courier New"/>
          <w:sz w:val="15"/>
          <w:szCs w:val="15"/>
          <w:color w:val="auto"/>
        </w:rPr>
        <w:t>For a discussion relating the law to the facts and legal analysis underlying the opinions set forth in this</w:t>
      </w:r>
    </w:p>
    <w:p>
      <w:pPr>
        <w:sectPr>
          <w:pgSz w:w="11900" w:h="16838" w:orient="portrait"/>
          <w:cols w:equalWidth="0" w:num="1">
            <w:col w:w="10219"/>
          </w:cols>
          <w:pgMar w:left="240" w:top="656" w:right="1440" w:bottom="1440" w:gutter="0" w:footer="0" w:header="0"/>
        </w:sectPr>
      </w:pPr>
    </w:p>
    <w:bookmarkStart w:id="57" w:name="page58"/>
    <w:bookmarkEnd w:id="57"/>
    <w:p>
      <w:pPr>
        <w:ind w:right="3079"/>
        <w:spacing w:after="0" w:line="241" w:lineRule="auto"/>
        <w:rPr>
          <w:sz w:val="20"/>
          <w:szCs w:val="20"/>
          <w:color w:val="auto"/>
        </w:rPr>
      </w:pPr>
      <w:r>
        <w:rPr>
          <w:rFonts w:ascii="Courier New" w:cs="Courier New" w:eastAsia="Courier New" w:hAnsi="Courier New"/>
          <w:sz w:val="15"/>
          <w:szCs w:val="15"/>
          <w:color w:val="auto"/>
        </w:rPr>
        <w:t>letter, we incorporate by reference the discussion of federal income tax issues, which we assisted in preparing, in the sections of the Registration Statement under the heading "Federal Income Tax Consequences."</w:t>
      </w:r>
    </w:p>
    <w:p>
      <w:pPr>
        <w:spacing w:after="0" w:line="176" w:lineRule="exact"/>
        <w:rPr>
          <w:sz w:val="20"/>
          <w:szCs w:val="20"/>
          <w:color w:val="auto"/>
        </w:rPr>
      </w:pPr>
    </w:p>
    <w:p>
      <w:pPr>
        <w:ind w:right="3079" w:firstLine="1163"/>
        <w:spacing w:after="0" w:line="261" w:lineRule="auto"/>
        <w:rPr>
          <w:sz w:val="20"/>
          <w:szCs w:val="20"/>
          <w:color w:val="auto"/>
        </w:rPr>
      </w:pPr>
      <w:r>
        <w:rPr>
          <w:rFonts w:ascii="Courier New" w:cs="Courier New" w:eastAsia="Courier New" w:hAnsi="Courier New"/>
          <w:sz w:val="14"/>
          <w:szCs w:val="14"/>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 We assume no obligation to update the opinions set forth in this letter. We believe that the conclusions expressed herein, if challenged by the IRS, would be sustained in court. Because our positions are not binding upon the IRS or the courts, however, there can be no assurance that contrary positions may not be successfully asserted by the IRS.</w:t>
      </w:r>
    </w:p>
    <w:p>
      <w:pPr>
        <w:spacing w:after="0" w:line="336" w:lineRule="exact"/>
        <w:rPr>
          <w:sz w:val="20"/>
          <w:szCs w:val="20"/>
          <w:color w:val="auto"/>
        </w:rPr>
      </w:pPr>
    </w:p>
    <w:p>
      <w:pPr>
        <w:jc w:val="both"/>
        <w:ind w:right="3159" w:firstLine="1163"/>
        <w:spacing w:after="0" w:line="241" w:lineRule="auto"/>
        <w:rPr>
          <w:sz w:val="20"/>
          <w:szCs w:val="20"/>
          <w:color w:val="auto"/>
        </w:rPr>
      </w:pPr>
      <w:r>
        <w:rPr>
          <w:rFonts w:ascii="Courier New" w:cs="Courier New" w:eastAsia="Courier New" w:hAnsi="Courier New"/>
          <w:sz w:val="15"/>
          <w:szCs w:val="15"/>
          <w:color w:val="auto"/>
        </w:rPr>
        <w:t>The foregoing opinions are limited to the specific matters covered thereby and should not be interpreted to imply the undersigned has offered its opinion on any other matter.</w:t>
      </w:r>
    </w:p>
    <w:p>
      <w:pPr>
        <w:spacing w:after="0" w:line="176" w:lineRule="exact"/>
        <w:rPr>
          <w:sz w:val="20"/>
          <w:szCs w:val="20"/>
          <w:color w:val="auto"/>
        </w:rPr>
      </w:pPr>
    </w:p>
    <w:p>
      <w:pPr>
        <w:ind w:right="3079" w:firstLine="1163"/>
        <w:spacing w:after="0" w:line="242"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The giving of this consent, however, does not constitute an admission that we are "experts" within the meaning of Section 11 of the Securities Act of 1933 (the "Act"), as amended, or within the category of persons whose consent is required by Section 7 of the Act.</w:t>
      </w:r>
    </w:p>
    <w:p>
      <w:pPr>
        <w:spacing w:after="0" w:line="174"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/s/ Shaw Pittman LLP</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SHAW PITTMAN LLP</w:t>
      </w:r>
    </w:p>
    <w:p>
      <w:pPr>
        <w:sectPr>
          <w:pgSz w:w="11900" w:h="16838" w:orient="portrait"/>
          <w:cols w:equalWidth="0" w:num="1">
            <w:col w:w="10219"/>
          </w:cols>
          <w:pgMar w:left="240" w:top="635" w:right="1440" w:bottom="1440" w:gutter="0" w:footer="0" w:header="0"/>
        </w:sectPr>
      </w:pPr>
    </w:p>
    <w:bookmarkStart w:id="58" w:name="page59"/>
    <w:bookmarkEnd w:id="58"/>
    <w:p>
      <w:pPr>
        <w:ind w:left="6080"/>
        <w:spacing w:after="0"/>
        <w:rPr>
          <w:sz w:val="20"/>
          <w:szCs w:val="20"/>
          <w:color w:val="auto"/>
        </w:rPr>
      </w:pPr>
      <w:r>
        <w:rPr>
          <w:rFonts w:ascii="Courier New" w:cs="Courier New" w:eastAsia="Courier New" w:hAnsi="Courier New"/>
          <w:sz w:val="15"/>
          <w:szCs w:val="15"/>
          <w:color w:val="auto"/>
        </w:rPr>
        <w:t>Exhibit 12.1</w:t>
      </w:r>
    </w:p>
    <w:p>
      <w:pPr>
        <w:spacing w:after="0" w:line="174"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Computation of Ratios of Earnings to Fixed Charges and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Ratios of Earnings to Combined Fixed Charges and Preferred Dividends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ind w:left="2940"/>
              <w:spacing w:after="0"/>
              <w:rPr>
                <w:sz w:val="20"/>
                <w:szCs w:val="20"/>
                <w:color w:val="auto"/>
              </w:rPr>
            </w:pPr>
            <w:r>
              <w:rPr>
                <w:rFonts w:ascii="Courier New" w:cs="Courier New" w:eastAsia="Courier New" w:hAnsi="Courier New"/>
                <w:sz w:val="15"/>
                <w:szCs w:val="15"/>
                <w:color w:val="auto"/>
              </w:rPr>
              <w:t>(in thousands)</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60"/>
        </w:trPr>
        <w:tc>
          <w:tcPr>
            <w:tcW w:w="5100" w:type="dxa"/>
            <w:vAlign w:val="bottom"/>
          </w:tcPr>
          <w:p>
            <w:pPr>
              <w:spacing w:after="0"/>
              <w:rPr>
                <w:sz w:val="24"/>
                <w:szCs w:val="2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24"/>
                <w:szCs w:val="24"/>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4"/>
              </w:rPr>
              <w:t>2000</w:t>
            </w:r>
          </w:p>
        </w:tc>
        <w:tc>
          <w:tcPr>
            <w:tcW w:w="440" w:type="dxa"/>
            <w:vAlign w:val="bottom"/>
          </w:tcPr>
          <w:p>
            <w:pPr>
              <w:spacing w:after="0"/>
              <w:rPr>
                <w:sz w:val="24"/>
                <w:szCs w:val="2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460" w:type="dxa"/>
            <w:vAlign w:val="bottom"/>
          </w:tcPr>
          <w:p>
            <w:pPr>
              <w:spacing w:after="0"/>
              <w:rPr>
                <w:sz w:val="24"/>
                <w:szCs w:val="2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1998</w:t>
            </w:r>
          </w:p>
        </w:tc>
        <w:tc>
          <w:tcPr>
            <w:tcW w:w="480" w:type="dxa"/>
            <w:vAlign w:val="bottom"/>
          </w:tcPr>
          <w:p>
            <w:pPr>
              <w:spacing w:after="0"/>
              <w:rPr>
                <w:sz w:val="24"/>
                <w:szCs w:val="2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1997</w:t>
            </w:r>
          </w:p>
        </w:tc>
      </w:tr>
      <w:tr>
        <w:trPr>
          <w:trHeight w:val="172"/>
        </w:trPr>
        <w:tc>
          <w:tcPr>
            <w:tcW w:w="510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Income before gain on sale of real estate</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$ 59,571</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56,842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55,493</w:t>
            </w:r>
          </w:p>
        </w:tc>
        <w:tc>
          <w:tcPr>
            <w:tcW w:w="12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$ 44,960</w:t>
            </w:r>
          </w:p>
        </w:tc>
        <w:tc>
          <w:tcPr>
            <w:tcW w:w="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40,129</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Portion of rents representing interest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2,037</w:t>
            </w:r>
          </w:p>
        </w:tc>
        <w:tc>
          <w:tcPr>
            <w:tcW w:w="44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1,969</w:t>
            </w:r>
          </w:p>
        </w:tc>
        <w:tc>
          <w:tcPr>
            <w:tcW w:w="44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1,619</w:t>
            </w:r>
          </w:p>
        </w:tc>
        <w:tc>
          <w:tcPr>
            <w:tcW w:w="46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986</w:t>
            </w:r>
          </w:p>
        </w:tc>
        <w:tc>
          <w:tcPr>
            <w:tcW w:w="48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948</w:t>
            </w:r>
          </w:p>
        </w:tc>
      </w:tr>
      <w:tr>
        <w:trPr>
          <w:trHeight w:val="172"/>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Interest on indebtedness, including</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00" w:type="dxa"/>
            <w:vAlign w:val="bottom"/>
          </w:tcPr>
          <w:p>
            <w:pPr>
              <w:ind w:left="620"/>
              <w:spacing w:after="0"/>
              <w:rPr>
                <w:sz w:val="20"/>
                <w:szCs w:val="20"/>
                <w:color w:val="auto"/>
              </w:rPr>
            </w:pPr>
            <w:r>
              <w:rPr>
                <w:rFonts w:ascii="Courier New" w:cs="Courier New" w:eastAsia="Courier New" w:hAnsi="Courier New"/>
                <w:sz w:val="15"/>
                <w:szCs w:val="15"/>
                <w:color w:val="auto"/>
              </w:rPr>
              <w:t>amortization of debt costs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69,313</w:t>
            </w:r>
          </w:p>
        </w:tc>
        <w:tc>
          <w:tcPr>
            <w:tcW w:w="44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66,418</w:t>
            </w:r>
          </w:p>
        </w:tc>
        <w:tc>
          <w:tcPr>
            <w:tcW w:w="44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61,492</w:t>
            </w:r>
          </w:p>
        </w:tc>
        <w:tc>
          <w:tcPr>
            <w:tcW w:w="46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55,125</w:t>
            </w:r>
          </w:p>
        </w:tc>
        <w:tc>
          <w:tcPr>
            <w:tcW w:w="48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47,288</w:t>
            </w:r>
          </w:p>
        </w:tc>
      </w:tr>
      <w:tr>
        <w:trPr>
          <w:trHeight w:val="172"/>
        </w:trPr>
        <w:tc>
          <w:tcPr>
            <w:tcW w:w="5100" w:type="dxa"/>
            <w:vAlign w:val="bottom"/>
          </w:tcPr>
          <w:p>
            <w:pPr>
              <w:spacing w:after="0"/>
              <w:rPr>
                <w:sz w:val="14"/>
                <w:szCs w:val="14"/>
                <w:color w:val="auto"/>
              </w:rPr>
            </w:pPr>
          </w:p>
        </w:tc>
        <w:tc>
          <w:tcPr>
            <w:tcW w:w="6420" w:type="dxa"/>
            <w:vAlign w:val="bottom"/>
            <w:gridSpan w:val="9"/>
          </w:tcPr>
          <w:p>
            <w:pPr>
              <w:ind w:left="80"/>
              <w:spacing w:after="0"/>
              <w:rPr>
                <w:sz w:val="20"/>
                <w:szCs w:val="20"/>
                <w:color w:val="auto"/>
              </w:rPr>
            </w:pPr>
            <w:r>
              <w:rPr>
                <w:rFonts w:ascii="Courier New" w:cs="Courier New" w:eastAsia="Courier New" w:hAnsi="Courier New"/>
                <w:sz w:val="15"/>
                <w:szCs w:val="15"/>
                <w:color w:val="auto"/>
              </w:rPr>
              <w:t>------------ -------------  ------------- ------------- -------------</w:t>
            </w:r>
          </w:p>
        </w:tc>
      </w:tr>
      <w:tr>
        <w:trPr>
          <w:trHeight w:val="344"/>
        </w:trPr>
        <w:tc>
          <w:tcPr>
            <w:tcW w:w="5100" w:type="dxa"/>
            <w:vAlign w:val="bottom"/>
          </w:tcPr>
          <w:p>
            <w:pPr>
              <w:ind w:left="2680"/>
              <w:spacing w:after="0"/>
              <w:rPr>
                <w:sz w:val="20"/>
                <w:szCs w:val="20"/>
                <w:color w:val="auto"/>
              </w:rPr>
            </w:pPr>
            <w:r>
              <w:rPr>
                <w:rFonts w:ascii="Courier New" w:cs="Courier New" w:eastAsia="Courier New" w:hAnsi="Courier New"/>
                <w:sz w:val="15"/>
                <w:szCs w:val="15"/>
                <w:color w:val="auto"/>
              </w:rPr>
              <w:t>Income as adjusted</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130,921</w:t>
            </w:r>
          </w:p>
        </w:tc>
        <w:tc>
          <w:tcPr>
            <w:tcW w:w="44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125,229</w:t>
            </w:r>
          </w:p>
        </w:tc>
        <w:tc>
          <w:tcPr>
            <w:tcW w:w="440" w:type="dxa"/>
            <w:vAlign w:val="bottom"/>
          </w:tcPr>
          <w:p>
            <w:pPr>
              <w:spacing w:after="0"/>
              <w:rPr>
                <w:sz w:val="24"/>
                <w:szCs w:val="2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118,604</w:t>
            </w:r>
          </w:p>
        </w:tc>
        <w:tc>
          <w:tcPr>
            <w:tcW w:w="12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101,071</w:t>
            </w:r>
          </w:p>
        </w:tc>
        <w:tc>
          <w:tcPr>
            <w:tcW w:w="480" w:type="dxa"/>
            <w:vAlign w:val="bottom"/>
          </w:tcPr>
          <w:p>
            <w:pPr>
              <w:spacing w:after="0"/>
              <w:rPr>
                <w:sz w:val="24"/>
                <w:szCs w:val="2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88,365</w:t>
            </w:r>
          </w:p>
        </w:tc>
      </w:tr>
      <w:tr>
        <w:trPr>
          <w:trHeight w:val="172"/>
        </w:trPr>
        <w:tc>
          <w:tcPr>
            <w:tcW w:w="5100" w:type="dxa"/>
            <w:vAlign w:val="bottom"/>
          </w:tcPr>
          <w:p>
            <w:pPr>
              <w:spacing w:after="0"/>
              <w:rPr>
                <w:sz w:val="14"/>
                <w:szCs w:val="14"/>
                <w:color w:val="auto"/>
              </w:rPr>
            </w:pPr>
          </w:p>
        </w:tc>
        <w:tc>
          <w:tcPr>
            <w:tcW w:w="25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 =============</w:t>
            </w:r>
          </w:p>
        </w:tc>
        <w:tc>
          <w:tcPr>
            <w:tcW w:w="3880" w:type="dxa"/>
            <w:vAlign w:val="bottom"/>
            <w:gridSpan w:val="6"/>
          </w:tcPr>
          <w:p>
            <w:pPr>
              <w:jc w:val="right"/>
              <w:ind w:right="85"/>
              <w:spacing w:after="0"/>
              <w:rPr>
                <w:sz w:val="20"/>
                <w:szCs w:val="20"/>
                <w:color w:val="auto"/>
              </w:rPr>
            </w:pPr>
            <w:r>
              <w:rPr>
                <w:rFonts w:ascii="Courier New" w:cs="Courier New" w:eastAsia="Courier New" w:hAnsi="Courier New"/>
                <w:sz w:val="15"/>
                <w:szCs w:val="15"/>
                <w:color w:val="auto"/>
              </w:rPr>
              <w:t>============= ============= =============</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Portion of rents representing interest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2,037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1,619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986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948</w:t>
            </w:r>
          </w:p>
        </w:tc>
      </w:tr>
      <w:tr>
        <w:trPr>
          <w:trHeight w:val="172"/>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Interest on indebtedness, including</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00" w:type="dxa"/>
            <w:vAlign w:val="bottom"/>
          </w:tcPr>
          <w:p>
            <w:pPr>
              <w:ind w:left="620"/>
              <w:spacing w:after="0"/>
              <w:rPr>
                <w:sz w:val="20"/>
                <w:szCs w:val="20"/>
                <w:color w:val="auto"/>
              </w:rPr>
            </w:pPr>
            <w:r>
              <w:rPr>
                <w:rFonts w:ascii="Courier New" w:cs="Courier New" w:eastAsia="Courier New" w:hAnsi="Courier New"/>
                <w:sz w:val="15"/>
                <w:szCs w:val="15"/>
                <w:color w:val="auto"/>
              </w:rPr>
              <w:t>Amortization of debt costs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69,313</w:t>
            </w:r>
          </w:p>
        </w:tc>
        <w:tc>
          <w:tcPr>
            <w:tcW w:w="44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66,418</w:t>
            </w:r>
          </w:p>
        </w:tc>
        <w:tc>
          <w:tcPr>
            <w:tcW w:w="44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61,492</w:t>
            </w:r>
          </w:p>
        </w:tc>
        <w:tc>
          <w:tcPr>
            <w:tcW w:w="46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55,125</w:t>
            </w:r>
          </w:p>
        </w:tc>
        <w:tc>
          <w:tcPr>
            <w:tcW w:w="48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47,288</w:t>
            </w:r>
          </w:p>
        </w:tc>
      </w:tr>
      <w:tr>
        <w:trPr>
          <w:trHeight w:val="172"/>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Capitalized Interest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17,803</w:t>
            </w:r>
          </w:p>
        </w:tc>
        <w:tc>
          <w:tcPr>
            <w:tcW w:w="44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13,249</w:t>
            </w:r>
          </w:p>
        </w:tc>
        <w:tc>
          <w:tcPr>
            <w:tcW w:w="44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6,867</w:t>
            </w:r>
          </w:p>
        </w:tc>
        <w:tc>
          <w:tcPr>
            <w:tcW w:w="46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5,078</w:t>
            </w:r>
          </w:p>
        </w:tc>
        <w:tc>
          <w:tcPr>
            <w:tcW w:w="48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3,649</w:t>
            </w:r>
          </w:p>
        </w:tc>
      </w:tr>
      <w:tr>
        <w:trPr>
          <w:trHeight w:val="172"/>
        </w:trPr>
        <w:tc>
          <w:tcPr>
            <w:tcW w:w="5100" w:type="dxa"/>
            <w:vAlign w:val="bottom"/>
          </w:tcPr>
          <w:p>
            <w:pPr>
              <w:spacing w:after="0"/>
              <w:rPr>
                <w:sz w:val="14"/>
                <w:szCs w:val="14"/>
                <w:color w:val="auto"/>
              </w:rPr>
            </w:pPr>
          </w:p>
        </w:tc>
        <w:tc>
          <w:tcPr>
            <w:tcW w:w="6420" w:type="dxa"/>
            <w:vAlign w:val="bottom"/>
            <w:gridSpan w:val="9"/>
          </w:tcPr>
          <w:p>
            <w:pPr>
              <w:ind w:left="80"/>
              <w:spacing w:after="0"/>
              <w:rPr>
                <w:sz w:val="20"/>
                <w:szCs w:val="20"/>
                <w:color w:val="auto"/>
              </w:rPr>
            </w:pPr>
            <w:r>
              <w:rPr>
                <w:rFonts w:ascii="Courier New" w:cs="Courier New" w:eastAsia="Courier New" w:hAnsi="Courier New"/>
                <w:sz w:val="15"/>
                <w:szCs w:val="15"/>
                <w:color w:val="auto"/>
              </w:rPr>
              <w:t>------------ -------------  ------------- ------------- -------------</w:t>
            </w:r>
          </w:p>
        </w:tc>
      </w:tr>
      <w:tr>
        <w:trPr>
          <w:trHeight w:val="344"/>
        </w:trPr>
        <w:tc>
          <w:tcPr>
            <w:tcW w:w="5100" w:type="dxa"/>
            <w:vAlign w:val="bottom"/>
          </w:tcPr>
          <w:p>
            <w:pPr>
              <w:ind w:left="2680"/>
              <w:spacing w:after="0"/>
              <w:rPr>
                <w:sz w:val="20"/>
                <w:szCs w:val="20"/>
                <w:color w:val="auto"/>
              </w:rPr>
            </w:pPr>
            <w:r>
              <w:rPr>
                <w:rFonts w:ascii="Courier New" w:cs="Courier New" w:eastAsia="Courier New" w:hAnsi="Courier New"/>
                <w:sz w:val="15"/>
                <w:szCs w:val="15"/>
                <w:color w:val="auto"/>
              </w:rPr>
              <w:t>Fixed charges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89,153</w:t>
            </w:r>
          </w:p>
        </w:tc>
        <w:tc>
          <w:tcPr>
            <w:tcW w:w="44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81,636</w:t>
            </w:r>
          </w:p>
        </w:tc>
        <w:tc>
          <w:tcPr>
            <w:tcW w:w="440" w:type="dxa"/>
            <w:vAlign w:val="bottom"/>
          </w:tcPr>
          <w:p>
            <w:pPr>
              <w:spacing w:after="0"/>
              <w:rPr>
                <w:sz w:val="24"/>
                <w:szCs w:val="2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69,978</w:t>
            </w:r>
          </w:p>
        </w:tc>
        <w:tc>
          <w:tcPr>
            <w:tcW w:w="460" w:type="dxa"/>
            <w:vAlign w:val="bottom"/>
          </w:tcPr>
          <w:p>
            <w:pPr>
              <w:spacing w:after="0"/>
              <w:rPr>
                <w:sz w:val="24"/>
                <w:szCs w:val="2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61,189</w:t>
            </w:r>
          </w:p>
        </w:tc>
        <w:tc>
          <w:tcPr>
            <w:tcW w:w="480" w:type="dxa"/>
            <w:vAlign w:val="bottom"/>
          </w:tcPr>
          <w:p>
            <w:pPr>
              <w:spacing w:after="0"/>
              <w:rPr>
                <w:sz w:val="24"/>
                <w:szCs w:val="2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51,885</w:t>
            </w:r>
          </w:p>
        </w:tc>
      </w:tr>
      <w:tr>
        <w:trPr>
          <w:trHeight w:val="172"/>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Preferred dividend</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9,034</w:t>
            </w:r>
          </w:p>
        </w:tc>
        <w:tc>
          <w:tcPr>
            <w:tcW w:w="44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7,950</w:t>
            </w:r>
          </w:p>
        </w:tc>
        <w:tc>
          <w:tcPr>
            <w:tcW w:w="44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7,950</w:t>
            </w:r>
          </w:p>
        </w:tc>
        <w:tc>
          <w:tcPr>
            <w:tcW w:w="46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7,950</w:t>
            </w:r>
          </w:p>
        </w:tc>
        <w:tc>
          <w:tcPr>
            <w:tcW w:w="48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1,877</w:t>
            </w:r>
          </w:p>
        </w:tc>
      </w:tr>
      <w:tr>
        <w:trPr>
          <w:trHeight w:val="172"/>
        </w:trPr>
        <w:tc>
          <w:tcPr>
            <w:tcW w:w="5100" w:type="dxa"/>
            <w:vAlign w:val="bottom"/>
          </w:tcPr>
          <w:p>
            <w:pPr>
              <w:spacing w:after="0"/>
              <w:rPr>
                <w:sz w:val="14"/>
                <w:szCs w:val="14"/>
                <w:color w:val="auto"/>
              </w:rPr>
            </w:pPr>
          </w:p>
        </w:tc>
        <w:tc>
          <w:tcPr>
            <w:tcW w:w="6420" w:type="dxa"/>
            <w:vAlign w:val="bottom"/>
            <w:gridSpan w:val="9"/>
          </w:tcPr>
          <w:p>
            <w:pPr>
              <w:ind w:left="80"/>
              <w:spacing w:after="0"/>
              <w:rPr>
                <w:sz w:val="20"/>
                <w:szCs w:val="20"/>
                <w:color w:val="auto"/>
              </w:rPr>
            </w:pPr>
            <w:r>
              <w:rPr>
                <w:rFonts w:ascii="Courier New" w:cs="Courier New" w:eastAsia="Courier New" w:hAnsi="Courier New"/>
                <w:sz w:val="15"/>
                <w:szCs w:val="15"/>
                <w:color w:val="auto"/>
              </w:rPr>
              <w:t>------------ -------------  ------------- ------------- -------------</w:t>
            </w:r>
          </w:p>
        </w:tc>
      </w:tr>
      <w:tr>
        <w:trPr>
          <w:trHeight w:val="344"/>
        </w:trPr>
        <w:tc>
          <w:tcPr>
            <w:tcW w:w="5100" w:type="dxa"/>
            <w:vAlign w:val="bottom"/>
          </w:tcPr>
          <w:p>
            <w:pPr>
              <w:ind w:left="2680"/>
              <w:spacing w:after="0"/>
              <w:rPr>
                <w:sz w:val="20"/>
                <w:szCs w:val="20"/>
                <w:color w:val="auto"/>
              </w:rPr>
            </w:pPr>
            <w:r>
              <w:rPr>
                <w:rFonts w:ascii="Courier New" w:cs="Courier New" w:eastAsia="Courier New" w:hAnsi="Courier New"/>
                <w:sz w:val="15"/>
                <w:szCs w:val="15"/>
                <w:color w:val="auto"/>
              </w:rPr>
              <w:t>Combined fixed charges and</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100" w:type="dxa"/>
            <w:vAlign w:val="bottom"/>
          </w:tcPr>
          <w:p>
            <w:pPr>
              <w:ind w:left="3220"/>
              <w:spacing w:after="0"/>
              <w:rPr>
                <w:sz w:val="20"/>
                <w:szCs w:val="20"/>
                <w:color w:val="auto"/>
              </w:rPr>
            </w:pPr>
            <w:r>
              <w:rPr>
                <w:rFonts w:ascii="Courier New" w:cs="Courier New" w:eastAsia="Courier New" w:hAnsi="Courier New"/>
                <w:sz w:val="15"/>
                <w:szCs w:val="15"/>
                <w:color w:val="auto"/>
              </w:rPr>
              <w:t>Preferred dividends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98,187</w:t>
            </w:r>
          </w:p>
        </w:tc>
        <w:tc>
          <w:tcPr>
            <w:tcW w:w="44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89,586</w:t>
            </w:r>
          </w:p>
        </w:tc>
        <w:tc>
          <w:tcPr>
            <w:tcW w:w="44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77,928</w:t>
            </w:r>
          </w:p>
        </w:tc>
        <w:tc>
          <w:tcPr>
            <w:tcW w:w="46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69,139</w:t>
            </w:r>
          </w:p>
        </w:tc>
        <w:tc>
          <w:tcPr>
            <w:tcW w:w="48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53,762</w:t>
            </w:r>
          </w:p>
        </w:tc>
      </w:tr>
      <w:tr>
        <w:trPr>
          <w:trHeight w:val="172"/>
        </w:trPr>
        <w:tc>
          <w:tcPr>
            <w:tcW w:w="5100" w:type="dxa"/>
            <w:vAlign w:val="bottom"/>
          </w:tcPr>
          <w:p>
            <w:pPr>
              <w:spacing w:after="0"/>
              <w:rPr>
                <w:sz w:val="14"/>
                <w:szCs w:val="14"/>
                <w:color w:val="auto"/>
              </w:rPr>
            </w:pPr>
          </w:p>
        </w:tc>
        <w:tc>
          <w:tcPr>
            <w:tcW w:w="25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 =============</w:t>
            </w:r>
          </w:p>
        </w:tc>
        <w:tc>
          <w:tcPr>
            <w:tcW w:w="3880" w:type="dxa"/>
            <w:vAlign w:val="bottom"/>
            <w:gridSpan w:val="6"/>
          </w:tcPr>
          <w:p>
            <w:pPr>
              <w:jc w:val="right"/>
              <w:ind w:right="85"/>
              <w:spacing w:after="0"/>
              <w:rPr>
                <w:sz w:val="20"/>
                <w:szCs w:val="20"/>
                <w:color w:val="auto"/>
              </w:rPr>
            </w:pPr>
            <w:r>
              <w:rPr>
                <w:rFonts w:ascii="Courier New" w:cs="Courier New" w:eastAsia="Courier New" w:hAnsi="Courier New"/>
                <w:sz w:val="15"/>
                <w:szCs w:val="15"/>
                <w:color w:val="auto"/>
              </w:rPr>
              <w:t>============= ============= =============</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1.5x</w:t>
            </w:r>
          </w:p>
        </w:tc>
        <w:tc>
          <w:tcPr>
            <w:tcW w:w="44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1.5x</w:t>
            </w:r>
          </w:p>
        </w:tc>
        <w:tc>
          <w:tcPr>
            <w:tcW w:w="440" w:type="dxa"/>
            <w:vAlign w:val="bottom"/>
          </w:tcPr>
          <w:p>
            <w:pPr>
              <w:spacing w:after="0"/>
              <w:rPr>
                <w:sz w:val="24"/>
                <w:szCs w:val="2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1.7x</w:t>
            </w:r>
          </w:p>
        </w:tc>
        <w:tc>
          <w:tcPr>
            <w:tcW w:w="460" w:type="dxa"/>
            <w:vAlign w:val="bottom"/>
          </w:tcPr>
          <w:p>
            <w:pPr>
              <w:spacing w:after="0"/>
              <w:rPr>
                <w:sz w:val="24"/>
                <w:szCs w:val="2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1.7x</w:t>
            </w:r>
          </w:p>
        </w:tc>
        <w:tc>
          <w:tcPr>
            <w:tcW w:w="480" w:type="dxa"/>
            <w:vAlign w:val="bottom"/>
          </w:tcPr>
          <w:p>
            <w:pPr>
              <w:spacing w:after="0"/>
              <w:rPr>
                <w:sz w:val="24"/>
                <w:szCs w:val="2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1.7x</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Ratio of earnings to combined fixed charges</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and preferred dividend</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1.3x</w:t>
            </w:r>
          </w:p>
        </w:tc>
        <w:tc>
          <w:tcPr>
            <w:tcW w:w="44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1.4x</w:t>
            </w:r>
          </w:p>
        </w:tc>
        <w:tc>
          <w:tcPr>
            <w:tcW w:w="44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1.5x</w:t>
            </w:r>
          </w:p>
        </w:tc>
        <w:tc>
          <w:tcPr>
            <w:tcW w:w="46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1.5x</w:t>
            </w:r>
          </w:p>
        </w:tc>
        <w:tc>
          <w:tcPr>
            <w:tcW w:w="48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1.6x</w:t>
            </w:r>
          </w:p>
        </w:tc>
      </w:tr>
    </w:tbl>
    <w:p>
      <w:pPr>
        <w:spacing w:after="0" w:line="1" w:lineRule="exact"/>
        <w:rPr>
          <w:sz w:val="20"/>
          <w:szCs w:val="20"/>
          <w:color w:val="auto"/>
        </w:rPr>
      </w:pPr>
    </w:p>
    <w:sectPr>
      <w:pgSz w:w="11900" w:h="16838" w:orient="portrait"/>
      <w:cols w:equalWidth="0" w:num="1">
        <w:col w:w="11520"/>
      </w:cols>
      <w:pgMar w:left="240" w:top="484"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9E7F3E5"/>
    <w:multiLevelType w:val="hybridMultilevel"/>
    <w:lvl w:ilvl="0">
      <w:lvlJc w:val="left"/>
      <w:lvlText w:val="(%1)"/>
      <w:numFmt w:val="decimal"/>
      <w:start w:val="202"/>
    </w:lvl>
  </w:abstractNum>
  <w:abstractNum w:abstractNumId="1">
    <w:nsid w:val="2A6DE806"/>
    <w:multiLevelType w:val="hybridMultilevel"/>
    <w:lvl w:ilvl="0">
      <w:lvlJc w:val="left"/>
      <w:lvlText w:val="-"/>
      <w:numFmt w:val="bullet"/>
      <w:start w:val="1"/>
    </w:lvl>
  </w:abstractNum>
  <w:abstractNum w:abstractNumId="2">
    <w:nsid w:val="1816F8C4"/>
    <w:multiLevelType w:val="hybridMultilevel"/>
    <w:lvl w:ilvl="0">
      <w:lvlJc w:val="left"/>
      <w:lvlText w:val="(%1)"/>
      <w:numFmt w:val="decimal"/>
      <w:start w:val="1"/>
    </w:lvl>
  </w:abstractNum>
  <w:abstractNum w:abstractNumId="3">
    <w:nsid w:val="37DF2233"/>
    <w:multiLevelType w:val="hybridMultilevel"/>
    <w:lvl w:ilvl="0">
      <w:lvlJc w:val="left"/>
      <w:lvlText w:val="."/>
      <w:numFmt w:val="bullet"/>
      <w:start w:val="1"/>
    </w:lvl>
  </w:abstractNum>
  <w:abstractNum w:abstractNumId="4">
    <w:nsid w:val="7AB49DAF"/>
    <w:multiLevelType w:val="hybridMultilevel"/>
    <w:lvl w:ilvl="0">
      <w:lvlJc w:val="left"/>
      <w:lvlText w:val="."/>
      <w:numFmt w:val="bullet"/>
      <w:start w:val="1"/>
    </w:lvl>
  </w:abstractNum>
  <w:abstractNum w:abstractNumId="5">
    <w:nsid w:val="759F82CD"/>
    <w:multiLevelType w:val="hybridMultilevel"/>
    <w:lvl w:ilvl="0">
      <w:lvlJc w:val="left"/>
      <w:lvlText w:val="."/>
      <w:numFmt w:val="bullet"/>
      <w:start w:val="1"/>
    </w:lvl>
  </w:abstractNum>
  <w:abstractNum w:abstractNumId="6">
    <w:nsid w:val="61E74EA3"/>
    <w:multiLevelType w:val="hybridMultilevel"/>
    <w:lvl w:ilvl="0">
      <w:lvlJc w:val="left"/>
      <w:lvlText w:val="(%1)"/>
      <w:numFmt w:val="decimal"/>
      <w:start w:val="301"/>
    </w:lvl>
  </w:abstractNum>
  <w:abstractNum w:abstractNumId="7">
    <w:nsid w:val="597B4D84"/>
    <w:multiLevelType w:val="hybridMultilevel"/>
    <w:lvl w:ilvl="0">
      <w:lvlJc w:val="left"/>
      <w:lvlText w:val="."/>
      <w:numFmt w:val="bullet"/>
      <w:start w:val="1"/>
    </w:lvl>
  </w:abstractNum>
  <w:abstractNum w:abstractNumId="8">
    <w:nsid w:val="F819E7F"/>
    <w:multiLevelType w:val="hybridMultilevel"/>
    <w:lvl w:ilvl="0">
      <w:lvlJc w:val="left"/>
      <w:lvlText w:val="."/>
      <w:numFmt w:val="bullet"/>
      <w:start w:val="1"/>
    </w:lvl>
  </w:abstractNum>
  <w:abstractNum w:abstractNumId="9">
    <w:nsid w:val="57C7D42D"/>
    <w:multiLevelType w:val="hybridMultilevel"/>
    <w:lvl w:ilvl="0">
      <w:lvlJc w:val="left"/>
      <w:lvlText w:val="(%1)"/>
      <w:numFmt w:val="decimal"/>
      <w:start w:val="1"/>
    </w:lvl>
  </w:abstractNum>
  <w:abstractNum w:abstractNumId="10">
    <w:nsid w:val="312167AD"/>
    <w:multiLevelType w:val="hybridMultilevel"/>
    <w:lvl w:ilvl="0">
      <w:lvlJc w:val="left"/>
      <w:lvlText w:val="."/>
      <w:numFmt w:val="bullet"/>
      <w:start w:val="1"/>
    </w:lvl>
  </w:abstractNum>
  <w:abstractNum w:abstractNumId="11">
    <w:nsid w:val="631B64D4"/>
    <w:multiLevelType w:val="hybridMultilevel"/>
    <w:lvl w:ilvl="0">
      <w:lvlJc w:val="left"/>
      <w:lvlText w:val="."/>
      <w:numFmt w:val="bullet"/>
      <w:start w:val="1"/>
    </w:lvl>
  </w:abstractNum>
  <w:abstractNum w:abstractNumId="12">
    <w:nsid w:val="78B5E776"/>
    <w:multiLevelType w:val="hybridMultilevel"/>
    <w:lvl w:ilvl="0">
      <w:lvlJc w:val="left"/>
      <w:lvlText w:val="."/>
      <w:numFmt w:val="bullet"/>
      <w:start w:val="1"/>
    </w:lvl>
  </w:abstractNum>
  <w:abstractNum w:abstractNumId="13">
    <w:nsid w:val="75486E47"/>
    <w:multiLevelType w:val="hybridMultilevel"/>
    <w:lvl w:ilvl="0">
      <w:lvlJc w:val="left"/>
      <w:lvlText w:val="."/>
      <w:numFmt w:val="bullet"/>
      <w:start w:val="1"/>
    </w:lvl>
  </w:abstractNum>
  <w:abstractNum w:abstractNumId="14">
    <w:nsid w:val="6E534CDE"/>
    <w:multiLevelType w:val="hybridMultilevel"/>
    <w:lvl w:ilvl="0">
      <w:lvlJc w:val="left"/>
      <w:lvlText w:val="."/>
      <w:numFmt w:val="bullet"/>
      <w:start w:val="1"/>
    </w:lvl>
  </w:abstractNum>
  <w:abstractNum w:abstractNumId="15">
    <w:nsid w:val="1A0DDE32"/>
    <w:multiLevelType w:val="hybridMultilevel"/>
    <w:lvl w:ilvl="0">
      <w:lvlJc w:val="left"/>
      <w:lvlText w:val="."/>
      <w:numFmt w:val="bullet"/>
      <w:start w:val="1"/>
    </w:lvl>
  </w:abstractNum>
  <w:abstractNum w:abstractNumId="16">
    <w:nsid w:val="65968C1C"/>
    <w:multiLevelType w:val="hybridMultilevel"/>
    <w:lvl w:ilvl="0">
      <w:lvlJc w:val="left"/>
      <w:lvlText w:val="."/>
      <w:numFmt w:val="bullet"/>
      <w:start w:val="1"/>
    </w:lvl>
  </w:abstractNum>
  <w:abstractNum w:abstractNumId="17">
    <w:nsid w:val="46263DEC"/>
    <w:multiLevelType w:val="hybridMultilevel"/>
    <w:lvl w:ilvl="0">
      <w:lvlJc w:val="left"/>
      <w:lvlText w:val="."/>
      <w:numFmt w:val="bullet"/>
      <w:start w:val="1"/>
    </w:lvl>
  </w:abstractNum>
  <w:abstractNum w:abstractNumId="18">
    <w:nsid w:val="260D8C4A"/>
    <w:multiLevelType w:val="hybridMultilevel"/>
    <w:lvl w:ilvl="0">
      <w:lvlJc w:val="left"/>
      <w:lvlText w:val="."/>
      <w:numFmt w:val="bullet"/>
      <w:start w:val="1"/>
    </w:lvl>
  </w:abstractNum>
  <w:abstractNum w:abstractNumId="19">
    <w:nsid w:val="73D4D3C4"/>
    <w:multiLevelType w:val="hybridMultilevel"/>
    <w:lvl w:ilvl="0">
      <w:lvlJc w:val="left"/>
      <w:lvlText w:val="."/>
      <w:numFmt w:val="bullet"/>
      <w:start w:val="1"/>
    </w:lvl>
  </w:abstractNum>
  <w:abstractNum w:abstractNumId="20">
    <w:nsid w:val="746F2E30"/>
    <w:multiLevelType w:val="hybridMultilevel"/>
    <w:lvl w:ilvl="0">
      <w:lvlJc w:val="left"/>
      <w:lvlText w:val="."/>
      <w:numFmt w:val="bullet"/>
      <w:start w:val="1"/>
    </w:lvl>
  </w:abstractNum>
  <w:abstractNum w:abstractNumId="21">
    <w:nsid w:val="6FDE8AF6"/>
    <w:multiLevelType w:val="hybridMultilevel"/>
    <w:lvl w:ilvl="0">
      <w:lvlJc w:val="left"/>
      <w:lvlText w:val="."/>
      <w:numFmt w:val="bullet"/>
      <w:start w:val="1"/>
    </w:lvl>
  </w:abstractNum>
  <w:abstractNum w:abstractNumId="22">
    <w:nsid w:val="3FC32E20"/>
    <w:multiLevelType w:val="hybridMultilevel"/>
    <w:lvl w:ilvl="0">
      <w:lvlJc w:val="left"/>
      <w:lvlText w:val="."/>
      <w:numFmt w:val="bullet"/>
      <w:start w:val="1"/>
    </w:lvl>
  </w:abstractNum>
  <w:abstractNum w:abstractNumId="23">
    <w:nsid w:val="49C0E823"/>
    <w:multiLevelType w:val="hybridMultilevel"/>
    <w:lvl w:ilvl="0">
      <w:lvlJc w:val="left"/>
      <w:lvlText w:val="."/>
      <w:numFmt w:val="bullet"/>
      <w:start w:val="1"/>
    </w:lvl>
  </w:abstractNum>
  <w:abstractNum w:abstractNumId="24">
    <w:nsid w:val="14D53685"/>
    <w:multiLevelType w:val="hybridMultilevel"/>
    <w:lvl w:ilvl="0">
      <w:lvlJc w:val="left"/>
      <w:lvlText w:val="."/>
      <w:numFmt w:val="bullet"/>
      <w:start w:val="1"/>
    </w:lvl>
  </w:abstractNum>
  <w:abstractNum w:abstractNumId="25">
    <w:nsid w:val="230F856C"/>
    <w:multiLevelType w:val="hybridMultilevel"/>
    <w:lvl w:ilvl="0">
      <w:lvlJc w:val="left"/>
      <w:lvlText w:val="."/>
      <w:numFmt w:val="bullet"/>
      <w:start w:val="1"/>
    </w:lvl>
  </w:abstractNum>
  <w:abstractNum w:abstractNumId="26">
    <w:nsid w:val="6EAA85FB"/>
    <w:multiLevelType w:val="hybridMultilevel"/>
    <w:lvl w:ilvl="0">
      <w:lvlJc w:val="left"/>
      <w:lvlText w:val="."/>
      <w:numFmt w:val="bullet"/>
      <w:start w:val="1"/>
    </w:lvl>
  </w:abstractNum>
  <w:abstractNum w:abstractNumId="27">
    <w:nsid w:val="3F06ECB2"/>
    <w:multiLevelType w:val="hybridMultilevel"/>
    <w:lvl w:ilvl="0">
      <w:lvlJc w:val="left"/>
      <w:lvlText w:val="."/>
      <w:numFmt w:val="bullet"/>
      <w:start w:val="1"/>
    </w:lvl>
  </w:abstractNum>
  <w:abstractNum w:abstractNumId="28">
    <w:nsid w:val="3B594807"/>
    <w:multiLevelType w:val="hybridMultilevel"/>
    <w:lvl w:ilvl="0">
      <w:lvlJc w:val="left"/>
      <w:lvlText w:val="."/>
      <w:numFmt w:val="bullet"/>
      <w:start w:val="1"/>
    </w:lvl>
  </w:abstractNum>
  <w:abstractNum w:abstractNumId="29">
    <w:nsid w:val="6CAA2304"/>
    <w:multiLevelType w:val="hybridMultilevel"/>
    <w:lvl w:ilvl="0">
      <w:lvlJc w:val="left"/>
      <w:lvlText w:val="."/>
      <w:numFmt w:val="bullet"/>
      <w:start w:val="1"/>
    </w:lvl>
  </w:abstractNum>
  <w:abstractNum w:abstractNumId="30">
    <w:nsid w:val="3F7C2FF4"/>
    <w:multiLevelType w:val="hybridMultilevel"/>
    <w:lvl w:ilvl="0">
      <w:lvlJc w:val="left"/>
      <w:lvlText w:val="."/>
      <w:numFmt w:val="bullet"/>
      <w:start w:val="1"/>
    </w:lvl>
  </w:abstractNum>
  <w:abstractNum w:abstractNumId="31">
    <w:nsid w:val="25413BEC"/>
    <w:multiLevelType w:val="hybridMultilevel"/>
    <w:lvl w:ilvl="0">
      <w:lvlJc w:val="left"/>
      <w:lvlText w:val="."/>
      <w:numFmt w:val="bullet"/>
      <w:start w:val="1"/>
    </w:lvl>
  </w:abstractNum>
  <w:abstractNum w:abstractNumId="32">
    <w:nsid w:val="17180B0B"/>
    <w:multiLevelType w:val="hybridMultilevel"/>
    <w:lvl w:ilvl="0">
      <w:lvlJc w:val="left"/>
      <w:lvlText w:val="."/>
      <w:numFmt w:val="bullet"/>
      <w:start w:val="1"/>
    </w:lvl>
  </w:abstractNum>
  <w:abstractNum w:abstractNumId="33">
    <w:nsid w:val="579328B9"/>
    <w:multiLevelType w:val="hybridMultilevel"/>
    <w:lvl w:ilvl="0">
      <w:lvlJc w:val="left"/>
      <w:lvlText w:val="."/>
      <w:numFmt w:val="bullet"/>
      <w:start w:val="1"/>
    </w:lvl>
  </w:abstractNum>
  <w:abstractNum w:abstractNumId="34">
    <w:nsid w:val="5D205E20"/>
    <w:multiLevelType w:val="hybridMultilevel"/>
    <w:lvl w:ilvl="0">
      <w:lvlJc w:val="left"/>
      <w:lvlText w:val="."/>
      <w:numFmt w:val="bullet"/>
      <w:start w:val="1"/>
    </w:lvl>
  </w:abstractNum>
  <w:abstractNum w:abstractNumId="35">
    <w:nsid w:val="11CCA8BA"/>
    <w:multiLevelType w:val="hybridMultilevel"/>
    <w:lvl w:ilvl="0">
      <w:lvlJc w:val="left"/>
      <w:lvlText w:val="."/>
      <w:numFmt w:val="bullet"/>
      <w:start w:val="1"/>
    </w:lvl>
  </w:abstractNum>
  <w:abstractNum w:abstractNumId="36">
    <w:nsid w:val="4D32AB86"/>
    <w:multiLevelType w:val="hybridMultilevel"/>
    <w:lvl w:ilvl="0">
      <w:lvlJc w:val="left"/>
      <w:lvlText w:val="."/>
      <w:numFmt w:val="bullet"/>
      <w:start w:val="1"/>
    </w:lvl>
  </w:abstractNum>
  <w:abstractNum w:abstractNumId="37">
    <w:nsid w:val="3F07ACC3"/>
    <w:multiLevelType w:val="hybridMultilevel"/>
    <w:lvl w:ilvl="0">
      <w:lvlJc w:val="left"/>
      <w:lvlText w:val="."/>
      <w:numFmt w:val="bullet"/>
      <w:start w:val="1"/>
    </w:lvl>
  </w:abstractNum>
  <w:abstractNum w:abstractNumId="38">
    <w:nsid w:val="6B47F63E"/>
    <w:multiLevelType w:val="hybridMultilevel"/>
    <w:lvl w:ilvl="0">
      <w:lvlJc w:val="left"/>
      <w:lvlText w:val="."/>
      <w:numFmt w:val="bullet"/>
      <w:start w:val="1"/>
    </w:lvl>
  </w:abstractNum>
  <w:abstractNum w:abstractNumId="39">
    <w:nsid w:val="5CB44A05"/>
    <w:multiLevelType w:val="hybridMultilevel"/>
    <w:lvl w:ilvl="0">
      <w:lvlJc w:val="left"/>
      <w:lvlText w:val="."/>
      <w:numFmt w:val="bullet"/>
      <w:start w:val="1"/>
    </w:lvl>
  </w:abstractNum>
  <w:abstractNum w:abstractNumId="40">
    <w:nsid w:val="16CF80F1"/>
    <w:multiLevelType w:val="hybridMultilevel"/>
    <w:lvl w:ilvl="0">
      <w:lvlJc w:val="left"/>
      <w:lvlText w:val="."/>
      <w:numFmt w:val="bullet"/>
      <w:start w:val="1"/>
    </w:lvl>
  </w:abstractNum>
  <w:abstractNum w:abstractNumId="41">
    <w:nsid w:val="1C695DEC"/>
    <w:multiLevelType w:val="hybridMultilevel"/>
    <w:lvl w:ilvl="0">
      <w:lvlJc w:val="left"/>
      <w:lvlText w:val="."/>
      <w:numFmt w:val="bullet"/>
      <w:start w:val="1"/>
    </w:lvl>
  </w:abstractNum>
  <w:abstractNum w:abstractNumId="42">
    <w:nsid w:val="3FCFAED9"/>
    <w:multiLevelType w:val="hybridMultilevel"/>
    <w:lvl w:ilvl="0">
      <w:lvlJc w:val="left"/>
      <w:lvlText w:val="."/>
      <w:numFmt w:val="bullet"/>
      <w:start w:val="1"/>
    </w:lvl>
  </w:abstractNum>
  <w:abstractNum w:abstractNumId="43">
    <w:nsid w:val="F856867"/>
    <w:multiLevelType w:val="hybridMultilevel"/>
    <w:lvl w:ilvl="0">
      <w:lvlJc w:val="left"/>
      <w:lvlText w:val="."/>
      <w:numFmt w:val="bullet"/>
      <w:start w:val="1"/>
    </w:lvl>
  </w:abstractNum>
  <w:abstractNum w:abstractNumId="44">
    <w:nsid w:val="11B1CC33"/>
    <w:multiLevelType w:val="hybridMultilevel"/>
    <w:lvl w:ilvl="0">
      <w:lvlJc w:val="left"/>
      <w:lvlText w:val="."/>
      <w:numFmt w:val="bullet"/>
      <w:start w:val="1"/>
    </w:lvl>
  </w:abstractNum>
  <w:abstractNum w:abstractNumId="45">
    <w:nsid w:val="2E22FBB7"/>
    <w:multiLevelType w:val="hybridMultilevel"/>
    <w:lvl w:ilvl="0">
      <w:lvlJc w:val="left"/>
      <w:lvlText w:val="."/>
      <w:numFmt w:val="bullet"/>
      <w:start w:val="1"/>
    </w:lvl>
  </w:abstractNum>
  <w:abstractNum w:abstractNumId="46">
    <w:nsid w:val="29934699"/>
    <w:multiLevelType w:val="hybridMultilevel"/>
    <w:lvl w:ilvl="0">
      <w:lvlJc w:val="left"/>
      <w:lvlText w:val="."/>
      <w:numFmt w:val="bullet"/>
      <w:start w:val="1"/>
    </w:lvl>
  </w:abstractNum>
  <w:abstractNum w:abstractNumId="47">
    <w:nsid w:val="77485850"/>
    <w:multiLevelType w:val="hybridMultilevel"/>
    <w:lvl w:ilvl="0">
      <w:lvlJc w:val="left"/>
      <w:lvlText w:val="."/>
      <w:numFmt w:val="bullet"/>
      <w:start w:val="1"/>
    </w:lvl>
  </w:abstractNum>
  <w:abstractNum w:abstractNumId="48">
    <w:nsid w:val="744939A3"/>
    <w:multiLevelType w:val="hybridMultilevel"/>
    <w:lvl w:ilvl="0">
      <w:lvlJc w:val="left"/>
      <w:lvlText w:val="."/>
      <w:numFmt w:val="bullet"/>
      <w:start w:val="1"/>
    </w:lvl>
  </w:abstractNum>
  <w:abstractNum w:abstractNumId="49">
    <w:nsid w:val="4FA0D2E3"/>
    <w:multiLevelType w:val="hybridMultilevel"/>
    <w:lvl w:ilvl="0">
      <w:lvlJc w:val="left"/>
      <w:lvlText w:val="."/>
      <w:numFmt w:val="bullet"/>
      <w:start w:val="1"/>
    </w:lvl>
  </w:abstractNum>
  <w:abstractNum w:abstractNumId="50">
    <w:nsid w:val="6B1D2C14"/>
    <w:multiLevelType w:val="hybridMultilevel"/>
    <w:lvl w:ilvl="0">
      <w:lvlJc w:val="left"/>
      <w:lvlText w:val="."/>
      <w:numFmt w:val="bullet"/>
      <w:start w:val="1"/>
    </w:lvl>
  </w:abstractNum>
  <w:abstractNum w:abstractNumId="51">
    <w:nsid w:val="68B867D3"/>
    <w:multiLevelType w:val="hybridMultilevel"/>
    <w:lvl w:ilvl="0">
      <w:lvlJc w:val="left"/>
      <w:lvlText w:val="."/>
      <w:numFmt w:val="bullet"/>
      <w:start w:val="1"/>
    </w:lvl>
  </w:abstractNum>
  <w:abstractNum w:abstractNumId="52">
    <w:nsid w:val="3F7F5DD9"/>
    <w:multiLevelType w:val="hybridMultilevel"/>
    <w:lvl w:ilvl="0">
      <w:lvlJc w:val="left"/>
      <w:lvlText w:val="."/>
      <w:numFmt w:val="bullet"/>
      <w:start w:val="1"/>
    </w:lvl>
  </w:abstractNum>
  <w:abstractNum w:abstractNumId="53">
    <w:nsid w:val="2AE05A34"/>
    <w:multiLevelType w:val="hybridMultilevel"/>
    <w:lvl w:ilvl="0">
      <w:lvlJc w:val="left"/>
      <w:lvlText w:val="."/>
      <w:numFmt w:val="bullet"/>
      <w:start w:val="1"/>
    </w:lvl>
  </w:abstractNum>
  <w:abstractNum w:abstractNumId="54">
    <w:nsid w:val="32794FF7"/>
    <w:multiLevelType w:val="hybridMultilevel"/>
    <w:lvl w:ilvl="0">
      <w:lvlJc w:val="left"/>
      <w:lvlText w:val="."/>
      <w:numFmt w:val="bullet"/>
      <w:start w:val="1"/>
    </w:lvl>
  </w:abstractNum>
  <w:abstractNum w:abstractNumId="55">
    <w:nsid w:val="5454945E"/>
    <w:multiLevelType w:val="hybridMultilevel"/>
    <w:lvl w:ilvl="0">
      <w:lvlJc w:val="left"/>
      <w:lvlText w:val="."/>
      <w:numFmt w:val="bullet"/>
      <w:start w:val="1"/>
    </w:lvl>
  </w:abstractNum>
  <w:abstractNum w:abstractNumId="56">
    <w:nsid w:val="4DEFDFA0"/>
    <w:multiLevelType w:val="hybridMultilevel"/>
    <w:lvl w:ilvl="0">
      <w:lvlJc w:val="left"/>
      <w:lvlText w:val="."/>
      <w:numFmt w:val="bullet"/>
      <w:start w:val="1"/>
    </w:lvl>
  </w:abstractNum>
  <w:abstractNum w:abstractNumId="57">
    <w:nsid w:val="2123D5F2"/>
    <w:multiLevelType w:val="hybridMultilevel"/>
    <w:lvl w:ilvl="0">
      <w:lvlJc w:val="left"/>
      <w:lvlText w:val="."/>
      <w:numFmt w:val="bullet"/>
      <w:start w:val="1"/>
    </w:lvl>
  </w:abstractNum>
  <w:abstractNum w:abstractNumId="58">
    <w:nsid w:val="135B8110"/>
    <w:multiLevelType w:val="hybridMultilevel"/>
    <w:lvl w:ilvl="0">
      <w:lvlJc w:val="left"/>
      <w:lvlText w:val="."/>
      <w:numFmt w:val="bullet"/>
      <w:start w:val="1"/>
    </w:lvl>
  </w:abstractNum>
  <w:abstractNum w:abstractNumId="59">
    <w:nsid w:val="94927A8"/>
    <w:multiLevelType w:val="hybridMultilevel"/>
    <w:lvl w:ilvl="0">
      <w:lvlJc w:val="left"/>
      <w:lvlText w:val="."/>
      <w:numFmt w:val="bullet"/>
      <w:start w:val="1"/>
    </w:lvl>
  </w:abstractNum>
  <w:abstractNum w:abstractNumId="60">
    <w:nsid w:val="DCDF8F6"/>
    <w:multiLevelType w:val="hybridMultilevel"/>
    <w:lvl w:ilvl="0">
      <w:lvlJc w:val="left"/>
      <w:lvlText w:val="."/>
      <w:numFmt w:val="bullet"/>
      <w:start w:val="1"/>
    </w:lvl>
  </w:abstractNum>
  <w:abstractNum w:abstractNumId="61">
    <w:nsid w:val="52D7B105"/>
    <w:multiLevelType w:val="hybridMultilevel"/>
    <w:lvl w:ilvl="0">
      <w:lvlJc w:val="left"/>
      <w:lvlText w:val="."/>
      <w:numFmt w:val="bullet"/>
      <w:start w:val="1"/>
    </w:lvl>
  </w:abstractNum>
  <w:abstractNum w:abstractNumId="62">
    <w:nsid w:val="2E8A6394"/>
    <w:multiLevelType w:val="hybridMultilevel"/>
    <w:lvl w:ilvl="0">
      <w:lvlJc w:val="left"/>
      <w:lvlText w:val="."/>
      <w:numFmt w:val="bullet"/>
      <w:start w:val="1"/>
    </w:lvl>
  </w:abstractNum>
  <w:abstractNum w:abstractNumId="63">
    <w:nsid w:val="24E60401"/>
    <w:multiLevelType w:val="hybridMultilevel"/>
    <w:lvl w:ilvl="0">
      <w:lvlJc w:val="left"/>
      <w:lvlText w:val="."/>
      <w:numFmt w:val="bullet"/>
      <w:start w:val="1"/>
    </w:lvl>
  </w:abstractNum>
  <w:abstractNum w:abstractNumId="64">
    <w:nsid w:val="2A6AD9BE"/>
    <w:multiLevelType w:val="hybridMultilevel"/>
    <w:lvl w:ilvl="0">
      <w:lvlJc w:val="left"/>
      <w:lvlText w:val="."/>
      <w:numFmt w:val="bullet"/>
      <w:start w:val="1"/>
    </w:lvl>
  </w:abstractNum>
  <w:abstractNum w:abstractNumId="65">
    <w:nsid w:val="BAAC1B4"/>
    <w:multiLevelType w:val="hybridMultilevel"/>
    <w:lvl w:ilvl="0">
      <w:lvlJc w:val="left"/>
      <w:lvlText w:val="."/>
      <w:numFmt w:val="bullet"/>
      <w:start w:val="1"/>
    </w:lvl>
  </w:abstractNum>
  <w:abstractNum w:abstractNumId="66">
    <w:nsid w:val="36B2ACBC"/>
    <w:multiLevelType w:val="hybridMultilevel"/>
    <w:lvl w:ilvl="0">
      <w:lvlJc w:val="left"/>
      <w:lvlText w:val="."/>
      <w:numFmt w:val="bullet"/>
      <w:start w:val="1"/>
    </w:lvl>
  </w:abstractNum>
  <w:abstractNum w:abstractNumId="67">
    <w:nsid w:val="779D8544"/>
    <w:multiLevelType w:val="hybridMultilevel"/>
    <w:lvl w:ilvl="0">
      <w:lvlJc w:val="left"/>
      <w:lvlText w:val="."/>
      <w:numFmt w:val="bullet"/>
      <w:start w:val="1"/>
    </w:lvl>
  </w:abstractNum>
  <w:abstractNum w:abstractNumId="68">
    <w:nsid w:val="4AB26E78"/>
    <w:multiLevelType w:val="hybridMultilevel"/>
    <w:lvl w:ilvl="0">
      <w:lvlJc w:val="left"/>
      <w:lvlText w:val="."/>
      <w:numFmt w:val="bullet"/>
      <w:start w:val="1"/>
    </w:lvl>
  </w:abstractNum>
  <w:abstractNum w:abstractNumId="69">
    <w:nsid w:val="21FAA2FA"/>
    <w:multiLevelType w:val="hybridMultilevel"/>
    <w:lvl w:ilvl="0">
      <w:lvlJc w:val="left"/>
      <w:lvlText w:val="."/>
      <w:numFmt w:val="bullet"/>
      <w:start w:val="1"/>
    </w:lvl>
  </w:abstractNum>
  <w:abstractNum w:abstractNumId="70">
    <w:nsid w:val="5451CF49"/>
    <w:multiLevelType w:val="hybridMultilevel"/>
    <w:lvl w:ilvl="0">
      <w:lvlJc w:val="left"/>
      <w:lvlText w:val="."/>
      <w:numFmt w:val="bullet"/>
      <w:start w:val="1"/>
    </w:lvl>
  </w:abstractNum>
  <w:abstractNum w:abstractNumId="71">
    <w:nsid w:val="6181EF69"/>
    <w:multiLevelType w:val="hybridMultilevel"/>
    <w:lvl w:ilvl="0">
      <w:lvlJc w:val="left"/>
      <w:lvlText w:val="."/>
      <w:numFmt w:val="bullet"/>
      <w:start w:val="1"/>
    </w:lvl>
  </w:abstractNum>
  <w:abstractNum w:abstractNumId="72">
    <w:nsid w:val="3E6400E6"/>
    <w:multiLevelType w:val="hybridMultilevel"/>
    <w:lvl w:ilvl="0">
      <w:lvlJc w:val="left"/>
      <w:lvlText w:val="."/>
      <w:numFmt w:val="bullet"/>
      <w:start w:val="1"/>
    </w:lvl>
  </w:abstractNum>
  <w:abstractNum w:abstractNumId="73">
    <w:nsid w:val="14217E23"/>
    <w:multiLevelType w:val="hybridMultilevel"/>
    <w:lvl w:ilvl="0">
      <w:lvlJc w:val="left"/>
      <w:lvlText w:val="."/>
      <w:numFmt w:val="bullet"/>
      <w:start w:val="1"/>
    </w:lvl>
  </w:abstractNum>
  <w:abstractNum w:abstractNumId="74">
    <w:nsid w:val="710757D0"/>
    <w:multiLevelType w:val="hybridMultilevel"/>
    <w:lvl w:ilvl="0">
      <w:lvlJc w:val="left"/>
      <w:lvlText w:val="."/>
      <w:numFmt w:val="bullet"/>
      <w:start w:val="1"/>
    </w:lvl>
  </w:abstractNum>
  <w:abstractNum w:abstractNumId="75">
    <w:nsid w:val="5015CD1A"/>
    <w:multiLevelType w:val="hybridMultilevel"/>
    <w:lvl w:ilvl="0">
      <w:lvlJc w:val="left"/>
      <w:lvlText w:val="."/>
      <w:numFmt w:val="bullet"/>
      <w:start w:val="1"/>
    </w:lvl>
  </w:abstractNum>
  <w:abstractNum w:abstractNumId="76">
    <w:nsid w:val="424479DA"/>
    <w:multiLevelType w:val="hybridMultilevel"/>
    <w:lvl w:ilvl="0">
      <w:lvlJc w:val="left"/>
      <w:lvlText w:val="."/>
      <w:numFmt w:val="bullet"/>
      <w:start w:val="1"/>
    </w:lvl>
  </w:abstractNum>
  <w:abstractNum w:abstractNumId="77">
    <w:nsid w:val="1A9A9E69"/>
    <w:multiLevelType w:val="hybridMultilevel"/>
    <w:lvl w:ilvl="0">
      <w:lvlJc w:val="left"/>
      <w:lvlText w:val="."/>
      <w:numFmt w:val="bullet"/>
      <w:start w:val="1"/>
    </w:lvl>
  </w:abstractNum>
  <w:abstractNum w:abstractNumId="78">
    <w:nsid w:val="475E256A"/>
    <w:multiLevelType w:val="hybridMultilevel"/>
    <w:lvl w:ilvl="0">
      <w:lvlJc w:val="left"/>
      <w:lvlText w:val="."/>
      <w:numFmt w:val="bullet"/>
      <w:start w:val="1"/>
    </w:lvl>
  </w:abstractNum>
  <w:abstractNum w:abstractNumId="79">
    <w:nsid w:val="368DB37E"/>
    <w:multiLevelType w:val="hybridMultilevel"/>
    <w:lvl w:ilvl="0">
      <w:lvlJc w:val="left"/>
      <w:lvlText w:val="."/>
      <w:numFmt w:val="bullet"/>
      <w:start w:val="1"/>
    </w:lvl>
  </w:abstractNum>
  <w:abstractNum w:abstractNumId="80">
    <w:nsid w:val="6A3B714C"/>
    <w:multiLevelType w:val="hybridMultilevel"/>
    <w:lvl w:ilvl="0">
      <w:lvlJc w:val="left"/>
      <w:lvlText w:val="."/>
      <w:numFmt w:val="bullet"/>
      <w:start w:val="1"/>
    </w:lvl>
  </w:abstractNum>
  <w:abstractNum w:abstractNumId="81">
    <w:nsid w:val="327B517E"/>
    <w:multiLevelType w:val="hybridMultilevel"/>
    <w:lvl w:ilvl="0">
      <w:lvlJc w:val="left"/>
      <w:lvlText w:val="."/>
      <w:numFmt w:val="bullet"/>
      <w:start w:val="1"/>
    </w:lvl>
  </w:abstractNum>
  <w:abstractNum w:abstractNumId="82">
    <w:nsid w:val="1F461B51"/>
    <w:multiLevelType w:val="hybridMultilevel"/>
    <w:lvl w:ilvl="0">
      <w:lvlJc w:val="left"/>
      <w:lvlText w:val="."/>
      <w:numFmt w:val="bullet"/>
      <w:start w:val="1"/>
    </w:lvl>
  </w:abstractNum>
  <w:abstractNum w:abstractNumId="83">
    <w:nsid w:val="29BACF25"/>
    <w:multiLevelType w:val="hybridMultilevel"/>
    <w:lvl w:ilvl="0">
      <w:lvlJc w:val="left"/>
      <w:lvlText w:val="."/>
      <w:numFmt w:val="bullet"/>
      <w:start w:val="1"/>
    </w:lvl>
  </w:abstractNum>
  <w:abstractNum w:abstractNumId="84">
    <w:nsid w:val="5D5BABB3"/>
    <w:multiLevelType w:val="hybridMultilevel"/>
    <w:lvl w:ilvl="0">
      <w:lvlJc w:val="left"/>
      <w:lvlText w:val="%1."/>
      <w:numFmt w:val="decimal"/>
      <w:start w:val="1"/>
    </w:lvl>
    <w:lvl w:ilvl="1">
      <w:lvlJc w:val="left"/>
      <w:lvlText w:val="(%2)"/>
      <w:numFmt w:val="lowerLetter"/>
      <w:start w:val="1"/>
    </w:lvl>
  </w:abstractNum>
  <w:abstractNum w:abstractNumId="85">
    <w:nsid w:val="51BF6B48"/>
    <w:multiLevelType w:val="hybridMultilevel"/>
    <w:lvl w:ilvl="0">
      <w:lvlJc w:val="left"/>
      <w:lvlText w:val="%1."/>
      <w:numFmt w:val="decimal"/>
      <w:start w:val="7"/>
    </w:lvl>
    <w:lvl w:ilvl="1">
      <w:lvlJc w:val="left"/>
      <w:lvlText w:val="(%2)"/>
      <w:numFmt w:val="lowerLetter"/>
      <w:start w:val="1"/>
    </w:lvl>
  </w:abstractNum>
  <w:abstractNum w:abstractNumId="86">
    <w:nsid w:val="7E0F6384"/>
    <w:multiLevelType w:val="hybridMultilevel"/>
    <w:lvl w:ilvl="0">
      <w:lvlJc w:val="left"/>
      <w:lvlText w:val="%1."/>
      <w:numFmt w:val="decimal"/>
      <w:start w:val="8"/>
    </w:lvl>
  </w:abstractNum>
  <w:abstractNum w:abstractNumId="87">
    <w:nsid w:val="2B4B8B53"/>
    <w:multiLevelType w:val="hybridMultilevel"/>
    <w:lvl w:ilvl="0">
      <w:lvlJc w:val="left"/>
      <w:lvlText w:val="."/>
      <w:numFmt w:val="bullet"/>
      <w:start w:val="1"/>
    </w:lvl>
  </w:abstractNum>
  <w:abstractNum w:abstractNumId="88">
    <w:nsid w:val="72E3413A"/>
    <w:multiLevelType w:val="hybridMultilevel"/>
    <w:lvl w:ilvl="0">
      <w:lvlJc w:val="left"/>
      <w:lvlText w:val="."/>
      <w:numFmt w:val="bullet"/>
      <w:start w:val="1"/>
    </w:lvl>
  </w:abstractNum>
  <w:abstractNum w:abstractNumId="89">
    <w:nsid w:val="116AE494"/>
    <w:multiLevelType w:val="hybridMultilevel"/>
    <w:lvl w:ilvl="0">
      <w:lvlJc w:val="left"/>
      <w:lvlText w:val="."/>
      <w:numFmt w:val="bullet"/>
      <w:start w:val="1"/>
    </w:lvl>
  </w:abstractNum>
  <w:abstractNum w:abstractNumId="90">
    <w:nsid w:val="3494B2FB"/>
    <w:multiLevelType w:val="hybridMultilevel"/>
    <w:lvl w:ilvl="0">
      <w:lvlJc w:val="left"/>
      <w:lvlText w:val="."/>
      <w:numFmt w:val="bullet"/>
      <w:start w:val="1"/>
    </w:lvl>
  </w:abstractNum>
  <w:abstractNum w:abstractNumId="91">
    <w:nsid w:val="B13A31"/>
    <w:multiLevelType w:val="hybridMultilevel"/>
    <w:lvl w:ilvl="0">
      <w:lvlJc w:val="left"/>
      <w:lvlText w:val="."/>
      <w:numFmt w:val="bullet"/>
      <w:start w:val="1"/>
    </w:lvl>
  </w:abstractNum>
  <w:abstractNum w:abstractNumId="92">
    <w:nsid w:val="64429599"/>
    <w:multiLevelType w:val="hybridMultilevel"/>
    <w:lvl w:ilvl="0">
      <w:lvlJc w:val="left"/>
      <w:lvlText w:val="."/>
      <w:numFmt w:val="bullet"/>
      <w:start w:val="1"/>
    </w:lvl>
  </w:abstractNum>
  <w:abstractNum w:abstractNumId="93">
    <w:nsid w:val="631F1690"/>
    <w:multiLevelType w:val="hybridMultilevel"/>
    <w:lvl w:ilvl="0">
      <w:lvlJc w:val="left"/>
      <w:lvlText w:val="."/>
      <w:numFmt w:val="bullet"/>
      <w:start w:val="1"/>
    </w:lvl>
  </w:abstractNum>
  <w:abstractNum w:abstractNumId="94">
    <w:nsid w:val="25973E32"/>
    <w:multiLevelType w:val="hybridMultilevel"/>
    <w:lvl w:ilvl="0">
      <w:lvlJc w:val="left"/>
      <w:lvlText w:val="."/>
      <w:numFmt w:val="bullet"/>
      <w:start w:val="1"/>
    </w:lvl>
  </w:abstractNum>
  <w:abstractNum w:abstractNumId="95">
    <w:nsid w:val="EAD6F57"/>
    <w:multiLevelType w:val="hybridMultilevel"/>
    <w:lvl w:ilvl="0">
      <w:lvlJc w:val="left"/>
      <w:lvlText w:val="."/>
      <w:numFmt w:val="bullet"/>
      <w:start w:val="1"/>
    </w:lvl>
  </w:abstractNum>
  <w:abstractNum w:abstractNumId="96">
    <w:nsid w:val="6EC9D844"/>
    <w:multiLevelType w:val="hybridMultilevel"/>
    <w:lvl w:ilvl="0">
      <w:lvlJc w:val="left"/>
      <w:lvlText w:val="."/>
      <w:numFmt w:val="bullet"/>
      <w:start w:val="1"/>
    </w:lvl>
  </w:abstractNum>
  <w:abstractNum w:abstractNumId="97">
    <w:nsid w:val="5C49EAEE"/>
    <w:multiLevelType w:val="hybridMultilevel"/>
    <w:lvl w:ilvl="0">
      <w:lvlJc w:val="left"/>
      <w:lvlText w:val="."/>
      <w:numFmt w:val="bullet"/>
      <w:start w:val="1"/>
    </w:lvl>
  </w:abstractNum>
  <w:abstractNum w:abstractNumId="98">
    <w:nsid w:val="64AF49B"/>
    <w:multiLevelType w:val="hybridMultilevel"/>
    <w:lvl w:ilvl="0">
      <w:lvlJc w:val="left"/>
      <w:lvlText w:val="."/>
      <w:numFmt w:val="bullet"/>
      <w:start w:val="1"/>
    </w:lvl>
    <w:lvl w:ilvl="1">
      <w:lvlJc w:val="left"/>
      <w:lvlText w:val="(%2)"/>
      <w:numFmt w:val="lowerRoman"/>
      <w:start w:val="1"/>
    </w:lvl>
  </w:abstractNum>
  <w:abstractNum w:abstractNumId="99">
    <w:nsid w:val="397C46BC"/>
    <w:multiLevelType w:val="hybridMultilevel"/>
    <w:lvl w:ilvl="0">
      <w:lvlJc w:val="left"/>
      <w:lvlText w:val="."/>
      <w:numFmt w:val="bullet"/>
      <w:start w:val="1"/>
    </w:lvl>
  </w:abstractNum>
  <w:abstractNum w:abstractNumId="100">
    <w:nsid w:val="7E448DE9"/>
    <w:multiLevelType w:val="hybridMultilevel"/>
    <w:lvl w:ilvl="0">
      <w:lvlJc w:val="left"/>
      <w:lvlText w:val="."/>
      <w:numFmt w:val="bullet"/>
      <w:start w:val="1"/>
    </w:lvl>
  </w:abstractNum>
  <w:abstractNum w:abstractNumId="101">
    <w:nsid w:val="5A9CC3E5"/>
    <w:multiLevelType w:val="hybridMultilevel"/>
    <w:lvl w:ilvl="0">
      <w:lvlJc w:val="left"/>
      <w:lvlText w:val="."/>
      <w:numFmt w:val="bullet"/>
      <w:start w:val="1"/>
    </w:lvl>
  </w:abstractNum>
  <w:abstractNum w:abstractNumId="102">
    <w:nsid w:val="1AFE3625"/>
    <w:multiLevelType w:val="hybridMultilevel"/>
    <w:lvl w:ilvl="0">
      <w:lvlJc w:val="left"/>
      <w:lvlText w:val="."/>
      <w:numFmt w:val="bullet"/>
      <w:start w:val="1"/>
    </w:lvl>
  </w:abstractNum>
  <w:abstractNum w:abstractNumId="103">
    <w:nsid w:val="3CA88ECF"/>
    <w:multiLevelType w:val="hybridMultilevel"/>
    <w:lvl w:ilvl="0">
      <w:lvlJc w:val="left"/>
      <w:lvlText w:val="."/>
      <w:numFmt w:val="bullet"/>
      <w:start w:val="1"/>
    </w:lvl>
  </w:abstractNum>
  <w:abstractNum w:abstractNumId="104">
    <w:nsid w:val="6EBE4208"/>
    <w:multiLevelType w:val="hybridMultilevel"/>
    <w:lvl w:ilvl="0">
      <w:lvlJc w:val="left"/>
      <w:lvlText w:val="."/>
      <w:numFmt w:val="bullet"/>
      <w:start w:val="1"/>
    </w:lvl>
  </w:abstractNum>
  <w:abstractNum w:abstractNumId="105">
    <w:nsid w:val="C058DF5"/>
    <w:multiLevelType w:val="hybridMultilevel"/>
    <w:lvl w:ilvl="0">
      <w:lvlJc w:val="left"/>
      <w:lvlText w:val="."/>
      <w:numFmt w:val="bullet"/>
      <w:start w:val="1"/>
    </w:lvl>
  </w:abstractNum>
  <w:abstractNum w:abstractNumId="106">
    <w:nsid w:val="CBE5BE9"/>
    <w:multiLevelType w:val="hybridMultilevel"/>
    <w:lvl w:ilvl="0">
      <w:lvlJc w:val="left"/>
      <w:lvlText w:val="."/>
      <w:numFmt w:val="bullet"/>
      <w:start w:val="1"/>
    </w:lvl>
  </w:abstractNum>
  <w:abstractNum w:abstractNumId="107">
    <w:nsid w:val="3102BBE2"/>
    <w:multiLevelType w:val="hybridMultilevel"/>
    <w:lvl w:ilvl="0">
      <w:lvlJc w:val="left"/>
      <w:lvlText w:val="."/>
      <w:numFmt w:val="bullet"/>
      <w:start w:val="1"/>
    </w:lvl>
  </w:abstractNum>
  <w:abstractNum w:abstractNumId="108">
    <w:nsid w:val="26A02C5E"/>
    <w:multiLevelType w:val="hybridMultilevel"/>
    <w:lvl w:ilvl="0">
      <w:lvlJc w:val="left"/>
      <w:lvlText w:val="."/>
      <w:numFmt w:val="bullet"/>
      <w:start w:val="1"/>
    </w:lvl>
  </w:abstractNum>
  <w:abstractNum w:abstractNumId="109">
    <w:nsid w:val="541C8153"/>
    <w:multiLevelType w:val="hybridMultilevel"/>
    <w:lvl w:ilvl="0">
      <w:lvlJc w:val="left"/>
      <w:lvlText w:val="."/>
      <w:numFmt w:val="bullet"/>
      <w:start w:val="1"/>
    </w:lvl>
  </w:abstractNum>
  <w:abstractNum w:abstractNumId="110">
    <w:nsid w:val="67906F60"/>
    <w:multiLevelType w:val="hybridMultilevel"/>
    <w:lvl w:ilvl="0">
      <w:lvlJc w:val="left"/>
      <w:lvlText w:val="."/>
      <w:numFmt w:val="bullet"/>
      <w:start w:val="1"/>
    </w:lvl>
  </w:abstractNum>
  <w:abstractNum w:abstractNumId="111">
    <w:nsid w:val="10DB9DAA"/>
    <w:multiLevelType w:val="hybridMultilevel"/>
    <w:lvl w:ilvl="0">
      <w:lvlJc w:val="left"/>
      <w:lvlText w:val="."/>
      <w:numFmt w:val="bullet"/>
      <w:start w:val="1"/>
    </w:lvl>
  </w:abstractNum>
  <w:abstractNum w:abstractNumId="112">
    <w:nsid w:val="697D2D2"/>
    <w:multiLevelType w:val="hybridMultilevel"/>
    <w:lvl w:ilvl="0">
      <w:lvlJc w:val="left"/>
      <w:lvlText w:val="."/>
      <w:numFmt w:val="bullet"/>
      <w:start w:val="1"/>
    </w:lvl>
  </w:abstractNum>
  <w:abstractNum w:abstractNumId="113">
    <w:nsid w:val="6D68AB2"/>
    <w:multiLevelType w:val="hybridMultilevel"/>
    <w:lvl w:ilvl="0">
      <w:lvlJc w:val="left"/>
      <w:lvlText w:val="."/>
      <w:numFmt w:val="bullet"/>
      <w:start w:val="1"/>
    </w:lvl>
  </w:abstractNum>
  <w:abstractNum w:abstractNumId="114">
    <w:nsid w:val="3A966CD0"/>
    <w:multiLevelType w:val="hybridMultilevel"/>
    <w:lvl w:ilvl="0">
      <w:lvlJc w:val="left"/>
      <w:lvlText w:val="."/>
      <w:numFmt w:val="bullet"/>
      <w:start w:val="1"/>
    </w:lvl>
  </w:abstractNum>
  <w:abstractNum w:abstractNumId="115">
    <w:nsid w:val="63F37E85"/>
    <w:multiLevelType w:val="hybridMultilevel"/>
    <w:lvl w:ilvl="0">
      <w:lvlJc w:val="left"/>
      <w:lvlText w:val="."/>
      <w:numFmt w:val="bullet"/>
      <w:start w:val="1"/>
    </w:lvl>
  </w:abstractNum>
  <w:abstractNum w:abstractNumId="116">
    <w:nsid w:val="5895F5FA"/>
    <w:multiLevelType w:val="hybridMultilevel"/>
    <w:lvl w:ilvl="0">
      <w:lvlJc w:val="left"/>
      <w:lvlText w:val="."/>
      <w:numFmt w:val="bullet"/>
      <w:start w:val="1"/>
    </w:lvl>
  </w:abstractNum>
  <w:abstractNum w:abstractNumId="117">
    <w:nsid w:val="38A5D054"/>
    <w:multiLevelType w:val="hybridMultilevel"/>
    <w:lvl w:ilvl="0">
      <w:lvlJc w:val="left"/>
      <w:lvlText w:val="."/>
      <w:numFmt w:val="bullet"/>
      <w:start w:val="1"/>
    </w:lvl>
  </w:abstractNum>
  <w:abstractNum w:abstractNumId="118">
    <w:nsid w:val="F3F09D8"/>
    <w:multiLevelType w:val="hybridMultilevel"/>
    <w:lvl w:ilvl="0">
      <w:lvlJc w:val="left"/>
      <w:lvlText w:val="."/>
      <w:numFmt w:val="bullet"/>
      <w:start w:val="1"/>
    </w:lvl>
  </w:abstractNum>
  <w:abstractNum w:abstractNumId="119">
    <w:nsid w:val="4B793735"/>
    <w:multiLevelType w:val="hybridMultilevel"/>
    <w:lvl w:ilvl="0">
      <w:lvlJc w:val="left"/>
      <w:lvlText w:val="."/>
      <w:numFmt w:val="bullet"/>
      <w:start w:val="1"/>
    </w:lvl>
  </w:abstractNum>
  <w:abstractNum w:abstractNumId="120">
    <w:nsid w:val="4A10B4E8"/>
    <w:multiLevelType w:val="hybridMultilevel"/>
    <w:lvl w:ilvl="0">
      <w:lvlJc w:val="left"/>
      <w:lvlText w:val="."/>
      <w:numFmt w:val="bullet"/>
      <w:start w:val="1"/>
    </w:lvl>
  </w:abstractNum>
  <w:abstractNum w:abstractNumId="121">
    <w:nsid w:val="43D3BCD4"/>
    <w:multiLevelType w:val="hybridMultilevel"/>
    <w:lvl w:ilvl="0">
      <w:lvlJc w:val="left"/>
      <w:lvlText w:val="."/>
      <w:numFmt w:val="bullet"/>
      <w:start w:val="1"/>
    </w:lvl>
  </w:abstractNum>
  <w:abstractNum w:abstractNumId="122">
    <w:nsid w:val="4C2A7166"/>
    <w:multiLevelType w:val="hybridMultilevel"/>
    <w:lvl w:ilvl="0">
      <w:lvlJc w:val="left"/>
      <w:lvlText w:val="."/>
      <w:numFmt w:val="bullet"/>
      <w:start w:val="1"/>
    </w:lvl>
  </w:abstractNum>
  <w:abstractNum w:abstractNumId="123">
    <w:nsid w:val="2E534A82"/>
    <w:multiLevelType w:val="hybridMultilevel"/>
    <w:lvl w:ilvl="0">
      <w:lvlJc w:val="left"/>
      <w:lvlText w:val="."/>
      <w:numFmt w:val="bullet"/>
      <w:start w:val="1"/>
    </w:lvl>
  </w:abstractNum>
  <w:abstractNum w:abstractNumId="124">
    <w:nsid w:val="26F2D364"/>
    <w:multiLevelType w:val="hybridMultilevel"/>
    <w:lvl w:ilvl="0">
      <w:lvlJc w:val="left"/>
      <w:lvlText w:val="."/>
      <w:numFmt w:val="bullet"/>
      <w:start w:val="1"/>
    </w:lvl>
  </w:abstractNum>
  <w:abstractNum w:abstractNumId="125">
    <w:nsid w:val="71C1AF98"/>
    <w:multiLevelType w:val="hybridMultilevel"/>
    <w:lvl w:ilvl="0">
      <w:lvlJc w:val="left"/>
      <w:lvlText w:val="."/>
      <w:numFmt w:val="bullet"/>
      <w:start w:val="1"/>
    </w:lvl>
  </w:abstractNum>
  <w:abstractNum w:abstractNumId="126">
    <w:nsid w:val="3D00B9D9"/>
    <w:multiLevelType w:val="hybridMultilevel"/>
    <w:lvl w:ilvl="0">
      <w:lvlJc w:val="left"/>
      <w:lvlText w:val="."/>
      <w:numFmt w:val="bullet"/>
      <w:start w:val="1"/>
    </w:lvl>
  </w:abstractNum>
  <w:abstractNum w:abstractNumId="127">
    <w:nsid w:val="15BCABA8"/>
    <w:multiLevelType w:val="hybridMultilevel"/>
    <w:lvl w:ilvl="0">
      <w:lvlJc w:val="left"/>
      <w:lvlText w:val="."/>
      <w:numFmt w:val="bullet"/>
      <w:start w:val="1"/>
    </w:lvl>
  </w:abstractNum>
  <w:abstractNum w:abstractNumId="128">
    <w:nsid w:val="4E0B9A87"/>
    <w:multiLevelType w:val="hybridMultilevel"/>
    <w:lvl w:ilvl="0">
      <w:lvlJc w:val="left"/>
      <w:lvlText w:val="."/>
      <w:numFmt w:val="bullet"/>
      <w:start w:val="1"/>
    </w:lvl>
  </w:abstractNum>
  <w:abstractNum w:abstractNumId="129">
    <w:nsid w:val="434BAE75"/>
    <w:multiLevelType w:val="hybridMultilevel"/>
    <w:lvl w:ilvl="0">
      <w:lvlJc w:val="left"/>
      <w:lvlText w:val="."/>
      <w:numFmt w:val="bullet"/>
      <w:start w:val="1"/>
    </w:lvl>
  </w:abstractNum>
  <w:abstractNum w:abstractNumId="130">
    <w:nsid w:val="4F38F265"/>
    <w:multiLevelType w:val="hybridMultilevel"/>
    <w:lvl w:ilvl="0">
      <w:lvlJc w:val="left"/>
      <w:lvlText w:val="."/>
      <w:numFmt w:val="bullet"/>
      <w:start w:val="1"/>
    </w:lvl>
  </w:abstractNum>
  <w:abstractNum w:abstractNumId="131">
    <w:nsid w:val="4C502870"/>
    <w:multiLevelType w:val="hybridMultilevel"/>
    <w:lvl w:ilvl="0">
      <w:lvlJc w:val="left"/>
      <w:lvlText w:val="."/>
      <w:numFmt w:val="bullet"/>
      <w:start w:val="1"/>
    </w:lvl>
  </w:abstractNum>
  <w:abstractNum w:abstractNumId="132">
    <w:nsid w:val="1DE8725A"/>
    <w:multiLevelType w:val="hybridMultilevel"/>
    <w:lvl w:ilvl="0">
      <w:lvlJc w:val="left"/>
      <w:lvlText w:val="."/>
      <w:numFmt w:val="bullet"/>
      <w:start w:val="1"/>
    </w:lvl>
  </w:abstractNum>
  <w:abstractNum w:abstractNumId="133">
    <w:nsid w:val="6A37288A"/>
    <w:multiLevelType w:val="hybridMultilevel"/>
    <w:lvl w:ilvl="0">
      <w:lvlJc w:val="left"/>
      <w:lvlText w:val="."/>
      <w:numFmt w:val="bullet"/>
      <w:start w:val="1"/>
    </w:lvl>
  </w:abstractNum>
  <w:abstractNum w:abstractNumId="134">
    <w:nsid w:val="8F8B73F"/>
    <w:multiLevelType w:val="hybridMultilevel"/>
    <w:lvl w:ilvl="0">
      <w:lvlJc w:val="left"/>
      <w:lvlText w:val="."/>
      <w:numFmt w:val="bullet"/>
      <w:start w:val="1"/>
    </w:lvl>
  </w:abstractNum>
  <w:abstractNum w:abstractNumId="135">
    <w:nsid w:val="CA6B462"/>
    <w:multiLevelType w:val="hybridMultilevel"/>
    <w:lvl w:ilvl="0">
      <w:lvlJc w:val="left"/>
      <w:lvlText w:val="."/>
      <w:numFmt w:val="bullet"/>
      <w:start w:val="1"/>
    </w:lvl>
  </w:abstractNum>
  <w:abstractNum w:abstractNumId="136">
    <w:nsid w:val="763CB680"/>
    <w:multiLevelType w:val="hybridMultilevel"/>
    <w:lvl w:ilvl="0">
      <w:lvlJc w:val="left"/>
      <w:lvlText w:val="."/>
      <w:numFmt w:val="bullet"/>
      <w:start w:val="1"/>
    </w:lvl>
  </w:abstractNum>
  <w:abstractNum w:abstractNumId="137">
    <w:nsid w:val="15B71329"/>
    <w:multiLevelType w:val="hybridMultilevel"/>
    <w:lvl w:ilvl="0">
      <w:lvlJc w:val="left"/>
      <w:lvlText w:val="."/>
      <w:numFmt w:val="bullet"/>
      <w:start w:val="1"/>
    </w:lvl>
  </w:abstractNum>
  <w:abstractNum w:abstractNumId="138">
    <w:nsid w:val="3DA97044"/>
    <w:multiLevelType w:val="hybridMultilevel"/>
    <w:lvl w:ilvl="0">
      <w:lvlJc w:val="left"/>
      <w:lvlText w:val="."/>
      <w:numFmt w:val="bullet"/>
      <w:start w:val="1"/>
    </w:lvl>
  </w:abstractNum>
  <w:abstractNum w:abstractNumId="139">
    <w:nsid w:val="1CDCE2DE"/>
    <w:multiLevelType w:val="hybridMultilevel"/>
    <w:lvl w:ilvl="0">
      <w:lvlJc w:val="left"/>
      <w:lvlText w:val="."/>
      <w:numFmt w:val="bullet"/>
      <w:start w:val="1"/>
    </w:lvl>
  </w:abstractNum>
  <w:abstractNum w:abstractNumId="140">
    <w:nsid w:val="69D3947C"/>
    <w:multiLevelType w:val="hybridMultilevel"/>
    <w:lvl w:ilvl="0">
      <w:lvlJc w:val="left"/>
      <w:lvlText w:val="."/>
      <w:numFmt w:val="bullet"/>
      <w:start w:val="1"/>
    </w:lvl>
  </w:abstractNum>
  <w:abstractNum w:abstractNumId="141">
    <w:nsid w:val="2539DFA5"/>
    <w:multiLevelType w:val="hybridMultilevel"/>
    <w:lvl w:ilvl="0">
      <w:lvlJc w:val="left"/>
      <w:lvlText w:val="."/>
      <w:numFmt w:val="bullet"/>
      <w:start w:val="1"/>
    </w:lvl>
  </w:abstractNum>
  <w:abstractNum w:abstractNumId="142">
    <w:nsid w:val="2DB88089"/>
    <w:multiLevelType w:val="hybridMultilevel"/>
    <w:lvl w:ilvl="0">
      <w:lvlJc w:val="left"/>
      <w:lvlText w:val="."/>
      <w:numFmt w:val="bullet"/>
      <w:start w:val="1"/>
    </w:lvl>
  </w:abstractNum>
  <w:abstractNum w:abstractNumId="143">
    <w:nsid w:val="706B674E"/>
    <w:multiLevelType w:val="hybridMultilevel"/>
    <w:lvl w:ilvl="0">
      <w:lvlJc w:val="left"/>
      <w:lvlText w:val="."/>
      <w:numFmt w:val="bullet"/>
      <w:start w:val="1"/>
    </w:lvl>
  </w:abstractNum>
  <w:abstractNum w:abstractNumId="144">
    <w:nsid w:val="2C106A57"/>
    <w:multiLevelType w:val="hybridMultilevel"/>
    <w:lvl w:ilvl="0">
      <w:lvlJc w:val="left"/>
      <w:lvlText w:val="."/>
      <w:numFmt w:val="bullet"/>
      <w:start w:val="1"/>
    </w:lvl>
  </w:abstractNum>
  <w:abstractNum w:abstractNumId="145">
    <w:nsid w:val="684EED59"/>
    <w:multiLevelType w:val="hybridMultilevel"/>
    <w:lvl w:ilvl="0">
      <w:lvlJc w:val="left"/>
      <w:lvlText w:val="."/>
      <w:numFmt w:val="bullet"/>
      <w:start w:val="1"/>
    </w:lvl>
  </w:abstractNum>
  <w:abstractNum w:abstractNumId="146">
    <w:nsid w:val="545EE5D3"/>
    <w:multiLevelType w:val="hybridMultilevel"/>
    <w:lvl w:ilvl="0">
      <w:lvlJc w:val="left"/>
      <w:lvlText w:val="."/>
      <w:numFmt w:val="bullet"/>
      <w:start w:val="1"/>
    </w:lvl>
  </w:abstractNum>
  <w:abstractNum w:abstractNumId="147">
    <w:nsid w:val="4A66051"/>
    <w:multiLevelType w:val="hybridMultilevel"/>
    <w:lvl w:ilvl="0">
      <w:lvlJc w:val="left"/>
      <w:lvlText w:val="."/>
      <w:numFmt w:val="bullet"/>
      <w:start w:val="1"/>
    </w:lvl>
  </w:abstractNum>
  <w:abstractNum w:abstractNumId="148">
    <w:nsid w:val="20F4BDAD"/>
    <w:multiLevelType w:val="hybridMultilevel"/>
    <w:lvl w:ilvl="0">
      <w:lvlJc w:val="left"/>
      <w:lvlText w:val="."/>
      <w:numFmt w:val="bullet"/>
      <w:start w:val="1"/>
    </w:lvl>
  </w:abstractNum>
  <w:abstractNum w:abstractNumId="149">
    <w:nsid w:val="639DEFAC"/>
    <w:multiLevelType w:val="hybridMultilevel"/>
    <w:lvl w:ilvl="0">
      <w:lvlJc w:val="left"/>
      <w:lvlText w:val="."/>
      <w:numFmt w:val="bullet"/>
      <w:start w:val="1"/>
    </w:lvl>
  </w:abstractNum>
  <w:abstractNum w:abstractNumId="150">
    <w:nsid w:val="501F9786"/>
    <w:multiLevelType w:val="hybridMultilevel"/>
    <w:lvl w:ilvl="0">
      <w:lvlJc w:val="left"/>
      <w:lvlText w:val="."/>
      <w:numFmt w:val="bullet"/>
      <w:start w:val="1"/>
    </w:lvl>
  </w:abstractNum>
  <w:abstractNum w:abstractNumId="151">
    <w:nsid w:val="6B057295"/>
    <w:multiLevelType w:val="hybridMultilevel"/>
    <w:lvl w:ilvl="0">
      <w:lvlJc w:val="left"/>
      <w:lvlText w:val="."/>
      <w:numFmt w:val="bullet"/>
      <w:start w:val="1"/>
    </w:lvl>
  </w:abstractNum>
  <w:abstractNum w:abstractNumId="152">
    <w:nsid w:val="2771AC80"/>
    <w:multiLevelType w:val="hybridMultilevel"/>
    <w:lvl w:ilvl="0">
      <w:lvlJc w:val="left"/>
      <w:lvlText w:val="."/>
      <w:numFmt w:val="bullet"/>
      <w:start w:val="1"/>
    </w:lvl>
  </w:abstractNum>
  <w:abstractNum w:abstractNumId="153">
    <w:nsid w:val="1C4A08EC"/>
    <w:multiLevelType w:val="hybridMultilevel"/>
    <w:lvl w:ilvl="0">
      <w:lvlJc w:val="left"/>
      <w:lvlText w:val="."/>
      <w:numFmt w:val="bullet"/>
      <w:start w:val="1"/>
    </w:lvl>
  </w:abstractNum>
  <w:abstractNum w:abstractNumId="154">
    <w:nsid w:val="1958BD17"/>
    <w:multiLevelType w:val="hybridMultilevel"/>
    <w:lvl w:ilvl="0">
      <w:lvlJc w:val="left"/>
      <w:lvlText w:val="."/>
      <w:numFmt w:val="bullet"/>
      <w:start w:val="1"/>
    </w:lvl>
  </w:abstractNum>
  <w:abstractNum w:abstractNumId="155">
    <w:nsid w:val="4E647FE4"/>
    <w:multiLevelType w:val="hybridMultilevel"/>
    <w:lvl w:ilvl="0">
      <w:lvlJc w:val="left"/>
      <w:lvlText w:val="."/>
      <w:numFmt w:val="bullet"/>
      <w:start w:val="1"/>
    </w:lvl>
  </w:abstractNum>
  <w:abstractNum w:abstractNumId="156">
    <w:nsid w:val="E0BB885"/>
    <w:multiLevelType w:val="hybridMultilevel"/>
    <w:lvl w:ilvl="0">
      <w:lvlJc w:val="left"/>
      <w:lvlText w:val="."/>
      <w:numFmt w:val="bullet"/>
      <w:start w:val="1"/>
    </w:lvl>
  </w:abstractNum>
  <w:abstractNum w:abstractNumId="157">
    <w:nsid w:val="565976F1"/>
    <w:multiLevelType w:val="hybridMultilevel"/>
    <w:lvl w:ilvl="0">
      <w:lvlJc w:val="left"/>
      <w:lvlText w:val="."/>
      <w:numFmt w:val="bullet"/>
      <w:start w:val="1"/>
    </w:lvl>
  </w:abstractNum>
  <w:abstractNum w:abstractNumId="158">
    <w:nsid w:val="64212B8C"/>
    <w:multiLevelType w:val="hybridMultilevel"/>
    <w:lvl w:ilvl="0">
      <w:lvlJc w:val="left"/>
      <w:lvlText w:val="."/>
      <w:numFmt w:val="bullet"/>
      <w:start w:val="1"/>
    </w:lvl>
  </w:abstractNum>
  <w:abstractNum w:abstractNumId="159">
    <w:nsid w:val="5C17530C"/>
    <w:multiLevelType w:val="hybridMultilevel"/>
    <w:lvl w:ilvl="0">
      <w:lvlJc w:val="left"/>
      <w:lvlText w:val="."/>
      <w:numFmt w:val="bullet"/>
      <w:start w:val="1"/>
    </w:lvl>
  </w:abstractNum>
  <w:abstractNum w:abstractNumId="160">
    <w:nsid w:val="19A52566"/>
    <w:multiLevelType w:val="hybridMultilevel"/>
    <w:lvl w:ilvl="0">
      <w:lvlJc w:val="left"/>
      <w:lvlText w:val="."/>
      <w:numFmt w:val="bullet"/>
      <w:start w:val="1"/>
    </w:lvl>
  </w:abstractNum>
  <w:abstractNum w:abstractNumId="161">
    <w:nsid w:val="335A1DF1"/>
    <w:multiLevelType w:val="hybridMultilevel"/>
    <w:lvl w:ilvl="0">
      <w:lvlJc w:val="left"/>
      <w:lvlText w:val="."/>
      <w:numFmt w:val="bullet"/>
      <w:start w:val="1"/>
    </w:lvl>
  </w:abstractNum>
  <w:abstractNum w:abstractNumId="162">
    <w:nsid w:val="28677B7C"/>
    <w:multiLevelType w:val="hybridMultilevel"/>
    <w:lvl w:ilvl="0">
      <w:lvlJc w:val="left"/>
      <w:lvlText w:val="."/>
      <w:numFmt w:val="bullet"/>
      <w:start w:val="1"/>
    </w:lvl>
  </w:abstractNum>
  <w:abstractNum w:abstractNumId="163">
    <w:nsid w:val="378D97C0"/>
    <w:multiLevelType w:val="hybridMultilevel"/>
    <w:lvl w:ilvl="0">
      <w:lvlJc w:val="left"/>
      <w:lvlText w:val="."/>
      <w:numFmt w:val="bullet"/>
      <w:start w:val="1"/>
    </w:lvl>
  </w:abstractNum>
  <w:abstractNum w:abstractNumId="164">
    <w:nsid w:val="1D91467C"/>
    <w:multiLevelType w:val="hybridMultilevel"/>
    <w:lvl w:ilvl="0">
      <w:lvlJc w:val="left"/>
      <w:lvlText w:val="."/>
      <w:numFmt w:val="bullet"/>
      <w:start w:val="1"/>
    </w:lvl>
  </w:abstractNum>
  <w:abstractNum w:abstractNumId="165">
    <w:nsid w:val="316032BB"/>
    <w:multiLevelType w:val="hybridMultilevel"/>
    <w:lvl w:ilvl="0">
      <w:lvlJc w:val="left"/>
      <w:lvlText w:val="."/>
      <w:numFmt w:val="bullet"/>
      <w:start w:val="1"/>
    </w:lvl>
  </w:abstractNum>
  <w:abstractNum w:abstractNumId="166">
    <w:nsid w:val="44344C22"/>
    <w:multiLevelType w:val="hybridMultilevel"/>
    <w:lvl w:ilvl="0">
      <w:lvlJc w:val="left"/>
      <w:lvlText w:val="."/>
      <w:numFmt w:val="bullet"/>
      <w:start w:val="1"/>
    </w:lvl>
  </w:abstractNum>
  <w:abstractNum w:abstractNumId="167">
    <w:nsid w:val="13CDFCFC"/>
    <w:multiLevelType w:val="hybridMultilevel"/>
    <w:lvl w:ilvl="0">
      <w:lvlJc w:val="left"/>
      <w:lvlText w:val="."/>
      <w:numFmt w:val="bullet"/>
      <w:start w:val="1"/>
    </w:lvl>
  </w:abstractNum>
  <w:abstractNum w:abstractNumId="168">
    <w:nsid w:val="471745E4"/>
    <w:multiLevelType w:val="hybridMultilevel"/>
    <w:lvl w:ilvl="0">
      <w:lvlJc w:val="left"/>
      <w:lvlText w:val="."/>
      <w:numFmt w:val="bullet"/>
      <w:start w:val="1"/>
    </w:lvl>
  </w:abstractNum>
  <w:abstractNum w:abstractNumId="169">
    <w:nsid w:val="1DDBC66"/>
    <w:multiLevelType w:val="hybridMultilevel"/>
    <w:lvl w:ilvl="0">
      <w:lvlJc w:val="left"/>
      <w:lvlText w:val="."/>
      <w:numFmt w:val="bullet"/>
      <w:start w:val="1"/>
    </w:lvl>
  </w:abstractNum>
  <w:abstractNum w:abstractNumId="170">
    <w:nsid w:val="30AADFDA"/>
    <w:multiLevelType w:val="hybridMultilevel"/>
    <w:lvl w:ilvl="0">
      <w:lvlJc w:val="left"/>
      <w:lvlText w:val="."/>
      <w:numFmt w:val="bullet"/>
      <w:start w:val="1"/>
    </w:lvl>
  </w:abstractNum>
  <w:abstractNum w:abstractNumId="171">
    <w:nsid w:val="30EADA61"/>
    <w:multiLevelType w:val="hybridMultilevel"/>
    <w:lvl w:ilvl="0">
      <w:lvlJc w:val="left"/>
      <w:lvlText w:val="."/>
      <w:numFmt w:val="bullet"/>
      <w:start w:val="1"/>
    </w:lvl>
  </w:abstractNum>
  <w:abstractNum w:abstractNumId="172">
    <w:nsid w:val="27179C0B"/>
    <w:multiLevelType w:val="hybridMultilevel"/>
    <w:lvl w:ilvl="0">
      <w:lvlJc w:val="left"/>
      <w:lvlText w:val="."/>
      <w:numFmt w:val="bullet"/>
      <w:start w:val="1"/>
    </w:lvl>
  </w:abstractNum>
  <w:abstractNum w:abstractNumId="173">
    <w:nsid w:val="5E636063"/>
    <w:multiLevelType w:val="hybridMultilevel"/>
    <w:lvl w:ilvl="0">
      <w:lvlJc w:val="left"/>
      <w:lvlText w:val="."/>
      <w:numFmt w:val="bullet"/>
      <w:start w:val="1"/>
    </w:lvl>
  </w:abstractNum>
  <w:abstractNum w:abstractNumId="174">
    <w:nsid w:val="215641AF"/>
    <w:multiLevelType w:val="hybridMultilevel"/>
    <w:lvl w:ilvl="0">
      <w:lvlJc w:val="left"/>
      <w:lvlText w:val="."/>
      <w:numFmt w:val="bullet"/>
      <w:start w:val="1"/>
    </w:lvl>
  </w:abstractNum>
  <w:abstractNum w:abstractNumId="175">
    <w:nsid w:val="53280662"/>
    <w:multiLevelType w:val="hybridMultilevel"/>
    <w:lvl w:ilvl="0">
      <w:lvlJc w:val="left"/>
      <w:lvlText w:val="."/>
      <w:numFmt w:val="bullet"/>
      <w:start w:val="1"/>
    </w:lvl>
  </w:abstractNum>
  <w:abstractNum w:abstractNumId="176">
    <w:nsid w:val="46B24DBC"/>
    <w:multiLevelType w:val="hybridMultilevel"/>
    <w:lvl w:ilvl="0">
      <w:lvlJc w:val="left"/>
      <w:lvlText w:val="."/>
      <w:numFmt w:val="bullet"/>
      <w:start w:val="1"/>
    </w:lvl>
  </w:abstractNum>
  <w:abstractNum w:abstractNumId="177">
    <w:nsid w:val="75B52783"/>
    <w:multiLevelType w:val="hybridMultilevel"/>
    <w:lvl w:ilvl="0">
      <w:lvlJc w:val="left"/>
      <w:lvlText w:val="."/>
      <w:numFmt w:val="bullet"/>
      <w:start w:val="1"/>
    </w:lvl>
  </w:abstractNum>
  <w:abstractNum w:abstractNumId="178">
    <w:nsid w:val="57CE66B4"/>
    <w:multiLevelType w:val="hybridMultilevel"/>
    <w:lvl w:ilvl="0">
      <w:lvlJc w:val="left"/>
      <w:lvlText w:val="."/>
      <w:numFmt w:val="bullet"/>
      <w:start w:val="1"/>
    </w:lvl>
  </w:abstractNum>
  <w:abstractNum w:abstractNumId="179">
    <w:nsid w:val="67A70B69"/>
    <w:multiLevelType w:val="hybridMultilevel"/>
    <w:lvl w:ilvl="0">
      <w:lvlJc w:val="left"/>
      <w:lvlText w:val="."/>
      <w:numFmt w:val="bullet"/>
      <w:start w:val="1"/>
    </w:lvl>
  </w:abstractNum>
  <w:abstractNum w:abstractNumId="180">
    <w:nsid w:val="5953172F"/>
    <w:multiLevelType w:val="hybridMultilevel"/>
    <w:lvl w:ilvl="0">
      <w:lvlJc w:val="left"/>
      <w:lvlText w:val="."/>
      <w:numFmt w:val="bullet"/>
      <w:start w:val="1"/>
    </w:lvl>
  </w:abstractNum>
  <w:abstractNum w:abstractNumId="181">
    <w:nsid w:val="27EDFE3A"/>
    <w:multiLevelType w:val="hybridMultilevel"/>
    <w:lvl w:ilvl="0">
      <w:lvlJc w:val="left"/>
      <w:lvlText w:val="."/>
      <w:numFmt w:val="bullet"/>
      <w:start w:val="1"/>
    </w:lvl>
  </w:abstractNum>
  <w:abstractNum w:abstractNumId="182">
    <w:nsid w:val="52AC7DFF"/>
    <w:multiLevelType w:val="hybridMultilevel"/>
    <w:lvl w:ilvl="0">
      <w:lvlJc w:val="left"/>
      <w:lvlText w:val="."/>
      <w:numFmt w:val="bullet"/>
      <w:start w:val="1"/>
    </w:lvl>
  </w:abstractNum>
  <w:abstractNum w:abstractNumId="183">
    <w:nsid w:val="C4C3AF"/>
    <w:multiLevelType w:val="hybridMultilevel"/>
    <w:lvl w:ilvl="0">
      <w:lvlJc w:val="left"/>
      <w:lvlText w:val="."/>
      <w:numFmt w:val="bullet"/>
      <w:start w:val="1"/>
    </w:lvl>
  </w:abstractNum>
  <w:abstractNum w:abstractNumId="184">
    <w:nsid w:val="44380727"/>
    <w:multiLevelType w:val="hybridMultilevel"/>
    <w:lvl w:ilvl="0">
      <w:lvlJc w:val="left"/>
      <w:lvlText w:val="."/>
      <w:numFmt w:val="bullet"/>
      <w:start w:val="1"/>
    </w:lvl>
  </w:abstractNum>
  <w:abstractNum w:abstractNumId="185">
    <w:nsid w:val="6C053B16"/>
    <w:multiLevelType w:val="hybridMultilevel"/>
    <w:lvl w:ilvl="0">
      <w:lvlJc w:val="left"/>
      <w:lvlText w:val="."/>
      <w:numFmt w:val="bullet"/>
      <w:start w:val="1"/>
    </w:lvl>
  </w:abstractNum>
  <w:abstractNum w:abstractNumId="186">
    <w:nsid w:val="4F294393"/>
    <w:multiLevelType w:val="hybridMultilevel"/>
    <w:lvl w:ilvl="0">
      <w:lvlJc w:val="left"/>
      <w:lvlText w:val="."/>
      <w:numFmt w:val="bullet"/>
      <w:start w:val="1"/>
    </w:lvl>
  </w:abstractNum>
  <w:abstractNum w:abstractNumId="187">
    <w:nsid w:val="5243BFAC"/>
    <w:multiLevelType w:val="hybridMultilevel"/>
    <w:lvl w:ilvl="0">
      <w:lvlJc w:val="left"/>
      <w:lvlText w:val="."/>
      <w:numFmt w:val="bullet"/>
      <w:start w:val="1"/>
    </w:lvl>
  </w:abstractNum>
  <w:abstractNum w:abstractNumId="188">
    <w:nsid w:val="425EB207"/>
    <w:multiLevelType w:val="hybridMultilevel"/>
    <w:lvl w:ilvl="0">
      <w:lvlJc w:val="left"/>
      <w:lvlText w:val="."/>
      <w:numFmt w:val="bullet"/>
      <w:start w:val="1"/>
    </w:lvl>
  </w:abstractNum>
  <w:abstractNum w:abstractNumId="189">
    <w:nsid w:val="334A6F1F"/>
    <w:multiLevelType w:val="hybridMultilevel"/>
    <w:lvl w:ilvl="0">
      <w:lvlJc w:val="left"/>
      <w:lvlText w:val="."/>
      <w:numFmt w:val="bullet"/>
      <w:start w:val="1"/>
    </w:lvl>
  </w:abstractNum>
  <w:abstractNum w:abstractNumId="190">
    <w:nsid w:val="2E5B12B8"/>
    <w:multiLevelType w:val="hybridMultilevel"/>
    <w:lvl w:ilvl="0">
      <w:lvlJc w:val="left"/>
      <w:lvlText w:val="."/>
      <w:numFmt w:val="bullet"/>
      <w:start w:val="1"/>
    </w:lvl>
  </w:abstractNum>
  <w:abstractNum w:abstractNumId="191">
    <w:nsid w:val="5C03D76D"/>
    <w:multiLevelType w:val="hybridMultilevel"/>
    <w:lvl w:ilvl="0">
      <w:lvlJc w:val="left"/>
      <w:lvlText w:val="."/>
      <w:numFmt w:val="bullet"/>
      <w:start w:val="1"/>
    </w:lvl>
  </w:abstractNum>
  <w:abstractNum w:abstractNumId="192">
    <w:nsid w:val="66A48D11"/>
    <w:multiLevelType w:val="hybridMultilevel"/>
    <w:lvl w:ilvl="0">
      <w:lvlJc w:val="left"/>
      <w:lvlText w:val="."/>
      <w:numFmt w:val="bullet"/>
      <w:start w:val="1"/>
    </w:lvl>
  </w:abstractNum>
  <w:abstractNum w:abstractNumId="193">
    <w:nsid w:val="56C28E34"/>
    <w:multiLevelType w:val="hybridMultilevel"/>
    <w:lvl w:ilvl="0">
      <w:lvlJc w:val="left"/>
      <w:lvlText w:val="."/>
      <w:numFmt w:val="bullet"/>
      <w:start w:val="1"/>
    </w:lvl>
  </w:abstractNum>
  <w:abstractNum w:abstractNumId="194">
    <w:nsid w:val="13916F2D"/>
    <w:multiLevelType w:val="hybridMultilevel"/>
    <w:lvl w:ilvl="0">
      <w:lvlJc w:val="left"/>
      <w:lvlText w:val="."/>
      <w:numFmt w:val="bullet"/>
      <w:start w:val="1"/>
    </w:lvl>
  </w:abstractNum>
  <w:abstractNum w:abstractNumId="195">
    <w:nsid w:val="435D38D"/>
    <w:multiLevelType w:val="hybridMultilevel"/>
    <w:lvl w:ilvl="0">
      <w:lvlJc w:val="left"/>
      <w:lvlText w:val="."/>
      <w:numFmt w:val="bullet"/>
      <w:start w:val="1"/>
    </w:lvl>
  </w:abstractNum>
  <w:abstractNum w:abstractNumId="196">
    <w:nsid w:val="822C0EF"/>
    <w:multiLevelType w:val="hybridMultilevel"/>
    <w:lvl w:ilvl="0">
      <w:lvlJc w:val="left"/>
      <w:lvlText w:val="."/>
      <w:numFmt w:val="bullet"/>
      <w:start w:val="1"/>
    </w:lvl>
  </w:abstractNum>
  <w:abstractNum w:abstractNumId="197">
    <w:nsid w:val="57C5BB4F"/>
    <w:multiLevelType w:val="hybridMultilevel"/>
    <w:lvl w:ilvl="0">
      <w:lvlJc w:val="left"/>
      <w:lvlText w:val="."/>
      <w:numFmt w:val="bullet"/>
      <w:start w:val="1"/>
    </w:lvl>
  </w:abstractNum>
  <w:abstractNum w:abstractNumId="198">
    <w:nsid w:val="1803D089"/>
    <w:multiLevelType w:val="hybridMultilevel"/>
    <w:lvl w:ilvl="0">
      <w:lvlJc w:val="left"/>
      <w:lvlText w:val="."/>
      <w:numFmt w:val="bullet"/>
      <w:start w:val="1"/>
    </w:lvl>
  </w:abstractNum>
  <w:abstractNum w:abstractNumId="199">
    <w:nsid w:val="4F3A06D4"/>
    <w:multiLevelType w:val="hybridMultilevel"/>
    <w:lvl w:ilvl="0">
      <w:lvlJc w:val="left"/>
      <w:lvlText w:val="."/>
      <w:numFmt w:val="bullet"/>
      <w:start w:val="1"/>
    </w:lvl>
  </w:abstractNum>
  <w:abstractNum w:abstractNumId="200">
    <w:nsid w:val="59A377B6"/>
    <w:multiLevelType w:val="hybridMultilevel"/>
    <w:lvl w:ilvl="0">
      <w:lvlJc w:val="left"/>
      <w:lvlText w:val="."/>
      <w:numFmt w:val="bullet"/>
      <w:start w:val="1"/>
    </w:lvl>
  </w:abstractNum>
  <w:abstractNum w:abstractNumId="201">
    <w:nsid w:val="48AEB063"/>
    <w:multiLevelType w:val="hybridMultilevel"/>
    <w:lvl w:ilvl="0">
      <w:lvlJc w:val="left"/>
      <w:lvlText w:val="."/>
      <w:numFmt w:val="bullet"/>
      <w:start w:val="1"/>
    </w:lvl>
  </w:abstractNum>
  <w:abstractNum w:abstractNumId="202">
    <w:nsid w:val="24E135"/>
    <w:multiLevelType w:val="hybridMultilevel"/>
    <w:lvl w:ilvl="0">
      <w:lvlJc w:val="left"/>
      <w:lvlText w:val="."/>
      <w:numFmt w:val="bullet"/>
      <w:start w:val="1"/>
    </w:lvl>
  </w:abstractNum>
  <w:abstractNum w:abstractNumId="203">
    <w:nsid w:val="BB13C1"/>
    <w:multiLevelType w:val="hybridMultilevel"/>
    <w:lvl w:ilvl="0">
      <w:lvlJc w:val="left"/>
      <w:lvlText w:val="."/>
      <w:numFmt w:val="bullet"/>
      <w:start w:val="1"/>
    </w:lvl>
  </w:abstractNum>
  <w:abstractNum w:abstractNumId="204">
    <w:nsid w:val="271210C7"/>
    <w:multiLevelType w:val="hybridMultilevel"/>
    <w:lvl w:ilvl="0">
      <w:lvlJc w:val="left"/>
      <w:lvlText w:val="."/>
      <w:numFmt w:val="bullet"/>
      <w:start w:val="1"/>
    </w:lvl>
  </w:abstractNum>
  <w:abstractNum w:abstractNumId="205">
    <w:nsid w:val="217B22E4"/>
    <w:multiLevelType w:val="hybridMultilevel"/>
    <w:lvl w:ilvl="0">
      <w:lvlJc w:val="left"/>
      <w:lvlText w:val="."/>
      <w:numFmt w:val="bullet"/>
      <w:start w:val="1"/>
    </w:lvl>
  </w:abstractNum>
  <w:abstractNum w:abstractNumId="206">
    <w:nsid w:val="53E31A24"/>
    <w:multiLevelType w:val="hybridMultilevel"/>
    <w:lvl w:ilvl="0">
      <w:lvlJc w:val="left"/>
      <w:lvlText w:val="."/>
      <w:numFmt w:val="bullet"/>
      <w:start w:val="1"/>
    </w:lvl>
  </w:abstractNum>
  <w:abstractNum w:abstractNumId="207">
    <w:nsid w:val="6DC45E83"/>
    <w:multiLevelType w:val="hybridMultilevel"/>
    <w:lvl w:ilvl="0">
      <w:lvlJc w:val="left"/>
      <w:lvlText w:val="."/>
      <w:numFmt w:val="bullet"/>
      <w:start w:val="1"/>
    </w:lvl>
  </w:abstractNum>
  <w:abstractNum w:abstractNumId="208">
    <w:nsid w:val="17304A67"/>
    <w:multiLevelType w:val="hybridMultilevel"/>
    <w:lvl w:ilvl="0">
      <w:lvlJc w:val="left"/>
      <w:lvlText w:val="%1."/>
      <w:numFmt w:val="decimal"/>
      <w:start w:val="1"/>
    </w:lvl>
  </w:abstractNum>
  <w:abstractNum w:abstractNumId="209">
    <w:nsid w:val="2BB180D8"/>
    <w:multiLevelType w:val="hybridMultilevel"/>
    <w:lvl w:ilvl="0">
      <w:lvlJc w:val="left"/>
      <w:lvlText w:val="%1."/>
      <w:numFmt w:val="decimal"/>
      <w:start w:val="7"/>
    </w:lvl>
  </w:abstractNum>
  <w:abstractNum w:abstractNumId="210">
    <w:nsid w:val="556B69ED"/>
    <w:multiLevelType w:val="hybridMultilevel"/>
    <w:lvl w:ilvl="0">
      <w:lvlJc w:val="left"/>
      <w:lvlText w:val="."/>
      <w:numFmt w:val="bullet"/>
      <w:start w:val="1"/>
    </w:lvl>
  </w:abstractNum>
  <w:abstractNum w:abstractNumId="211">
    <w:nsid w:val="70836196"/>
    <w:multiLevelType w:val="hybridMultilevel"/>
    <w:lvl w:ilvl="0">
      <w:lvlJc w:val="left"/>
      <w:lvlText w:val="."/>
      <w:numFmt w:val="bullet"/>
      <w:start w:val="1"/>
    </w:lvl>
  </w:abstractNum>
  <w:abstractNum w:abstractNumId="212">
    <w:nsid w:val="539F7F12"/>
    <w:multiLevelType w:val="hybridMultilevel"/>
    <w:lvl w:ilvl="0">
      <w:lvlJc w:val="left"/>
      <w:lvlText w:val="."/>
      <w:numFmt w:val="bullet"/>
      <w:start w:val="1"/>
    </w:lvl>
  </w:abstractNum>
  <w:abstractNum w:abstractNumId="213">
    <w:nsid w:val="2817E7EC"/>
    <w:multiLevelType w:val="hybridMultilevel"/>
    <w:lvl w:ilvl="0">
      <w:lvlJc w:val="left"/>
      <w:lvlText w:val="."/>
      <w:numFmt w:val="bullet"/>
      <w:start w:val="1"/>
    </w:lvl>
  </w:abstractNum>
  <w:abstractNum w:abstractNumId="214">
    <w:nsid w:val="71482545"/>
    <w:multiLevelType w:val="hybridMultilevel"/>
    <w:lvl w:ilvl="0">
      <w:lvlJc w:val="left"/>
      <w:lvlText w:val="."/>
      <w:numFmt w:val="bullet"/>
      <w:start w:val="1"/>
    </w:lvl>
  </w:abstractNum>
  <w:abstractNum w:abstractNumId="215">
    <w:nsid w:val="17D78639"/>
    <w:multiLevelType w:val="hybridMultilevel"/>
    <w:lvl w:ilvl="0">
      <w:lvlJc w:val="left"/>
      <w:lvlText w:val="."/>
      <w:numFmt w:val="bullet"/>
      <w:start w:val="1"/>
    </w:lvl>
  </w:abstractNum>
  <w:abstractNum w:abstractNumId="216">
    <w:nsid w:val="141D2302"/>
    <w:multiLevelType w:val="hybridMultilevel"/>
    <w:lvl w:ilvl="0">
      <w:lvlJc w:val="left"/>
      <w:lvlText w:val="."/>
      <w:numFmt w:val="bullet"/>
      <w:start w:val="1"/>
    </w:lvl>
  </w:abstractNum>
  <w:abstractNum w:abstractNumId="217">
    <w:nsid w:val="407168D8"/>
    <w:multiLevelType w:val="hybridMultilevel"/>
    <w:lvl w:ilvl="0">
      <w:lvlJc w:val="left"/>
      <w:lvlText w:val="."/>
      <w:numFmt w:val="bullet"/>
      <w:start w:val="1"/>
    </w:lvl>
  </w:abstractNum>
  <w:abstractNum w:abstractNumId="218">
    <w:nsid w:val="6A1B45E5"/>
    <w:multiLevelType w:val="hybridMultilevel"/>
    <w:lvl w:ilvl="0">
      <w:lvlJc w:val="left"/>
      <w:lvlText w:val="."/>
      <w:numFmt w:val="bullet"/>
      <w:start w:val="1"/>
    </w:lvl>
  </w:abstractNum>
  <w:abstractNum w:abstractNumId="219">
    <w:nsid w:val="567BD50A"/>
    <w:multiLevelType w:val="hybridMultilevel"/>
    <w:lvl w:ilvl="0">
      <w:lvlJc w:val="left"/>
      <w:lvlText w:val="."/>
      <w:numFmt w:val="bullet"/>
      <w:start w:val="1"/>
    </w:lvl>
  </w:abstractNum>
  <w:abstractNum w:abstractNumId="220">
    <w:nsid w:val="73BBD7F8"/>
    <w:multiLevelType w:val="hybridMultilevel"/>
    <w:lvl w:ilvl="0">
      <w:lvlJc w:val="left"/>
      <w:lvlText w:val="."/>
      <w:numFmt w:val="bullet"/>
      <w:start w:val="1"/>
    </w:lvl>
  </w:abstractNum>
  <w:abstractNum w:abstractNumId="221">
    <w:nsid w:val="1876589D"/>
    <w:multiLevelType w:val="hybridMultilevel"/>
    <w:lvl w:ilvl="0">
      <w:lvlJc w:val="left"/>
      <w:lvlText w:val="."/>
      <w:numFmt w:val="bullet"/>
      <w:start w:val="1"/>
    </w:lvl>
  </w:abstractNum>
  <w:abstractNum w:abstractNumId="222">
    <w:nsid w:val="327FAC77"/>
    <w:multiLevelType w:val="hybridMultilevel"/>
    <w:lvl w:ilvl="0">
      <w:lvlJc w:val="left"/>
      <w:lvlText w:val="."/>
      <w:numFmt w:val="bullet"/>
      <w:start w:val="1"/>
    </w:lvl>
  </w:abstractNum>
  <w:abstractNum w:abstractNumId="223">
    <w:nsid w:val="5A606509"/>
    <w:multiLevelType w:val="hybridMultilevel"/>
    <w:lvl w:ilvl="0">
      <w:lvlJc w:val="left"/>
      <w:lvlText w:val="."/>
      <w:numFmt w:val="bullet"/>
      <w:start w:val="1"/>
    </w:lvl>
  </w:abstractNum>
  <w:abstractNum w:abstractNumId="224">
    <w:nsid w:val="6F38E6D1"/>
    <w:multiLevelType w:val="hybridMultilevel"/>
    <w:lvl w:ilvl="0">
      <w:lvlJc w:val="left"/>
      <w:lvlText w:val="."/>
      <w:numFmt w:val="bullet"/>
      <w:start w:val="1"/>
    </w:lvl>
  </w:abstractNum>
  <w:abstractNum w:abstractNumId="225">
    <w:nsid w:val="46111BA5"/>
    <w:multiLevelType w:val="hybridMultilevel"/>
    <w:lvl w:ilvl="0">
      <w:lvlJc w:val="left"/>
      <w:lvlText w:val="."/>
      <w:numFmt w:val="bullet"/>
      <w:start w:val="1"/>
    </w:lvl>
  </w:abstractNum>
  <w:abstractNum w:abstractNumId="226">
    <w:nsid w:val="5E963896"/>
    <w:multiLevelType w:val="hybridMultilevel"/>
    <w:lvl w:ilvl="0">
      <w:lvlJc w:val="left"/>
      <w:lvlText w:val="."/>
      <w:numFmt w:val="bullet"/>
      <w:start w:val="1"/>
    </w:lvl>
  </w:abstractNum>
  <w:abstractNum w:abstractNumId="227">
    <w:nsid w:val="775BA7C1"/>
    <w:multiLevelType w:val="hybridMultilevel"/>
    <w:lvl w:ilvl="0">
      <w:lvlJc w:val="left"/>
      <w:lvlText w:val="."/>
      <w:numFmt w:val="bullet"/>
      <w:start w:val="1"/>
    </w:lvl>
  </w:abstractNum>
  <w:abstractNum w:abstractNumId="228">
    <w:nsid w:val="1DD6D6F4"/>
    <w:multiLevelType w:val="hybridMultilevel"/>
    <w:lvl w:ilvl="0">
      <w:lvlJc w:val="left"/>
      <w:lvlText w:val="."/>
      <w:numFmt w:val="bullet"/>
      <w:start w:val="1"/>
    </w:lvl>
  </w:abstractNum>
  <w:abstractNum w:abstractNumId="229">
    <w:nsid w:val="769A091F"/>
    <w:multiLevelType w:val="hybridMultilevel"/>
    <w:lvl w:ilvl="0">
      <w:lvlJc w:val="left"/>
      <w:lvlText w:val="."/>
      <w:numFmt w:val="bullet"/>
      <w:start w:val="1"/>
    </w:lvl>
  </w:abstractNum>
  <w:abstractNum w:abstractNumId="230">
    <w:nsid w:val="4695AE95"/>
    <w:multiLevelType w:val="hybridMultilevel"/>
    <w:lvl w:ilvl="0">
      <w:lvlJc w:val="left"/>
      <w:lvlText w:val="."/>
      <w:numFmt w:val="bullet"/>
      <w:start w:val="1"/>
    </w:lvl>
  </w:abstractNum>
  <w:abstractNum w:abstractNumId="231">
    <w:nsid w:val="777A4EAA"/>
    <w:multiLevelType w:val="hybridMultilevel"/>
    <w:lvl w:ilvl="0">
      <w:lvlJc w:val="left"/>
      <w:lvlText w:val="."/>
      <w:numFmt w:val="bullet"/>
      <w:start w:val="1"/>
    </w:lvl>
  </w:abstractNum>
  <w:abstractNum w:abstractNumId="232">
    <w:nsid w:val="3F48B982"/>
    <w:multiLevelType w:val="hybridMultilevel"/>
    <w:lvl w:ilvl="0">
      <w:lvlJc w:val="left"/>
      <w:lvlText w:val="."/>
      <w:numFmt w:val="bullet"/>
      <w:start w:val="1"/>
    </w:lvl>
  </w:abstractNum>
  <w:abstractNum w:abstractNumId="233">
    <w:nsid w:val="46BA8FCA"/>
    <w:multiLevelType w:val="hybridMultilevel"/>
    <w:lvl w:ilvl="0">
      <w:lvlJc w:val="left"/>
      <w:lvlText w:val="."/>
      <w:numFmt w:val="bullet"/>
      <w:start w:val="1"/>
    </w:lvl>
  </w:abstractNum>
  <w:abstractNum w:abstractNumId="234">
    <w:nsid w:val="7835626C"/>
    <w:multiLevelType w:val="hybridMultilevel"/>
    <w:lvl w:ilvl="0">
      <w:lvlJc w:val="left"/>
      <w:lvlText w:val="."/>
      <w:numFmt w:val="bullet"/>
      <w:start w:val="1"/>
    </w:lvl>
  </w:abstractNum>
  <w:abstractNum w:abstractNumId="235">
    <w:nsid w:val="665ACA49"/>
    <w:multiLevelType w:val="hybridMultilevel"/>
    <w:lvl w:ilvl="0">
      <w:lvlJc w:val="left"/>
      <w:lvlText w:val="."/>
      <w:numFmt w:val="bullet"/>
      <w:start w:val="1"/>
    </w:lvl>
  </w:abstractNum>
  <w:abstractNum w:abstractNumId="236">
    <w:nsid w:val="6835B2AE"/>
    <w:multiLevelType w:val="hybridMultilevel"/>
    <w:lvl w:ilvl="0">
      <w:lvlJc w:val="left"/>
      <w:lvlText w:val="."/>
      <w:numFmt w:val="bullet"/>
      <w:start w:val="1"/>
    </w:lvl>
  </w:abstractNum>
  <w:abstractNum w:abstractNumId="237">
    <w:nsid w:val="4C187C90"/>
    <w:multiLevelType w:val="hybridMultilevel"/>
    <w:lvl w:ilvl="0">
      <w:lvlJc w:val="left"/>
      <w:lvlText w:val="(%1)"/>
      <w:numFmt w:val="decimal"/>
      <w:start w:val="1"/>
    </w:lvl>
  </w:abstractNum>
  <w:abstractNum w:abstractNumId="238">
    <w:nsid w:val="541F28CD"/>
    <w:multiLevelType w:val="hybridMultilevel"/>
    <w:lvl w:ilvl="0">
      <w:lvlJc w:val="left"/>
      <w:lvlText w:val="."/>
      <w:numFmt w:val="bullet"/>
      <w:start w:val="1"/>
    </w:lvl>
  </w:abstractNum>
  <w:abstractNum w:abstractNumId="239">
    <w:nsid w:val="7F65FD16"/>
    <w:multiLevelType w:val="hybridMultilevel"/>
    <w:lvl w:ilvl="0">
      <w:lvlJc w:val="left"/>
      <w:lvlText w:val="."/>
      <w:numFmt w:val="bullet"/>
      <w:start w:val="1"/>
    </w:lvl>
  </w:abstractNum>
  <w:abstractNum w:abstractNumId="240">
    <w:nsid w:val="77C9FD68"/>
    <w:multiLevelType w:val="hybridMultilevel"/>
    <w:lvl w:ilvl="0">
      <w:lvlJc w:val="left"/>
      <w:lvlText w:val="."/>
      <w:numFmt w:val="bullet"/>
      <w:start w:val="1"/>
    </w:lvl>
  </w:abstractNum>
  <w:abstractNum w:abstractNumId="241">
    <w:nsid w:val="298A92BA"/>
    <w:multiLevelType w:val="hybridMultilevel"/>
    <w:lvl w:ilvl="0">
      <w:lvlJc w:val="left"/>
      <w:lvlText w:val="."/>
      <w:numFmt w:val="bullet"/>
      <w:start w:val="1"/>
    </w:lvl>
  </w:abstractNum>
  <w:abstractNum w:abstractNumId="242">
    <w:nsid w:val="6FE95EAC"/>
    <w:multiLevelType w:val="hybridMultilevel"/>
    <w:lvl w:ilvl="0">
      <w:lvlJc w:val="left"/>
      <w:lvlText w:val="."/>
      <w:numFmt w:val="bullet"/>
      <w:start w:val="1"/>
    </w:lvl>
  </w:abstractNum>
  <w:abstractNum w:abstractNumId="243">
    <w:nsid w:val="4B697C7A"/>
    <w:multiLevelType w:val="hybridMultilevel"/>
    <w:lvl w:ilvl="0">
      <w:lvlJc w:val="left"/>
      <w:lvlText w:val="."/>
      <w:numFmt w:val="bullet"/>
      <w:start w:val="1"/>
    </w:lvl>
  </w:abstractNum>
  <w:abstractNum w:abstractNumId="244">
    <w:nsid w:val="51A27AA6"/>
    <w:multiLevelType w:val="hybridMultilevel"/>
    <w:lvl w:ilvl="0">
      <w:lvlJc w:val="left"/>
      <w:lvlText w:val="."/>
      <w:numFmt w:val="bullet"/>
      <w:start w:val="1"/>
    </w:lvl>
  </w:abstractNum>
  <w:abstractNum w:abstractNumId="245">
    <w:nsid w:val="613183F2"/>
    <w:multiLevelType w:val="hybridMultilevel"/>
    <w:lvl w:ilvl="0">
      <w:lvlJc w:val="left"/>
      <w:lvlText w:val="."/>
      <w:numFmt w:val="bullet"/>
      <w:start w:val="1"/>
    </w:lvl>
  </w:abstractNum>
  <w:abstractNum w:abstractNumId="246">
    <w:nsid w:val="634102B4"/>
    <w:multiLevelType w:val="hybridMultilevel"/>
    <w:lvl w:ilvl="0">
      <w:lvlJc w:val="left"/>
      <w:lvlText w:val="."/>
      <w:numFmt w:val="bullet"/>
      <w:start w:val="1"/>
    </w:lvl>
  </w:abstractNum>
  <w:abstractNum w:abstractNumId="247">
    <w:nsid w:val="65BF9DA8"/>
    <w:multiLevelType w:val="hybridMultilevel"/>
    <w:lvl w:ilvl="0">
      <w:lvlJc w:val="left"/>
      <w:lvlText w:val="."/>
      <w:numFmt w:val="bullet"/>
      <w:start w:val="1"/>
    </w:lvl>
  </w:abstractNum>
  <w:abstractNum w:abstractNumId="248">
    <w:nsid w:val="21A2ECCA"/>
    <w:multiLevelType w:val="hybridMultilevel"/>
    <w:lvl w:ilvl="0">
      <w:lvlJc w:val="left"/>
      <w:lvlText w:val="."/>
      <w:numFmt w:val="bullet"/>
      <w:start w:val="1"/>
    </w:lvl>
  </w:abstractNum>
  <w:abstractNum w:abstractNumId="249">
    <w:nsid w:val="4D5C4899"/>
    <w:multiLevelType w:val="hybridMultilevel"/>
    <w:lvl w:ilvl="0">
      <w:lvlJc w:val="left"/>
      <w:lvlText w:val="."/>
      <w:numFmt w:val="bullet"/>
      <w:start w:val="1"/>
    </w:lvl>
  </w:abstractNum>
  <w:abstractNum w:abstractNumId="250">
    <w:nsid w:val="3C3B72B2"/>
    <w:multiLevelType w:val="hybridMultilevel"/>
    <w:lvl w:ilvl="0">
      <w:lvlJc w:val="left"/>
      <w:lvlText w:val="."/>
      <w:numFmt w:val="bullet"/>
      <w:start w:val="1"/>
    </w:lvl>
  </w:abstractNum>
  <w:abstractNum w:abstractNumId="251">
    <w:nsid w:val="155EC4C2"/>
    <w:multiLevelType w:val="hybridMultilevel"/>
    <w:lvl w:ilvl="0">
      <w:lvlJc w:val="left"/>
      <w:lvlText w:val="."/>
      <w:numFmt w:val="bullet"/>
      <w:start w:val="1"/>
    </w:lvl>
  </w:abstractNum>
  <w:abstractNum w:abstractNumId="252">
    <w:nsid w:val="65D2A137"/>
    <w:multiLevelType w:val="hybridMultilevel"/>
    <w:lvl w:ilvl="0">
      <w:lvlJc w:val="left"/>
      <w:lvlText w:val="."/>
      <w:numFmt w:val="bullet"/>
      <w:start w:val="1"/>
    </w:lvl>
  </w:abstractNum>
  <w:abstractNum w:abstractNumId="253">
    <w:nsid w:val="6EBB1F2A"/>
    <w:multiLevelType w:val="hybridMultilevel"/>
    <w:lvl w:ilvl="0">
      <w:lvlJc w:val="left"/>
      <w:lvlText w:val="."/>
      <w:numFmt w:val="bullet"/>
      <w:start w:val="1"/>
    </w:lvl>
  </w:abstractNum>
  <w:abstractNum w:abstractNumId="254">
    <w:nsid w:val="6FBF29CB"/>
    <w:multiLevelType w:val="hybridMultilevel"/>
    <w:lvl w:ilvl="0">
      <w:lvlJc w:val="left"/>
      <w:lvlText w:val="."/>
      <w:numFmt w:val="bullet"/>
      <w:start w:val="1"/>
    </w:lvl>
  </w:abstractNum>
  <w:abstractNum w:abstractNumId="255">
    <w:nsid w:val="550B8808"/>
    <w:multiLevelType w:val="hybridMultilevel"/>
    <w:lvl w:ilvl="0">
      <w:lvlJc w:val="left"/>
      <w:lvlText w:val="."/>
      <w:numFmt w:val="bullet"/>
      <w:start w:val="1"/>
    </w:lvl>
  </w:abstractNum>
  <w:abstractNum w:abstractNumId="256">
    <w:nsid w:val="34CC3ACF"/>
    <w:multiLevelType w:val="hybridMultilevel"/>
    <w:lvl w:ilvl="0">
      <w:lvlJc w:val="left"/>
      <w:lvlText w:val="."/>
      <w:numFmt w:val="bullet"/>
      <w:start w:val="1"/>
    </w:lvl>
  </w:abstractNum>
  <w:abstractNum w:abstractNumId="257">
    <w:nsid w:val="4E556261"/>
    <w:multiLevelType w:val="hybridMultilevel"/>
    <w:lvl w:ilvl="0">
      <w:lvlJc w:val="left"/>
      <w:lvlText w:val="."/>
      <w:numFmt w:val="bullet"/>
      <w:start w:val="1"/>
    </w:lvl>
  </w:abstractNum>
  <w:abstractNum w:abstractNumId="258">
    <w:nsid w:val="4C672FC9"/>
    <w:multiLevelType w:val="hybridMultilevel"/>
    <w:lvl w:ilvl="0">
      <w:lvlJc w:val="left"/>
      <w:lvlText w:val="."/>
      <w:numFmt w:val="bullet"/>
      <w:start w:val="1"/>
    </w:lvl>
  </w:abstractNum>
  <w:abstractNum w:abstractNumId="259">
    <w:nsid w:val="52A311C3"/>
    <w:multiLevelType w:val="hybridMultilevel"/>
    <w:lvl w:ilvl="0">
      <w:lvlJc w:val="left"/>
      <w:lvlText w:val="."/>
      <w:numFmt w:val="bullet"/>
      <w:start w:val="1"/>
    </w:lvl>
  </w:abstractNum>
  <w:abstractNum w:abstractNumId="260">
    <w:nsid w:val="44EF6B80"/>
    <w:multiLevelType w:val="hybridMultilevel"/>
    <w:lvl w:ilvl="0">
      <w:lvlJc w:val="left"/>
      <w:lvlText w:val="."/>
      <w:numFmt w:val="bullet"/>
      <w:start w:val="1"/>
    </w:lvl>
  </w:abstractNum>
  <w:abstractNum w:abstractNumId="261">
    <w:nsid w:val="12FCDE5E"/>
    <w:multiLevelType w:val="hybridMultilevel"/>
    <w:lvl w:ilvl="0">
      <w:lvlJc w:val="left"/>
      <w:lvlText w:val="."/>
      <w:numFmt w:val="bullet"/>
      <w:start w:val="1"/>
    </w:lvl>
  </w:abstractNum>
  <w:abstractNum w:abstractNumId="262">
    <w:nsid w:val="4A1D606E"/>
    <w:multiLevelType w:val="hybridMultilevel"/>
    <w:lvl w:ilvl="0">
      <w:lvlJc w:val="left"/>
      <w:lvlText w:val="."/>
      <w:numFmt w:val="bullet"/>
      <w:start w:val="1"/>
    </w:lvl>
  </w:abstractNum>
  <w:abstractNum w:abstractNumId="263">
    <w:nsid w:val="4382503"/>
    <w:multiLevelType w:val="hybridMultilevel"/>
    <w:lvl w:ilvl="0">
      <w:lvlJc w:val="left"/>
      <w:lvlText w:val="."/>
      <w:numFmt w:val="bullet"/>
      <w:start w:val="1"/>
    </w:lvl>
  </w:abstractNum>
  <w:abstractNum w:abstractNumId="264">
    <w:nsid w:val="59B76E28"/>
    <w:multiLevelType w:val="hybridMultilevel"/>
    <w:lvl w:ilvl="0">
      <w:lvlJc w:val="left"/>
      <w:lvlText w:val="."/>
      <w:numFmt w:val="bullet"/>
      <w:start w:val="1"/>
    </w:lvl>
  </w:abstractNum>
  <w:abstractNum w:abstractNumId="265">
    <w:nsid w:val="4252C2DA"/>
    <w:multiLevelType w:val="hybridMultilevel"/>
    <w:lvl w:ilvl="0">
      <w:lvlJc w:val="left"/>
      <w:lvlText w:val="."/>
      <w:numFmt w:val="bullet"/>
      <w:start w:val="1"/>
    </w:lvl>
  </w:abstractNum>
  <w:abstractNum w:abstractNumId="266">
    <w:nsid w:val="6A92EF4C"/>
    <w:multiLevelType w:val="hybridMultilevel"/>
    <w:lvl w:ilvl="0">
      <w:lvlJc w:val="left"/>
      <w:lvlText w:val="."/>
      <w:numFmt w:val="bullet"/>
      <w:start w:val="1"/>
    </w:lvl>
  </w:abstractNum>
  <w:abstractNum w:abstractNumId="267">
    <w:nsid w:val="41ED20D7"/>
    <w:multiLevelType w:val="hybridMultilevel"/>
    <w:lvl w:ilvl="0">
      <w:lvlJc w:val="left"/>
      <w:lvlText w:val="."/>
      <w:numFmt w:val="bullet"/>
      <w:start w:val="1"/>
    </w:lvl>
  </w:abstractNum>
  <w:abstractNum w:abstractNumId="268">
    <w:nsid w:val="E6B3F6A"/>
    <w:multiLevelType w:val="hybridMultilevel"/>
    <w:lvl w:ilvl="0">
      <w:lvlJc w:val="left"/>
      <w:lvlText w:val="."/>
      <w:numFmt w:val="bullet"/>
      <w:start w:val="1"/>
    </w:lvl>
  </w:abstractNum>
  <w:abstractNum w:abstractNumId="269">
    <w:nsid w:val="3EB21819"/>
    <w:multiLevelType w:val="hybridMultilevel"/>
    <w:lvl w:ilvl="0">
      <w:lvlJc w:val="left"/>
      <w:lvlText w:val="."/>
      <w:numFmt w:val="bullet"/>
      <w:start w:val="1"/>
    </w:lvl>
  </w:abstractNum>
  <w:abstractNum w:abstractNumId="270">
    <w:nsid w:val="41531DED"/>
    <w:multiLevelType w:val="hybridMultilevel"/>
    <w:lvl w:ilvl="0">
      <w:lvlJc w:val="left"/>
      <w:lvlText w:val="."/>
      <w:numFmt w:val="bullet"/>
      <w:start w:val="1"/>
    </w:lvl>
  </w:abstractNum>
  <w:abstractNum w:abstractNumId="271">
    <w:nsid w:val="6353CD2"/>
    <w:multiLevelType w:val="hybridMultilevel"/>
    <w:lvl w:ilvl="0">
      <w:lvlJc w:val="left"/>
      <w:lvlText w:val="."/>
      <w:numFmt w:val="bullet"/>
      <w:start w:val="1"/>
    </w:lvl>
  </w:abstractNum>
  <w:abstractNum w:abstractNumId="272">
    <w:nsid w:val="683CAAD3"/>
    <w:multiLevelType w:val="hybridMultilevel"/>
    <w:lvl w:ilvl="0">
      <w:lvlJc w:val="left"/>
      <w:lvlText w:val="-"/>
      <w:numFmt w:val="bullet"/>
      <w:start w:val="1"/>
    </w:lvl>
  </w:abstractNum>
  <w:abstractNum w:abstractNumId="273">
    <w:nsid w:val="313C7C99"/>
    <w:multiLevelType w:val="hybridMultilevel"/>
    <w:lvl w:ilvl="0">
      <w:lvlJc w:val="left"/>
      <w:lvlText w:val="*"/>
      <w:numFmt w:val="bullet"/>
      <w:start w:val="1"/>
    </w:lvl>
  </w:abstractNum>
  <w:abstractNum w:abstractNumId="274">
    <w:nsid w:val="519EB94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5">
    <w:nsid w:val="39DF2579"/>
    <w:multiLevelType w:val="hybridMultilevel"/>
    <w:lvl w:ilvl="0">
      <w:lvlJc w:val="left"/>
      <w:lvlText w:val="%1"/>
      <w:numFmt w:val="lowerLetter"/>
      <w:start w:val="1"/>
    </w:lvl>
    <w:lvl w:ilvl="1">
      <w:lvlJc w:val="left"/>
      <w:lvlText w:val="(%2)"/>
      <w:numFmt w:val="decimal"/>
      <w:start w:val="2"/>
    </w:lvl>
  </w:abstractNum>
  <w:abstractNum w:abstractNumId="276">
    <w:nsid w:val="126E008B"/>
    <w:multiLevelType w:val="hybridMultilevel"/>
    <w:lvl w:ilvl="0">
      <w:lvlJc w:val="left"/>
      <w:lvlText w:val="(%1)"/>
      <w:numFmt w:val="lowerLetter"/>
      <w:start w:val="2"/>
    </w:lvl>
    <w:lvl w:ilvl="1">
      <w:lvlJc w:val="left"/>
      <w:lvlText w:val="%2"/>
      <w:numFmt w:val="decimal"/>
      <w:start w:val="1"/>
    </w:lvl>
  </w:abstractNum>
  <w:abstractNum w:abstractNumId="277">
    <w:nsid w:val="34DFBC00"/>
    <w:multiLevelType w:val="hybridMultilevel"/>
    <w:lvl w:ilvl="0">
      <w:lvlJc w:val="left"/>
      <w:lvlText w:val="(%1)"/>
      <w:numFmt w:val="decimal"/>
      <w:start w:val="5"/>
    </w:lvl>
  </w:abstractNum>
  <w:abstractNum w:abstractNumId="278">
    <w:nsid w:val="1F9EC322"/>
    <w:multiLevelType w:val="hybridMultilevel"/>
    <w:lvl w:ilvl="0">
      <w:lvlJc w:val="left"/>
      <w:lvlText w:val="%1."/>
      <w:numFmt w:val="decimal"/>
      <w:start w:val="1"/>
    </w:lvl>
  </w:abstractNum>
  <w:abstractNum w:abstractNumId="279">
    <w:nsid w:val="3410ED56"/>
    <w:multiLevelType w:val="hybridMultilevel"/>
    <w:lvl w:ilvl="0">
      <w:lvlJc w:val="left"/>
      <w:lvlText w:val="%1."/>
      <w:numFmt w:val="decimal"/>
      <w:start w:val="4"/>
    </w:lvl>
  </w:abstractNum>
  <w:abstractNum w:abstractNumId="280">
    <w:nsid w:val="23C049A"/>
    <w:multiLevelType w:val="hybridMultilevel"/>
    <w:lvl w:ilvl="0">
      <w:lvlJc w:val="left"/>
      <w:lvlText w:val="(%1)"/>
      <w:numFmt w:val="lowerRoman"/>
      <w:start w:val="2"/>
    </w:lvl>
  </w:abstractNum>
  <w:abstractNum w:abstractNumId="281">
    <w:nsid w:val="5BDA35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2019-12-12T09:22:37Z</dcterms:created>
  <dcterms:modified xsi:type="dcterms:W3CDTF">2019-12-12T09:22:37Z</dcterms:modified>
</cp:coreProperties>
</file>