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Date of Report (Date of earliest event reported): September 14,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720" w:type="dxa"/>
            <w:vAlign w:val="bottom"/>
          </w:tcPr>
          <w:p>
            <w:pPr>
              <w:jc w:val="center"/>
              <w:ind w:right="1106"/>
              <w:spacing w:after="0"/>
              <w:rPr>
                <w:sz w:val="20"/>
                <w:szCs w:val="20"/>
                <w:color w:val="auto"/>
              </w:rPr>
            </w:pPr>
            <w:r>
              <w:rPr>
                <w:rFonts w:ascii="Arial" w:cs="Arial" w:eastAsia="Arial" w:hAnsi="Arial"/>
                <w:sz w:val="18"/>
                <w:szCs w:val="18"/>
                <w:b w:val="1"/>
                <w:bCs w:val="1"/>
                <w:color w:val="auto"/>
                <w:w w:val="93"/>
              </w:rPr>
              <w:t>Maryland</w:t>
            </w:r>
          </w:p>
        </w:tc>
        <w:tc>
          <w:tcPr>
            <w:tcW w:w="3940" w:type="dxa"/>
            <w:vAlign w:val="bottom"/>
          </w:tcPr>
          <w:p>
            <w:pPr>
              <w:jc w:val="right"/>
              <w:ind w:right="1622"/>
              <w:spacing w:after="0"/>
              <w:rPr>
                <w:sz w:val="20"/>
                <w:szCs w:val="20"/>
                <w:color w:val="auto"/>
              </w:rPr>
            </w:pPr>
            <w:r>
              <w:rPr>
                <w:rFonts w:ascii="Arial" w:cs="Arial" w:eastAsia="Arial" w:hAnsi="Arial"/>
                <w:sz w:val="18"/>
                <w:szCs w:val="18"/>
                <w:b w:val="1"/>
                <w:bCs w:val="1"/>
                <w:color w:val="auto"/>
              </w:rPr>
              <w:t>1-07533</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720" w:type="dxa"/>
            <w:vAlign w:val="bottom"/>
          </w:tcPr>
          <w:p>
            <w:pPr>
              <w:jc w:val="center"/>
              <w:ind w:right="110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280" w:type="dxa"/>
            <w:vAlign w:val="bottom"/>
          </w:tcPr>
          <w:p>
            <w:pPr>
              <w:jc w:val="center"/>
              <w:ind w:left="11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20" w:type="dxa"/>
            <w:vAlign w:val="bottom"/>
          </w:tcPr>
          <w:p>
            <w:pPr>
              <w:jc w:val="center"/>
              <w:ind w:right="1106"/>
              <w:spacing w:after="0"/>
              <w:rPr>
                <w:sz w:val="20"/>
                <w:szCs w:val="20"/>
                <w:color w:val="auto"/>
              </w:rPr>
            </w:pPr>
            <w:r>
              <w:rPr>
                <w:rFonts w:ascii="Arial" w:cs="Arial" w:eastAsia="Arial" w:hAnsi="Arial"/>
                <w:sz w:val="14"/>
                <w:szCs w:val="14"/>
                <w:b w:val="1"/>
                <w:bCs w:val="1"/>
                <w:color w:val="auto"/>
                <w:w w:val="87"/>
              </w:rPr>
              <w:t>of incorporation)</w:t>
            </w:r>
          </w:p>
        </w:tc>
        <w:tc>
          <w:tcPr>
            <w:tcW w:w="3940" w:type="dxa"/>
            <w:vAlign w:val="bottom"/>
          </w:tcPr>
          <w:p>
            <w:pPr>
              <w:spacing w:after="0"/>
              <w:rPr>
                <w:sz w:val="15"/>
                <w:szCs w:val="15"/>
                <w:color w:val="auto"/>
              </w:rPr>
            </w:pP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4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exhibits listed in the following index relate to an offering under the Registrant’s Registration Statement on Form S-3 (No. 333-135159), and each is filed herewith for incorporation by reference in such Registration Statement.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15"/>
                <w:szCs w:val="15"/>
                <w:color w:val="auto"/>
              </w:rPr>
            </w:pPr>
          </w:p>
        </w:tc>
        <w:tc>
          <w:tcPr>
            <w:tcW w:w="10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Pr>
          <w:p>
            <w:pPr>
              <w:spacing w:after="0" w:line="201" w:lineRule="exact"/>
              <w:rPr>
                <w:sz w:val="20"/>
                <w:szCs w:val="20"/>
                <w:color w:val="auto"/>
              </w:rPr>
            </w:pPr>
            <w:r>
              <w:rPr>
                <w:rFonts w:ascii="Arial" w:cs="Arial" w:eastAsia="Arial" w:hAnsi="Arial"/>
                <w:sz w:val="18"/>
                <w:szCs w:val="18"/>
                <w:color w:val="auto"/>
              </w:rPr>
              <w:t>1.1</w:t>
            </w:r>
          </w:p>
        </w:tc>
        <w:tc>
          <w:tcPr>
            <w:tcW w:w="440" w:type="dxa"/>
            <w:vAlign w:val="bottom"/>
          </w:tcPr>
          <w:p>
            <w:pPr>
              <w:spacing w:after="0"/>
              <w:rPr>
                <w:sz w:val="17"/>
                <w:szCs w:val="17"/>
                <w:color w:val="auto"/>
              </w:rPr>
            </w:pPr>
          </w:p>
        </w:tc>
        <w:tc>
          <w:tcPr>
            <w:tcW w:w="10320" w:type="dxa"/>
            <w:vAlign w:val="bottom"/>
          </w:tcPr>
          <w:p>
            <w:pPr>
              <w:spacing w:after="0" w:line="201" w:lineRule="exact"/>
              <w:rPr>
                <w:sz w:val="20"/>
                <w:szCs w:val="20"/>
                <w:color w:val="auto"/>
              </w:rPr>
            </w:pPr>
            <w:r>
              <w:rPr>
                <w:rFonts w:ascii="Arial" w:cs="Arial" w:eastAsia="Arial" w:hAnsi="Arial"/>
                <w:sz w:val="18"/>
                <w:szCs w:val="18"/>
                <w:color w:val="auto"/>
                <w:w w:val="89"/>
              </w:rPr>
              <w:t>Underwriting Agreement, dated September 14, 2006, by and among the Registrant and Wachovia Capital Markets, LLC, as representative of the</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several underwriters named in Schedule I to the related pricing agreement</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Pricing Agreement, dated September 14, 2006, by and between the Registrant and certain underwriters named therein</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7"/>
              </w:rPr>
              <w:t>Specimen common share certificate (previously filed as Exhibit 4(i) to the Company’s Annual Report on Form 10-K for the year ended</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legality of the common shares</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September 15, 2006</w:t>
      </w:r>
      <w:r>
        <w:rPr>
          <w:sz w:val="20"/>
          <w:szCs w:val="20"/>
          <w:color w:val="auto"/>
        </w:rPr>
        <w:tab/>
      </w:r>
      <w:r>
        <w:rPr>
          <w:rFonts w:ascii="Arial" w:cs="Arial" w:eastAsia="Arial" w:hAnsi="Arial"/>
          <w:sz w:val="16"/>
          <w:szCs w:val="16"/>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80"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and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14,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WACHOVIA CAPITAL MARKETS,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Representative of the several Underwriters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10152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shares of beneficial interest (the “Shares”) specified in Schedule II to such Pricing Agreement (with respect to such Pricing Agreement, the “Designated Shares”). If specified in such Pricing Agreement, the Designated Shares may consist of a specified number of shares that the Underwriters, acting severally and not jointly, have agreed to purchase (the “Initial Shares”) and a specified number of shares that the Underwriters, acting severally and not jointly, have the option to purchase to cover over allotments, if any (the “Option Shares”), in each case on the terms and subject to the conditions set forth in this Underwriting Agreement and such Pricing Agreement. The Shares may include the Company’s common shares of beneficial interest, par value $0.01 per share (the “Common Shares”), or preferred shares of beneficial interest, par value $0.01 per share (the “Preferred Shares”).</w:t>
      </w:r>
    </w:p>
    <w:p>
      <w:pPr>
        <w:spacing w:after="0" w:line="12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terms and rights of any particular issuance of Designated Shares shall be as specified in the Pricing Agreement relating thereto and in or pursuant to the resolutions of the board of trustees of the Company or a duly appointed committee thereof.</w:t>
      </w:r>
    </w:p>
    <w:p>
      <w:pPr>
        <w:spacing w:after="0" w:line="132" w:lineRule="exact"/>
        <w:rPr>
          <w:sz w:val="20"/>
          <w:szCs w:val="20"/>
          <w:color w:val="auto"/>
        </w:rPr>
      </w:pPr>
    </w:p>
    <w:p>
      <w:pPr>
        <w:ind w:right="680" w:firstLine="464"/>
        <w:spacing w:after="0" w:line="306" w:lineRule="auto"/>
        <w:tabs>
          <w:tab w:leader="none" w:pos="632" w:val="left"/>
        </w:tabs>
        <w:numPr>
          <w:ilvl w:val="0"/>
          <w:numId w:val="2"/>
        </w:numPr>
        <w:rPr>
          <w:rFonts w:ascii="Arial" w:cs="Arial" w:eastAsia="Arial" w:hAnsi="Arial"/>
          <w:sz w:val="16"/>
          <w:szCs w:val="16"/>
          <w:color w:val="auto"/>
        </w:rPr>
      </w:pPr>
      <w:r>
        <w:rPr>
          <w:rFonts w:ascii="Arial" w:cs="Arial" w:eastAsia="Arial" w:hAnsi="Arial"/>
          <w:sz w:val="16"/>
          <w:szCs w:val="16"/>
          <w:color w:val="auto"/>
        </w:rPr>
        <w:t>Particular sales of Designated Shares may be made from time to time to the Underwriters of such Shares, for whom the firms designated as representatives of the Underwriters of such Shares in the Pricing Agreement relating thereto will act as representatives (the “Representatives”). The term “Representatives” also refers to a single firm acting as sole representative of the Underwriters and to Underwriters who act without any firm being</w:t>
      </w:r>
    </w:p>
    <w:p>
      <w:pPr>
        <w:sectPr>
          <w:pgSz w:w="11900" w:h="16838" w:orient="portrait"/>
          <w:cols w:equalWidth="0" w:num="1">
            <w:col w:w="11420"/>
          </w:cols>
          <w:pgMar w:left="240" w:top="125" w:right="239" w:bottom="1440" w:gutter="0" w:footer="0" w:header="0"/>
        </w:sectPr>
      </w:pPr>
    </w:p>
    <w:bookmarkStart w:id="4" w:name="page5"/>
    <w:bookmarkEnd w:id="4"/>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designated as their representative. This Underwriting Agreement shall not be construed as an obligation of the Company to sell any of the Shares or as an obligation of any of the Underwriters to purchase any of the Shares. The obligation of the Company to issue and sell any of the Shares and the obligation of any of the Underwriters to purchase any of the Shares shall be evidenced by the Pricing Agreement with respect to the Designated Shares specified therein. Each Pricing Agreement shall specify the aggregate number of such Designated Shares (and, if applicable, the aggregate number of Initial Shares and Option Shares), the initial public offering price of such Designated Shares, the purchase price to the Underwriters of such Designated Shares, the names of the Underwriters of such Designated Shares, the names of the Representatives of such Underwriters and the number of such Designated Shares to be purchased by each Underwriter and shall set forth the date, time and manner of delivery of such Designated Shares and payment therefor. The Pricing Agreement shall also specify (to the extent not set forth in the registration statement and prospectus with respect thereto) the terms of such Designated Shares.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27" w:lineRule="exact"/>
        <w:rPr>
          <w:sz w:val="20"/>
          <w:szCs w:val="20"/>
          <w:color w:val="auto"/>
        </w:rPr>
      </w:pPr>
    </w:p>
    <w:p>
      <w:pPr>
        <w:ind w:right="20" w:firstLine="464"/>
        <w:spacing w:after="0" w:line="332" w:lineRule="auto"/>
        <w:tabs>
          <w:tab w:leader="none" w:pos="63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represents and warrants to, and agrees with, each of the Underwriters as of the date hereof, the Applicable Time referred to in Section 2(c) hereof, the Time of Delivery referred to in Section 4 hereof and the Option Closing Time referred to in Section 4 hereof, if any, that:</w:t>
      </w:r>
    </w:p>
    <w:p>
      <w:pPr>
        <w:spacing w:after="0" w:line="4" w:lineRule="exact"/>
        <w:rPr>
          <w:rFonts w:ascii="Arial" w:cs="Arial" w:eastAsia="Arial" w:hAnsi="Arial"/>
          <w:sz w:val="16"/>
          <w:szCs w:val="16"/>
          <w:color w:val="auto"/>
        </w:rPr>
      </w:pPr>
    </w:p>
    <w:p>
      <w:pPr>
        <w:ind w:left="460" w:firstLine="443"/>
        <w:spacing w:after="0" w:line="285" w:lineRule="auto"/>
        <w:tabs>
          <w:tab w:leader="none" w:pos="1137"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333-135159), including the related preliminary prospectus, which registration statement became effective upon filing under Rule 462(e) of the rules and regulations of the Commission under the Securities Act of 1933, as amended (the “Act”). Such registration statement covers the registration of the Shares under the Act. Promptly after execution and delivery of a Pricing Agreement with respect to the Designated Shares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 Designated Shares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Shares, including the documents incorporated by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62"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37" w:lineRule="exact"/>
        <w:rPr>
          <w:sz w:val="20"/>
          <w:szCs w:val="20"/>
          <w:color w:val="auto"/>
        </w:rPr>
      </w:pPr>
    </w:p>
    <w:p>
      <w:pPr>
        <w:ind w:right="60" w:firstLine="443"/>
        <w:spacing w:after="0" w:line="287" w:lineRule="auto"/>
        <w:tabs>
          <w:tab w:leader="none" w:pos="687" w:val="left"/>
        </w:tabs>
        <w:numPr>
          <w:ilvl w:val="0"/>
          <w:numId w:val="4"/>
        </w:numPr>
        <w:rPr>
          <w:rFonts w:ascii="Arial" w:cs="Arial" w:eastAsia="Arial" w:hAnsi="Arial"/>
          <w:sz w:val="16"/>
          <w:szCs w:val="16"/>
          <w:color w:val="auto"/>
        </w:rPr>
      </w:pPr>
      <w:r>
        <w:rPr>
          <w:rFonts w:ascii="Arial" w:cs="Arial" w:eastAsia="Arial" w:hAnsi="Arial"/>
          <w:sz w:val="16"/>
          <w:szCs w:val="16"/>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Shares in reliance on the exemption of Rule 163 under the Act (“Rule 163”), (D) at the earliest time that the Company or another offering participant made a bona fide offer (within the meaning of Rule 164(h)(2) under the Act) of the Designated Shares,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Shares,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41" w:lineRule="exact"/>
        <w:rPr>
          <w:rFonts w:ascii="Arial" w:cs="Arial" w:eastAsia="Arial" w:hAnsi="Arial"/>
          <w:sz w:val="16"/>
          <w:szCs w:val="16"/>
          <w:color w:val="auto"/>
        </w:rPr>
      </w:pPr>
    </w:p>
    <w:p>
      <w:pPr>
        <w:ind w:right="100" w:firstLine="443"/>
        <w:spacing w:after="0" w:line="298" w:lineRule="auto"/>
        <w:tabs>
          <w:tab w:leader="none" w:pos="67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Original Registration Statement became effective upon filing under Rule 462(e) under the Act (“Rule 462(e)”) on June 20, 2006,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6" w:name="page7"/>
    <w:bookmarkEnd w:id="6"/>
    <w:p>
      <w:pPr>
        <w:ind w:right="22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offer that is a written communication relating to the Shares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32" w:lineRule="exact"/>
        <w:rPr>
          <w:sz w:val="20"/>
          <w:szCs w:val="20"/>
          <w:color w:val="auto"/>
        </w:rPr>
      </w:pPr>
    </w:p>
    <w:p>
      <w:pPr>
        <w:ind w:right="60" w:firstLine="443"/>
        <w:spacing w:after="0" w:line="294" w:lineRule="auto"/>
        <w:tabs>
          <w:tab w:leader="none" w:pos="726"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the respective times the Original Registration Statement and each amendment thereto became effective, (B) at each deemed effective date with respect to the Underwriters pursuant to Rule 430B(f)(2) under the Act, (C) at the Time of Delivery, and (D) at the Option Closing Time, if any, the Registration Statement complied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35"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Neither the Prospectus nor any amendments or supplements thereto, at the time the Prospectus or any such amendment or supplement was issued, at the Time of Delivery and at the Option Closing Time, if any, included or will include an untrue statement of a material fact or omitted or will omit to state a material fact necessary in order to make the statements therein, in the light of the circumstances under which they were made, not misleading.</w:t>
      </w:r>
    </w:p>
    <w:p>
      <w:pPr>
        <w:spacing w:after="0" w:line="26" w:lineRule="exact"/>
        <w:rPr>
          <w:sz w:val="20"/>
          <w:szCs w:val="20"/>
          <w:color w:val="auto"/>
        </w:rPr>
      </w:pPr>
    </w:p>
    <w:p>
      <w:pPr>
        <w:ind w:right="20" w:firstLine="438"/>
        <w:spacing w:after="0" w:line="323" w:lineRule="auto"/>
        <w:rPr>
          <w:sz w:val="20"/>
          <w:szCs w:val="20"/>
          <w:color w:val="auto"/>
        </w:rPr>
      </w:pPr>
      <w:r>
        <w:rPr>
          <w:rFonts w:ascii="Arial" w:cs="Arial" w:eastAsia="Arial" w:hAnsi="Arial"/>
          <w:sz w:val="15"/>
          <w:szCs w:val="15"/>
          <w:color w:val="auto"/>
        </w:rPr>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Shares will be identical to the electronically transmitted copies thereof filed with the Commission pursuant to EDGAR, except to the extent permitted by Regulation S-T.</w:t>
      </w:r>
    </w:p>
    <w:p>
      <w:pPr>
        <w:spacing w:after="0" w:line="17" w:lineRule="exact"/>
        <w:rPr>
          <w:sz w:val="20"/>
          <w:szCs w:val="20"/>
          <w:color w:val="auto"/>
        </w:rPr>
      </w:pPr>
    </w:p>
    <w:p>
      <w:pPr>
        <w:ind w:right="180" w:firstLine="438"/>
        <w:spacing w:after="0" w:line="294" w:lineRule="auto"/>
        <w:rPr>
          <w:sz w:val="20"/>
          <w:szCs w:val="20"/>
          <w:color w:val="auto"/>
        </w:rPr>
      </w:pPr>
      <w:r>
        <w:rPr>
          <w:rFonts w:ascii="Arial" w:cs="Arial" w:eastAsia="Arial" w:hAnsi="Arial"/>
          <w:sz w:val="16"/>
          <w:szCs w:val="16"/>
          <w:color w:val="auto"/>
        </w:rPr>
        <w:t>As of the Applicable Time (as defined below), the Statutory Prospectus, when considered together with the Issuer Free Writing Prospectus(es) (as defined below) issued at or prior to the Applicable Time and the information included on Exhibit C hereto, will not include any untrue statement of a material fact or omit to state any material fact necessary in order to make the statements therein, in the light of the circumstances under which they were made, not misleading. The Statutory Prospectus, the Issuer Free Writing Prospectus(es) and the information included on Exhibit C hereto are collectively referred to herein as the “General Disclosure Package.”</w:t>
      </w:r>
    </w:p>
    <w:p>
      <w:pPr>
        <w:spacing w:after="0" w:line="35" w:lineRule="exact"/>
        <w:rPr>
          <w:sz w:val="20"/>
          <w:szCs w:val="20"/>
          <w:color w:val="auto"/>
        </w:rPr>
      </w:pPr>
    </w:p>
    <w:p>
      <w:pPr>
        <w:ind w:right="80" w:firstLine="438"/>
        <w:spacing w:after="0" w:line="259" w:lineRule="auto"/>
        <w:rPr>
          <w:sz w:val="20"/>
          <w:szCs w:val="20"/>
          <w:color w:val="auto"/>
        </w:rPr>
      </w:pPr>
      <w:r>
        <w:rPr>
          <w:rFonts w:ascii="Arial" w:cs="Arial" w:eastAsia="Arial" w:hAnsi="Arial"/>
          <w:sz w:val="18"/>
          <w:szCs w:val="18"/>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7" w:name="page8"/>
    <w:bookmarkEnd w:id="7"/>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furnished to the Company in writing by the Underwriters expressly for use in the Registration Statement or any post-effective amendment thereto, or the Prospectus or any amendments or supplements thereto, or the General Disclosure Package.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“Applicable Time” shall have the meaning set forth in the Pricing Agreement with respect to the Designated Shares specified therein.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“Issuer Free Writing Prospectus” means any “issuer free writing prospectus,” as defined in Rule 433 under the Act (“Rule 433”), relating to any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particular issuance of Designated Shares (including any identified on Exhibit B hereto) that (i) is required to be filed with the Commission by the Company,</w:t>
      </w:r>
    </w:p>
    <w:p>
      <w:pPr>
        <w:spacing w:after="0" w:line="32" w:lineRule="exact"/>
        <w:rPr>
          <w:sz w:val="20"/>
          <w:szCs w:val="20"/>
          <w:color w:val="auto"/>
        </w:rPr>
      </w:pPr>
    </w:p>
    <w:p>
      <w:pPr>
        <w:ind w:left="260" w:hanging="256"/>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 a “road show that is a written communication” within the meaning of Rule 433(d)(8)(i), whether or not required to be filed with the Commission, or</w:t>
      </w:r>
    </w:p>
    <w:p>
      <w:pPr>
        <w:spacing w:after="0" w:line="32" w:lineRule="exact"/>
        <w:rPr>
          <w:rFonts w:ascii="Arial" w:cs="Arial" w:eastAsia="Arial" w:hAnsi="Arial"/>
          <w:sz w:val="16"/>
          <w:szCs w:val="16"/>
          <w:color w:val="auto"/>
        </w:rPr>
      </w:pPr>
    </w:p>
    <w:p>
      <w:pPr>
        <w:ind w:firstLine="4"/>
        <w:spacing w:after="0" w:line="255" w:lineRule="auto"/>
        <w:tabs>
          <w:tab w:leader="none" w:pos="307"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exempt from filing pursuant to Rule 433(d)(5)(i) because it contains a description of a particular issuance of Designated Shares or of the offering that does not reflect the final terms, in each case in the form filed or required to be filed with the Commission or, if not required to be filed, in the form retained in the Company’s records pursuant to Rule 433(g).</w:t>
      </w:r>
    </w:p>
    <w:p>
      <w:pPr>
        <w:spacing w:after="0" w:line="63" w:lineRule="exact"/>
        <w:rPr>
          <w:sz w:val="20"/>
          <w:szCs w:val="20"/>
          <w:color w:val="auto"/>
        </w:rPr>
      </w:pPr>
    </w:p>
    <w:p>
      <w:pPr>
        <w:jc w:val="both"/>
        <w:ind w:right="420" w:firstLine="438"/>
        <w:spacing w:after="0" w:line="306" w:lineRule="auto"/>
        <w:rPr>
          <w:sz w:val="20"/>
          <w:szCs w:val="20"/>
          <w:color w:val="auto"/>
        </w:rPr>
      </w:pPr>
      <w:r>
        <w:rPr>
          <w:rFonts w:ascii="Arial" w:cs="Arial" w:eastAsia="Arial" w:hAnsi="Arial"/>
          <w:sz w:val="16"/>
          <w:szCs w:val="16"/>
          <w:color w:val="auto"/>
        </w:rPr>
        <w:t>“Statutory Prospectus” as of any time means the prospectus that is included in the Registration Statement immediately prior to that time and the preliminary prospectus supplement relating to a particular issuance of Designated Shares set forth in the Pricing Agreement, including the documents incorporated by reference therein and any other preliminary or other prospectus deemed to be a part thereof.</w:t>
      </w:r>
    </w:p>
    <w:p>
      <w:pPr>
        <w:spacing w:after="0" w:line="26" w:lineRule="exact"/>
        <w:rPr>
          <w:sz w:val="20"/>
          <w:szCs w:val="20"/>
          <w:color w:val="auto"/>
        </w:rPr>
      </w:pPr>
    </w:p>
    <w:p>
      <w:pPr>
        <w:jc w:val="both"/>
        <w:ind w:right="160" w:firstLine="443"/>
        <w:spacing w:after="0" w:line="306"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25" w:lineRule="exact"/>
        <w:rPr>
          <w:rFonts w:ascii="Arial" w:cs="Arial" w:eastAsia="Arial" w:hAnsi="Arial"/>
          <w:sz w:val="16"/>
          <w:szCs w:val="16"/>
          <w:color w:val="auto"/>
        </w:rPr>
      </w:pPr>
    </w:p>
    <w:p>
      <w:pPr>
        <w:ind w:right="20" w:firstLine="443"/>
        <w:spacing w:after="0" w:line="291" w:lineRule="auto"/>
        <w:tabs>
          <w:tab w:leader="none" w:pos="677"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Issuer Free Writing Prospectus identified on Exhibit B hereto, as of its issue date and at all subsequent times through the completion of the public offer and sale of the Designated Shares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39" w:lineRule="exact"/>
        <w:rPr>
          <w:rFonts w:ascii="Arial" w:cs="Arial" w:eastAsia="Arial" w:hAnsi="Arial"/>
          <w:sz w:val="16"/>
          <w:szCs w:val="16"/>
          <w:color w:val="auto"/>
        </w:rPr>
      </w:pPr>
    </w:p>
    <w:p>
      <w:pPr>
        <w:ind w:right="120" w:firstLine="443"/>
        <w:spacing w:after="0" w:line="268" w:lineRule="auto"/>
        <w:tabs>
          <w:tab w:leader="none" w:pos="65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been duly organized and is validly existing and in good standing as a real estate investment trust under the laws of the State of Maryland, with full power and authority to own, lease and operate its properties and conduct its business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8" w:name="page9"/>
    <w:bookmarkEnd w:id="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described in the Registration Statement, the General Disclosure Package and the Prospectus; the Company has interests in a number of entities (collectively, the “Entities”), identified on Exhibit E, which have been duly organized and are validly existing as corporations, partnerships, limited liability companies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Registration Statement, the General Disclosure Package and the Prospectus; except as otherwise denoted in Exhibit E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and is fully paid and non-assessable; no options, warrants or other rights to convert any obligations into partnership or other ownership interests in the Entities are outstanding;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w:t>
      </w:r>
    </w:p>
    <w:p>
      <w:pPr>
        <w:spacing w:after="0" w:line="46" w:lineRule="exact"/>
        <w:rPr>
          <w:sz w:val="20"/>
          <w:szCs w:val="20"/>
          <w:color w:val="auto"/>
        </w:rPr>
      </w:pPr>
    </w:p>
    <w:p>
      <w:pPr>
        <w:ind w:right="120" w:firstLine="443"/>
        <w:spacing w:after="0" w:line="306" w:lineRule="auto"/>
        <w:tabs>
          <w:tab w:leader="none" w:pos="687" w:val="left"/>
        </w:tabs>
        <w:numPr>
          <w:ilvl w:val="0"/>
          <w:numId w:val="8"/>
        </w:numPr>
        <w:rPr>
          <w:rFonts w:ascii="Arial" w:cs="Arial" w:eastAsia="Arial" w:hAnsi="Arial"/>
          <w:sz w:val="15"/>
          <w:szCs w:val="15"/>
          <w:color w:val="auto"/>
        </w:rPr>
      </w:pPr>
      <w:r>
        <w:rPr>
          <w:rFonts w:ascii="Arial" w:cs="Arial" w:eastAsia="Arial" w:hAnsi="Arial"/>
          <w:sz w:val="15"/>
          <w:szCs w:val="15"/>
          <w:color w:val="auto"/>
        </w:rPr>
        <w:t>Neither the Company nor any of the Entities has sustained since the date of the latest audited financial statements included or incorporated by reference in the Registration Statement, the General Disclosure Package and the Prospectus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Exhibit E hereto which may result in the issuance of Common Shares of the Company)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General Disclosure Package and the Prospectus.</w:t>
      </w:r>
    </w:p>
    <w:p>
      <w:pPr>
        <w:spacing w:after="0" w:line="31" w:lineRule="exact"/>
        <w:rPr>
          <w:rFonts w:ascii="Arial" w:cs="Arial" w:eastAsia="Arial" w:hAnsi="Arial"/>
          <w:sz w:val="15"/>
          <w:szCs w:val="15"/>
          <w:color w:val="auto"/>
        </w:rPr>
      </w:pPr>
    </w:p>
    <w:p>
      <w:pPr>
        <w:ind w:right="500" w:firstLine="443"/>
        <w:spacing w:after="0" w:line="268" w:lineRule="auto"/>
        <w:tabs>
          <w:tab w:leader="none" w:pos="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Company’s consolidated balance sheet as of June 30, 2006 set forth in the Company’s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9" w:name="page10"/>
    <w:bookmarkEnd w:id="9"/>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Quarterly Report on Form 10-Q for the quarterly period ended June 30, 2006,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59" w:lineRule="exact"/>
        <w:rPr>
          <w:sz w:val="20"/>
          <w:szCs w:val="20"/>
          <w:color w:val="auto"/>
        </w:rPr>
      </w:pPr>
    </w:p>
    <w:p>
      <w:pPr>
        <w:ind w:right="20" w:firstLine="443"/>
        <w:spacing w:after="0" w:line="253"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Designated Shares have been duly and validly authorized, and, when such Designated Shares are issued and delivered pursuant to this Underwriting Agreement and the Pricing Agreement with respect to such Designated Shares, such Designated Shares will be duly and validly issued and fully paid and non-assessable; the Designated Shares conform to the description thereof contained in the Registration Statement, the General Disclosure Package and the Prospectus as amended or supplemented with respect to such Designated Shares; except as set forth under the caption “Description of Shares of Beneficial Interest—Shareholder Liability” in the Prospectus, no holder of the Designated Shares is or will be subject to personal liability by reason of being such a holder; and the issuance of the Designated Shares is not subject to any preemptive or other similar rights of any securityholder of the Company.</w:t>
      </w:r>
    </w:p>
    <w:p>
      <w:pPr>
        <w:spacing w:after="0" w:line="66" w:lineRule="exact"/>
        <w:rPr>
          <w:rFonts w:ascii="Arial" w:cs="Arial" w:eastAsia="Arial" w:hAnsi="Arial"/>
          <w:sz w:val="18"/>
          <w:szCs w:val="18"/>
          <w:color w:val="auto"/>
        </w:rPr>
      </w:pPr>
    </w:p>
    <w:p>
      <w:pPr>
        <w:ind w:firstLine="443"/>
        <w:spacing w:after="0" w:line="286"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issue and sale of the Designated Shares and the compliance by the Company with all of the provisions of this Underwriting Agreement and the Pricing Agreement with respect to such Designated Shares,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(“Declaration of Trust”) or bylaws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Shares or the consummation by the Company of the transactions contemplated by this Underwriting Agreement or any Pricing Agreement, except such as have been, or will have been prior to the Time of Delivery, obtained under the Act, the Exchange Act and the rules of the New York Stock Exchange, Inc. (the “NYSE”) and such consents, approvals, authorizations, registrations or qualifications as may be required under state securities or “Blue Sky” laws in connection with the purchase and distribution of the Shares by the Underwriters.</w:t>
      </w:r>
    </w:p>
    <w:p>
      <w:pPr>
        <w:spacing w:after="0" w:line="43" w:lineRule="exact"/>
        <w:rPr>
          <w:rFonts w:ascii="Arial" w:cs="Arial" w:eastAsia="Arial" w:hAnsi="Arial"/>
          <w:sz w:val="16"/>
          <w:szCs w:val="16"/>
          <w:color w:val="auto"/>
        </w:rPr>
      </w:pPr>
    </w:p>
    <w:p>
      <w:pPr>
        <w:ind w:firstLine="443"/>
        <w:spacing w:after="0" w:line="294" w:lineRule="auto"/>
        <w:tabs>
          <w:tab w:leader="none" w:pos="687"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than as set forth in the Registration Statement, the General Disclosure Package and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 Company’s knowledge, no such proceedings are threatened or contemplated by governmental authorities or threatened by others.</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0" w:name="page11"/>
    <w:bookmarkEnd w:id="10"/>
    <w:p>
      <w:pPr>
        <w:ind w:firstLine="443"/>
        <w:spacing w:after="0" w:line="291" w:lineRule="auto"/>
        <w:tabs>
          <w:tab w:leader="none" w:pos="648"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consolidated financial statements of the Company and the Entities, together with related notes and schedules as set forth or incorporated by reference in the Registration Statement, the General Disclosure Package and the Prospectus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contained in the Prospectus present fairly the information shown therein and have been compiled on a basis consistent with the consolidated financial statements incorporated by reference therein.</w:t>
      </w:r>
    </w:p>
    <w:p>
      <w:pPr>
        <w:spacing w:after="0" w:line="39" w:lineRule="exact"/>
        <w:rPr>
          <w:rFonts w:ascii="Arial" w:cs="Arial" w:eastAsia="Arial" w:hAnsi="Arial"/>
          <w:sz w:val="16"/>
          <w:szCs w:val="16"/>
          <w:color w:val="auto"/>
        </w:rPr>
      </w:pPr>
    </w:p>
    <w:p>
      <w:pPr>
        <w:ind w:right="100" w:firstLine="443"/>
        <w:spacing w:after="0" w:line="256" w:lineRule="auto"/>
        <w:tabs>
          <w:tab w:leader="none" w:pos="7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the Entities have good and marketable title to, or valid and enforceable leasehold estates in, all items of real and personal property referred to in the Registration Statement, the General Disclosure Package and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and the Entities have filed all federal, state, local and foreign income tax returns which have been required to be filed, or</w:t>
      </w:r>
    </w:p>
    <w:p>
      <w:pPr>
        <w:spacing w:after="0" w:line="38"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56" w:lineRule="exact"/>
        <w:rPr>
          <w:rFonts w:ascii="Arial" w:cs="Arial" w:eastAsia="Arial" w:hAnsi="Arial"/>
          <w:sz w:val="16"/>
          <w:szCs w:val="16"/>
          <w:color w:val="auto"/>
        </w:rPr>
      </w:pPr>
    </w:p>
    <w:p>
      <w:pPr>
        <w:ind w:right="20" w:firstLine="443"/>
        <w:spacing w:after="0" w:line="259"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59" w:lineRule="exact"/>
        <w:rPr>
          <w:rFonts w:ascii="Arial" w:cs="Arial" w:eastAsia="Arial" w:hAnsi="Arial"/>
          <w:sz w:val="18"/>
          <w:szCs w:val="18"/>
          <w:color w:val="auto"/>
        </w:rPr>
      </w:pPr>
    </w:p>
    <w:p>
      <w:pPr>
        <w:ind w:right="80" w:firstLine="443"/>
        <w:spacing w:after="0" w:line="255"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2005 and the consolidated statements of operations, consolidated statements of common shareholders’ equity, and consolidated statements of cash flows for the year ended December 31, 2005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61" w:lineRule="exact"/>
        <w:rPr>
          <w:rFonts w:ascii="Arial" w:cs="Arial" w:eastAsia="Arial" w:hAnsi="Arial"/>
          <w:sz w:val="18"/>
          <w:szCs w:val="18"/>
          <w:color w:val="auto"/>
        </w:rPr>
      </w:pPr>
    </w:p>
    <w:p>
      <w:pPr>
        <w:ind w:right="540" w:firstLine="443"/>
        <w:spacing w:after="0" w:line="332" w:lineRule="auto"/>
        <w:tabs>
          <w:tab w:leader="none" w:pos="68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1" w:name="page12"/>
    <w:bookmarkEnd w:id="11"/>
    <w:p>
      <w:pPr>
        <w:ind w:left="440" w:firstLine="443"/>
        <w:spacing w:after="0" w:line="290" w:lineRule="auto"/>
        <w:tabs>
          <w:tab w:leader="none" w:pos="1097" w:val="left"/>
        </w:tabs>
        <w:numPr>
          <w:ilvl w:val="1"/>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Underwriting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37" w:lineRule="exact"/>
        <w:rPr>
          <w:rFonts w:ascii="Arial" w:cs="Arial" w:eastAsia="Arial" w:hAnsi="Arial"/>
          <w:sz w:val="16"/>
          <w:szCs w:val="16"/>
          <w:color w:val="auto"/>
        </w:rPr>
      </w:pPr>
    </w:p>
    <w:p>
      <w:pPr>
        <w:ind w:left="440" w:firstLine="443"/>
        <w:spacing w:after="0" w:line="323" w:lineRule="auto"/>
        <w:tabs>
          <w:tab w:leader="none" w:pos="1107" w:val="left"/>
        </w:tabs>
        <w:numPr>
          <w:ilvl w:val="1"/>
          <w:numId w:val="11"/>
        </w:numPr>
        <w:rPr>
          <w:rFonts w:ascii="Arial" w:cs="Arial" w:eastAsia="Arial" w:hAnsi="Arial"/>
          <w:sz w:val="15"/>
          <w:szCs w:val="15"/>
          <w:color w:val="auto"/>
        </w:rPr>
      </w:pPr>
      <w:r>
        <w:rPr>
          <w:rFonts w:ascii="Arial" w:cs="Arial" w:eastAsia="Arial" w:hAnsi="Arial"/>
          <w:sz w:val="15"/>
          <w:szCs w:val="15"/>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97" w:lineRule="exact"/>
        <w:rPr>
          <w:rFonts w:ascii="Arial" w:cs="Arial" w:eastAsia="Arial" w:hAnsi="Arial"/>
          <w:sz w:val="15"/>
          <w:szCs w:val="15"/>
          <w:color w:val="auto"/>
        </w:rPr>
      </w:pPr>
    </w:p>
    <w:p>
      <w:pPr>
        <w:ind w:left="-20" w:right="540" w:firstLine="464"/>
        <w:spacing w:after="0" w:line="259" w:lineRule="auto"/>
        <w:tabs>
          <w:tab w:leader="none" w:pos="6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Shares and authorization by the Representatives of the release of such Designated Shares, the several Underwriters propose to offer such Designated Shares for sale upon the terms and conditions set forth in the Prospectus as amended or supplemented.</w:t>
      </w:r>
    </w:p>
    <w:p>
      <w:pPr>
        <w:spacing w:after="0" w:line="140" w:lineRule="exact"/>
        <w:rPr>
          <w:rFonts w:ascii="Arial" w:cs="Arial" w:eastAsia="Arial" w:hAnsi="Arial"/>
          <w:sz w:val="18"/>
          <w:szCs w:val="18"/>
          <w:color w:val="auto"/>
        </w:rPr>
      </w:pPr>
    </w:p>
    <w:p>
      <w:pPr>
        <w:ind w:left="-20" w:right="20" w:firstLine="464"/>
        <w:spacing w:after="0" w:line="287" w:lineRule="auto"/>
        <w:tabs>
          <w:tab w:leader="none" w:pos="6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Certificates for the Designated Shares to be purchased by each Underwriter pursuant to the Pricing Agreement relating thereto, in definitive form and in such authorized denominations and registered in such names as the Representatives may request upon at least twenty-four hours’ prior notice to the Company, shall be delivered by or on behalf of the Company to the Representatives for the account of such Underwriter,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or pursuant to such Pricing Agreement or at such other place and time and date as the Representatives and the Company may agree upon in writing. The time and date of delivery of and payment for the Initial Shares (or, if the applicable Pricing Agreement does not grant the Underwriters an option to purchase Option Shares, the Designated Shares) is herein called the “Time of Delivery” for such Shares, and, if the applicable Pricing Agreement grants the Underwriters an option to purchase Option Shares and if the Underwriters exercise such option, in whole or in part, the time and date of delivery of such Option Shares is hereinafter called the “Option Closing Time” for such Shares.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12" w:name="page13"/>
    <w:bookmarkEnd w:id="12"/>
    <w:p>
      <w:pPr>
        <w:ind w:left="180" w:hanging="176"/>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agrees with each of the Underwriters of any Designated Shares that:</w:t>
      </w:r>
    </w:p>
    <w:p>
      <w:pPr>
        <w:spacing w:after="0" w:line="90" w:lineRule="exact"/>
        <w:rPr>
          <w:rFonts w:ascii="Arial" w:cs="Arial" w:eastAsia="Arial" w:hAnsi="Arial"/>
          <w:sz w:val="18"/>
          <w:szCs w:val="18"/>
          <w:color w:val="auto"/>
        </w:rPr>
      </w:pPr>
    </w:p>
    <w:p>
      <w:pPr>
        <w:ind w:firstLine="443"/>
        <w:spacing w:after="0" w:line="285" w:lineRule="auto"/>
        <w:tabs>
          <w:tab w:leader="none" w:pos="677"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Shares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Shares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Shares.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Shares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40" w:lineRule="exact"/>
        <w:rPr>
          <w:rFonts w:ascii="Arial" w:cs="Arial" w:eastAsia="Arial" w:hAnsi="Arial"/>
          <w:sz w:val="16"/>
          <w:szCs w:val="16"/>
          <w:color w:val="auto"/>
        </w:rPr>
      </w:pPr>
    </w:p>
    <w:p>
      <w:pPr>
        <w:ind w:right="20" w:firstLine="443"/>
        <w:spacing w:after="0" w:line="288" w:lineRule="auto"/>
        <w:tabs>
          <w:tab w:leader="none" w:pos="687" w:val="left"/>
        </w:tabs>
        <w:numPr>
          <w:ilvl w:val="1"/>
          <w:numId w:val="13"/>
        </w:numPr>
        <w:rPr>
          <w:rFonts w:ascii="Arial" w:cs="Arial" w:eastAsia="Arial" w:hAnsi="Arial"/>
          <w:sz w:val="16"/>
          <w:szCs w:val="16"/>
          <w:color w:val="auto"/>
        </w:rPr>
      </w:pPr>
      <w:r>
        <w:rPr>
          <w:rFonts w:ascii="Arial" w:cs="Arial" w:eastAsia="Arial" w:hAnsi="Arial"/>
          <w:sz w:val="16"/>
          <w:szCs w:val="16"/>
          <w:color w:val="auto"/>
        </w:rPr>
        <w:t>From the Applicable Time to the Time of Delivery for such Designated Shares (or, if the applicable Pricing Agreement provides for an over-allotment option, prior to the Option Closing Time or, if such over-allotment option is not exercised by the Underwriters, from the Applicable Time to the expiration of such over-allotment option), the Company will give the Representatives notice of its intention to file or prepare any amendment to the Registration Statement or new registration statement relating to the Designated Shares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3" w:name="page14"/>
    <w:bookmarkEnd w:id="13"/>
    <w:p>
      <w:pPr>
        <w:ind w:right="40" w:firstLine="443"/>
        <w:spacing w:after="0" w:line="288" w:lineRule="auto"/>
        <w:tabs>
          <w:tab w:leader="none" w:pos="677"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Shares that would constitute an “issuer free writing prospectus,” as defined in Rule 433, or that would otherwise constitute a “free writing prospectus,” as defined in Rule 405, in each case required to be filed with the Commission; provided, however, that the Underwriters are authorized to use the information on Exhibit C hereto and the information with respect to the final terms of the Designated Shares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38" w:lineRule="exact"/>
        <w:rPr>
          <w:rFonts w:ascii="Arial" w:cs="Arial" w:eastAsia="Arial" w:hAnsi="Arial"/>
          <w:sz w:val="16"/>
          <w:szCs w:val="16"/>
          <w:color w:val="auto"/>
        </w:rPr>
      </w:pPr>
    </w:p>
    <w:p>
      <w:pPr>
        <w:ind w:firstLine="443"/>
        <w:spacing w:after="0" w:line="255"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Shares, provided that in connection therewith the Company shall not be required to qualify as a foreign corporation or to file a general consent to service of process in any jurisdiction;</w:t>
      </w:r>
    </w:p>
    <w:p>
      <w:pPr>
        <w:spacing w:after="0" w:line="61" w:lineRule="exact"/>
        <w:rPr>
          <w:rFonts w:ascii="Arial" w:cs="Arial" w:eastAsia="Arial" w:hAnsi="Arial"/>
          <w:sz w:val="18"/>
          <w:szCs w:val="18"/>
          <w:color w:val="auto"/>
        </w:rPr>
      </w:pPr>
    </w:p>
    <w:p>
      <w:pPr>
        <w:ind w:right="40" w:firstLine="443"/>
        <w:spacing w:after="0" w:line="253" w:lineRule="auto"/>
        <w:tabs>
          <w:tab w:leader="none" w:pos="6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 T;</w:t>
      </w:r>
    </w:p>
    <w:p>
      <w:pPr>
        <w:spacing w:after="0" w:line="66" w:lineRule="exact"/>
        <w:rPr>
          <w:rFonts w:ascii="Arial" w:cs="Arial" w:eastAsia="Arial" w:hAnsi="Arial"/>
          <w:sz w:val="18"/>
          <w:szCs w:val="18"/>
          <w:color w:val="auto"/>
        </w:rPr>
      </w:pPr>
    </w:p>
    <w:p>
      <w:pPr>
        <w:ind w:right="100" w:firstLine="443"/>
        <w:spacing w:after="0" w:line="306" w:lineRule="auto"/>
        <w:tabs>
          <w:tab w:leader="none" w:pos="65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4" w:name="page15"/>
    <w:bookmarkEnd w:id="1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Issuer Free Writing Prospectus, if any, for purposes permitted by the Act. The Company will furnish to each Underwriter, without charge, during the period when the Prospectus is required to be delivered under the Act in connection with sales of the Designated Shares,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37" w:lineRule="exact"/>
        <w:rPr>
          <w:sz w:val="20"/>
          <w:szCs w:val="20"/>
          <w:color w:val="auto"/>
        </w:rPr>
      </w:pPr>
    </w:p>
    <w:p>
      <w:pPr>
        <w:ind w:right="20" w:firstLine="443"/>
        <w:spacing w:after="0" w:line="304" w:lineRule="auto"/>
        <w:tabs>
          <w:tab w:leader="none" w:pos="6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Shares as contemplated in this Underwriting Agreement, a related Pricing Agreement and in the Prospectus. If at any time when a prospectus is required by the Act to be delivered in connection with sales of the Designated Shares,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Shares)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Shares)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3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15" w:name="page16"/>
    <w:bookmarkEnd w:id="15"/>
    <w:p>
      <w:pPr>
        <w:ind w:right="200" w:firstLine="443"/>
        <w:spacing w:after="0" w:line="259" w:lineRule="auto"/>
        <w:tabs>
          <w:tab w:leader="none" w:pos="687" w:val="left"/>
        </w:tabs>
        <w:numPr>
          <w:ilvl w:val="1"/>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59" w:lineRule="exact"/>
        <w:rPr>
          <w:rFonts w:ascii="Arial" w:cs="Arial" w:eastAsia="Arial" w:hAnsi="Arial"/>
          <w:sz w:val="18"/>
          <w:szCs w:val="18"/>
          <w:color w:val="auto"/>
        </w:rPr>
      </w:pPr>
    </w:p>
    <w:p>
      <w:pPr>
        <w:ind w:firstLine="443"/>
        <w:spacing w:after="0" w:line="295" w:lineRule="auto"/>
        <w:tabs>
          <w:tab w:leader="none" w:pos="648" w:val="left"/>
        </w:tabs>
        <w:numPr>
          <w:ilvl w:val="1"/>
          <w:numId w:val="16"/>
        </w:numPr>
        <w:rPr>
          <w:rFonts w:ascii="Arial" w:cs="Arial" w:eastAsia="Arial" w:hAnsi="Arial"/>
          <w:sz w:val="15"/>
          <w:szCs w:val="15"/>
          <w:color w:val="auto"/>
        </w:rPr>
      </w:pPr>
      <w:r>
        <w:rPr>
          <w:rFonts w:ascii="Arial" w:cs="Arial" w:eastAsia="Arial" w:hAnsi="Arial"/>
          <w:sz w:val="15"/>
          <w:szCs w:val="15"/>
          <w:color w:val="auto"/>
        </w:rPr>
        <w:t>During the period beginning on and including the date of the Pricing Agreement for such Designated Shares and continuing through and including the 45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after the date of the Pricing Agreement (the “Lock-Up Period”), not to offer, sell, contract to sell, pledge or otherwise issue or dispose of (or enter into any transaction that is designed to, or might reasonably be expected to, result in the disposition of (whether by actual disposition or effective economic disposition due to cash settlement or otherwise) by the Company), directly or indirectly, or establish or increase a put equivalent position or liquidate or decrease a call equivalent position with the meaning of Section 16 of the Exchange Act and the rules and regulations of the Commission promulgated thereunder with respect to, (i) if such Designated Shares are Common Shares, any Common Shares, any capital shares of the Company which are substantially similar to Common Shares or any securities convertible into or exercisable, exchangeable or redeemable for Common Shares or any capital shares of the Company which are substantially similar to Common Shares or (ii) if such Designated Shares are Preferred Shares, any such Preferred Shares, any capital shares of the Company which are substantially similar to such Preferred Shares or any securities convertible into or exercisable, exchangeable or redeemable for any such Preferred Shares or any capital shares of the Company which are substantially similar to such Preferred Shares, or publicly announce an intention to effect any such transaction, in each case without the prior written consent of the Representatives. The foregoing restrictions in this Section 5(i) shall not prohibit the sale of such Designated Shares to the Underwriters pursuant to this Agreement and the applicable Pricing Agreement, and shall not prohibit the Company from (A) issuing Common Shares (including upon exercise of share options) or granting options to purchase Common Shares pursuant to (x) the Company’s Dividend Reinvestment and Share Purchase Plan as in effect on the date of the applicable Pricing Agreement, (y) any of the Company’s employee or trustee benefit plans as such plans are in effect on the date of the applicable Pricing Agreement or</w:t>
      </w:r>
    </w:p>
    <w:p>
      <w:pPr>
        <w:spacing w:after="0" w:line="10" w:lineRule="exact"/>
        <w:rPr>
          <w:rFonts w:ascii="Arial" w:cs="Arial" w:eastAsia="Arial" w:hAnsi="Arial"/>
          <w:sz w:val="15"/>
          <w:szCs w:val="15"/>
          <w:color w:val="auto"/>
        </w:rPr>
      </w:pPr>
    </w:p>
    <w:p>
      <w:pPr>
        <w:ind w:right="20" w:firstLine="4"/>
        <w:spacing w:after="0" w:line="300" w:lineRule="auto"/>
        <w:tabs>
          <w:tab w:leader="none" w:pos="239"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exercise of contractual rights existing on the date of the applicable Pricing Agreement by current and former holders of partnership or other interests in certain of the “DownREIT” and other Entities listed in Exhibit E hereto which may result in the issuance of Common Shares by the Company, and</w:t>
      </w:r>
    </w:p>
    <w:p>
      <w:pPr>
        <w:ind w:right="80"/>
        <w:spacing w:after="0" w:line="278" w:lineRule="auto"/>
        <w:rPr>
          <w:rFonts w:ascii="Arial" w:cs="Arial" w:eastAsia="Arial" w:hAnsi="Arial"/>
          <w:sz w:val="15"/>
          <w:szCs w:val="15"/>
          <w:color w:val="auto"/>
        </w:rPr>
      </w:pPr>
      <w:r>
        <w:rPr>
          <w:rFonts w:ascii="Arial" w:cs="Arial" w:eastAsia="Arial" w:hAnsi="Arial"/>
          <w:sz w:val="16"/>
          <w:szCs w:val="16"/>
          <w:color w:val="auto"/>
        </w:rPr>
        <w:t>(B) issuing Common Shares, Preferred Shares and any other securities of the Company (the “Acquisition Securities”), including, without limitation, securities convertible into or exercisable, exchangeable or redeemable for Common Shares, as consideration for the acquisition of real property, provided that (i) the Acquisition Securities are not sold (with respect to Acquisition Securities that are Common Shares) and are not convertible, exercisable, exchangeable or redeemable for or into Common Shares (with respect to Acquisition Securities that are not Common Shares), in each case prior to the day following the 45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the date of the Pricing Agreement and (ii) the Company shall not release, modify or waive the restriction set forth in this clause (B) with respect to the Acquisition Securities without the prior written consent of the Representatives.</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16" w:name="page17"/>
    <w:bookmarkEnd w:id="16"/>
    <w:p>
      <w:pPr>
        <w:ind w:left="440" w:right="140" w:firstLine="443"/>
        <w:spacing w:after="0" w:line="268" w:lineRule="auto"/>
        <w:tabs>
          <w:tab w:leader="none" w:pos="1088"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use the net proceeds received by it from the sale of the Designated Shares in the manner specified in the Prospectus under the caption “Use of Proceeds”;</w:t>
      </w:r>
    </w:p>
    <w:p>
      <w:pPr>
        <w:spacing w:after="0" w:line="50" w:lineRule="exact"/>
        <w:rPr>
          <w:rFonts w:ascii="Arial" w:cs="Arial" w:eastAsia="Arial" w:hAnsi="Arial"/>
          <w:sz w:val="18"/>
          <w:szCs w:val="18"/>
          <w:color w:val="auto"/>
        </w:rPr>
      </w:pPr>
    </w:p>
    <w:p>
      <w:pPr>
        <w:ind w:left="440" w:right="280" w:firstLine="443"/>
        <w:spacing w:after="0" w:line="268" w:lineRule="auto"/>
        <w:tabs>
          <w:tab w:leader="none" w:pos="11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will qualify as a “real estate investment trust” under the Code, and to use its best efforts to continue to meet the requirements to qualify as a “real estate investment trust”; and</w:t>
      </w:r>
    </w:p>
    <w:p>
      <w:pPr>
        <w:spacing w:after="0" w:line="50" w:lineRule="exact"/>
        <w:rPr>
          <w:rFonts w:ascii="Arial" w:cs="Arial" w:eastAsia="Arial" w:hAnsi="Arial"/>
          <w:sz w:val="18"/>
          <w:szCs w:val="18"/>
          <w:color w:val="auto"/>
        </w:rPr>
      </w:pPr>
    </w:p>
    <w:p>
      <w:pPr>
        <w:ind w:left="440" w:right="40" w:firstLine="443"/>
        <w:spacing w:after="0" w:line="289" w:lineRule="auto"/>
        <w:tabs>
          <w:tab w:leader="none" w:pos="1088"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Company acknowledges and agrees that the Underwriters of such Designated Shares are acting solely in the capacity of an arm’s length contractual counterparty to the Company with respect to the offering of such Designated Shares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37" w:lineRule="exact"/>
        <w:rPr>
          <w:rFonts w:ascii="Arial" w:cs="Arial" w:eastAsia="Arial" w:hAnsi="Arial"/>
          <w:sz w:val="16"/>
          <w:szCs w:val="16"/>
          <w:color w:val="auto"/>
        </w:rPr>
      </w:pPr>
    </w:p>
    <w:p>
      <w:pPr>
        <w:ind w:left="-20" w:firstLine="464"/>
        <w:spacing w:after="0" w:line="285" w:lineRule="auto"/>
        <w:tabs>
          <w:tab w:leader="none" w:pos="6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Blue Sky and legal investment surveys and any other documents in connection with the offering, purchase, sale and delivery of the Shares; (iii) all expenses in connection with the qualification of the Shares for offering and sale under state securities laws as provided in Section 5(d) hereof, including the fees and disbursements of counsel for the Underwriters in connection with such qualification and in connection with the Blue Sky and legal investment surveys; (iv) any filing fees incident to any required review by the National Association of Securities Dealers, Inc. of the terms of the sale of the Shares; (v) the cost of preparing certificates for the Designated Shares; (vi) the costs and charges of any transfer agent or registrar or dividend disbursing agent in connection with the Designated Shares; (vii) all other costs and expenses incident to the performance of its obligations hereunder which are not otherwise specifically provided for in this Section; and (viii) the costs and expenses (including without limitation any damages or other amounts payable in connection with legal or contractual liability) associated with the reforming of any contracts for sale of the Designated Shares made by the Underwriters caused by a breach of the representation contained in the sixth paragraph of Section 2(c) hereof. It is understood, however, that, except as provided in this Section, Section 8 and Section 11 hereof, the Underwriters will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80" w:right="239" w:bottom="1440" w:gutter="0" w:footer="0" w:header="0"/>
        </w:sectPr>
      </w:pPr>
    </w:p>
    <w:bookmarkStart w:id="17" w:name="page18"/>
    <w:bookmarkEnd w:id="17"/>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 all of their own costs and expenses, including the fees of their counsel, transfer taxes on resale of any of the Shares by them, and any advertising expenses connected with any offers they may make.</w:t>
      </w:r>
    </w:p>
    <w:p>
      <w:pPr>
        <w:spacing w:after="0" w:line="132" w:lineRule="exact"/>
        <w:rPr>
          <w:sz w:val="20"/>
          <w:szCs w:val="20"/>
          <w:color w:val="auto"/>
        </w:rPr>
      </w:pPr>
    </w:p>
    <w:p>
      <w:pPr>
        <w:ind w:right="260" w:firstLine="464"/>
        <w:spacing w:after="0" w:line="294"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obligations of the Underwriters of any Designated Shares under the Pricing Agreement relating to such Designated Shares shall be subject, in the discretion of the Representatives, to the condition that all representations and warranties and other statements of the Company in, or incorporated by reference from this Underwriting Agreement into, the Pricing Agreement relating to such Designated Shares are, at and as of the Time of Delivery for such Designated Shares (and, if applicable, at and as of the Option Closing Time for any such Designated Shares) true and correct, to the condition that the Company shall have performed all of its obligations hereunder theretofore to be performed, and to the following additional conditions:</w:t>
      </w:r>
    </w:p>
    <w:p>
      <w:pPr>
        <w:spacing w:after="0" w:line="34" w:lineRule="exact"/>
        <w:rPr>
          <w:rFonts w:ascii="Arial" w:cs="Arial" w:eastAsia="Arial" w:hAnsi="Arial"/>
          <w:sz w:val="16"/>
          <w:szCs w:val="16"/>
          <w:color w:val="auto"/>
        </w:rPr>
      </w:pPr>
    </w:p>
    <w:p>
      <w:pPr>
        <w:ind w:left="460" w:right="120" w:firstLine="443"/>
        <w:spacing w:after="0" w:line="301" w:lineRule="auto"/>
        <w:tabs>
          <w:tab w:leader="none" w:pos="1137" w:val="left"/>
        </w:tabs>
        <w:numPr>
          <w:ilvl w:val="1"/>
          <w:numId w:val="20"/>
        </w:numPr>
        <w:rPr>
          <w:rFonts w:ascii="Arial" w:cs="Arial" w:eastAsia="Arial" w:hAnsi="Arial"/>
          <w:sz w:val="15"/>
          <w:szCs w:val="15"/>
          <w:color w:val="auto"/>
        </w:rPr>
      </w:pPr>
      <w:r>
        <w:rPr>
          <w:rFonts w:ascii="Arial" w:cs="Arial" w:eastAsia="Arial" w:hAnsi="Arial"/>
          <w:sz w:val="15"/>
          <w:szCs w:val="15"/>
          <w:color w:val="auto"/>
        </w:rPr>
        <w:t>The Prospectus containing the 430B Information as amended or supplemented in relation to the applicable Designated Shares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Shares within the time period required by Rule 456(b)(1)(i) under the Act without regard to the proviso therein and otherwise in accordance with Rules 456(b) and 457(r) under the Act and, if applicable, shall have updated the “Calculation of Registration Fee” table in accordance with</w:t>
      </w:r>
    </w:p>
    <w:p>
      <w:pPr>
        <w:spacing w:after="0" w:line="4"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6"/>
          <w:szCs w:val="16"/>
          <w:color w:val="auto"/>
        </w:rPr>
        <w:t>Rule 456(b)(1)(ii) either in a post-effective amendment to the Registration Statement or on the cover page of a prospectus filed pursuant to Rule 424(b).</w:t>
      </w:r>
    </w:p>
    <w:p>
      <w:pPr>
        <w:spacing w:after="0" w:line="106" w:lineRule="exact"/>
        <w:rPr>
          <w:rFonts w:ascii="Arial" w:cs="Arial" w:eastAsia="Arial" w:hAnsi="Arial"/>
          <w:sz w:val="15"/>
          <w:szCs w:val="15"/>
          <w:color w:val="auto"/>
        </w:rPr>
      </w:pPr>
    </w:p>
    <w:p>
      <w:pPr>
        <w:ind w:left="460" w:right="40" w:firstLine="443"/>
        <w:spacing w:after="0" w:line="254" w:lineRule="auto"/>
        <w:tabs>
          <w:tab w:leader="none" w:pos="11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r>
        <w:rPr>
          <w:rFonts w:ascii="Arial" w:cs="Arial" w:eastAsia="Arial" w:hAnsi="Arial"/>
          <w:sz w:val="18"/>
          <w:szCs w:val="18"/>
          <w:color w:val="auto"/>
        </w:rPr>
        <w:t xml:space="preserve">, counsel for the Underwriters, shall have furnished to the Representatives such opinion or opinions, dated the Time of Delivery for such Designated Shares, with respect to the organization of the Company, the validity of the Designated Shares being delivered at such Time of Delivery,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4"/>
          <w:szCs w:val="14"/>
          <w:color w:val="auto"/>
        </w:rPr>
        <w:t>LLP</w:t>
      </w:r>
      <w:r>
        <w:rPr>
          <w:rFonts w:ascii="Arial" w:cs="Arial" w:eastAsia="Arial" w:hAnsi="Arial"/>
          <w:sz w:val="18"/>
          <w:szCs w:val="18"/>
          <w:color w:val="auto"/>
        </w:rPr>
        <w:t xml:space="preserve"> may rely, as to all matters arising under or governed by the laws of the State of Maryland, on the opinion of Pillsbury Winthrop Shaw Pittman LLP);</w:t>
      </w:r>
    </w:p>
    <w:p>
      <w:pPr>
        <w:spacing w:after="0" w:line="63" w:lineRule="exact"/>
        <w:rPr>
          <w:rFonts w:ascii="Arial" w:cs="Arial" w:eastAsia="Arial" w:hAnsi="Arial"/>
          <w:sz w:val="18"/>
          <w:szCs w:val="18"/>
          <w:color w:val="auto"/>
        </w:rPr>
      </w:pPr>
    </w:p>
    <w:p>
      <w:pPr>
        <w:ind w:left="460" w:firstLine="443"/>
        <w:spacing w:after="0" w:line="332" w:lineRule="auto"/>
        <w:tabs>
          <w:tab w:leader="none" w:pos="1137" w:val="left"/>
        </w:tabs>
        <w:numPr>
          <w:ilvl w:val="1"/>
          <w:numId w:val="20"/>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Shares, in form and substance satisfactory to the Representatives, to the effect set forth in Exhibit D hereto;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ind w:right="200" w:firstLine="443"/>
        <w:spacing w:after="0" w:line="302" w:lineRule="auto"/>
        <w:tabs>
          <w:tab w:leader="none" w:pos="687" w:val="left"/>
        </w:tabs>
        <w:numPr>
          <w:ilvl w:val="1"/>
          <w:numId w:val="2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the above opinion, the Representatives shall have received the opinion or opinions of Pillsbury Winthrop Shaw Pittman LLP, Tax Counsel to the Company, dated the Time of Delivery for such Designated Shares, in form and substance satisfactory to the Representatives, to the effect that, subject to customary representations, qualifications and exclusions, (1) the Company qualified as a real estate investment trust (“REIT”) under the Code for its taxable years ending through and including December 31, 2005, (2) the Company is organized in conformity with the requirements for qualification as a REIT under the Code, and its current method of operation will enable it to meet the requirements for qualification as a REIT for the current taxable year and for future taxable years; and (3) the discussion in (x) the Prospectus under the caption “Federal Income Tax Consequences,” and</w:t>
      </w:r>
    </w:p>
    <w:p>
      <w:pPr>
        <w:ind w:firstLine="4"/>
        <w:spacing w:after="0" w:line="288"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31, 2005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Prospectus, to the extent that it discusses matters of law or legal conclusions or purports to describe certain provisions of the federal tax laws, is a correct summary of the matters discussed therein, and the opinions of such counsel appearing in the Prospectus under the captions “Certain Federal Income Tax Considerations” and “Federal Income Tax Consequences” are hereby confirmed;</w:t>
      </w:r>
    </w:p>
    <w:p>
      <w:pPr>
        <w:spacing w:after="0" w:line="41" w:lineRule="exact"/>
        <w:rPr>
          <w:rFonts w:ascii="Arial" w:cs="Arial" w:eastAsia="Arial" w:hAnsi="Arial"/>
          <w:sz w:val="16"/>
          <w:szCs w:val="16"/>
          <w:color w:val="auto"/>
        </w:rPr>
      </w:pPr>
    </w:p>
    <w:p>
      <w:pPr>
        <w:ind w:right="180" w:firstLine="443"/>
        <w:spacing w:after="0" w:line="259" w:lineRule="auto"/>
        <w:tabs>
          <w:tab w:leader="none" w:pos="6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Shares and at the Time of Delivery for such Designated Shares, Grant Thornton LLP, the independent accountants of the Company, shall have furnished to the Underwriters a “comfort letter” in form and substance satisfactory to the Representatives;</w:t>
      </w:r>
    </w:p>
    <w:p>
      <w:pPr>
        <w:spacing w:after="0" w:line="59" w:lineRule="exact"/>
        <w:rPr>
          <w:rFonts w:ascii="Arial" w:cs="Arial" w:eastAsia="Arial" w:hAnsi="Arial"/>
          <w:sz w:val="18"/>
          <w:szCs w:val="18"/>
          <w:color w:val="auto"/>
        </w:rPr>
      </w:pPr>
    </w:p>
    <w:p>
      <w:pPr>
        <w:ind w:right="40" w:firstLine="443"/>
        <w:spacing w:after="0" w:line="286" w:lineRule="auto"/>
        <w:tabs>
          <w:tab w:leader="none" w:pos="657" w:val="left"/>
        </w:tabs>
        <w:numPr>
          <w:ilvl w:val="1"/>
          <w:numId w:val="22"/>
        </w:numPr>
        <w:rPr>
          <w:rFonts w:ascii="Arial" w:cs="Arial" w:eastAsia="Arial" w:hAnsi="Arial"/>
          <w:sz w:val="16"/>
          <w:szCs w:val="16"/>
          <w:color w:val="auto"/>
        </w:rPr>
      </w:pPr>
      <w:r>
        <w:rPr>
          <w:rFonts w:ascii="Arial" w:cs="Arial" w:eastAsia="Arial" w:hAnsi="Arial"/>
          <w:sz w:val="16"/>
          <w:szCs w:val="16"/>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Exhibit E hereto which may require or permit (in lieu of a payment in cash) the issuance of Common Shares of the Company) or increase in long-term debt of the Company or any of the Entities or any change, or any development involving a prospective change, in or affecting the general</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19" w:name="page20"/>
    <w:bookmarkEnd w:id="19"/>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affairs, management, financial position, shareholders’ equity or results of operations of the Company and the Entities, otherwise than as set forth or contemplated in the Prospectus and the General Disclosure Package, the effect of which, in any such case described in clause (i) or (ii), is in the judgment of the Representatives so material and adverse as to make it impracticable or inadvisable to proceed with the public offering or the delivery of the Designated Shares on the terms and in the manner contemplated in the Prospectus as amended or supplemented;</w:t>
      </w:r>
    </w:p>
    <w:p>
      <w:pPr>
        <w:spacing w:after="0" w:line="32" w:lineRule="exact"/>
        <w:rPr>
          <w:sz w:val="20"/>
          <w:szCs w:val="20"/>
          <w:color w:val="auto"/>
        </w:rPr>
      </w:pPr>
    </w:p>
    <w:p>
      <w:pPr>
        <w:jc w:val="both"/>
        <w:ind w:firstLine="443"/>
        <w:spacing w:after="0" w:line="298" w:lineRule="auto"/>
        <w:tabs>
          <w:tab w:leader="none" w:pos="6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Shares (i) no downgrading shall have occurred in the rating accorded the Company’s debt securities or preferred shares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shares;</w:t>
      </w:r>
    </w:p>
    <w:p>
      <w:pPr>
        <w:spacing w:after="0" w:line="31" w:lineRule="exact"/>
        <w:rPr>
          <w:rFonts w:ascii="Arial" w:cs="Arial" w:eastAsia="Arial" w:hAnsi="Arial"/>
          <w:sz w:val="16"/>
          <w:szCs w:val="16"/>
          <w:color w:val="auto"/>
        </w:rPr>
      </w:pPr>
    </w:p>
    <w:p>
      <w:pPr>
        <w:ind w:right="80" w:firstLine="443"/>
        <w:spacing w:after="0" w:line="290" w:lineRule="auto"/>
        <w:tabs>
          <w:tab w:leader="none" w:pos="6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Shares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or the delivery of the Designated Shares on the terms and in the manner contemplated in the Prospectus as amended or supplemented;</w:t>
      </w:r>
    </w:p>
    <w:p>
      <w:pPr>
        <w:spacing w:after="0" w:line="37" w:lineRule="exact"/>
        <w:rPr>
          <w:rFonts w:ascii="Arial" w:cs="Arial" w:eastAsia="Arial" w:hAnsi="Arial"/>
          <w:sz w:val="16"/>
          <w:szCs w:val="16"/>
          <w:color w:val="auto"/>
        </w:rPr>
      </w:pPr>
    </w:p>
    <w:p>
      <w:pPr>
        <w:ind w:right="560" w:firstLine="443"/>
        <w:spacing w:after="0" w:line="268"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w:t>
      </w:r>
    </w:p>
    <w:p>
      <w:pPr>
        <w:spacing w:after="0" w:line="50" w:lineRule="exact"/>
        <w:rPr>
          <w:rFonts w:ascii="Arial" w:cs="Arial" w:eastAsia="Arial" w:hAnsi="Arial"/>
          <w:sz w:val="18"/>
          <w:szCs w:val="18"/>
          <w:color w:val="auto"/>
        </w:rPr>
      </w:pPr>
    </w:p>
    <w:p>
      <w:pPr>
        <w:ind w:firstLine="443"/>
        <w:spacing w:after="0" w:line="255"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Shares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(f) of this Section and as to such other matters as the Representatives may reasonably request;</w:t>
      </w:r>
    </w:p>
    <w:p>
      <w:pPr>
        <w:spacing w:after="0" w:line="61" w:lineRule="exact"/>
        <w:rPr>
          <w:rFonts w:ascii="Arial" w:cs="Arial" w:eastAsia="Arial" w:hAnsi="Arial"/>
          <w:sz w:val="18"/>
          <w:szCs w:val="18"/>
          <w:color w:val="auto"/>
        </w:rPr>
      </w:pPr>
    </w:p>
    <w:p>
      <w:pPr>
        <w:ind w:right="360" w:firstLine="443"/>
        <w:spacing w:after="0" w:line="268" w:lineRule="auto"/>
        <w:tabs>
          <w:tab w:leader="none" w:pos="6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or prior to the date of the Pricing Agreement, the Representatives shall have received an agreement substantially in the form of Exhibit F hereto signed by each of the persons listed in Schedule III to such Pricing Agreement;</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700" w:top="280" w:right="279" w:bottom="1440" w:gutter="0" w:footer="0" w:header="0"/>
        </w:sectPr>
      </w:pPr>
    </w:p>
    <w:bookmarkStart w:id="20" w:name="page21"/>
    <w:bookmarkEnd w:id="20"/>
    <w:p>
      <w:pPr>
        <w:ind w:left="1120" w:hanging="217"/>
        <w:spacing w:after="0"/>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Designated Shares shall have been approved for listing on the NYSE, subject to official notice of issuance; and</w:t>
      </w:r>
    </w:p>
    <w:p>
      <w:pPr>
        <w:spacing w:after="0" w:line="90" w:lineRule="exact"/>
        <w:rPr>
          <w:rFonts w:ascii="Arial" w:cs="Arial" w:eastAsia="Arial" w:hAnsi="Arial"/>
          <w:sz w:val="18"/>
          <w:szCs w:val="18"/>
          <w:color w:val="auto"/>
        </w:rPr>
      </w:pPr>
    </w:p>
    <w:p>
      <w:pPr>
        <w:ind w:left="460" w:right="60" w:firstLine="443"/>
        <w:spacing w:after="0" w:line="288" w:lineRule="auto"/>
        <w:tabs>
          <w:tab w:leader="none" w:pos="1196"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In the event that the Pricing Agreement with respect to the Designated Shares grants the Underwriters an option to purchase Option Shares from the Company and the Underwriters exercise such option to purchase all or any of the Option Shares, the obligations of the Underwriters to purchase such Option Shares at the Option Closing Time shall be subject to the further conditions that the Representatives shall have received legal opinions of Sidley Austin </w:t>
      </w:r>
      <w:r>
        <w:rPr>
          <w:rFonts w:ascii="Arial" w:cs="Arial" w:eastAsia="Arial" w:hAnsi="Arial"/>
          <w:sz w:val="13"/>
          <w:szCs w:val="13"/>
          <w:color w:val="auto"/>
        </w:rPr>
        <w:t>LLP</w:t>
      </w:r>
      <w:r>
        <w:rPr>
          <w:rFonts w:ascii="Arial" w:cs="Arial" w:eastAsia="Arial" w:hAnsi="Arial"/>
          <w:sz w:val="16"/>
          <w:szCs w:val="16"/>
          <w:color w:val="auto"/>
        </w:rPr>
        <w:t xml:space="preserve"> and Pillsbury Winthrop Shaw Pittman LLP, dated such Option Closing Time, relating to the Option Shares to be purchased and otherwise to the same effect as the respective opinions referred to in Sections 7(b), (c) and (d), a certificate or certificates of officers of the Company, dated such Option Closing Time, to the same effect as the certificate or certificates required pursuant to Section 7(j), and a “comfort letter,” dated such Option Closing Time, from Grant Thornton LLP in the same form and substance as the letter furnished to the Underwriters at the Time of Delivery except that the “specified date” in such letter shall be a date not more than five days prior to such Option Closing Time, and that all of the foregoing are satisfactory to the Representatives.</w:t>
      </w:r>
    </w:p>
    <w:p>
      <w:pPr>
        <w:spacing w:after="0" w:line="119" w:lineRule="exact"/>
        <w:rPr>
          <w:rFonts w:ascii="Arial" w:cs="Arial" w:eastAsia="Arial" w:hAnsi="Arial"/>
          <w:sz w:val="16"/>
          <w:szCs w:val="16"/>
          <w:color w:val="auto"/>
        </w:rPr>
      </w:pPr>
    </w:p>
    <w:p>
      <w:pPr>
        <w:ind w:firstLine="464"/>
        <w:spacing w:after="0" w:line="286" w:lineRule="auto"/>
        <w:tabs>
          <w:tab w:leader="none" w:pos="6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Shares,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Shares, or any such amendment or supplement in reliance upon and in conformity with written information furnished to the Company by any Underwriter of Designated Shares through the Representatives expressly for use in the Prospectus as amended or supplemented relating to such Shares.</w:t>
      </w:r>
    </w:p>
    <w:p>
      <w:pPr>
        <w:spacing w:after="0" w:line="124" w:lineRule="exact"/>
        <w:rPr>
          <w:sz w:val="20"/>
          <w:szCs w:val="20"/>
          <w:color w:val="auto"/>
        </w:rPr>
      </w:pPr>
    </w:p>
    <w:p>
      <w:pPr>
        <w:ind w:right="160" w:firstLine="464"/>
        <w:spacing w:after="0" w:line="255"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Shares, or any amendment 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Shares,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18" w:lineRule="exact"/>
        <w:rPr>
          <w:sz w:val="20"/>
          <w:szCs w:val="20"/>
          <w:color w:val="auto"/>
        </w:rPr>
      </w:pPr>
    </w:p>
    <w:p>
      <w:pPr>
        <w:ind w:right="60" w:firstLine="464"/>
        <w:spacing w:after="0" w:line="282" w:lineRule="auto"/>
        <w:tabs>
          <w:tab w:leader="none" w:pos="695" w:val="left"/>
        </w:tabs>
        <w:numPr>
          <w:ilvl w:val="1"/>
          <w:numId w:val="27"/>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does not include a statement as to or an admission of fault, culpability or a failure to act, by or on behalf of any indemnified party.</w:t>
      </w:r>
    </w:p>
    <w:p>
      <w:pPr>
        <w:spacing w:after="0" w:line="164" w:lineRule="exact"/>
        <w:rPr>
          <w:rFonts w:ascii="Arial" w:cs="Arial" w:eastAsia="Arial" w:hAnsi="Arial"/>
          <w:sz w:val="18"/>
          <w:szCs w:val="18"/>
          <w:color w:val="auto"/>
        </w:rPr>
      </w:pPr>
    </w:p>
    <w:p>
      <w:pPr>
        <w:ind w:left="720" w:hanging="256"/>
        <w:spacing w:after="0"/>
        <w:tabs>
          <w:tab w:leader="none" w:pos="7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38" w:lineRule="exact"/>
        <w:rPr>
          <w:sz w:val="20"/>
          <w:szCs w:val="20"/>
          <w:color w:val="auto"/>
        </w:rPr>
      </w:pPr>
    </w:p>
    <w:p>
      <w:pPr>
        <w:ind w:right="60" w:firstLine="8"/>
        <w:spacing w:after="0" w:line="292" w:lineRule="auto"/>
        <w:tabs>
          <w:tab w:leader="none" w:pos="2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Shares on the other from the offering of the Designated Shares to which such loss, claim, damage or liability (or action in respect thereof) relates. If, however, the allocation provided by the immediately preceding sentence is not permitted by applicable law or if the indemnified party failed to give the notice required 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Shares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Shares in this subsection (d) to contribute are several in proportion to their respective underwriting obligations with respect to such Shares and not joint.</w:t>
      </w:r>
    </w:p>
    <w:p>
      <w:pPr>
        <w:spacing w:after="0" w:line="131" w:lineRule="exact"/>
        <w:rPr>
          <w:sz w:val="20"/>
          <w:szCs w:val="20"/>
          <w:color w:val="auto"/>
        </w:rPr>
      </w:pPr>
    </w:p>
    <w:p>
      <w:pPr>
        <w:ind w:right="20" w:firstLine="464"/>
        <w:spacing w:after="0" w:line="255"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43" w:lineRule="exact"/>
        <w:rPr>
          <w:sz w:val="20"/>
          <w:szCs w:val="20"/>
          <w:color w:val="auto"/>
        </w:rPr>
      </w:pPr>
    </w:p>
    <w:p>
      <w:pPr>
        <w:ind w:right="80" w:firstLine="464"/>
        <w:spacing w:after="0" w:line="256"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If any Underwriter shall default in its obligation to purchase the Designated Shares which it has agreed to purchase at the Time of Delivery or, if applicable, at the Option Closing Time under the Pricing Agreement relating to such Designated Shares, the Representatives may in their discretion arrange for themselves or another party or other parties to purchase such Designated Shares on the terms contained herein. If within thirty-six hours after such default by any Underwriter the Representatives do not arrange for the purchase of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3" w:name="page24"/>
    <w:bookmarkEnd w:id="2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Designated Shares, then the Company shall be entitled to a further period of thirty-six hours within which to procure another party or other parties satisfactory to the Representatives to purchase such Designated Shares on such terms. In the event that, within the respective prescribed period, the Representatives notify the Company that they have so arranged for the purchase of such Designated Shares, or the Company notifies the Representatives that it has so arranged for the purchase of such Designated Shares, the Representatives or the Company shall have the right to postpone the Time of Delivery or the Option Closing Time, as the case may be, for such Designated Shares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with like effect as if such person had originally been a party to the Pricing Agreement with respect to such Designated Shares.</w:t>
      </w:r>
    </w:p>
    <w:p>
      <w:pPr>
        <w:spacing w:after="0" w:line="120" w:lineRule="exact"/>
        <w:rPr>
          <w:sz w:val="20"/>
          <w:szCs w:val="20"/>
          <w:color w:val="auto"/>
        </w:rPr>
      </w:pPr>
    </w:p>
    <w:p>
      <w:pPr>
        <w:ind w:firstLine="464"/>
        <w:spacing w:after="0" w:line="289"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Shares of a defaulting Underwriter or Underwriters by the Representatives and the Company as provided in subsection (a) above, the aggregate number of such Designated Shares which remains unpurchased does not exceed one-tenth of the aggregate number of Designated Shares to be purchased at the Time of Delivery or the Option Closing Time, as the case may be, then the Company shall have the right to require each non-defaulting Underwriter to purchase the number of Designated Shares which such Underwriter agreed to purchase at the Time of Delivery or such Option Closing Time, as the case may be, under the Pricing Agreement relating to such Designated Shares and, in addition, to require each non-defaulting Underwriter to purchase its pro rata share (based on the number of Designated Shares which such Underwriter agreed to purchase under such Pricing Agreement) of the Designated Shares of such defaulting Underwriter or Underwriters for which such arrangements have not been made; but nothing herein shall relieve a defaulting Underwriter from liability for its default.</w:t>
      </w:r>
    </w:p>
    <w:p>
      <w:pPr>
        <w:spacing w:after="0" w:line="118" w:lineRule="exact"/>
        <w:rPr>
          <w:rFonts w:ascii="Arial" w:cs="Arial" w:eastAsia="Arial" w:hAnsi="Arial"/>
          <w:sz w:val="16"/>
          <w:szCs w:val="16"/>
          <w:color w:val="auto"/>
        </w:rPr>
      </w:pPr>
    </w:p>
    <w:p>
      <w:pPr>
        <w:ind w:firstLine="464"/>
        <w:spacing w:after="0" w:line="287"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Shares of a defaulting Underwriter or Underwriters by the Representatives and the Company as provided in subsection (a) above, the aggregate number of Designated Shares which remains unpurchased exceeds one-tenth of the aggregate number of the Designated Shares to be purchased at the Time of Delivery or the Option Closing Time, as the case may be, as referred to in subsection (b) above, or if the Company shall not exercise the right described in subsection (b) above to require non-defaulting Underwriters to purchase Designated Shares of a defaulting Underwriter or Underwriters, then, in the case of a failure to purchase Designated Shares at the Time of Delivery, the Pricing Agreement relating to such Designated Shares shall thereupon terminate, without liability on the part of any non-defaulting Underwriter or the Company, except for the expenses to be borne by the Company and the Underwriters as provided in Section 6 hereof and the indemnity and contribution agreements in Section 8 hereof or, in the case of a failure to purchase Designated Shares at an Option Closing Time which is after the Time of Delivery, the several obligations of the Underwriters to purchase and the obligation of the Company to sell such Designated Shares at such Option Closing Time shall terminate without liability on the part of any non-defaulting Underwriter or the Company, but nothing herein shall relieve a defaulting Underwriter from liability for its default.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4" w:name="page25"/>
    <w:bookmarkEnd w:id="24"/>
    <w:p>
      <w:pPr>
        <w:ind w:right="80" w:firstLine="464"/>
        <w:spacing w:after="0" w:line="298"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Shares.</w:t>
      </w:r>
    </w:p>
    <w:p>
      <w:pPr>
        <w:spacing w:after="0" w:line="112" w:lineRule="exact"/>
        <w:rPr>
          <w:rFonts w:ascii="Arial" w:cs="Arial" w:eastAsia="Arial" w:hAnsi="Arial"/>
          <w:sz w:val="16"/>
          <w:szCs w:val="16"/>
          <w:color w:val="auto"/>
        </w:rPr>
      </w:pPr>
    </w:p>
    <w:p>
      <w:pPr>
        <w:ind w:right="60" w:firstLine="464"/>
        <w:spacing w:after="0" w:line="290" w:lineRule="auto"/>
        <w:tabs>
          <w:tab w:leader="none" w:pos="71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any Pricing Agreement shall be terminated pursuant to Section 9 hereof, the Company shall not then be under any liability to any Underwriter with respect to the Designated Shares covered by such Pricing Agreement except as provided in Section 6 and Section 8 hereof. If this Underwriting Agreement shall be terminated as a result of any of the conditions set forth in Section 7 (other than clause (i), (iii) or (iv) of Section 7(h))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Shares, but the Company shall then be under no further liability to any Underwriter with respect to such Designated Shares except as provided in Section 6 and Section 8 hereof.</w:t>
      </w:r>
    </w:p>
    <w:p>
      <w:pPr>
        <w:spacing w:after="0" w:line="118" w:lineRule="exact"/>
        <w:rPr>
          <w:rFonts w:ascii="Arial" w:cs="Arial" w:eastAsia="Arial" w:hAnsi="Arial"/>
          <w:sz w:val="16"/>
          <w:szCs w:val="16"/>
          <w:color w:val="auto"/>
        </w:rPr>
      </w:pPr>
    </w:p>
    <w:p>
      <w:pPr>
        <w:ind w:firstLine="464"/>
        <w:spacing w:after="0" w:line="306"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all dealings hereunder, the Representatives of the Underwriters of Designated Shares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18" w:lineRule="exact"/>
        <w:rPr>
          <w:sz w:val="20"/>
          <w:szCs w:val="20"/>
          <w:color w:val="auto"/>
        </w:rPr>
      </w:pPr>
    </w:p>
    <w:p>
      <w:pPr>
        <w:ind w:right="80" w:firstLine="464"/>
        <w:spacing w:after="0" w:line="294"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Shares from any Underwriter shall be deemed a successor or assign by reason merely of such purchase.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5" w:name="page26"/>
    <w:bookmarkEnd w:id="25"/>
    <w:p>
      <w:pPr>
        <w:ind w:left="-180" w:right="600" w:firstLine="464"/>
        <w:spacing w:after="0" w:line="26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shall be of the essence of each Pricing Agreement. As used herein, “business day” shall mean any day when the Commission’s office in Washington, D.C. is open for business.</w:t>
      </w:r>
    </w:p>
    <w:p>
      <w:pPr>
        <w:spacing w:after="0" w:line="131" w:lineRule="exact"/>
        <w:rPr>
          <w:rFonts w:ascii="Arial" w:cs="Arial" w:eastAsia="Arial" w:hAnsi="Arial"/>
          <w:sz w:val="18"/>
          <w:szCs w:val="18"/>
          <w:color w:val="auto"/>
        </w:rPr>
      </w:pPr>
    </w:p>
    <w:p>
      <w:pPr>
        <w:ind w:left="540" w:hanging="256"/>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 York.</w:t>
      </w:r>
    </w:p>
    <w:p>
      <w:pPr>
        <w:spacing w:after="0" w:line="194" w:lineRule="exact"/>
        <w:rPr>
          <w:rFonts w:ascii="Arial" w:cs="Arial" w:eastAsia="Arial" w:hAnsi="Arial"/>
          <w:sz w:val="16"/>
          <w:szCs w:val="16"/>
          <w:color w:val="auto"/>
        </w:rPr>
      </w:pPr>
    </w:p>
    <w:p>
      <w:pPr>
        <w:ind w:left="-180" w:right="220" w:firstLine="464"/>
        <w:spacing w:after="0" w:line="332"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420" w:top="280" w:right="39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Underwriting Agreement to us.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Dawn M. Becker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Dawn M. Becker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 General</w:t>
            </w:r>
          </w:p>
        </w:tc>
      </w:tr>
      <w:tr>
        <w:trPr>
          <w:trHeight w:val="222"/>
        </w:trPr>
        <w:tc>
          <w:tcPr>
            <w:tcW w:w="580" w:type="dxa"/>
            <w:vAlign w:val="bottom"/>
          </w:tcPr>
          <w:p>
            <w:pPr>
              <w:spacing w:after="0"/>
              <w:rPr>
                <w:sz w:val="19"/>
                <w:szCs w:val="19"/>
                <w:color w:val="auto"/>
              </w:rPr>
            </w:pPr>
          </w:p>
        </w:tc>
        <w:tc>
          <w:tcPr>
            <w:tcW w:w="3980" w:type="dxa"/>
            <w:vAlign w:val="bottom"/>
          </w:tcPr>
          <w:p>
            <w:pPr>
              <w:ind w:left="360"/>
              <w:spacing w:after="0"/>
              <w:rPr>
                <w:sz w:val="20"/>
                <w:szCs w:val="20"/>
                <w:color w:val="auto"/>
              </w:rPr>
            </w:pPr>
            <w:r>
              <w:rPr>
                <w:rFonts w:ascii="Arial" w:cs="Arial" w:eastAsia="Arial" w:hAnsi="Arial"/>
                <w:sz w:val="18"/>
                <w:szCs w:val="18"/>
                <w:color w:val="auto"/>
              </w:rPr>
              <w:t>Counsel and Secretary</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7012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David H. Herman</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7" w:name="page28"/>
    <w:bookmarkEnd w:id="27"/>
    <w:p>
      <w:pPr>
        <w:ind w:left="10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14,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 named in Schedule I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September 14, 2006 (the “Underwriting Agreement”), between the Company on the one hand and Wachovia Capital Markets, LLC, as representative of the several underwriters named in Schedule I hereto (the “Underwriters”), on the other hand, to issue and sell to the Underwriters, the Shares specified in Schedule II hereto (the “Designated Shares”).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Shares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 designated to act on behalf of the Representatives pursuant to Section 12 of the Underwriting Agreement is Wachovia Capital Markets, LLC, and the Representatives designated to act on behalf of each of the Underwriters of the Designated Shares pursuant to Section 12 of the Underwriting Agreement is Wachovia Capital Markets, LLC and the address of the Representatives referred to in such Section 12 are set forth in Schedule II hereto.</w:t>
      </w:r>
    </w:p>
    <w:p>
      <w:pPr>
        <w:spacing w:after="0" w:line="126"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A supplement to the Prospectus relating to the Designated Shares, in the form heretofore delivered to you, is now proposed to be filed with the Commission.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8" w:name="page29"/>
    <w:bookmarkEnd w:id="28"/>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at the Time of Delivery and place and at the purchase price to the Underwriters set forth in Schedule II hereto, the number of Initial Shares (as defined in Schedule II hereto) set forth opposite the name of such Underwriter in Schedule I hereto.</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subject to the terms and conditions set forth herein and in the Underwriting Agreement incorporated herein by reference, the Company hereby grants an option to the Underwriters to purchase, severally and not jointly, up to the number of Option Shares (as defined in Schedule II hereto) specified in Schedule II hereto at the place and purchase price to the Underwriters set forth in Schedule II hereto and at the Option Closing Time specified by the Representatives as provided below. The option hereby granted will expire at 11:59 p.m. (New York City time) on the 30th day after the date of this Pricing Agreement and may be exercised once, in whole or in part, for the purpose of covering over-allotments which may be made in connection with the offering and distribution of the Initial Shares upon notice by the Representatives to the Company setting forth the number of Option Shares as to which the several Underwriters are then exercising the option and the Option Closing Time for such Option Shares. Any such Option Closing Time shall be determined by the Representatives but shall not be later than seven full business days after the exercise of such option nor in any event prior to the Time of Delivery. If the option is exercised as to all or any portion of the Option Shares, each of the Underwriters, acting severally and not jointly, will be obligated to purchase that proportion of the total number of Option Shares then being purchased which the number of Initial Shares set forth in Schedule II hereto opposite the name of such Underwriter bears to the total number of Initial Shares (subject in each case to such adjustments as the Representatives in their discretion shall make to eliminate any sales or purchases of fractional shares), and the Company shall be obligated to issue and sell such Option Shares to the several Underwriters, in each case subject to the terms and conditions set forth herein and in the Underwriting Agreement incorporated by reference herein.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40"/>
          </w:cols>
          <w:pgMar w:left="240" w:top="280" w:right="319" w:bottom="1440" w:gutter="0" w:footer="0" w:header="0"/>
        </w:sectPr>
      </w:pPr>
    </w:p>
    <w:bookmarkStart w:id="29" w:name="page30"/>
    <w:bookmarkEnd w:id="29"/>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 its own behalf and as Representative of</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several Underwriters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2540</wp:posOffset>
            </wp:positionV>
            <wp:extent cx="27012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80"/>
          </w:cols>
          <w:pgMar w:left="240" w:top="280" w:right="5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7680" w:type="dxa"/>
            <w:vAlign w:val="bottom"/>
            <w:gridSpan w:val="3"/>
          </w:tcPr>
          <w:p>
            <w:pPr>
              <w:jc w:val="center"/>
              <w:ind w:right="3661"/>
              <w:spacing w:after="0"/>
              <w:rPr>
                <w:sz w:val="20"/>
                <w:szCs w:val="20"/>
                <w:color w:val="auto"/>
              </w:rPr>
            </w:pPr>
            <w:r>
              <w:rPr>
                <w:rFonts w:ascii="Arial" w:cs="Arial" w:eastAsia="Arial" w:hAnsi="Arial"/>
                <w:sz w:val="18"/>
                <w:szCs w:val="18"/>
                <w:color w:val="auto"/>
                <w:w w:val="94"/>
              </w:rPr>
              <w:t>SCHEDULE I</w:t>
            </w:r>
          </w:p>
        </w:tc>
      </w:tr>
      <w:tr>
        <w:trPr>
          <w:trHeight w:val="340"/>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Initial Shares</w:t>
            </w:r>
          </w:p>
        </w:tc>
      </w:tr>
      <w:tr>
        <w:trPr>
          <w:trHeight w:val="168"/>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5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4"/>
              </w:rPr>
              <w:t>to be Purchased</w:t>
            </w:r>
          </w:p>
        </w:tc>
      </w:tr>
      <w:tr>
        <w:trPr>
          <w:trHeight w:val="216"/>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588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•,000</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w:t>
            </w:r>
          </w:p>
        </w:tc>
        <w:tc>
          <w:tcPr>
            <w:tcW w:w="5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•,000</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w:t>
            </w:r>
          </w:p>
        </w:tc>
      </w:tr>
      <w:tr>
        <w:trPr>
          <w:trHeight w:val="323"/>
        </w:trPr>
        <w:tc>
          <w:tcPr>
            <w:tcW w:w="20" w:type="dxa"/>
            <w:vAlign w:val="bottom"/>
          </w:tcPr>
          <w:p>
            <w:pPr>
              <w:spacing w:after="0"/>
              <w:rPr>
                <w:sz w:val="24"/>
                <w:szCs w:val="24"/>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Total</w:t>
            </w:r>
          </w:p>
        </w:tc>
        <w:tc>
          <w:tcPr>
            <w:tcW w:w="5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•,000</w:t>
            </w: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7680" w:type="dxa"/>
            <w:vAlign w:val="bottom"/>
            <w:gridSpan w:val="3"/>
          </w:tcPr>
          <w:p>
            <w:pPr>
              <w:jc w:val="center"/>
              <w:ind w:right="3641"/>
              <w:spacing w:after="0"/>
              <w:rPr>
                <w:sz w:val="20"/>
                <w:szCs w:val="20"/>
                <w:color w:val="auto"/>
              </w:rPr>
            </w:pPr>
            <w:r>
              <w:rPr>
                <w:rFonts w:ascii="Arial" w:cs="Arial" w:eastAsia="Arial" w:hAnsi="Arial"/>
                <w:sz w:val="18"/>
                <w:szCs w:val="18"/>
                <w:color w:val="auto"/>
                <w:w w:val="94"/>
              </w:rPr>
              <w:t>I-1</w:t>
            </w:r>
          </w:p>
        </w:tc>
      </w:tr>
    </w:tbl>
    <w:p>
      <w:pPr>
        <w:jc w:val="center"/>
        <w:ind w:right="3641"/>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1" w:name="page32"/>
    <w:bookmarkEnd w:id="31"/>
    <w:tbl>
      <w:tblPr>
        <w:tblLayout w:type="fixed"/>
        <w:tblInd w:w="0" w:type="dxa"/>
        <w:tblCellMar>
          <w:top w:w="0" w:type="dxa"/>
          <w:left w:w="0" w:type="dxa"/>
          <w:bottom w:w="0" w:type="dxa"/>
          <w:right w:w="0" w:type="dxa"/>
        </w:tblCellMar>
      </w:tblPr>
      <w:tr>
        <w:trPr>
          <w:trHeight w:val="222"/>
        </w:trPr>
        <w:tc>
          <w:tcPr>
            <w:tcW w:w="4840" w:type="dxa"/>
            <w:vAlign w:val="bottom"/>
          </w:tcPr>
          <w:p>
            <w:pPr>
              <w:spacing w:after="0"/>
              <w:rPr>
                <w:sz w:val="19"/>
                <w:szCs w:val="19"/>
                <w:color w:val="auto"/>
              </w:rPr>
            </w:pPr>
          </w:p>
        </w:tc>
        <w:tc>
          <w:tcPr>
            <w:tcW w:w="2100" w:type="dxa"/>
            <w:vAlign w:val="bottom"/>
            <w:gridSpan w:val="3"/>
          </w:tcPr>
          <w:p>
            <w:pPr>
              <w:ind w:left="340"/>
              <w:spacing w:after="0"/>
              <w:rPr>
                <w:sz w:val="20"/>
                <w:szCs w:val="20"/>
                <w:color w:val="auto"/>
              </w:rPr>
            </w:pPr>
            <w:r>
              <w:rPr>
                <w:rFonts w:ascii="Arial" w:cs="Arial" w:eastAsia="Arial" w:hAnsi="Arial"/>
                <w:sz w:val="18"/>
                <w:szCs w:val="18"/>
                <w:color w:val="auto"/>
              </w:rPr>
              <w:t>SCHEDULE II</w:t>
            </w: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9"/>
        </w:trPr>
        <w:tc>
          <w:tcPr>
            <w:tcW w:w="4840" w:type="dxa"/>
            <w:vAlign w:val="bottom"/>
          </w:tcPr>
          <w:p>
            <w:pPr>
              <w:spacing w:after="0"/>
              <w:rPr>
                <w:sz w:val="20"/>
                <w:szCs w:val="20"/>
                <w:color w:val="auto"/>
              </w:rPr>
            </w:pPr>
            <w:r>
              <w:rPr>
                <w:rFonts w:ascii="Arial" w:cs="Arial" w:eastAsia="Arial" w:hAnsi="Arial"/>
                <w:sz w:val="18"/>
                <w:szCs w:val="18"/>
                <w:color w:val="auto"/>
              </w:rPr>
              <w:t>Title of Designated Shares:</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8"/>
                <w:szCs w:val="18"/>
                <w:color w:val="auto"/>
              </w:rPr>
              <w:t>Number of Designated Shares:</w:t>
            </w:r>
          </w:p>
        </w:tc>
        <w:tc>
          <w:tcPr>
            <w:tcW w:w="1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20" w:type="dxa"/>
            <w:vAlign w:val="bottom"/>
            <w:gridSpan w:val="4"/>
          </w:tcPr>
          <w:p>
            <w:pPr>
              <w:ind w:left="40"/>
              <w:spacing w:after="0"/>
              <w:rPr>
                <w:sz w:val="20"/>
                <w:szCs w:val="20"/>
                <w:color w:val="auto"/>
              </w:rPr>
            </w:pPr>
            <w:r>
              <w:rPr>
                <w:rFonts w:ascii="Arial" w:cs="Arial" w:eastAsia="Arial" w:hAnsi="Arial"/>
                <w:sz w:val="18"/>
                <w:szCs w:val="18"/>
                <w:color w:val="auto"/>
                <w:w w:val="93"/>
              </w:rPr>
              <w:t>shares. The Designated Shares consist of an aggregate of</w:t>
            </w:r>
          </w:p>
        </w:tc>
      </w:tr>
      <w:tr>
        <w:trPr>
          <w:trHeight w:val="196"/>
        </w:trPr>
        <w:tc>
          <w:tcPr>
            <w:tcW w:w="4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2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89"/>
              </w:rPr>
              <w:t>Designated Shares (the “Initial Shares”) that the Underwriters</w:t>
            </w:r>
          </w:p>
        </w:tc>
      </w:tr>
      <w:tr>
        <w:trPr>
          <w:trHeight w:val="228"/>
        </w:trPr>
        <w:tc>
          <w:tcPr>
            <w:tcW w:w="4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300" w:type="dxa"/>
            <w:vAlign w:val="bottom"/>
            <w:gridSpan w:val="6"/>
          </w:tcPr>
          <w:p>
            <w:pPr>
              <w:spacing w:after="0"/>
              <w:rPr>
                <w:sz w:val="20"/>
                <w:szCs w:val="20"/>
                <w:color w:val="auto"/>
              </w:rPr>
            </w:pPr>
            <w:r>
              <w:rPr>
                <w:rFonts w:ascii="Arial" w:cs="Arial" w:eastAsia="Arial" w:hAnsi="Arial"/>
                <w:sz w:val="18"/>
                <w:szCs w:val="18"/>
                <w:color w:val="auto"/>
                <w:w w:val="90"/>
              </w:rPr>
              <w:t>have agreed, severally and not jointly, to purchase and that the Company</w:t>
            </w:r>
          </w:p>
        </w:tc>
      </w:tr>
      <w:tr>
        <w:trPr>
          <w:trHeight w:val="184"/>
        </w:trPr>
        <w:tc>
          <w:tcPr>
            <w:tcW w:w="4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80" w:type="dxa"/>
            <w:vAlign w:val="bottom"/>
            <w:gridSpan w:val="4"/>
          </w:tcPr>
          <w:p>
            <w:pPr>
              <w:spacing w:after="0" w:line="184" w:lineRule="exact"/>
              <w:rPr>
                <w:sz w:val="20"/>
                <w:szCs w:val="20"/>
                <w:color w:val="auto"/>
              </w:rPr>
            </w:pPr>
            <w:r>
              <w:rPr>
                <w:rFonts w:ascii="Arial" w:cs="Arial" w:eastAsia="Arial" w:hAnsi="Arial"/>
                <w:sz w:val="18"/>
                <w:szCs w:val="18"/>
                <w:color w:val="auto"/>
                <w:w w:val="86"/>
              </w:rPr>
              <w:t>has agreed to sell and an aggregate of up to</w:t>
            </w:r>
          </w:p>
        </w:tc>
        <w:tc>
          <w:tcPr>
            <w:tcW w:w="880" w:type="dxa"/>
            <w:vAlign w:val="bottom"/>
            <w:tcBorders>
              <w:bottom w:val="single" w:sz="8" w:color="auto"/>
            </w:tcBorders>
          </w:tcPr>
          <w:p>
            <w:pPr>
              <w:spacing w:after="0"/>
              <w:rPr>
                <w:sz w:val="15"/>
                <w:szCs w:val="15"/>
                <w:color w:val="auto"/>
              </w:rPr>
            </w:pPr>
          </w:p>
        </w:tc>
        <w:tc>
          <w:tcPr>
            <w:tcW w:w="1340" w:type="dxa"/>
            <w:vAlign w:val="bottom"/>
          </w:tcPr>
          <w:p>
            <w:pPr>
              <w:ind w:left="40"/>
              <w:spacing w:after="0" w:line="184" w:lineRule="exact"/>
              <w:rPr>
                <w:sz w:val="20"/>
                <w:szCs w:val="20"/>
                <w:color w:val="auto"/>
              </w:rPr>
            </w:pPr>
            <w:r>
              <w:rPr>
                <w:rFonts w:ascii="Arial" w:cs="Arial" w:eastAsia="Arial" w:hAnsi="Arial"/>
                <w:sz w:val="18"/>
                <w:szCs w:val="18"/>
                <w:color w:val="auto"/>
                <w:w w:val="83"/>
              </w:rPr>
              <w:t>Designated Shares</w:t>
            </w:r>
          </w:p>
        </w:tc>
      </w:tr>
      <w:tr>
        <w:trPr>
          <w:trHeight w:val="228"/>
        </w:trPr>
        <w:tc>
          <w:tcPr>
            <w:tcW w:w="4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300" w:type="dxa"/>
            <w:vAlign w:val="bottom"/>
            <w:gridSpan w:val="6"/>
          </w:tcPr>
          <w:p>
            <w:pPr>
              <w:spacing w:after="0"/>
              <w:rPr>
                <w:sz w:val="20"/>
                <w:szCs w:val="20"/>
                <w:color w:val="auto"/>
              </w:rPr>
            </w:pPr>
            <w:r>
              <w:rPr>
                <w:rFonts w:ascii="Arial" w:cs="Arial" w:eastAsia="Arial" w:hAnsi="Arial"/>
                <w:sz w:val="18"/>
                <w:szCs w:val="18"/>
                <w:color w:val="auto"/>
                <w:w w:val="92"/>
              </w:rPr>
              <w:t>(the “Option Shares”) that the Underwriters have the option to purchase,</w:t>
            </w:r>
          </w:p>
        </w:tc>
      </w:tr>
      <w:tr>
        <w:trPr>
          <w:trHeight w:val="216"/>
        </w:trPr>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300" w:type="dxa"/>
            <w:vAlign w:val="bottom"/>
            <w:gridSpan w:val="6"/>
          </w:tcPr>
          <w:p>
            <w:pPr>
              <w:spacing w:after="0"/>
              <w:rPr>
                <w:sz w:val="20"/>
                <w:szCs w:val="20"/>
                <w:color w:val="auto"/>
              </w:rPr>
            </w:pPr>
            <w:r>
              <w:rPr>
                <w:rFonts w:ascii="Arial" w:cs="Arial" w:eastAsia="Arial" w:hAnsi="Arial"/>
                <w:sz w:val="18"/>
                <w:szCs w:val="18"/>
                <w:color w:val="auto"/>
                <w:w w:val="92"/>
              </w:rPr>
              <w:t>severally and not jointly, from the Company, all subject to the terms and</w:t>
            </w:r>
          </w:p>
        </w:tc>
      </w:tr>
      <w:tr>
        <w:trPr>
          <w:trHeight w:val="216"/>
        </w:trPr>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300" w:type="dxa"/>
            <w:vAlign w:val="bottom"/>
            <w:gridSpan w:val="6"/>
          </w:tcPr>
          <w:p>
            <w:pPr>
              <w:spacing w:after="0"/>
              <w:rPr>
                <w:sz w:val="20"/>
                <w:szCs w:val="20"/>
                <w:color w:val="auto"/>
              </w:rPr>
            </w:pPr>
            <w:r>
              <w:rPr>
                <w:rFonts w:ascii="Arial" w:cs="Arial" w:eastAsia="Arial" w:hAnsi="Arial"/>
                <w:sz w:val="18"/>
                <w:szCs w:val="18"/>
                <w:color w:val="auto"/>
              </w:rPr>
              <w:t>conditions set forth in this Pricing Agreement and the Underwriting</w:t>
            </w:r>
          </w:p>
        </w:tc>
      </w:tr>
      <w:tr>
        <w:trPr>
          <w:trHeight w:val="222"/>
        </w:trPr>
        <w:tc>
          <w:tcPr>
            <w:tcW w:w="4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960" w:type="dxa"/>
            <w:vAlign w:val="bottom"/>
            <w:gridSpan w:val="5"/>
          </w:tcPr>
          <w:p>
            <w:pPr>
              <w:spacing w:after="0"/>
              <w:rPr>
                <w:sz w:val="20"/>
                <w:szCs w:val="20"/>
                <w:color w:val="auto"/>
              </w:rPr>
            </w:pPr>
            <w:r>
              <w:rPr>
                <w:rFonts w:ascii="Arial" w:cs="Arial" w:eastAsia="Arial" w:hAnsi="Arial"/>
                <w:sz w:val="18"/>
                <w:szCs w:val="18"/>
                <w:color w:val="auto"/>
              </w:rPr>
              <w:t>Agreement incorporated by reference herein.</w:t>
            </w:r>
          </w:p>
        </w:tc>
        <w:tc>
          <w:tcPr>
            <w:tcW w:w="1340" w:type="dxa"/>
            <w:vAlign w:val="bottom"/>
          </w:tcPr>
          <w:p>
            <w:pPr>
              <w:spacing w:after="0"/>
              <w:rPr>
                <w:sz w:val="19"/>
                <w:szCs w:val="19"/>
                <w:color w:val="auto"/>
              </w:rPr>
            </w:pPr>
          </w:p>
        </w:tc>
      </w:tr>
      <w:tr>
        <w:trPr>
          <w:trHeight w:val="286"/>
        </w:trPr>
        <w:tc>
          <w:tcPr>
            <w:tcW w:w="4840" w:type="dxa"/>
            <w:vAlign w:val="bottom"/>
          </w:tcPr>
          <w:p>
            <w:pPr>
              <w:spacing w:after="0"/>
              <w:rPr>
                <w:sz w:val="20"/>
                <w:szCs w:val="20"/>
                <w:color w:val="auto"/>
              </w:rPr>
            </w:pPr>
            <w:r>
              <w:rPr>
                <w:rFonts w:ascii="Arial" w:cs="Arial" w:eastAsia="Arial" w:hAnsi="Arial"/>
                <w:sz w:val="18"/>
                <w:szCs w:val="18"/>
                <w:color w:val="auto"/>
                <w:w w:val="95"/>
              </w:rPr>
              <w:t>Initial Offering Price to Public Per Share for Designated Shares:</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gridSpan w:val="2"/>
          </w:tcPr>
          <w:p>
            <w:pPr>
              <w:ind w:left="60"/>
              <w:spacing w:after="0"/>
              <w:rPr>
                <w:sz w:val="20"/>
                <w:szCs w:val="20"/>
                <w:color w:val="auto"/>
              </w:rPr>
            </w:pPr>
            <w:r>
              <w:rPr>
                <w:rFonts w:ascii="Arial" w:cs="Arial" w:eastAsia="Arial" w:hAnsi="Arial"/>
                <w:sz w:val="18"/>
                <w:szCs w:val="18"/>
                <w:color w:val="auto"/>
              </w:rPr>
              <w:t>per share.</w:t>
            </w:r>
          </w:p>
        </w:tc>
        <w:tc>
          <w:tcPr>
            <w:tcW w:w="1340" w:type="dxa"/>
            <w:vAlign w:val="bottom"/>
          </w:tcPr>
          <w:p>
            <w:pPr>
              <w:spacing w:after="0"/>
              <w:rPr>
                <w:sz w:val="24"/>
                <w:szCs w:val="24"/>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Purchase Price per Share for Designated Shares to be Paid by the Underwriters:</w:t>
      </w:r>
    </w:p>
    <w:p>
      <w:pPr>
        <w:sectPr>
          <w:pgSz w:w="11900" w:h="16838" w:orient="portrait"/>
          <w:cols w:equalWidth="0" w:num="1">
            <w:col w:w="11400"/>
          </w:cols>
          <w:pgMar w:left="240" w:top="28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Applicable Time: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Preliminary Prospectus Supplement: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Specified funds for payment of purchase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Liquidation Preference Per Share for Designated Shares, if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Dividend Payment Dates, if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 if applicable: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 w:hanging="2"/>
        <w:spacing w:after="0" w:line="294" w:lineRule="auto"/>
        <w:tabs>
          <w:tab w:leader="none" w:pos="10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 share; provided, however, that the purchase price per share for any Option Shares purchased by the Underwriters shall be reduced by an amount per share equal to the aggregate amount per share of any dividends or distributions declared, paid or payable with respect to the Initial Shares but not payable with respect to such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-598170</wp:posOffset>
            </wp:positionV>
            <wp:extent cx="5575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 w:lineRule="exact"/>
        <w:rPr>
          <w:sz w:val="20"/>
          <w:szCs w:val="20"/>
          <w:color w:val="auto"/>
        </w:rPr>
      </w:pPr>
    </w:p>
    <w:p>
      <w:pPr>
        <w:ind w:left="2" w:right="320"/>
        <w:spacing w:after="0" w:line="275" w:lineRule="auto"/>
        <w:rPr>
          <w:sz w:val="20"/>
          <w:szCs w:val="20"/>
          <w:color w:val="auto"/>
        </w:rPr>
      </w:pPr>
      <w:r>
        <w:rPr>
          <w:rFonts w:ascii="Arial" w:cs="Arial" w:eastAsia="Arial" w:hAnsi="Arial"/>
          <w:sz w:val="18"/>
          <w:szCs w:val="18"/>
          <w:color w:val="auto"/>
        </w:rPr>
        <w:t xml:space="preserve">•:00 </w:t>
      </w:r>
      <w:r>
        <w:rPr>
          <w:rFonts w:ascii="Arial" w:cs="Arial" w:eastAsia="Arial" w:hAnsi="Arial"/>
          <w:sz w:val="18"/>
          <w:szCs w:val="18"/>
          <w:b w:val="1"/>
          <w:bCs w:val="1"/>
          <w:color w:val="auto"/>
        </w:rPr>
        <w:t>[</w:t>
      </w:r>
      <w:r>
        <w:rPr>
          <w:rFonts w:ascii="Arial" w:cs="Arial" w:eastAsia="Arial" w:hAnsi="Arial"/>
          <w:sz w:val="18"/>
          <w:szCs w:val="18"/>
          <w:color w:val="auto"/>
        </w:rPr>
        <w:t>a.m./p.m.</w:t>
      </w:r>
      <w:r>
        <w:rPr>
          <w:rFonts w:ascii="Arial" w:cs="Arial" w:eastAsia="Arial" w:hAnsi="Arial"/>
          <w:sz w:val="18"/>
          <w:szCs w:val="18"/>
          <w:b w:val="1"/>
          <w:bCs w:val="1"/>
          <w:color w:val="auto"/>
        </w:rPr>
        <w:t>]</w:t>
      </w:r>
      <w:r>
        <w:rPr>
          <w:rFonts w:ascii="Arial" w:cs="Arial" w:eastAsia="Arial" w:hAnsi="Arial"/>
          <w:sz w:val="18"/>
          <w:szCs w:val="18"/>
          <w:color w:val="auto"/>
        </w:rPr>
        <w:t xml:space="preserve"> (Eastern Time) on • or such other time as agreed by the Company and the Representatives.</w:t>
      </w:r>
    </w:p>
    <w:p>
      <w:pPr>
        <w:spacing w:after="0" w:line="72" w:lineRule="exact"/>
        <w:rPr>
          <w:sz w:val="20"/>
          <w:szCs w:val="20"/>
          <w:color w:val="auto"/>
        </w:rPr>
      </w:pPr>
    </w:p>
    <w:p>
      <w:pPr>
        <w:ind w:left="2"/>
        <w:spacing w:after="0"/>
        <w:rPr>
          <w:sz w:val="20"/>
          <w:szCs w:val="20"/>
          <w:color w:val="auto"/>
        </w:rPr>
      </w:pPr>
      <w:r>
        <w:rPr>
          <w:rFonts w:ascii="Arial" w:cs="Arial" w:eastAsia="Arial" w:hAnsi="Arial"/>
          <w:sz w:val="18"/>
          <w:szCs w:val="18"/>
          <w:color w:val="auto"/>
        </w:rPr>
        <w:t>Preliminary Prospectus Supplement dated •.</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Wire transfer of immediately available funds.</w:t>
      </w:r>
    </w:p>
    <w:p>
      <w:pPr>
        <w:sectPr>
          <w:pgSz w:w="11900" w:h="16838" w:orient="portrait"/>
          <w:cols w:equalWidth="0" w:num="2">
            <w:col w:w="5840" w:space="218"/>
            <w:col w:w="5342"/>
          </w:cols>
          <w:pgMar w:left="240" w:top="280" w:right="2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color w:val="auto"/>
        </w:rPr>
        <w:t>Sinking fund requirements, if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Names and addresses of Representatives: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Wachovia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-410845</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124" w:lineRule="exact"/>
        <w:rPr>
          <w:sz w:val="20"/>
          <w:szCs w:val="20"/>
          <w:color w:val="auto"/>
        </w:rPr>
      </w:pPr>
    </w:p>
    <w:p>
      <w:pPr>
        <w:sectPr>
          <w:pgSz w:w="11900" w:h="16838" w:orient="portrait"/>
          <w:cols w:equalWidth="0" w:num="2">
            <w:col w:w="5340" w:space="720"/>
            <w:col w:w="4159"/>
          </w:cols>
          <w:pgMar w:left="240" w:top="280" w:right="1440" w:bottom="1440" w:gutter="0" w:footer="0" w:header="0"/>
        </w:sectPr>
      </w:pPr>
    </w:p>
    <w:p>
      <w:pPr>
        <w:spacing w:after="0"/>
        <w:rPr>
          <w:sz w:val="20"/>
          <w:szCs w:val="20"/>
          <w:color w:val="auto"/>
        </w:rPr>
      </w:pPr>
      <w:r>
        <w:rPr>
          <w:rFonts w:ascii="Arial" w:cs="Arial" w:eastAsia="Arial" w:hAnsi="Arial"/>
          <w:sz w:val="16"/>
          <w:szCs w:val="16"/>
          <w:color w:val="auto"/>
        </w:rPr>
        <w:t>Address for Notices, etc.: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Wachovia Capital Markets, LLC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124" w:lineRule="exact"/>
        <w:rPr>
          <w:sz w:val="20"/>
          <w:szCs w:val="20"/>
          <w:color w:val="auto"/>
        </w:rPr>
      </w:pPr>
    </w:p>
    <w:p>
      <w:pPr>
        <w:sectPr>
          <w:pgSz w:w="11900" w:h="16838" w:orient="portrait"/>
          <w:cols w:equalWidth="0" w:num="2">
            <w:col w:w="5340" w:space="720"/>
            <w:col w:w="4159"/>
          </w:cols>
          <w:pgMar w:left="240" w:top="28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Other Terms:</w:t>
      </w:r>
    </w:p>
    <w:p>
      <w:pPr>
        <w:sectPr>
          <w:pgSz w:w="11900" w:h="16838" w:orient="portrait"/>
          <w:cols w:equalWidth="0" w:num="1">
            <w:col w:w="10219"/>
          </w:cols>
          <w:pgMar w:left="240" w:top="280" w:right="1440"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Time of Delivery:</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9:00 a.m. (New York City time)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0</wp:posOffset>
            </wp:positionV>
            <wp:extent cx="5575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340" w:space="720"/>
            <w:col w:w="41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Closing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 94104</w:t>
      </w:r>
    </w:p>
    <w:p>
      <w:pPr>
        <w:spacing w:after="0" w:line="147" w:lineRule="exact"/>
        <w:rPr>
          <w:sz w:val="20"/>
          <w:szCs w:val="20"/>
          <w:color w:val="auto"/>
        </w:rPr>
      </w:pPr>
    </w:p>
    <w:p>
      <w:pPr>
        <w:sectPr>
          <w:pgSz w:w="11900" w:h="16838" w:orient="portrait"/>
          <w:cols w:equalWidth="0" w:num="2">
            <w:col w:w="5340" w:space="720"/>
            <w:col w:w="4159"/>
          </w:cols>
          <w:pgMar w:left="240" w:top="28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Place of Delivery of Designated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 New York</w:t>
      </w:r>
    </w:p>
    <w:p>
      <w:pPr>
        <w:spacing w:after="0" w:line="181" w:lineRule="exact"/>
        <w:rPr>
          <w:sz w:val="20"/>
          <w:szCs w:val="20"/>
          <w:color w:val="auto"/>
        </w:rPr>
      </w:pPr>
    </w:p>
    <w:p>
      <w:pPr>
        <w:sectPr>
          <w:pgSz w:w="11900" w:h="16838" w:orient="portrait"/>
          <w:cols w:equalWidth="0" w:num="2">
            <w:col w:w="5340" w:space="720"/>
            <w:col w:w="4159"/>
          </w:cols>
          <w:pgMar w:left="240" w:top="280" w:right="1440" w:bottom="1440" w:gutter="0" w:footer="0" w:header="0"/>
          <w:type w:val="continuous"/>
        </w:sectPr>
      </w:pPr>
    </w:p>
    <w:p>
      <w:pPr>
        <w:ind w:left="5580"/>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0219"/>
          </w:cols>
          <w:pgMar w:left="240" w:top="280" w:right="1440" w:bottom="1440" w:gutter="0" w:footer="0" w:header="0"/>
          <w:type w:val="continuous"/>
        </w:sectPr>
      </w:pPr>
    </w:p>
    <w:bookmarkStart w:id="33" w:name="page34"/>
    <w:bookmarkEnd w:id="33"/>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III</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List of Persons Subject to Lock-Up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Larry E. Finger</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0219"/>
          </w:cols>
          <w:pgMar w:left="240" w:top="280"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PRICE-RELATED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Issuer: Federal Realty Investment Trust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Ticker: FRT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 $74.90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Last reported NYSE sale price: $76.42 on 9/13/2006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Shares offered: 2,002,670 shares, all primary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Over-allotment option: up to an additional 300,400 shares, all primary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offering size: $149,999,983 ($172,499,943 if over-allotment option is exercised in full)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discounts and commissions: $0.39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expenses, to Federal Realty Investment Trust: $149,218,941.70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Trade date: 9/14/2006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 9/19/2006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Underwriters: Wachovia Securities (70%), BB&amp;T Capital Markets (10%), RBC Capital Markets (10%), Stifel Nicolaus (10%)</w:t>
      </w:r>
    </w:p>
    <w:p>
      <w:pPr>
        <w:spacing w:after="0" w:line="17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Use of proceeds: Initially to repay debt recently used to acquire three properties and for general corporate purposes including paying down debt under FRT’s revolving credit facility and, on a longer term basis, to redeem currently outstanding preferred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96"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[Not filed with this Current Report]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0220"/>
          </w:cols>
          <w:pgMar w:left="1440" w:top="274" w:right="239" w:bottom="1440" w:gutter="0" w:footer="0" w:header="0"/>
        </w:sectPr>
      </w:pPr>
    </w:p>
    <w:bookmarkStart w:id="37" w:name="page38"/>
    <w:bookmarkEnd w:id="37"/>
    <w:p>
      <w:pPr>
        <w:ind w:left="10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D-1</w:t>
      </w:r>
    </w:p>
    <w:p>
      <w:pPr>
        <w:spacing w:after="0" w:line="17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Indenture dated December 13, 1993, related to the Company’s 7.48% Debentures due August 15, 2026; and 6.82% Medium Term Notes due August 1, 2027, filed with the Commission on December 13, 1993 as Exhibit 4(a) to the Company’s Registration Statement on Form S-3 (File No. 33-51029).</w:t>
      </w:r>
    </w:p>
    <w:p>
      <w:pPr>
        <w:spacing w:after="0" w:line="8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 xml:space="preserve">Indenture dated September 1, 1998 related to the Company’s 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Notes due November 15, 2007, 8.75% Notes due December 1, 2009, 4.50% Notes due 2011, 5.65% Notes due 2016, 6.00% Notes due 2012 and 6.20% Notes due 2017 filed as Exhibit 4(a) to the Company’s Registration Statement on Form S-3 (File No. 333 63619).</w:t>
      </w:r>
    </w:p>
    <w:p>
      <w:pPr>
        <w:spacing w:after="0" w:line="15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Credit Agreement dated as of July 28, 2006, by and among the Company, as Borrower, The Financial Institutions Party Thereto and Their Assignees Under Section 12.5.(d), as Lenders, Wachovia Capital Markets, LLC as sole Lead Arranger and Sole Book Manager, Wachovia Bank, National Association as Agent, Eurohypo AG, New York Branch as Syndication Agent, and each of PNC Bank, National Association, SunTrust Bank and U.S. Bank National Association, as Documentation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dated as of August 24, 2006, by and between the Company and Wachovia Investment Holdings, LLC.</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27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ind w:left="740"/>
              <w:spacing w:after="0"/>
              <w:rPr>
                <w:sz w:val="20"/>
                <w:szCs w:val="20"/>
                <w:color w:val="auto"/>
              </w:rPr>
            </w:pPr>
            <w:r>
              <w:rPr>
                <w:rFonts w:ascii="Arial" w:cs="Arial" w:eastAsia="Arial" w:hAnsi="Arial"/>
                <w:sz w:val="18"/>
                <w:szCs w:val="18"/>
                <w:b w:val="1"/>
                <w:bCs w:val="1"/>
                <w:color w:val="auto"/>
              </w:rPr>
              <w:t>EXHIBIT E</w:t>
            </w:r>
          </w:p>
        </w:tc>
      </w:tr>
      <w:tr>
        <w:trPr>
          <w:trHeight w:val="340"/>
        </w:trPr>
        <w:tc>
          <w:tcPr>
            <w:tcW w:w="2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Company’s Direct or</w:t>
            </w:r>
          </w:p>
        </w:tc>
      </w:tr>
      <w:tr>
        <w:trPr>
          <w:trHeight w:val="168"/>
        </w:trPr>
        <w:tc>
          <w:tcPr>
            <w:tcW w:w="9160" w:type="dxa"/>
            <w:vAlign w:val="bottom"/>
            <w:gridSpan w:val="2"/>
          </w:tcPr>
          <w:p>
            <w:pPr>
              <w:spacing w:after="0"/>
              <w:rPr>
                <w:sz w:val="20"/>
                <w:szCs w:val="20"/>
                <w:color w:val="auto"/>
              </w:rPr>
            </w:pPr>
            <w:r>
              <w:rPr>
                <w:rFonts w:ascii="Arial" w:cs="Arial" w:eastAsia="Arial" w:hAnsi="Arial"/>
                <w:sz w:val="14"/>
                <w:szCs w:val="14"/>
                <w:b w:val="1"/>
                <w:bCs w:val="1"/>
                <w:color w:val="auto"/>
              </w:rPr>
              <w:t>FEDERAL REALTY INVESTMENT TRUST</w:t>
            </w:r>
          </w:p>
        </w:tc>
        <w:tc>
          <w:tcPr>
            <w:tcW w:w="200" w:type="dxa"/>
            <w:vAlign w:val="bottom"/>
          </w:tcPr>
          <w:p>
            <w:pPr>
              <w:spacing w:after="0"/>
              <w:rPr>
                <w:sz w:val="14"/>
                <w:szCs w:val="14"/>
                <w:color w:val="auto"/>
              </w:rPr>
            </w:pPr>
          </w:p>
        </w:tc>
        <w:tc>
          <w:tcPr>
            <w:tcW w:w="2080" w:type="dxa"/>
            <w:vAlign w:val="bottom"/>
            <w:gridSpan w:val="3"/>
          </w:tcPr>
          <w:p>
            <w:pPr>
              <w:ind w:left="220"/>
              <w:spacing w:after="0"/>
              <w:rPr>
                <w:sz w:val="20"/>
                <w:szCs w:val="20"/>
                <w:color w:val="auto"/>
              </w:rPr>
            </w:pPr>
            <w:r>
              <w:rPr>
                <w:rFonts w:ascii="Arial" w:cs="Arial" w:eastAsia="Arial" w:hAnsi="Arial"/>
                <w:sz w:val="14"/>
                <w:szCs w:val="14"/>
                <w:b w:val="1"/>
                <w:bCs w:val="1"/>
                <w:color w:val="auto"/>
              </w:rPr>
              <w:t>Indirect Ownership Interest</w:t>
            </w:r>
          </w:p>
        </w:tc>
      </w:tr>
      <w:tr>
        <w:trPr>
          <w:trHeight w:val="216"/>
        </w:trPr>
        <w:tc>
          <w:tcPr>
            <w:tcW w:w="20" w:type="dxa"/>
            <w:vAlign w:val="bottom"/>
          </w:tcPr>
          <w:p>
            <w:pPr>
              <w:spacing w:after="0"/>
              <w:rPr>
                <w:sz w:val="18"/>
                <w:szCs w:val="18"/>
                <w:color w:val="auto"/>
              </w:rPr>
            </w:pPr>
          </w:p>
        </w:tc>
        <w:tc>
          <w:tcPr>
            <w:tcW w:w="9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FR Associates Limited Partnership (“FR”)</w:t>
            </w:r>
          </w:p>
        </w:tc>
        <w:tc>
          <w:tcPr>
            <w:tcW w:w="200" w:type="dxa"/>
            <w:vAlign w:val="bottom"/>
            <w:shd w:val="clear" w:color="auto" w:fill="CCEEFF"/>
          </w:tcPr>
          <w:p>
            <w:pPr>
              <w:spacing w:after="0"/>
              <w:rPr>
                <w:sz w:val="18"/>
                <w:szCs w:val="18"/>
                <w:color w:val="auto"/>
              </w:rPr>
            </w:pPr>
          </w:p>
        </w:tc>
        <w:tc>
          <w:tcPr>
            <w:tcW w:w="2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98.97% (1.03% SRI)</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Andorra Associates</w:t>
            </w:r>
          </w:p>
        </w:tc>
        <w:tc>
          <w:tcPr>
            <w:tcW w:w="2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99% (1% FR)</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Governor Plaza Associates</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99% (1% FR)</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Shopping Center Associates</w:t>
            </w:r>
          </w:p>
        </w:tc>
        <w:tc>
          <w:tcPr>
            <w:tcW w:w="2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99% (1% FR)</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Berman Enterprises II Limited Partnership</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99% (1% FR)</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FRIT Escondido Promenade, LLC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70%</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FRIT Leasing &amp; Development Services, Inc. (“FRIT L&amp;D”)</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FRIT Santana Row TRS, Inc.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tcPr>
          <w:p>
            <w:pPr>
              <w:ind w:left="40"/>
              <w:spacing w:after="0"/>
              <w:rPr>
                <w:sz w:val="20"/>
                <w:szCs w:val="20"/>
                <w:color w:val="auto"/>
              </w:rPr>
            </w:pPr>
            <w:r>
              <w:rPr>
                <w:rFonts w:ascii="Arial" w:cs="Arial" w:eastAsia="Arial" w:hAnsi="Arial"/>
                <w:sz w:val="18"/>
                <w:szCs w:val="18"/>
                <w:color w:val="auto"/>
              </w:rPr>
              <w:t>(FRIT L&amp;D)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Congressional Plaza Associates, LLC</w:t>
            </w:r>
          </w:p>
        </w:tc>
        <w:tc>
          <w:tcPr>
            <w:tcW w:w="2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64.1030%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FR Pike 7 Limited Partnership (DownREIT) – 12,393.71 units outstanding)</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99%</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w w:val="99"/>
              </w:rPr>
              <w:t>Federal Realty Partners L. P. (Master DownREIT- 352,549 units outstanding – 508,999 units have been redeemed)</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units (FedRP Inc.)</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509,039 units (FRLP Inc.)</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Federal Realty Partners, Inc. (“FedRP Inc.”)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FRLP, Inc. (“FRLP Inc.”)</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FR Leesburg Plaza, LLC (“Leesburg LLC”)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 Leesburg Plaza, LP (DownREIT– 37,267 units outstanding – 100,733 units have been redeemed)</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315,233 units</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(Leesburg LLC)</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Federal Realty Management Services, Inc.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FR Federal Plaza, Inc. (“FedPlaza Inc.”)</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FR Federal Plaza, LLC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tcPr>
          <w:p>
            <w:pPr>
              <w:ind w:left="40"/>
              <w:spacing w:after="0"/>
              <w:rPr>
                <w:sz w:val="20"/>
                <w:szCs w:val="20"/>
                <w:color w:val="auto"/>
              </w:rPr>
            </w:pPr>
            <w:r>
              <w:rPr>
                <w:rFonts w:ascii="Arial" w:cs="Arial" w:eastAsia="Arial" w:hAnsi="Arial"/>
                <w:sz w:val="18"/>
                <w:szCs w:val="18"/>
                <w:color w:val="auto"/>
              </w:rPr>
              <w:t>(FedPlaza Inc.)</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FR Mercer Mall, Inc. (“Mercer Inc.”)</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FR Mercer Mall, LLC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tcPr>
          <w:p>
            <w:pPr>
              <w:ind w:left="40"/>
              <w:spacing w:after="0"/>
              <w:rPr>
                <w:sz w:val="20"/>
                <w:szCs w:val="20"/>
                <w:color w:val="auto"/>
              </w:rPr>
            </w:pPr>
            <w:r>
              <w:rPr>
                <w:rFonts w:ascii="Arial" w:cs="Arial" w:eastAsia="Arial" w:hAnsi="Arial"/>
                <w:sz w:val="18"/>
                <w:szCs w:val="18"/>
                <w:color w:val="auto"/>
              </w:rPr>
              <w:t>(Mercer Inc.)</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Federal/LPF GP, Inc. (“LPF”)</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Federal/Lion Venture LP (“Venture”)</w:t>
            </w:r>
          </w:p>
        </w:tc>
        <w:tc>
          <w:tcPr>
            <w:tcW w:w="2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29.99% (.1% LPF)</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FLV Plaza del Mercado, LLC (“Mercado”)</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FLV Plaza del Mercado, LP</w:t>
            </w:r>
          </w:p>
        </w:tc>
        <w:tc>
          <w:tcPr>
            <w:tcW w:w="2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30% through Mercado</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FLV Campus Plaza GP, LLC (“Campus”)</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FLV Campus Plaza Limited Partnership</w:t>
            </w:r>
          </w:p>
        </w:tc>
        <w:tc>
          <w:tcPr>
            <w:tcW w:w="2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30% through Campus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FLV Pleasant Shops GP, LLC (“Pleasant”)</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FLV Pleasant Shops Limited Partnership</w:t>
            </w:r>
          </w:p>
        </w:tc>
        <w:tc>
          <w:tcPr>
            <w:tcW w:w="2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30% through Pleasant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FLV Atlantic Plaza GP, LLC (“Atlantic”)</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FLV Atlantic Plaza Limited Partnership</w:t>
            </w:r>
          </w:p>
        </w:tc>
        <w:tc>
          <w:tcPr>
            <w:tcW w:w="2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30% through Atlantic</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FLV Greenlawn Plaza GP, LLC (“Greenlawn”)</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FLV Greenlawn Plaza, LP</w:t>
            </w:r>
          </w:p>
        </w:tc>
        <w:tc>
          <w:tcPr>
            <w:tcW w:w="2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30% through Greenlawn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FLV Barcroft Plaza GP, LLC (“Barcroft”)</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FLV Barcroft Plaza, LP</w:t>
            </w:r>
          </w:p>
        </w:tc>
        <w:tc>
          <w:tcPr>
            <w:tcW w:w="2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30% through Barcroft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FR Westgate Mall, Inc. (“Westgate Inc.”)</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FR Westgate Mall, LLC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tcPr>
          <w:p>
            <w:pPr>
              <w:ind w:left="40"/>
              <w:spacing w:after="0"/>
              <w:rPr>
                <w:sz w:val="20"/>
                <w:szCs w:val="20"/>
                <w:color w:val="auto"/>
              </w:rPr>
            </w:pPr>
            <w:r>
              <w:rPr>
                <w:rFonts w:ascii="Arial" w:cs="Arial" w:eastAsia="Arial" w:hAnsi="Arial"/>
                <w:sz w:val="18"/>
                <w:szCs w:val="18"/>
                <w:color w:val="auto"/>
              </w:rPr>
              <w:t>(Westgate Inc.)</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FR Assembly Square, LLC</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FR Sturtevant Street, Inc. (“Sturtevant Inc.”)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9140" w:type="dxa"/>
            <w:vAlign w:val="bottom"/>
          </w:tcPr>
          <w:p>
            <w:pPr>
              <w:ind w:left="5560"/>
              <w:spacing w:after="0"/>
              <w:rPr>
                <w:sz w:val="20"/>
                <w:szCs w:val="20"/>
                <w:color w:val="auto"/>
              </w:rPr>
            </w:pPr>
            <w:r>
              <w:rPr>
                <w:rFonts w:ascii="Arial" w:cs="Arial" w:eastAsia="Arial" w:hAnsi="Arial"/>
                <w:sz w:val="18"/>
                <w:szCs w:val="18"/>
                <w:color w:val="auto"/>
              </w:rPr>
              <w:t>E-1</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9" w:name="page40"/>
    <w:bookmarkEnd w:id="3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 Sturtevant Street, LLC</w:t>
            </w:r>
          </w:p>
        </w:tc>
        <w:tc>
          <w:tcPr>
            <w:tcW w:w="3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w w:val="88"/>
              </w:rPr>
              <w:t>100% (Sturtevant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FR Crow Canyon, Inc. (f/k/a JS&amp;DB, Inc.) (“Crow Inc.”)</w:t>
            </w:r>
          </w:p>
        </w:tc>
        <w:tc>
          <w:tcPr>
            <w:tcW w:w="1600" w:type="dxa"/>
            <w:vAlign w:val="bottom"/>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 Crow Canyon, LLC</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(Crow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FR Key Road, Inc.</w:t>
            </w:r>
          </w:p>
        </w:tc>
        <w:tc>
          <w:tcPr>
            <w:tcW w:w="1600" w:type="dxa"/>
            <w:vAlign w:val="bottom"/>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Riverside, Inc.</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FR Linden Square, Inc.</w:t>
            </w:r>
          </w:p>
        </w:tc>
        <w:tc>
          <w:tcPr>
            <w:tcW w:w="1600" w:type="dxa"/>
            <w:vAlign w:val="bottom"/>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North Dartmouth, Inc. (“ND Inc.”)</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FR North Dartmouth, LLC</w:t>
            </w: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w w:val="94"/>
              </w:rPr>
              <w:t>100% by First American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w w:val="89"/>
              </w:rPr>
              <w:t>Title Insurance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rPr>
              <w:t>(“First American”)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rPr>
              <w:t>part of a reverse 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rPr>
              <w:t>exchange; thereafter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rPr>
              <w:t>ND Inc.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Chelsea Commons I, Inc. (“Chelsea I Inc.”)</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FR Chelsea Commons I, LLC</w:t>
            </w: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w w:val="94"/>
              </w:rPr>
              <w:t>100% by First American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w w:val="89"/>
              </w:rPr>
              <w:t>as part of a reverse 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rPr>
              <w:t>exchange; thereafter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rPr>
              <w:t>Chelsea I Inc.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Chelsea Commons II, Inc. (“Chelsea II Inc.”)</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FR Chelsea Commons II, LLC</w:t>
            </w: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w w:val="94"/>
              </w:rPr>
              <w:t>100% by First American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w w:val="89"/>
              </w:rPr>
              <w:t>as part of a reverse 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rPr>
              <w:t>exchange; thereafter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rPr>
              <w:t>Chelsea II Inc.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Street Retail, Inc.</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STREET RETAIL, INC. (“SRI”)</w:t>
            </w: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Borders>
              <w:top w:val="single" w:sz="8" w:color="auto"/>
            </w:tcBorders>
          </w:tcPr>
          <w:p>
            <w:pPr>
              <w:spacing w:after="0"/>
              <w:rPr>
                <w:sz w:val="11"/>
                <w:szCs w:val="11"/>
                <w:color w:val="auto"/>
              </w:rPr>
            </w:pPr>
          </w:p>
        </w:tc>
        <w:tc>
          <w:tcPr>
            <w:tcW w:w="59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 Old Town, LLC</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Street Retail Forest Hills I, LLC</w:t>
            </w:r>
          </w:p>
        </w:tc>
        <w:tc>
          <w:tcPr>
            <w:tcW w:w="1600" w:type="dxa"/>
            <w:vAlign w:val="bottom"/>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Street Retail Forest Hills II, LLC</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Street Retail West GP, Inc. (“SRWGP”)</w:t>
            </w:r>
          </w:p>
        </w:tc>
        <w:tc>
          <w:tcPr>
            <w:tcW w:w="1600" w:type="dxa"/>
            <w:vAlign w:val="bottom"/>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Street Retail West I, L.P.</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(10% through SRI)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Street Retail West II, L.P.</w:t>
            </w:r>
          </w:p>
        </w:tc>
        <w:tc>
          <w:tcPr>
            <w:tcW w:w="1600" w:type="dxa"/>
            <w:vAlign w:val="bottom"/>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tcPr>
          <w:p>
            <w:pPr>
              <w:ind w:left="40"/>
              <w:spacing w:after="0"/>
              <w:rPr>
                <w:sz w:val="20"/>
                <w:szCs w:val="20"/>
                <w:color w:val="auto"/>
              </w:rPr>
            </w:pPr>
            <w:r>
              <w:rPr>
                <w:rFonts w:ascii="Arial" w:cs="Arial" w:eastAsia="Arial" w:hAnsi="Arial"/>
                <w:sz w:val="18"/>
                <w:szCs w:val="18"/>
                <w:color w:val="auto"/>
                <w:w w:val="89"/>
              </w:rPr>
              <w:t>(10% through SRI)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Street Retail West 3, L.P.</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(10% through SRI)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Street Retail West 4, L.P.</w:t>
            </w:r>
          </w:p>
        </w:tc>
        <w:tc>
          <w:tcPr>
            <w:tcW w:w="1600" w:type="dxa"/>
            <w:vAlign w:val="bottom"/>
          </w:tcPr>
          <w:p>
            <w:pPr>
              <w:ind w:left="1180"/>
              <w:spacing w:after="0"/>
              <w:rPr>
                <w:sz w:val="20"/>
                <w:szCs w:val="20"/>
                <w:color w:val="auto"/>
              </w:rPr>
            </w:pPr>
            <w:r>
              <w:rPr>
                <w:rFonts w:ascii="Arial" w:cs="Arial" w:eastAsia="Arial" w:hAnsi="Arial"/>
                <w:sz w:val="18"/>
                <w:szCs w:val="18"/>
                <w:color w:val="auto"/>
              </w:rPr>
              <w:t>90%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Street Retail West 6, L.P.</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(10% through SRI)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Street Retail West 7, L.P.</w:t>
            </w:r>
          </w:p>
        </w:tc>
        <w:tc>
          <w:tcPr>
            <w:tcW w:w="1600" w:type="dxa"/>
            <w:vAlign w:val="bottom"/>
          </w:tcPr>
          <w:p>
            <w:pPr>
              <w:ind w:left="1180"/>
              <w:spacing w:after="0"/>
              <w:rPr>
                <w:sz w:val="20"/>
                <w:szCs w:val="20"/>
                <w:color w:val="auto"/>
              </w:rPr>
            </w:pPr>
            <w:r>
              <w:rPr>
                <w:rFonts w:ascii="Arial" w:cs="Arial" w:eastAsia="Arial" w:hAnsi="Arial"/>
                <w:sz w:val="18"/>
                <w:szCs w:val="18"/>
                <w:color w:val="auto"/>
              </w:rPr>
              <w:t>90%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Street Retail West 10, L.P.</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(10% through SRI)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Street Retail San Antonio, LP</w:t>
            </w: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rPr>
              <w:t>.1% (SRI San Anton)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rPr>
              <w:t>99.9% (SRI Texas)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 San Antonio, Inc. (f/k/a Dim Sum, Inc. f/k/a FR Acquisition Holding Co., Inc.) (“SRI San Anton”)</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SRI Texas, Inc. (“SRI Texas”)</w:t>
            </w:r>
          </w:p>
        </w:tc>
        <w:tc>
          <w:tcPr>
            <w:tcW w:w="1600" w:type="dxa"/>
            <w:vAlign w:val="bottom"/>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FRIT San Jose Town and Country Village, LLC (“San Jose LLC”)</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San Jose Residential, Inc.</w:t>
            </w: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rPr>
              <w:t>100% nonvoting stock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3000" w:type="dxa"/>
            <w:vAlign w:val="bottom"/>
            <w:gridSpan w:val="2"/>
          </w:tcPr>
          <w:p>
            <w:pPr>
              <w:ind w:left="1180"/>
              <w:spacing w:after="0"/>
              <w:rPr>
                <w:sz w:val="20"/>
                <w:szCs w:val="20"/>
                <w:color w:val="auto"/>
              </w:rPr>
            </w:pPr>
            <w:r>
              <w:rPr>
                <w:rFonts w:ascii="Arial" w:cs="Arial" w:eastAsia="Arial" w:hAnsi="Arial"/>
                <w:sz w:val="18"/>
                <w:szCs w:val="18"/>
                <w:color w:val="auto"/>
              </w:rPr>
              <w:t>(San Jose LLC)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Santana Row Services, Inc.</w:t>
            </w:r>
          </w:p>
        </w:tc>
        <w:tc>
          <w:tcPr>
            <w:tcW w:w="16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6"/>
              </w:rPr>
              <w:t>100%</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940" w:type="dxa"/>
            <w:vAlign w:val="bottom"/>
          </w:tcPr>
          <w:p>
            <w:pPr>
              <w:ind w:left="3100"/>
              <w:spacing w:after="0"/>
              <w:rPr>
                <w:sz w:val="20"/>
                <w:szCs w:val="20"/>
                <w:color w:val="auto"/>
              </w:rPr>
            </w:pPr>
            <w:r>
              <w:rPr>
                <w:rFonts w:ascii="Arial" w:cs="Arial" w:eastAsia="Arial" w:hAnsi="Arial"/>
                <w:sz w:val="18"/>
                <w:szCs w:val="18"/>
                <w:color w:val="auto"/>
              </w:rPr>
              <w:t>E-2</w:t>
            </w: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0" w:name="page41"/>
    <w:bookmarkEnd w:id="40"/>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Santana Row ROF, Inc. (“ROF”)</w:t>
            </w:r>
          </w:p>
        </w:tc>
        <w:tc>
          <w:tcPr>
            <w:tcW w:w="1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100%</w:t>
            </w:r>
          </w:p>
        </w:tc>
      </w:tr>
      <w:tr>
        <w:trPr>
          <w:trHeight w:val="216"/>
        </w:trPr>
        <w:tc>
          <w:tcPr>
            <w:tcW w:w="9800" w:type="dxa"/>
            <w:vAlign w:val="bottom"/>
          </w:tcPr>
          <w:p>
            <w:pPr>
              <w:ind w:left="440"/>
              <w:spacing w:after="0"/>
              <w:rPr>
                <w:sz w:val="20"/>
                <w:szCs w:val="20"/>
                <w:color w:val="auto"/>
              </w:rPr>
            </w:pPr>
            <w:r>
              <w:rPr>
                <w:rFonts w:ascii="Arial" w:cs="Arial" w:eastAsia="Arial" w:hAnsi="Arial"/>
                <w:sz w:val="18"/>
                <w:szCs w:val="18"/>
                <w:color w:val="auto"/>
              </w:rPr>
              <w:t>La Rive Gauche San Jose, LLC</w:t>
            </w:r>
          </w:p>
        </w:tc>
        <w:tc>
          <w:tcPr>
            <w:tcW w:w="1620" w:type="dxa"/>
            <w:vAlign w:val="bottom"/>
          </w:tcPr>
          <w:p>
            <w:pPr>
              <w:ind w:left="380"/>
              <w:spacing w:after="0"/>
              <w:rPr>
                <w:sz w:val="20"/>
                <w:szCs w:val="20"/>
                <w:color w:val="auto"/>
              </w:rPr>
            </w:pPr>
            <w:r>
              <w:rPr>
                <w:rFonts w:ascii="Arial" w:cs="Arial" w:eastAsia="Arial" w:hAnsi="Arial"/>
                <w:sz w:val="18"/>
                <w:szCs w:val="18"/>
                <w:color w:val="auto"/>
              </w:rPr>
              <w:t>37.5% (ROF)</w:t>
            </w:r>
          </w:p>
        </w:tc>
      </w:tr>
      <w:tr>
        <w:trPr>
          <w:trHeight w:val="21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Straits Santana Row, LLC</w:t>
            </w:r>
          </w:p>
        </w:tc>
        <w:tc>
          <w:tcPr>
            <w:tcW w:w="1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90% (ROF)</w:t>
            </w:r>
          </w:p>
        </w:tc>
      </w:tr>
      <w:tr>
        <w:trPr>
          <w:trHeight w:val="216"/>
        </w:trPr>
        <w:tc>
          <w:tcPr>
            <w:tcW w:w="9800" w:type="dxa"/>
            <w:vAlign w:val="bottom"/>
          </w:tcPr>
          <w:p>
            <w:pPr>
              <w:ind w:left="440"/>
              <w:spacing w:after="0"/>
              <w:rPr>
                <w:sz w:val="20"/>
                <w:szCs w:val="20"/>
                <w:color w:val="auto"/>
              </w:rPr>
            </w:pPr>
            <w:r>
              <w:rPr>
                <w:rFonts w:ascii="Arial" w:cs="Arial" w:eastAsia="Arial" w:hAnsi="Arial"/>
                <w:sz w:val="18"/>
                <w:szCs w:val="18"/>
                <w:color w:val="auto"/>
              </w:rPr>
              <w:t>Blowfish SR, LLC</w:t>
            </w:r>
          </w:p>
        </w:tc>
        <w:tc>
          <w:tcPr>
            <w:tcW w:w="1620" w:type="dxa"/>
            <w:vAlign w:val="bottom"/>
          </w:tcPr>
          <w:p>
            <w:pPr>
              <w:ind w:left="380"/>
              <w:spacing w:after="0"/>
              <w:rPr>
                <w:sz w:val="20"/>
                <w:szCs w:val="20"/>
                <w:color w:val="auto"/>
              </w:rPr>
            </w:pPr>
            <w:r>
              <w:rPr>
                <w:rFonts w:ascii="Arial" w:cs="Arial" w:eastAsia="Arial" w:hAnsi="Arial"/>
                <w:sz w:val="18"/>
                <w:szCs w:val="18"/>
                <w:color w:val="auto"/>
              </w:rPr>
              <w:t>30% (ROF)</w:t>
            </w:r>
          </w:p>
        </w:tc>
      </w:tr>
      <w:tr>
        <w:trPr>
          <w:trHeight w:val="21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Village Café Santana Row, LLC</w:t>
            </w:r>
          </w:p>
        </w:tc>
        <w:tc>
          <w:tcPr>
            <w:tcW w:w="1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49% (ROF)</w:t>
            </w:r>
          </w:p>
        </w:tc>
      </w:tr>
      <w:tr>
        <w:trPr>
          <w:trHeight w:val="216"/>
        </w:trPr>
        <w:tc>
          <w:tcPr>
            <w:tcW w:w="9800" w:type="dxa"/>
            <w:vAlign w:val="bottom"/>
          </w:tcPr>
          <w:p>
            <w:pPr>
              <w:ind w:left="440"/>
              <w:spacing w:after="0"/>
              <w:rPr>
                <w:sz w:val="20"/>
                <w:szCs w:val="20"/>
                <w:color w:val="auto"/>
              </w:rPr>
            </w:pPr>
            <w:r>
              <w:rPr>
                <w:rFonts w:ascii="Arial" w:cs="Arial" w:eastAsia="Arial" w:hAnsi="Arial"/>
                <w:sz w:val="18"/>
                <w:szCs w:val="18"/>
                <w:color w:val="auto"/>
              </w:rPr>
              <w:t>Yankee Pier Santana Row, LLC</w:t>
            </w:r>
          </w:p>
        </w:tc>
        <w:tc>
          <w:tcPr>
            <w:tcW w:w="1620" w:type="dxa"/>
            <w:vAlign w:val="bottom"/>
          </w:tcPr>
          <w:p>
            <w:pPr>
              <w:ind w:left="380"/>
              <w:spacing w:after="0"/>
              <w:rPr>
                <w:sz w:val="20"/>
                <w:szCs w:val="20"/>
                <w:color w:val="auto"/>
              </w:rPr>
            </w:pPr>
            <w:r>
              <w:rPr>
                <w:rFonts w:ascii="Arial" w:cs="Arial" w:eastAsia="Arial" w:hAnsi="Arial"/>
                <w:sz w:val="18"/>
                <w:szCs w:val="18"/>
                <w:color w:val="auto"/>
              </w:rPr>
              <w:t>75% (ROF)</w:t>
            </w:r>
          </w:p>
        </w:tc>
      </w:tr>
      <w:tr>
        <w:trPr>
          <w:trHeight w:val="21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Pizza Antica, LLC</w:t>
            </w:r>
          </w:p>
        </w:tc>
        <w:tc>
          <w:tcPr>
            <w:tcW w:w="1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 (ROF)</w:t>
            </w:r>
          </w:p>
        </w:tc>
      </w:tr>
      <w:tr>
        <w:trPr>
          <w:trHeight w:val="216"/>
        </w:trPr>
        <w:tc>
          <w:tcPr>
            <w:tcW w:w="9800" w:type="dxa"/>
            <w:vAlign w:val="bottom"/>
          </w:tcPr>
          <w:p>
            <w:pPr>
              <w:ind w:left="440"/>
              <w:spacing w:after="0"/>
              <w:rPr>
                <w:sz w:val="20"/>
                <w:szCs w:val="20"/>
                <w:color w:val="auto"/>
              </w:rPr>
            </w:pPr>
            <w:r>
              <w:rPr>
                <w:rFonts w:ascii="Arial" w:cs="Arial" w:eastAsia="Arial" w:hAnsi="Arial"/>
                <w:sz w:val="18"/>
                <w:szCs w:val="18"/>
                <w:color w:val="auto"/>
              </w:rPr>
              <w:t>Sino, LLC (f/k/a Red Lantern Restaurant, LLC)</w:t>
            </w:r>
          </w:p>
        </w:tc>
        <w:tc>
          <w:tcPr>
            <w:tcW w:w="1620" w:type="dxa"/>
            <w:vAlign w:val="bottom"/>
          </w:tcPr>
          <w:p>
            <w:pPr>
              <w:ind w:left="380"/>
              <w:spacing w:after="0"/>
              <w:rPr>
                <w:sz w:val="20"/>
                <w:szCs w:val="20"/>
                <w:color w:val="auto"/>
              </w:rPr>
            </w:pPr>
            <w:r>
              <w:rPr>
                <w:rFonts w:ascii="Arial" w:cs="Arial" w:eastAsia="Arial" w:hAnsi="Arial"/>
                <w:sz w:val="18"/>
                <w:szCs w:val="18"/>
                <w:color w:val="auto"/>
              </w:rPr>
              <w:t>90% (ROF)</w:t>
            </w:r>
          </w:p>
        </w:tc>
      </w:tr>
      <w:tr>
        <w:trPr>
          <w:trHeight w:val="21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Santana Grill Partners, LP</w:t>
            </w:r>
          </w:p>
        </w:tc>
        <w:tc>
          <w:tcPr>
            <w:tcW w:w="1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29.167% (ROF)</w:t>
            </w:r>
          </w:p>
        </w:tc>
      </w:tr>
      <w:tr>
        <w:trPr>
          <w:trHeight w:val="376"/>
        </w:trPr>
        <w:tc>
          <w:tcPr>
            <w:tcW w:w="9800" w:type="dxa"/>
            <w:vAlign w:val="bottom"/>
          </w:tcPr>
          <w:p>
            <w:pPr>
              <w:spacing w:after="0"/>
              <w:rPr>
                <w:sz w:val="20"/>
                <w:szCs w:val="20"/>
                <w:color w:val="auto"/>
              </w:rPr>
            </w:pPr>
            <w:r>
              <w:rPr>
                <w:rFonts w:ascii="Arial" w:cs="Arial" w:eastAsia="Arial" w:hAnsi="Arial"/>
                <w:sz w:val="18"/>
                <w:szCs w:val="18"/>
                <w:color w:val="auto"/>
              </w:rPr>
              <w:t>Santana Row Association, a California non-profit mutual benefit corporation</w:t>
            </w:r>
          </w:p>
        </w:tc>
        <w:tc>
          <w:tcPr>
            <w:tcW w:w="1620" w:type="dxa"/>
            <w:vAlign w:val="bottom"/>
          </w:tcPr>
          <w:p>
            <w:pPr>
              <w:spacing w:after="0"/>
              <w:rPr>
                <w:sz w:val="24"/>
                <w:szCs w:val="24"/>
                <w:color w:val="auto"/>
              </w:rPr>
            </w:pPr>
          </w:p>
        </w:tc>
      </w:tr>
      <w:tr>
        <w:trPr>
          <w:trHeight w:val="378"/>
        </w:trPr>
        <w:tc>
          <w:tcPr>
            <w:tcW w:w="9800" w:type="dxa"/>
            <w:vAlign w:val="bottom"/>
          </w:tcPr>
          <w:p>
            <w:pPr>
              <w:spacing w:after="0"/>
              <w:rPr>
                <w:sz w:val="20"/>
                <w:szCs w:val="20"/>
                <w:color w:val="auto"/>
              </w:rPr>
            </w:pPr>
            <w:r>
              <w:rPr>
                <w:rFonts w:ascii="Arial" w:cs="Arial" w:eastAsia="Arial" w:hAnsi="Arial"/>
                <w:sz w:val="18"/>
                <w:szCs w:val="18"/>
                <w:color w:val="auto"/>
              </w:rPr>
              <w:t>The Deforest Building Condominium Owners Association, a California non-profit mutual benefit corporation</w:t>
            </w:r>
          </w:p>
        </w:tc>
        <w:tc>
          <w:tcPr>
            <w:tcW w:w="1620" w:type="dxa"/>
            <w:vAlign w:val="bottom"/>
          </w:tcPr>
          <w:p>
            <w:pPr>
              <w:spacing w:after="0"/>
              <w:rPr>
                <w:sz w:val="24"/>
                <w:szCs w:val="24"/>
                <w:color w:val="auto"/>
              </w:rPr>
            </w:pPr>
          </w:p>
        </w:tc>
      </w:tr>
      <w:tr>
        <w:trPr>
          <w:trHeight w:val="378"/>
        </w:trPr>
        <w:tc>
          <w:tcPr>
            <w:tcW w:w="9800" w:type="dxa"/>
            <w:vAlign w:val="bottom"/>
          </w:tcPr>
          <w:p>
            <w:pPr>
              <w:spacing w:after="0"/>
              <w:rPr>
                <w:sz w:val="20"/>
                <w:szCs w:val="20"/>
                <w:color w:val="auto"/>
              </w:rPr>
            </w:pPr>
            <w:r>
              <w:rPr>
                <w:rFonts w:ascii="Arial" w:cs="Arial" w:eastAsia="Arial" w:hAnsi="Arial"/>
                <w:sz w:val="18"/>
                <w:szCs w:val="18"/>
                <w:color w:val="auto"/>
                <w:w w:val="94"/>
              </w:rPr>
              <w:t>The Margo Building and Villa Cornet Building Condominium Owners Association, a California non-profit mutual benefit corporation</w:t>
            </w:r>
          </w:p>
        </w:tc>
        <w:tc>
          <w:tcPr>
            <w:tcW w:w="1620" w:type="dxa"/>
            <w:vAlign w:val="bottom"/>
          </w:tcPr>
          <w:p>
            <w:pPr>
              <w:spacing w:after="0"/>
              <w:rPr>
                <w:sz w:val="24"/>
                <w:szCs w:val="24"/>
                <w:color w:val="auto"/>
              </w:rPr>
            </w:pPr>
          </w:p>
        </w:tc>
      </w:tr>
      <w:tr>
        <w:trPr>
          <w:trHeight w:val="365"/>
        </w:trPr>
        <w:tc>
          <w:tcPr>
            <w:tcW w:w="9800" w:type="dxa"/>
            <w:vAlign w:val="bottom"/>
          </w:tcPr>
          <w:p>
            <w:pPr>
              <w:ind w:left="5580"/>
              <w:spacing w:after="0"/>
              <w:rPr>
                <w:sz w:val="20"/>
                <w:szCs w:val="20"/>
                <w:color w:val="auto"/>
              </w:rPr>
            </w:pPr>
            <w:r>
              <w:rPr>
                <w:rFonts w:ascii="Arial" w:cs="Arial" w:eastAsia="Arial" w:hAnsi="Arial"/>
                <w:sz w:val="18"/>
                <w:szCs w:val="18"/>
                <w:color w:val="auto"/>
              </w:rPr>
              <w:t>E-3</w:t>
            </w:r>
          </w:p>
        </w:tc>
        <w:tc>
          <w:tcPr>
            <w:tcW w:w="1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9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[Form of Lock-Up Agreement]</w:t>
      </w:r>
    </w:p>
    <w:p>
      <w:pPr>
        <w:spacing w:after="0" w:line="9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Shares</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14,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Wachovia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This agreement is being delivered to you in connection with the proposed Pricing Agreement (the “Pricing Agreement”), between Federal Realty Investment Trust, a Maryland real estate investment trust (the “Company”), and you, relating to an underwritten public offering of the Company’s common shares of beneficial interest, par value $0.01 (the “Common Shares”). </w:t>
      </w:r>
      <w:r>
        <w:rPr>
          <w:rFonts w:ascii="Arial" w:cs="Arial" w:eastAsia="Arial" w:hAnsi="Arial"/>
          <w:sz w:val="18"/>
          <w:szCs w:val="18"/>
          <w:b w:val="1"/>
          <w:bCs w:val="1"/>
          <w:color w:val="auto"/>
        </w:rPr>
        <w:t>[Note: If the Designated Shares are Preferred Shares, change references from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Shares” to “Preferred Shares,” as appropriate.]</w:t>
      </w:r>
    </w:p>
    <w:p>
      <w:pPr>
        <w:spacing w:after="0" w:line="143"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order to induce you to enter into the Pricing Agreement, the undersigned will not, without the prior written consent of Wachovia Capital Markets, LLC (“Wachovia”), as representative of a group of underwriters, offer, sell, contract to sell, pledge or otherwise dispose of (or enter into any transaction that is designed to, or might reasonably be expected to, result in the disposition of (whether by actual disposition or effective economic disposition due to cash settlement or otherwise) by the undersigned),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capital shares of the Company or any securities convertible into or exercisable, redeemable or exchangeable for such capital shares (in each case whether now owned or hereinafter acquired by the Company), or publicly announce an intention to effect any such transaction, for a period beginning on and including the date of the Pricing Agreement through and including the date which is 45 days after the date of the Pricing Agreement (the “Lock-Up Period”).</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Notwithstanding the provisions set forth in the immediately preceding paragraph, nothing contained herein shall prohibit the exercise of stock options by the undersigned under the Company’s stock option plans for employees or trustees or other purchases by the undersigned of capital shares of the Company or any securities convertible into or exercisable, redeemable or exchangeable for such capital shares under the Company’s stock purchase plan for employees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4" w:right="239" w:bottom="1440" w:gutter="0" w:footer="0" w:header="0"/>
        </w:sectPr>
      </w:pPr>
    </w:p>
    <w:bookmarkStart w:id="42" w:name="page43"/>
    <w:bookmarkEnd w:id="4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trustees, in each case as such plans are in effect on the date of the Pricing Agreement (provided that the undersigned understands and agrees that any and all capital shares of the Company and securities convertible into or exercisable, redeemable or exchangeable for such capital shares that the undersigned acquires on or after the date of this agreement (including, without limitation, upon the exercise of stock options or purchases under the Company’s stock purchase plan for employees or trustees) shall be subject to the terms and provisions of this agreement and, without limitation to the foregoing, the undersigned further understands and agrees that the undersigned will not transfer, sell or otherwise dispose of, directly or indirectly (including, without limitation, through a broker or dealer), any capital shares of the Company or any securities convertible into or exercisable, redeemable or exchangeable for such capital shares in payment of all or any portion of the exercise price of any such stock options exercised by the undersigned under any such stock option plans or in payment of all or any portion of the purchase price of any such capital shares or other securities purchased by the undersigned under any such stock purchase plans or otherwise effect a so-called “cashless” exercise or purchase);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undersigned may donate any capital shares of the Company or any securities convertible into or exercisable, redeemable or exchangeable for such capital shares to members of the undersigned’s immediate family, to a trust the beneficiaries of which are exclusively the undersigned or members of the undersigned’s immediate family or to charitable or educational organizations without the prior written consent of Wachovia if, in each case (i) such donation is a bona fide gift, (ii) the undersigned provides written notice of such gift to Wachovia no later than three business days prior to such gift, and (iii) the donee executes and delivers to Wachovia, prior to or contemporaneously with such gift, an agreement, in form and substance reasonably satisfactory to Wachovia, in substantially the form of this agreement. For purposes of this paragraph, “immediate family” shall mean a spouse, lineal descendent, father, mother, brother or sister of the transferor. As used in this agreement, the term “capital shares” includes, without limitation, Common Shares and the Company’s preferred shares of beneficial interest, par value $0.01 per share.</w:t>
      </w:r>
    </w:p>
    <w:p>
      <w:pPr>
        <w:spacing w:after="0" w:line="12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for any reason the Pricing Agreement shall be terminated prior to the Time of Delivery (as defined in the Pricing Agreement), the agreement set forth above shall likewise be terminated.</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 Page Immediately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280" w:right="299" w:bottom="1440" w:gutter="0" w:footer="0" w:header="0"/>
        </w:sectPr>
      </w:pPr>
    </w:p>
    <w:bookmarkStart w:id="43" w:name="page44"/>
    <w:bookmarkEnd w:id="43"/>
    <w:p>
      <w:pPr>
        <w:ind w:left="5660" w:right="1159" w:hanging="6390"/>
        <w:spacing w:after="0" w:line="5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has executed and delivered this agreement as of the day and year first set forth above. 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93980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4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Print Name:</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9019"/>
          </w:cols>
          <w:pgMar w:left="1440" w:top="280"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14,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 named in Schedule I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September 14, 2006 (the “Underwriting Agreement”), between the Company on the one hand and Wachovia Capital Markets, LLC, as representative of the several underwriters named in Schedule I hereto (the “Underwriters”), on the other hand, to issue and sell to the Underwriters, the Shares specified in Schedule II hereto (the “Designated Shares”).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Shares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 designated to act on behalf of the Representatives pursuant to Section 12 of the Underwriting Agreement is Wachovia Capital Markets, LLC, and the Representatives designated to act on behalf of each of the Underwriters of the Designated Shares pursuant to Section 12 of the Underwriting Agreement is Wachovia Capital Markets, LLC and the address of the Representatives referred to in such Section 12 are set forth in Schedule II hereto.</w:t>
      </w:r>
    </w:p>
    <w:p>
      <w:pPr>
        <w:spacing w:after="0" w:line="126"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A supplement to the Prospectus relating to the Designated Shares, in the form heretofore delivered to you, is now proposed to be filed with the Commission.</w:t>
      </w:r>
    </w:p>
    <w:p>
      <w:pPr>
        <w:spacing w:after="0" w:line="132"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number of Initial Shares (as defined in Schedule II hereto) set forth opposite the name of such Underwriter in Schedule I hereto.</w:t>
      </w:r>
    </w:p>
    <w:p>
      <w:pPr>
        <w:sectPr>
          <w:pgSz w:w="11900" w:h="16838" w:orient="portrait"/>
          <w:cols w:equalWidth="0" w:num="1">
            <w:col w:w="11420"/>
          </w:cols>
          <w:pgMar w:left="240" w:top="125" w:right="239" w:bottom="1440" w:gutter="0" w:footer="0" w:header="0"/>
        </w:sectPr>
      </w:pPr>
    </w:p>
    <w:bookmarkStart w:id="45" w:name="page46"/>
    <w:bookmarkEnd w:id="45"/>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subject to the terms and conditions set forth herein and in the Underwriting Agreement incorporated herein by reference, the Company hereby grants an option to the Underwriters to purchase, severally and not jointly, up to the number of Option Shares (as defined in Schedule II hereto) specified in Schedule II hereto at the place and purchase price to the Underwriters set forth in Schedule II hereto and at the Option Closing Time specified by the Representatives as provided below. The option hereby granted will expire at 11:59 p.m. (New York City time) on the 30th day after the date of this Pricing Agreement and may be exercised once, in whole or in part, for the purpose of covering over-allotments which may be made in connection with the offering and distribution of the Initial Shares upon notice by the Representatives to the Company setting forth the number of Option Shares as to which the several Underwriters are then exercising the option and the Option Closing Time for such Option Shares. Any such Option Closing Time shall be determined by the Representatives but shall not be later than seven full business days after the exercise of such option nor in any event prior to the Time of Delivery. If the option is exercised as to all or any portion of the Option Shares, each of the Underwriters, acting severally and not jointly, will be obligated to purchase that proportion of the total number of Option Shares then being purchased which the number of Initial Shares set forth in Schedule II hereto opposite the name of such Underwriter bears to the total number of Initial Shares (subject in each case to such adjustments as the Representatives in their discretion shall make to eliminate any sales or purchases of fractional shares), and the Company shall be obligated to issue and sell such Option Shares to the several Underwriters, in each case subject to the terms and conditions set forth herein and in the Underwriting Agreement incorporated by reference herein.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340"/>
          </w:cols>
          <w:pgMar w:left="240" w:top="280" w:right="319" w:bottom="1440" w:gutter="0" w:footer="0" w:header="0"/>
        </w:sectPr>
      </w:pPr>
    </w:p>
    <w:bookmarkStart w:id="46" w:name="page47"/>
    <w:bookmarkEnd w:id="46"/>
    <w:p>
      <w:pPr>
        <w:jc w:val="both"/>
        <w:ind w:right="3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Dawn M. Becker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Dawn M. Becker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 General</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Counsel and Secretary</w:t>
            </w:r>
          </w:p>
        </w:tc>
      </w:tr>
    </w:tbl>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as of the date hereof:</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WACHOVIA CAPITAL MARKETS, LLC,</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 its own behalf and as Representative of</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several Underwriters</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7012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David H. Herman</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ectPr>
          <w:pgSz w:w="11900" w:h="16838" w:orient="portrait"/>
          <w:cols w:equalWidth="0" w:num="1">
            <w:col w:w="11420"/>
          </w:cols>
          <w:pgMar w:left="240" w:top="280"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920" w:type="dxa"/>
            <w:vAlign w:val="bottom"/>
            <w:gridSpan w:val="4"/>
          </w:tcPr>
          <w:p>
            <w:pPr>
              <w:jc w:val="center"/>
              <w:ind w:right="4620"/>
              <w:spacing w:after="0"/>
              <w:rPr>
                <w:sz w:val="20"/>
                <w:szCs w:val="20"/>
                <w:color w:val="auto"/>
              </w:rPr>
            </w:pPr>
            <w:r>
              <w:rPr>
                <w:rFonts w:ascii="Arial" w:cs="Arial" w:eastAsia="Arial" w:hAnsi="Arial"/>
                <w:sz w:val="18"/>
                <w:szCs w:val="18"/>
                <w:color w:val="auto"/>
                <w:w w:val="94"/>
              </w:rPr>
              <w:t>SCHEDULE I</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Initial Shares</w:t>
            </w:r>
          </w:p>
        </w:tc>
        <w:tc>
          <w:tcPr>
            <w:tcW w:w="0" w:type="dxa"/>
            <w:vAlign w:val="bottom"/>
          </w:tcPr>
          <w:p>
            <w:pPr>
              <w:spacing w:after="0"/>
              <w:rPr>
                <w:sz w:val="1"/>
                <w:szCs w:val="1"/>
                <w:color w:val="auto"/>
              </w:rPr>
            </w:pPr>
          </w:p>
        </w:tc>
      </w:tr>
      <w:tr>
        <w:trPr>
          <w:trHeight w:val="168"/>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4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to 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44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4"/>
              </w:rPr>
              <w:t>BB&amp;T Capital Markets, a division of Scott &amp; Stringfellow, Inc.</w:t>
            </w:r>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RBC Capital Markets Corporation</w:t>
            </w:r>
          </w:p>
        </w:tc>
        <w:tc>
          <w:tcPr>
            <w:tcW w:w="5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Stifel, Nicolaus &amp; Company, Incorporated</w:t>
            </w:r>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96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2,002,670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920" w:type="dxa"/>
            <w:vAlign w:val="bottom"/>
            <w:gridSpan w:val="4"/>
          </w:tcPr>
          <w:p>
            <w:pPr>
              <w:jc w:val="center"/>
              <w:ind w:right="4600"/>
              <w:spacing w:after="0"/>
              <w:rPr>
                <w:sz w:val="20"/>
                <w:szCs w:val="20"/>
                <w:color w:val="auto"/>
              </w:rPr>
            </w:pPr>
            <w:r>
              <w:rPr>
                <w:rFonts w:ascii="Arial" w:cs="Arial" w:eastAsia="Arial" w:hAnsi="Arial"/>
                <w:sz w:val="18"/>
                <w:szCs w:val="18"/>
                <w:color w:val="auto"/>
                <w:w w:val="94"/>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500"/>
          </w:cols>
          <w:pgMar w:left="700" w:top="280" w:right="69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8" w:name="page49"/>
    <w:bookmarkEnd w:id="4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21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Title of Designated Shares:</w:t>
      </w:r>
      <w:r>
        <w:rPr>
          <w:sz w:val="20"/>
          <w:szCs w:val="20"/>
          <w:color w:val="auto"/>
        </w:rPr>
        <w:tab/>
      </w:r>
      <w:r>
        <w:rPr>
          <w:rFonts w:ascii="Arial" w:cs="Arial" w:eastAsia="Arial" w:hAnsi="Arial"/>
          <w:sz w:val="16"/>
          <w:szCs w:val="16"/>
          <w:color w:val="auto"/>
        </w:rPr>
        <w:t>Common Shares of Beneficial Interest</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Number of Designated Shares:</w:t>
      </w:r>
      <w:r>
        <w:rPr>
          <w:sz w:val="20"/>
          <w:szCs w:val="20"/>
          <w:color w:val="auto"/>
        </w:rPr>
        <w:tab/>
      </w:r>
      <w:r>
        <w:rPr>
          <w:rFonts w:ascii="Arial" w:cs="Arial" w:eastAsia="Arial" w:hAnsi="Arial"/>
          <w:sz w:val="15"/>
          <w:szCs w:val="15"/>
          <w:color w:val="auto"/>
        </w:rPr>
        <w:t>2,303,070 shares. The Designated Shares consist of an aggregate of</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2,002,670 Designated Shares (the “Initial Shares”) that the Underwriters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have agreed, severally and not jointly, to purchase and that the Company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has agreed to sell and an aggregate of up to 300,400 Designated Shares (the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“Option Shares”) that the Underwriters have the option to purchase,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severally and not jointly, from the Company, all subject to the terms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conditions set forth in this Pricing Agreement and the Underwriting</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Agreement incorporated by reference herein.</w:t>
      </w:r>
    </w:p>
    <w:p>
      <w:pPr>
        <w:sectPr>
          <w:pgSz w:w="11900" w:h="16838" w:orient="portrait"/>
          <w:cols w:equalWidth="0" w:num="1">
            <w:col w:w="11380"/>
          </w:cols>
          <w:pgMar w:left="240" w:top="280" w:right="279"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Initial Offering Price to Public Per Share for Designated Shares: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Purchase Price per Share for Designated Shares to be Paid by the Underwriters: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$74.90 per share.</w:t>
      </w:r>
    </w:p>
    <w:p>
      <w:pPr>
        <w:spacing w:after="0" w:line="11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$74.51 per share; provided, however, that the purchase price per share for any Option Shares purchased by the Underwriters shall be reduced by an amount per share equal to the aggregate amount per share of any dividends or distributions declared, paid or payable with respect to the Initial Shares but not payable with respect to such Option Shares.</w:t>
      </w:r>
    </w:p>
    <w:p>
      <w:pPr>
        <w:spacing w:after="0" w:line="62" w:lineRule="exact"/>
        <w:rPr>
          <w:sz w:val="20"/>
          <w:szCs w:val="20"/>
          <w:color w:val="auto"/>
        </w:rPr>
      </w:pPr>
    </w:p>
    <w:p>
      <w:pPr>
        <w:sectPr>
          <w:pgSz w:w="11900" w:h="16838" w:orient="portrait"/>
          <w:cols w:equalWidth="0" w:num="2">
            <w:col w:w="5600" w:space="460"/>
            <w:col w:w="5320"/>
          </w:cols>
          <w:pgMar w:left="240" w:top="280" w:right="279" w:bottom="1440" w:gutter="0" w:footer="0" w:header="0"/>
          <w:type w:val="continuous"/>
        </w:sectPr>
      </w:pPr>
    </w:p>
    <w:p>
      <w:pPr>
        <w:spacing w:after="0"/>
        <w:tabs>
          <w:tab w:leader="none" w:pos="6040" w:val="left"/>
        </w:tabs>
        <w:rPr>
          <w:sz w:val="20"/>
          <w:szCs w:val="20"/>
          <w:color w:val="auto"/>
        </w:rPr>
      </w:pPr>
      <w:r>
        <w:rPr>
          <w:rFonts w:ascii="Arial" w:cs="Arial" w:eastAsia="Arial" w:hAnsi="Arial"/>
          <w:sz w:val="18"/>
          <w:szCs w:val="18"/>
          <w:color w:val="auto"/>
        </w:rPr>
        <w:t>Applicable Time:</w:t>
      </w:r>
      <w:r>
        <w:rPr>
          <w:sz w:val="20"/>
          <w:szCs w:val="20"/>
          <w:color w:val="auto"/>
        </w:rPr>
        <w:tab/>
      </w:r>
      <w:r>
        <w:rPr>
          <w:rFonts w:ascii="Arial" w:cs="Arial" w:eastAsia="Arial" w:hAnsi="Arial"/>
          <w:sz w:val="15"/>
          <w:szCs w:val="15"/>
          <w:color w:val="auto"/>
        </w:rPr>
        <w:t>9:00 a.m. (Eastern Time) on September 14, 2006 or such other time as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agreed by the Company and the Representatives.</w:t>
      </w:r>
    </w:p>
    <w:p>
      <w:pPr>
        <w:sectPr>
          <w:pgSz w:w="11900" w:h="16838" w:orient="portrait"/>
          <w:cols w:equalWidth="0" w:num="1">
            <w:col w:w="11380"/>
          </w:cols>
          <w:pgMar w:left="240" w:top="280" w:right="27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Preliminary Prospectus Supplement: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Specified funds for payment of purchase price: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Names and addresses of Representatives: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Wire transfer of immediately available funds.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124"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tabs>
          <w:tab w:leader="none" w:pos="6040" w:val="left"/>
        </w:tabs>
        <w:rPr>
          <w:sz w:val="20"/>
          <w:szCs w:val="20"/>
          <w:color w:val="auto"/>
        </w:rPr>
      </w:pPr>
      <w:r>
        <w:rPr>
          <w:rFonts w:ascii="Arial" w:cs="Arial" w:eastAsia="Arial" w:hAnsi="Arial"/>
          <w:sz w:val="18"/>
          <w:szCs w:val="18"/>
          <w:color w:val="auto"/>
        </w:rPr>
        <w:t>Address for Notices, etc.:</w:t>
      </w:r>
      <w:r>
        <w:rPr>
          <w:sz w:val="20"/>
          <w:szCs w:val="20"/>
          <w:color w:val="auto"/>
        </w:rPr>
        <w:tab/>
      </w:r>
      <w:r>
        <w:rPr>
          <w:rFonts w:ascii="Arial" w:cs="Arial" w:eastAsia="Arial" w:hAnsi="Arial"/>
          <w:sz w:val="16"/>
          <w:szCs w:val="16"/>
          <w:color w:val="auto"/>
        </w:rPr>
        <w:t>Wachovia Capital Markets, LLC</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New York, New York 10152</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280" w:right="27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color w:val="auto"/>
        </w:rPr>
        <w:t>Time of Delivery: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9:00 a.m. (New York City time) on September 19,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-205105</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340" w:space="720"/>
            <w:col w:w="4159"/>
          </w:cols>
          <w:pgMar w:left="240" w:top="280" w:right="1440" w:bottom="1440" w:gutter="0" w:footer="0" w:header="0"/>
        </w:sectPr>
      </w:pPr>
    </w:p>
    <w:p>
      <w:pPr>
        <w:spacing w:after="0"/>
        <w:rPr>
          <w:sz w:val="20"/>
          <w:szCs w:val="20"/>
          <w:color w:val="auto"/>
        </w:rPr>
      </w:pPr>
      <w:r>
        <w:rPr>
          <w:rFonts w:ascii="Arial" w:cs="Arial" w:eastAsia="Arial" w:hAnsi="Arial"/>
          <w:sz w:val="16"/>
          <w:szCs w:val="16"/>
          <w:color w:val="auto"/>
        </w:rPr>
        <w:t>Closing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 94104</w:t>
      </w:r>
    </w:p>
    <w:p>
      <w:pPr>
        <w:spacing w:after="0" w:line="147" w:lineRule="exact"/>
        <w:rPr>
          <w:sz w:val="20"/>
          <w:szCs w:val="20"/>
          <w:color w:val="auto"/>
        </w:rPr>
      </w:pPr>
    </w:p>
    <w:p>
      <w:pPr>
        <w:sectPr>
          <w:pgSz w:w="11900" w:h="16838" w:orient="portrait"/>
          <w:cols w:equalWidth="0" w:num="2">
            <w:col w:w="5340" w:space="720"/>
            <w:col w:w="4159"/>
          </w:cols>
          <w:pgMar w:left="240" w:top="28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Place of Delivery of Designated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 New York</w:t>
      </w:r>
    </w:p>
    <w:p>
      <w:pPr>
        <w:spacing w:after="0" w:line="181" w:lineRule="exact"/>
        <w:rPr>
          <w:sz w:val="20"/>
          <w:szCs w:val="20"/>
          <w:color w:val="auto"/>
        </w:rPr>
      </w:pPr>
    </w:p>
    <w:p>
      <w:pPr>
        <w:sectPr>
          <w:pgSz w:w="11900" w:h="16838" w:orient="portrait"/>
          <w:cols w:equalWidth="0" w:num="2">
            <w:col w:w="5340" w:space="720"/>
            <w:col w:w="4159"/>
          </w:cols>
          <w:pgMar w:left="240" w:top="280" w:right="1440" w:bottom="1440" w:gutter="0" w:footer="0" w:header="0"/>
          <w:type w:val="continuous"/>
        </w:sectPr>
      </w:pPr>
    </w:p>
    <w:p>
      <w:pPr>
        <w:ind w:left="5580"/>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0219"/>
          </w:cols>
          <w:pgMar w:left="240" w:top="280" w:right="1440" w:bottom="1440" w:gutter="0" w:footer="0" w:header="0"/>
          <w:type w:val="continuous"/>
        </w:sectPr>
      </w:pPr>
    </w:p>
    <w:bookmarkStart w:id="50" w:name="page51"/>
    <w:bookmarkEnd w:id="50"/>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III</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List of Persons Subject to Lock-Up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Larry E. Finger</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0219"/>
          </w:cols>
          <w:pgMar w:left="240" w:top="280"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5.1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 LETTERHEAD]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Federal Realty Investment Trust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Underwritten Public Offering of up to 2,303,070 Common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acted as counsel to Federal Realty Investment Trust, a Maryland real estate investment trust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with the Securities and Exchange Commission under the Securities Act of 1933, as amended, of a prospectus supplement dated September 14, 2006 (the “</w:t>
      </w:r>
      <w:r>
        <w:rPr>
          <w:rFonts w:ascii="Arial" w:cs="Arial" w:eastAsia="Arial" w:hAnsi="Arial"/>
          <w:sz w:val="16"/>
          <w:szCs w:val="16"/>
          <w:b w:val="1"/>
          <w:bCs w:val="1"/>
          <w:color w:val="auto"/>
        </w:rPr>
        <w:t>Prospectus</w:t>
      </w:r>
      <w:r>
        <w:rPr>
          <w:rFonts w:ascii="Arial" w:cs="Arial" w:eastAsia="Arial" w:hAnsi="Arial"/>
          <w:sz w:val="16"/>
          <w:szCs w:val="16"/>
          <w:color w:val="auto"/>
        </w:rPr>
        <w:t xml:space="preserve"> </w:t>
      </w:r>
      <w:r>
        <w:rPr>
          <w:rFonts w:ascii="Arial" w:cs="Arial" w:eastAsia="Arial" w:hAnsi="Arial"/>
          <w:sz w:val="16"/>
          <w:szCs w:val="16"/>
          <w:b w:val="1"/>
          <w:bCs w:val="1"/>
          <w:color w:val="auto"/>
        </w:rPr>
        <w:t>Supplement</w:t>
      </w:r>
      <w:r>
        <w:rPr>
          <w:rFonts w:ascii="Arial" w:cs="Arial" w:eastAsia="Arial" w:hAnsi="Arial"/>
          <w:sz w:val="16"/>
          <w:szCs w:val="16"/>
          <w:color w:val="auto"/>
        </w:rPr>
        <w:t>”) to the prospectus dated June 20, 2006 (the “</w:t>
      </w:r>
      <w:r>
        <w:rPr>
          <w:rFonts w:ascii="Arial" w:cs="Arial" w:eastAsia="Arial" w:hAnsi="Arial"/>
          <w:sz w:val="16"/>
          <w:szCs w:val="16"/>
          <w:b w:val="1"/>
          <w:bCs w:val="1"/>
          <w:color w:val="auto"/>
        </w:rPr>
        <w:t>Base Prospectus</w:t>
      </w:r>
      <w:r>
        <w:rPr>
          <w:rFonts w:ascii="Arial" w:cs="Arial" w:eastAsia="Arial" w:hAnsi="Arial"/>
          <w:sz w:val="16"/>
          <w:szCs w:val="16"/>
          <w:color w:val="auto"/>
        </w:rPr>
        <w:t>”) contained in the automatic shelf registration statement on Form S-3 (File No. 333-135159)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was filed on June 20, 2006. The Base Prospectus and the Prospectus Supplement are together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The Prospectus relates to the issuance and sale by the Company of up to 2,303,070 common shares of beneficial interest, par value $.01 per share (the “</w:t>
      </w:r>
      <w:r>
        <w:rPr>
          <w:rFonts w:ascii="Arial" w:cs="Arial" w:eastAsia="Arial" w:hAnsi="Arial"/>
          <w:sz w:val="16"/>
          <w:szCs w:val="16"/>
          <w:b w:val="1"/>
          <w:bCs w:val="1"/>
          <w:color w:val="auto"/>
        </w:rPr>
        <w:t>Shares</w:t>
      </w:r>
      <w:r>
        <w:rPr>
          <w:rFonts w:ascii="Arial" w:cs="Arial" w:eastAsia="Arial" w:hAnsi="Arial"/>
          <w:sz w:val="16"/>
          <w:szCs w:val="16"/>
          <w:color w:val="auto"/>
        </w:rPr>
        <w:t>”), pursuant to the Underwriting Agreement dated September 14, 2006 between the Company and the Underwriters (as defined below)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and the related Pricing Agreement dated September 14, 2006 between the Company and the Underwriters (the “</w:t>
      </w:r>
      <w:r>
        <w:rPr>
          <w:rFonts w:ascii="Arial" w:cs="Arial" w:eastAsia="Arial" w:hAnsi="Arial"/>
          <w:sz w:val="16"/>
          <w:szCs w:val="16"/>
          <w:b w:val="1"/>
          <w:bCs w:val="1"/>
          <w:color w:val="auto"/>
        </w:rPr>
        <w:t>Pricing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to the firms named in Schedule I to the Pricing Agreement (the “</w:t>
      </w:r>
      <w:r>
        <w:rPr>
          <w:rFonts w:ascii="Arial" w:cs="Arial" w:eastAsia="Arial" w:hAnsi="Arial"/>
          <w:sz w:val="16"/>
          <w:szCs w:val="16"/>
          <w:b w:val="1"/>
          <w:bCs w:val="1"/>
          <w:color w:val="auto"/>
        </w:rPr>
        <w:t>Underwriters</w:t>
      </w:r>
      <w:r>
        <w:rPr>
          <w:rFonts w:ascii="Arial" w:cs="Arial" w:eastAsia="Arial" w:hAnsi="Arial"/>
          <w:sz w:val="16"/>
          <w:szCs w:val="16"/>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our opinion, we have examined the following:</w:t>
      </w:r>
    </w:p>
    <w:p>
      <w:pPr>
        <w:spacing w:after="0" w:line="90"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Declaration of Trust of the Company, as amended and corrected, as certified by the Maryland State Department of Assessments and Taxation on September 5, 2006;</w:t>
      </w:r>
    </w:p>
    <w:p>
      <w:pPr>
        <w:sectPr>
          <w:pgSz w:w="11900" w:h="16838" w:orient="portrait"/>
          <w:cols w:equalWidth="0" w:num="1">
            <w:col w:w="11420"/>
          </w:cols>
          <w:pgMar w:left="24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5"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Amended and Restated Bylaws, as amended, of the Company, as certified by the Secretary of the Company on September 14, 2006;</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copy of the specimen certificate for the Shares to be issued pursuant to the Underwriting Agreement.</w:t>
      </w:r>
    </w:p>
    <w:p>
      <w:pPr>
        <w:spacing w:after="0" w:line="84" w:lineRule="exact"/>
        <w:rPr>
          <w:rFonts w:ascii="Arial" w:cs="Arial" w:eastAsia="Arial" w:hAnsi="Arial"/>
          <w:sz w:val="18"/>
          <w:szCs w:val="18"/>
          <w:color w:val="auto"/>
        </w:rPr>
      </w:pPr>
    </w:p>
    <w:p>
      <w:pPr>
        <w:ind w:left="900" w:right="140" w:hanging="446"/>
        <w:spacing w:after="0" w:line="27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resolutions adopted by the Board of Trustees of the Company on February 17, 2006 and September 5, 2006 (the “</w:t>
      </w:r>
      <w:r>
        <w:rPr>
          <w:rFonts w:ascii="Arial" w:cs="Arial" w:eastAsia="Arial" w:hAnsi="Arial"/>
          <w:sz w:val="18"/>
          <w:szCs w:val="18"/>
          <w:b w:val="1"/>
          <w:bCs w:val="1"/>
          <w:color w:val="auto"/>
        </w:rPr>
        <w:t>Board Resolutions</w:t>
      </w:r>
      <w:r>
        <w:rPr>
          <w:rFonts w:ascii="Arial" w:cs="Arial" w:eastAsia="Arial" w:hAnsi="Arial"/>
          <w:sz w:val="18"/>
          <w:szCs w:val="18"/>
          <w:color w:val="auto"/>
        </w:rPr>
        <w:t>”), as certified by the Secretary of the Company on September 14, 2006;</w:t>
      </w:r>
    </w:p>
    <w:p>
      <w:pPr>
        <w:spacing w:after="0" w:line="38" w:lineRule="exact"/>
        <w:rPr>
          <w:rFonts w:ascii="Arial" w:cs="Arial" w:eastAsia="Arial" w:hAnsi="Arial"/>
          <w:sz w:val="18"/>
          <w:szCs w:val="18"/>
          <w:color w:val="auto"/>
        </w:rPr>
      </w:pPr>
    </w:p>
    <w:p>
      <w:pPr>
        <w:ind w:left="900" w:right="260" w:hanging="446"/>
        <w:spacing w:after="0" w:line="361" w:lineRule="auto"/>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resolutions adopted by the Pricing Committee of the Board of Trustees of the Company on September 14, 2006 (the “</w:t>
      </w:r>
      <w:r>
        <w:rPr>
          <w:rFonts w:ascii="Arial" w:cs="Arial" w:eastAsia="Arial" w:hAnsi="Arial"/>
          <w:sz w:val="15"/>
          <w:szCs w:val="15"/>
          <w:b w:val="1"/>
          <w:bCs w:val="1"/>
          <w:color w:val="auto"/>
        </w:rPr>
        <w:t>Pricing Committee</w:t>
      </w:r>
      <w:r>
        <w:rPr>
          <w:rFonts w:ascii="Arial" w:cs="Arial" w:eastAsia="Arial" w:hAnsi="Arial"/>
          <w:sz w:val="15"/>
          <w:szCs w:val="15"/>
          <w:color w:val="auto"/>
        </w:rPr>
        <w:t xml:space="preserve"> </w:t>
      </w:r>
      <w:r>
        <w:rPr>
          <w:rFonts w:ascii="Arial" w:cs="Arial" w:eastAsia="Arial" w:hAnsi="Arial"/>
          <w:sz w:val="15"/>
          <w:szCs w:val="15"/>
          <w:b w:val="1"/>
          <w:bCs w:val="1"/>
          <w:color w:val="auto"/>
        </w:rPr>
        <w:t>Resolutions</w:t>
      </w:r>
      <w:r>
        <w:rPr>
          <w:rFonts w:ascii="Arial" w:cs="Arial" w:eastAsia="Arial" w:hAnsi="Arial"/>
          <w:sz w:val="15"/>
          <w:szCs w:val="15"/>
          <w:color w:val="auto"/>
        </w:rPr>
        <w:t>” and, together with the Board Resolutions, the “</w:t>
      </w:r>
      <w:r>
        <w:rPr>
          <w:rFonts w:ascii="Arial" w:cs="Arial" w:eastAsia="Arial" w:hAnsi="Arial"/>
          <w:sz w:val="15"/>
          <w:szCs w:val="15"/>
          <w:b w:val="1"/>
          <w:bCs w:val="1"/>
          <w:color w:val="auto"/>
        </w:rPr>
        <w:t>Resolutions</w:t>
      </w:r>
      <w:r>
        <w:rPr>
          <w:rFonts w:ascii="Arial" w:cs="Arial" w:eastAsia="Arial" w:hAnsi="Arial"/>
          <w:sz w:val="15"/>
          <w:szCs w:val="15"/>
          <w:color w:val="auto"/>
        </w:rPr>
        <w:t>”), as certified by the Secretary of the Company on September 14, 2006;</w:t>
      </w: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 and</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our examination of the aforesaid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that, at and prior to the time of the sale and delivery of the Shares pursuant to the Registration Statement, (i) the Resolutions have not been amended, modified or rescinded, (ii) no stop order suspending the effectiveness of the Registration Statement has been issued and no proceedings with respect thereto have been commenced or threatened, and (iii) there has not occurred any change in law materially adversely affecting the power of the Company to offer and sell the Shares or the validity of the Shares.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also assumed that the offering, sale and delivery of the Shares will not at the time of such offering, sale and delivery violate or conflict with (i) the Declaration of Trust, as then amended, restated and supplemented, and Bylaws, as then amended, restated and supplemented, of the Company, (ii) any provision of any license, indenture, instrument, mortgage, contract, document or agreement to which the Company is then a party or by which the Company is then bound, or (iii) any law or regulation or any decree, judgment or order then applicable to the Company. We have further assumed that the number of Shares to be offered and sold pursuant to the Registration Statement will not at the time of such offering and sale exceed the amount of such class of capital shares authorized in the Declaration of Trust, as then amended, restated or supplemented, and unissued (and not otherwise reserved for issuance) at such time.</w:t>
      </w:r>
    </w:p>
    <w:p>
      <w:pPr>
        <w:sectPr>
          <w:pgSz w:w="11900" w:h="16838" w:orient="portrait"/>
          <w:cols w:equalWidth="0" w:num="1">
            <w:col w:w="11400"/>
          </w:cols>
          <w:pgMar w:left="240" w:top="280"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upon the foregoing and subject to the limitations and qualifications hereinafter set forth, we are of the opinion that the Shares, when sold, issued and delivered by Company in accordance with the terms of the Underwriting Agreement and the Pricing Agreement, will be validly issued, fully paid and nonassessable.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This opinion is limited to the laws of the United States and Maryland law, in each case excluding choice of law provisions thereof. We render no opinions with respect to the law of any other jurisdiction. Our opinion is rendered only with respect to the laws and the rules, regulations and orders thereunder that are currently in effect. We assume no obligation to advise you of any changes in the foregoing subsequent to the delivery of this opinion.</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use of our name in the Prospectus under the caption “Legal Matters.” The giving of this consent, however, does not constitute an admission that we are “experts” within the meaning of Section 11 of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or within the category of persons whose consent is required by Section 7 of the Act.</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360"/>
          </w:cols>
          <w:pgMar w:left="240" w:top="280" w:right="2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8.1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 LETTERHEAD]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14,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Rockville, Maryland 20852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the prospectus dated June 20, 2006 (the “Base Prospectus”), the prospectus supplement relating to the Shares dated September 14, 2006 (the “Prospectus Supplement”), and all documents incorporated and deemed to be incorporated by reference therein) with the Securities and Exchange Commission, relating to the issuance and sale by the Company of up to 2,303,070 of the Company’s common shares of beneficial interest, par value $.01 per share (the “Shares”).</w:t>
      </w:r>
    </w:p>
    <w:p>
      <w:pPr>
        <w:spacing w:after="0" w:line="11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w:t>
      </w:r>
    </w:p>
    <w:p>
      <w:pPr>
        <w:sectPr>
          <w:pgSz w:w="11900" w:h="16838" w:orient="portrait"/>
          <w:cols w:equalWidth="0" w:num="1">
            <w:col w:w="11420"/>
          </w:cols>
          <w:pgMar w:left="240" w:top="12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20" w:lineRule="exact"/>
        <w:rPr>
          <w:sz w:val="20"/>
          <w:szCs w:val="20"/>
          <w:color w:val="auto"/>
        </w:rPr>
      </w:pPr>
    </w:p>
    <w:p>
      <w:pPr>
        <w:ind w:right="200" w:firstLine="456"/>
        <w:spacing w:after="0" w:line="307" w:lineRule="auto"/>
        <w:rPr>
          <w:sz w:val="20"/>
          <w:szCs w:val="20"/>
          <w:color w:val="auto"/>
        </w:rPr>
      </w:pPr>
      <w:r>
        <w:rPr>
          <w:rFonts w:ascii="Arial" w:cs="Arial" w:eastAsia="Arial" w:hAnsi="Arial"/>
          <w:sz w:val="15"/>
          <w:szCs w:val="15"/>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2006;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(2006) taxable year and for future taxable years, and (iii) the discussions in (x) the Base Prospectus under the caption “Federal Income Tax Consequences,” and (y) the Company’s Annual Report on Form 10-K for the year ended December 31, 2005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“Federal Income Tax Consequences” are hereby confirmed.</w:t>
      </w:r>
    </w:p>
    <w:p>
      <w:pPr>
        <w:spacing w:after="0" w:line="11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w:t>
      </w:r>
    </w:p>
    <w:p>
      <w:pPr>
        <w:sectPr>
          <w:pgSz w:w="11900" w:h="16838" w:orient="portrait"/>
          <w:cols w:equalWidth="0" w:num="1">
            <w:col w:w="11380"/>
          </w:cols>
          <w:pgMar w:left="240" w:top="280" w:right="27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4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assurance can be given as to whether, for any given taxable year, the actual ownership of the Company’s stock and its actual operating results and distributions satisfy the tests necessary to achieve and maintain its status as a REIT.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2"/>
    </w:lvl>
    <w:lvl w:ilvl="1">
      <w:lvlJc w:val="left"/>
      <w:lvlText w:val="(%2)"/>
      <w:numFmt w:val="lowerLetter"/>
      <w:start w:val="1"/>
    </w:lvl>
  </w:abstractNum>
  <w:abstractNum w:abstractNumId="3">
    <w:nsid w:val="628C895D"/>
    <w:multiLevelType w:val="hybridMultilevel"/>
    <w:lvl w:ilvl="0">
      <w:lvlJc w:val="left"/>
      <w:lvlText w:val="(%1)"/>
      <w:numFmt w:val="lowerLetter"/>
      <w:start w:val="2"/>
    </w:lvl>
  </w:abstractNum>
  <w:abstractNum w:abstractNumId="4">
    <w:nsid w:val="333AB105"/>
    <w:multiLevelType w:val="hybridMultilevel"/>
    <w:lvl w:ilvl="0">
      <w:lvlJc w:val="left"/>
      <w:lvlText w:val="(%1)"/>
      <w:numFmt w:val="upperLetter"/>
      <w:start w:val="1"/>
    </w:lvl>
  </w:abstractNum>
  <w:abstractNum w:abstractNumId="5">
    <w:nsid w:val="721DA317"/>
    <w:multiLevelType w:val="hybridMultilevel"/>
    <w:lvl w:ilvl="0">
      <w:lvlJc w:val="left"/>
      <w:lvlText w:val="(%1)"/>
      <w:numFmt w:val="lowerRoman"/>
      <w:start w:val="2"/>
    </w:lvl>
  </w:abstractNum>
  <w:abstractNum w:abstractNumId="6">
    <w:nsid w:val="2443A858"/>
    <w:multiLevelType w:val="hybridMultilevel"/>
    <w:lvl w:ilvl="0">
      <w:lvlJc w:val="left"/>
      <w:lvlText w:val="(%1)"/>
      <w:numFmt w:val="lowerLetter"/>
      <w:start w:val="4"/>
    </w:lvl>
  </w:abstractNum>
  <w:abstractNum w:abstractNumId="7">
    <w:nsid w:val="2D1D5AE9"/>
    <w:multiLevelType w:val="hybridMultilevel"/>
    <w:lvl w:ilvl="0">
      <w:lvlJc w:val="left"/>
      <w:lvlText w:val="(%1)"/>
      <w:numFmt w:val="lowerLetter"/>
      <w:start w:val="7"/>
    </w:lvl>
  </w:abstractNum>
  <w:abstractNum w:abstractNumId="8">
    <w:nsid w:val="6763845E"/>
    <w:multiLevelType w:val="hybridMultilevel"/>
    <w:lvl w:ilvl="0">
      <w:lvlJc w:val="left"/>
      <w:lvlText w:val="(%1)"/>
      <w:numFmt w:val="lowerLetter"/>
      <w:start w:val="9"/>
    </w:lvl>
  </w:abstractNum>
  <w:abstractNum w:abstractNumId="9">
    <w:nsid w:val="75A2A8D4"/>
    <w:multiLevelType w:val="hybridMultilevel"/>
    <w:lvl w:ilvl="0">
      <w:lvlJc w:val="left"/>
      <w:lvlText w:val="(%1)"/>
      <w:numFmt w:val="lowerLetter"/>
      <w:start w:val="12"/>
    </w:lvl>
  </w:abstractNum>
  <w:abstractNum w:abstractNumId="10">
    <w:nsid w:val="8EDBDAB"/>
    <w:multiLevelType w:val="hybridMultilevel"/>
    <w:lvl w:ilvl="0">
      <w:lvlJc w:val="left"/>
      <w:lvlText w:val="%1"/>
      <w:numFmt w:val="decimal"/>
      <w:start w:val="1"/>
    </w:lvl>
    <w:lvl w:ilvl="1">
      <w:lvlJc w:val="left"/>
      <w:lvlText w:val="(%2)"/>
      <w:numFmt w:val="lowerLetter"/>
      <w:start w:val="18"/>
    </w:lvl>
  </w:abstractNum>
  <w:abstractNum w:abstractNumId="11">
    <w:nsid w:val="79838CB2"/>
    <w:multiLevelType w:val="hybridMultilevel"/>
    <w:lvl w:ilvl="0">
      <w:lvlJc w:val="left"/>
      <w:lvlText w:val="%1."/>
      <w:numFmt w:val="decimal"/>
      <w:start w:val="3"/>
    </w:lvl>
    <w:lvl w:ilvl="1">
      <w:lvlJc w:val="left"/>
      <w:lvlText w:val="%2"/>
      <w:numFmt w:val="lowerLetter"/>
      <w:start w:val="1"/>
    </w:lvl>
  </w:abstractNum>
  <w:abstractNum w:abstractNumId="12">
    <w:nsid w:val="4353D0CD"/>
    <w:multiLevelType w:val="hybridMultilevel"/>
    <w:lvl w:ilvl="0">
      <w:lvlJc w:val="left"/>
      <w:lvlText w:val="%1."/>
      <w:numFmt w:val="decimal"/>
      <w:start w:val="5"/>
    </w:lvl>
    <w:lvl w:ilvl="1">
      <w:lvlJc w:val="left"/>
      <w:lvlText w:val="(%2)"/>
      <w:numFmt w:val="lowerLetter"/>
      <w:start w:val="1"/>
    </w:lvl>
  </w:abstractNum>
  <w:abstractNum w:abstractNumId="13">
    <w:nsid w:val="B03E0C6"/>
    <w:multiLevelType w:val="hybridMultilevel"/>
    <w:lvl w:ilvl="0">
      <w:lvlJc w:val="left"/>
      <w:lvlText w:val="(%1)"/>
      <w:numFmt w:val="lowerLetter"/>
      <w:start w:val="3"/>
    </w:lvl>
  </w:abstractNum>
  <w:abstractNum w:abstractNumId="14">
    <w:nsid w:val="189A769B"/>
    <w:multiLevelType w:val="hybridMultilevel"/>
    <w:lvl w:ilvl="0">
      <w:lvlJc w:val="left"/>
      <w:lvlText w:val="(%1)"/>
      <w:numFmt w:val="lowerLetter"/>
      <w:start w:val="7"/>
    </w:lvl>
  </w:abstractNum>
  <w:abstractNum w:abstractNumId="15">
    <w:nsid w:val="54E49EB4"/>
    <w:multiLevelType w:val="hybridMultilevel"/>
    <w:lvl w:ilvl="0">
      <w:lvlJc w:val="left"/>
      <w:lvlText w:val="%1"/>
      <w:numFmt w:val="lowerLetter"/>
      <w:start w:val="1"/>
    </w:lvl>
    <w:lvl w:ilvl="1">
      <w:lvlJc w:val="left"/>
      <w:lvlText w:val="(%2)"/>
      <w:numFmt w:val="lowerLetter"/>
      <w:start w:val="8"/>
    </w:lvl>
  </w:abstractNum>
  <w:abstractNum w:abstractNumId="16">
    <w:nsid w:val="71F32454"/>
    <w:multiLevelType w:val="hybridMultilevel"/>
    <w:lvl w:ilvl="0">
      <w:lvlJc w:val="left"/>
      <w:lvlText w:val="(%1)"/>
      <w:numFmt w:val="lowerLetter"/>
      <w:start w:val="26"/>
    </w:lvl>
    <w:lvl w:ilvl="1">
      <w:lvlJc w:val="left"/>
      <w:lvlText w:val="%2"/>
      <w:numFmt w:val="lowerLetter"/>
      <w:start w:val="1"/>
    </w:lvl>
  </w:abstractNum>
  <w:abstractNum w:abstractNumId="17">
    <w:nsid w:val="2CA88611"/>
    <w:multiLevelType w:val="hybridMultilevel"/>
    <w:lvl w:ilvl="0">
      <w:lvlJc w:val="left"/>
      <w:lvlText w:val="%1"/>
      <w:numFmt w:val="decimal"/>
      <w:start w:val="1"/>
    </w:lvl>
    <w:lvl w:ilvl="1">
      <w:lvlJc w:val="left"/>
      <w:lvlText w:val="(%2)"/>
      <w:numFmt w:val="lowerLetter"/>
      <w:start w:val="10"/>
    </w:lvl>
  </w:abstractNum>
  <w:abstractNum w:abstractNumId="18">
    <w:nsid w:val="836C40E"/>
    <w:multiLevelType w:val="hybridMultilevel"/>
    <w:lvl w:ilvl="0">
      <w:lvlJc w:val="left"/>
      <w:lvlText w:val="%1."/>
      <w:numFmt w:val="decimal"/>
      <w:start w:val="6"/>
    </w:lvl>
    <w:lvl w:ilvl="1">
      <w:lvlJc w:val="left"/>
      <w:lvlText w:val="%2"/>
      <w:numFmt w:val="lowerLetter"/>
      <w:start w:val="1"/>
    </w:lvl>
  </w:abstractNum>
  <w:abstractNum w:abstractNumId="19">
    <w:nsid w:val="2901D82"/>
    <w:multiLevelType w:val="hybridMultilevel"/>
    <w:lvl w:ilvl="0">
      <w:lvlJc w:val="left"/>
      <w:lvlText w:val="%1."/>
      <w:numFmt w:val="decimal"/>
      <w:start w:val="7"/>
    </w:lvl>
    <w:lvl w:ilvl="1">
      <w:lvlJc w:val="left"/>
      <w:lvlText w:val="(%2)"/>
      <w:numFmt w:val="lowerLetter"/>
      <w:start w:val="1"/>
    </w:lvl>
  </w:abstractNum>
  <w:abstractNum w:abstractNumId="20">
    <w:nsid w:val="3A95F874"/>
    <w:multiLevelType w:val="hybridMultilevel"/>
    <w:lvl w:ilvl="0">
      <w:lvlJc w:val="left"/>
      <w:lvlText w:val="%1"/>
      <w:numFmt w:val="lowerLetter"/>
      <w:start w:val="1"/>
    </w:lvl>
    <w:lvl w:ilvl="1">
      <w:lvlJc w:val="left"/>
      <w:lvlText w:val="(%2)"/>
      <w:numFmt w:val="lowerLetter"/>
      <w:start w:val="4"/>
    </w:lvl>
  </w:abstractNum>
  <w:abstractNum w:abstractNumId="21">
    <w:nsid w:val="8138641"/>
    <w:multiLevelType w:val="hybridMultilevel"/>
    <w:lvl w:ilvl="0">
      <w:lvlJc w:val="left"/>
      <w:lvlText w:val="(%1)"/>
      <w:numFmt w:val="lowerLetter"/>
      <w:start w:val="25"/>
    </w:lvl>
    <w:lvl w:ilvl="1">
      <w:lvlJc w:val="left"/>
      <w:lvlText w:val="(%2)"/>
      <w:numFmt w:val="lowerLetter"/>
      <w:start w:val="5"/>
    </w:lvl>
  </w:abstractNum>
  <w:abstractNum w:abstractNumId="22">
    <w:nsid w:val="1E7FF521"/>
    <w:multiLevelType w:val="hybridMultilevel"/>
    <w:lvl w:ilvl="0">
      <w:lvlJc w:val="left"/>
      <w:lvlText w:val="(%1)"/>
      <w:numFmt w:val="lowerLetter"/>
      <w:start w:val="7"/>
    </w:lvl>
  </w:abstractNum>
  <w:abstractNum w:abstractNumId="23">
    <w:nsid w:val="7C3DBD3D"/>
    <w:multiLevelType w:val="hybridMultilevel"/>
    <w:lvl w:ilvl="0">
      <w:lvlJc w:val="left"/>
      <w:lvlText w:val="%1"/>
      <w:numFmt w:val="decimal"/>
      <w:start w:val="1"/>
    </w:lvl>
    <w:lvl w:ilvl="1">
      <w:lvlJc w:val="left"/>
      <w:lvlText w:val="(%2)"/>
      <w:numFmt w:val="lowerLetter"/>
      <w:start w:val="12"/>
    </w:lvl>
  </w:abstractNum>
  <w:abstractNum w:abstractNumId="24">
    <w:nsid w:val="737B8DDC"/>
    <w:multiLevelType w:val="hybridMultilevel"/>
    <w:lvl w:ilvl="0">
      <w:lvlJc w:val="left"/>
      <w:lvlText w:val="%1."/>
      <w:numFmt w:val="decimal"/>
      <w:start w:val="8"/>
    </w:lvl>
    <w:lvl w:ilvl="1">
      <w:lvlJc w:val="left"/>
      <w:lvlText w:val="%2"/>
      <w:numFmt w:val="lowerLetter"/>
      <w:start w:val="1"/>
    </w:lvl>
  </w:abstractNum>
  <w:abstractNum w:abstractNumId="25">
    <w:nsid w:val="6CEAF087"/>
    <w:multiLevelType w:val="hybridMultilevel"/>
    <w:lvl w:ilvl="0">
      <w:lvlJc w:val="left"/>
      <w:lvlText w:val="(%1)"/>
      <w:numFmt w:val="lowerLetter"/>
      <w:start w:val="2"/>
    </w:lvl>
  </w:abstractNum>
  <w:abstractNum w:abstractNumId="26">
    <w:nsid w:val="22221A70"/>
    <w:multiLevelType w:val="hybridMultilevel"/>
    <w:lvl w:ilvl="0">
      <w:lvlJc w:val="left"/>
      <w:lvlText w:val="%1"/>
      <w:numFmt w:val="lowerLetter"/>
      <w:start w:val="1"/>
    </w:lvl>
    <w:lvl w:ilvl="1">
      <w:lvlJc w:val="left"/>
      <w:lvlText w:val="(%2)"/>
      <w:numFmt w:val="lowerLetter"/>
      <w:start w:val="3"/>
    </w:lvl>
  </w:abstractNum>
  <w:abstractNum w:abstractNumId="27">
    <w:nsid w:val="4516DDE9"/>
    <w:multiLevelType w:val="hybridMultilevel"/>
    <w:lvl w:ilvl="0">
      <w:lvlJc w:val="left"/>
      <w:lvlText w:val="(%1)"/>
      <w:numFmt w:val="lowerLetter"/>
      <w:start w:val="35"/>
    </w:lvl>
    <w:lvl w:ilvl="1">
      <w:lvlJc w:val="left"/>
      <w:lvlText w:val="(%2)"/>
      <w:numFmt w:val="lowerLetter"/>
      <w:start w:val="4"/>
    </w:lvl>
  </w:abstractNum>
  <w:abstractNum w:abstractNumId="28">
    <w:nsid w:val="3006C83E"/>
    <w:multiLevelType w:val="hybridMultilevel"/>
    <w:lvl w:ilvl="0">
      <w:lvlJc w:val="left"/>
      <w:lvlText w:val="(%1)"/>
      <w:numFmt w:val="lowerLetter"/>
      <w:start w:val="2"/>
    </w:lvl>
  </w:abstractNum>
  <w:abstractNum w:abstractNumId="29">
    <w:nsid w:val="614FD4A1"/>
    <w:multiLevelType w:val="hybridMultilevel"/>
    <w:lvl w:ilvl="0">
      <w:lvlJc w:val="left"/>
      <w:lvlText w:val="(%1)"/>
      <w:numFmt w:val="lowerLetter"/>
      <w:start w:val="5"/>
    </w:lvl>
  </w:abstractNum>
  <w:abstractNum w:abstractNumId="30">
    <w:nsid w:val="419AC241"/>
    <w:multiLevelType w:val="hybridMultilevel"/>
    <w:lvl w:ilvl="0">
      <w:lvlJc w:val="left"/>
      <w:lvlText w:val="%1."/>
      <w:numFmt w:val="decimal"/>
      <w:start w:val="9"/>
    </w:lvl>
  </w:abstractNum>
  <w:abstractNum w:abstractNumId="31">
    <w:nsid w:val="5577F8E1"/>
    <w:multiLevelType w:val="hybridMultilevel"/>
    <w:lvl w:ilvl="0">
      <w:lvlJc w:val="left"/>
      <w:lvlText w:val="(%1)"/>
      <w:numFmt w:val="lowerLetter"/>
      <w:start w:val="2"/>
    </w:lvl>
  </w:abstractNum>
  <w:abstractNum w:abstractNumId="32">
    <w:nsid w:val="440BADFC"/>
    <w:multiLevelType w:val="hybridMultilevel"/>
    <w:lvl w:ilvl="0">
      <w:lvlJc w:val="left"/>
      <w:lvlText w:val="%1."/>
      <w:numFmt w:val="decimal"/>
      <w:start w:val="10"/>
    </w:lvl>
  </w:abstractNum>
  <w:abstractNum w:abstractNumId="33">
    <w:nsid w:val="5072367"/>
    <w:multiLevelType w:val="hybridMultilevel"/>
    <w:lvl w:ilvl="0">
      <w:lvlJc w:val="left"/>
      <w:lvlText w:val="%1."/>
      <w:numFmt w:val="decimal"/>
      <w:start w:val="13"/>
    </w:lvl>
  </w:abstractNum>
  <w:abstractNum w:abstractNumId="34">
    <w:nsid w:val="3804823E"/>
    <w:multiLevelType w:val="hybridMultilevel"/>
    <w:lvl w:ilvl="0">
      <w:lvlJc w:val="left"/>
      <w:lvlText w:val="%1."/>
      <w:numFmt w:val="decimal"/>
      <w:start w:val="14"/>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lowerRoman"/>
      <w:start w:val="1"/>
    </w:lvl>
  </w:abstractNum>
  <w:abstractNum w:abstractNumId="37">
    <w:nsid w:val="5C482A9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2019-12-13T00:50:56Z</dcterms:created>
  <dcterms:modified xsi:type="dcterms:W3CDTF">2019-12-13T00:50:56Z</dcterms:modified>
</cp:coreProperties>
</file>