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044" w:type="dxa"/>
        <w:tblCellMar>
          <w:top w:w="0" w:type="dxa"/>
          <w:left w:w="0" w:type="dxa"/>
          <w:bottom w:w="0" w:type="dxa"/>
          <w:right w:w="0" w:type="dxa"/>
        </w:tblCellMar>
      </w:tblPr>
      <w:tr>
        <w:trPr>
          <w:trHeight w:val="238"/>
        </w:trPr>
        <w:tc>
          <w:tcPr>
            <w:tcW w:w="6680" w:type="dxa"/>
            <w:vAlign w:val="bottom"/>
            <w:gridSpan w:val="2"/>
          </w:tcPr>
          <w:p>
            <w:pPr>
              <w:jc w:val="center"/>
              <w:ind w:left="2178"/>
              <w:spacing w:after="0"/>
              <w:rPr>
                <w:sz w:val="20"/>
                <w:szCs w:val="20"/>
                <w:color w:val="auto"/>
              </w:rPr>
            </w:pPr>
            <w:r>
              <w:rPr>
                <w:rFonts w:ascii="Times New Roman" w:cs="Times New Roman" w:eastAsia="Times New Roman" w:hAnsi="Times New Roman"/>
                <w:sz w:val="18"/>
                <w:szCs w:val="18"/>
                <w:b w:val="1"/>
                <w:bCs w:val="1"/>
                <w:color w:val="auto"/>
                <w:w w:val="99"/>
              </w:rPr>
              <w:t>Federal Realty Investment Trust</w:t>
            </w:r>
          </w:p>
        </w:tc>
        <w:tc>
          <w:tcPr>
            <w:tcW w:w="2100" w:type="dxa"/>
            <w:vAlign w:val="bottom"/>
          </w:tcPr>
          <w:p>
            <w:pPr>
              <w:spacing w:after="0"/>
              <w:rPr>
                <w:sz w:val="20"/>
                <w:szCs w:val="20"/>
                <w:color w:val="auto"/>
              </w:rPr>
            </w:pPr>
          </w:p>
        </w:tc>
      </w:tr>
      <w:tr>
        <w:trPr>
          <w:trHeight w:val="434"/>
        </w:trPr>
        <w:tc>
          <w:tcPr>
            <w:tcW w:w="3920" w:type="dxa"/>
            <w:vAlign w:val="bottom"/>
          </w:tcPr>
          <w:p>
            <w:pPr>
              <w:jc w:val="center"/>
              <w:ind w:right="217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760" w:type="dxa"/>
            <w:vAlign w:val="bottom"/>
          </w:tcPr>
          <w:p>
            <w:pPr>
              <w:jc w:val="right"/>
              <w:ind w:right="1722"/>
              <w:spacing w:after="0"/>
              <w:rPr>
                <w:sz w:val="20"/>
                <w:szCs w:val="20"/>
                <w:color w:val="auto"/>
              </w:rPr>
            </w:pPr>
            <w:r>
              <w:rPr>
                <w:rFonts w:ascii="Times New Roman" w:cs="Times New Roman" w:eastAsia="Times New Roman" w:hAnsi="Times New Roman"/>
                <w:sz w:val="18"/>
                <w:szCs w:val="18"/>
                <w:b w:val="1"/>
                <w:bCs w:val="1"/>
                <w:color w:val="auto"/>
              </w:rPr>
              <w:t>1-07533</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8"/>
                <w:szCs w:val="18"/>
                <w:b w:val="1"/>
                <w:bCs w:val="1"/>
                <w:color w:val="auto"/>
                <w:w w:val="98"/>
              </w:rPr>
              <w:t>87-3916363</w:t>
            </w:r>
          </w:p>
        </w:tc>
      </w:tr>
      <w:tr>
        <w:trPr>
          <w:trHeight w:val="148"/>
        </w:trPr>
        <w:tc>
          <w:tcPr>
            <w:tcW w:w="3920" w:type="dxa"/>
            <w:vAlign w:val="bottom"/>
          </w:tcPr>
          <w:p>
            <w:pPr>
              <w:jc w:val="center"/>
              <w:ind w:right="21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217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8"/>
        </w:trPr>
        <w:tc>
          <w:tcPr>
            <w:tcW w:w="6680" w:type="dxa"/>
            <w:vAlign w:val="bottom"/>
            <w:gridSpan w:val="2"/>
          </w:tcPr>
          <w:p>
            <w:pPr>
              <w:jc w:val="center"/>
              <w:ind w:left="2178"/>
              <w:spacing w:after="0"/>
              <w:rPr>
                <w:sz w:val="20"/>
                <w:szCs w:val="20"/>
                <w:color w:val="auto"/>
              </w:rPr>
            </w:pPr>
            <w:r>
              <w:rPr>
                <w:rFonts w:ascii="Times New Roman" w:cs="Times New Roman" w:eastAsia="Times New Roman" w:hAnsi="Times New Roman"/>
                <w:sz w:val="18"/>
                <w:szCs w:val="18"/>
                <w:b w:val="1"/>
                <w:bCs w:val="1"/>
                <w:color w:val="auto"/>
                <w:w w:val="99"/>
              </w:rPr>
              <w:t>Federal Realty OP LP</w:t>
            </w:r>
          </w:p>
        </w:tc>
        <w:tc>
          <w:tcPr>
            <w:tcW w:w="2100" w:type="dxa"/>
            <w:vAlign w:val="bottom"/>
          </w:tcPr>
          <w:p>
            <w:pPr>
              <w:spacing w:after="0"/>
              <w:rPr>
                <w:sz w:val="24"/>
                <w:szCs w:val="24"/>
                <w:color w:val="auto"/>
              </w:rPr>
            </w:pPr>
          </w:p>
        </w:tc>
      </w:tr>
      <w:tr>
        <w:trPr>
          <w:trHeight w:val="434"/>
        </w:trPr>
        <w:tc>
          <w:tcPr>
            <w:tcW w:w="3920" w:type="dxa"/>
            <w:vAlign w:val="bottom"/>
          </w:tcPr>
          <w:p>
            <w:pPr>
              <w:jc w:val="center"/>
              <w:ind w:right="219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1462"/>
              <w:spacing w:after="0"/>
              <w:rPr>
                <w:sz w:val="20"/>
                <w:szCs w:val="20"/>
                <w:color w:val="auto"/>
              </w:rPr>
            </w:pPr>
            <w:r>
              <w:rPr>
                <w:rFonts w:ascii="Times New Roman" w:cs="Times New Roman" w:eastAsia="Times New Roman" w:hAnsi="Times New Roman"/>
                <w:sz w:val="18"/>
                <w:szCs w:val="18"/>
                <w:b w:val="1"/>
                <w:bCs w:val="1"/>
                <w:color w:val="auto"/>
              </w:rPr>
              <w:t>333-262016-01</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8"/>
                <w:szCs w:val="18"/>
                <w:b w:val="1"/>
                <w:bCs w:val="1"/>
                <w:color w:val="auto"/>
                <w:w w:val="98"/>
              </w:rPr>
              <w:t>52-0782497</w:t>
            </w:r>
          </w:p>
        </w:tc>
      </w:tr>
      <w:tr>
        <w:trPr>
          <w:trHeight w:val="149"/>
        </w:trPr>
        <w:tc>
          <w:tcPr>
            <w:tcW w:w="3920" w:type="dxa"/>
            <w:vAlign w:val="bottom"/>
          </w:tcPr>
          <w:p>
            <w:pPr>
              <w:jc w:val="center"/>
              <w:ind w:right="21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217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920" w:type="dxa"/>
            <w:vAlign w:val="bottom"/>
          </w:tcPr>
          <w:p>
            <w:pPr>
              <w:jc w:val="center"/>
              <w:ind w:left="1278"/>
              <w:spacing w:after="0"/>
              <w:rPr>
                <w:sz w:val="20"/>
                <w:szCs w:val="20"/>
                <w:color w:val="auto"/>
              </w:rPr>
            </w:pPr>
            <w:r>
              <w:rPr>
                <w:rFonts w:ascii="Times New Roman" w:cs="Times New Roman" w:eastAsia="Times New Roman" w:hAnsi="Times New Roman"/>
                <w:sz w:val="18"/>
                <w:szCs w:val="18"/>
                <w:b w:val="1"/>
                <w:bCs w:val="1"/>
                <w:color w:val="auto"/>
                <w:w w:val="98"/>
              </w:rPr>
              <w:t>909 Rose Avenue, Suite 200,</w:t>
            </w:r>
          </w:p>
        </w:tc>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7"/>
        </w:trPr>
        <w:tc>
          <w:tcPr>
            <w:tcW w:w="3920" w:type="dxa"/>
            <w:vAlign w:val="bottom"/>
          </w:tcPr>
          <w:p>
            <w:pPr>
              <w:jc w:val="center"/>
              <w:ind w:left="1278"/>
              <w:spacing w:after="0"/>
              <w:rPr>
                <w:sz w:val="20"/>
                <w:szCs w:val="20"/>
                <w:color w:val="auto"/>
              </w:rPr>
            </w:pPr>
            <w:r>
              <w:rPr>
                <w:rFonts w:ascii="Times New Roman" w:cs="Times New Roman" w:eastAsia="Times New Roman" w:hAnsi="Times New Roman"/>
                <w:sz w:val="18"/>
                <w:szCs w:val="18"/>
                <w:b w:val="1"/>
                <w:bCs w:val="1"/>
                <w:color w:val="auto"/>
              </w:rPr>
              <w:t>North Bethesda, Maryland</w:t>
            </w:r>
          </w:p>
        </w:tc>
        <w:tc>
          <w:tcPr>
            <w:tcW w:w="2760" w:type="dxa"/>
            <w:vAlign w:val="bottom"/>
          </w:tcPr>
          <w:p>
            <w:pPr>
              <w:spacing w:after="0"/>
              <w:rPr>
                <w:sz w:val="19"/>
                <w:szCs w:val="19"/>
                <w:color w:val="auto"/>
              </w:rPr>
            </w:pPr>
          </w:p>
        </w:tc>
        <w:tc>
          <w:tcPr>
            <w:tcW w:w="210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20852-4041</w:t>
            </w:r>
          </w:p>
        </w:tc>
      </w:tr>
      <w:tr>
        <w:trPr>
          <w:trHeight w:val="190"/>
        </w:trPr>
        <w:tc>
          <w:tcPr>
            <w:tcW w:w="3920" w:type="dxa"/>
            <w:vAlign w:val="bottom"/>
          </w:tcPr>
          <w:p>
            <w:pPr>
              <w:jc w:val="center"/>
              <w:ind w:left="12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60" w:type="dxa"/>
            <w:vAlign w:val="bottom"/>
          </w:tcPr>
          <w:p>
            <w:pPr>
              <w:spacing w:after="0"/>
              <w:rPr>
                <w:sz w:val="16"/>
                <w:szCs w:val="16"/>
                <w:color w:val="auto"/>
              </w:rPr>
            </w:pPr>
          </w:p>
        </w:tc>
        <w:tc>
          <w:tcPr>
            <w:tcW w:w="2100" w:type="dxa"/>
            <w:vAlign w:val="bottom"/>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Depositary Shares, each representing 1/1000 of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FRT-C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share of 5.00% Series C Cumulative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$.01 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ectPr>
          <w:pgSz w:w="11900" w:h="16838" w:orient="portrait"/>
          <w:cols w:equalWidth="0" w:num="1">
            <w:col w:w="11024"/>
          </w:cols>
          <w:pgMar w:left="436" w:top="443" w:right="439" w:bottom="0" w:gutter="0" w:footer="0" w:header="0"/>
        </w:sectPr>
      </w:pPr>
    </w:p>
    <w:bookmarkStart w:id="1" w:name="page2"/>
    <w:bookmarkEnd w:id="1"/>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117"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66"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below under the heading “Registration Rights Agreement” in Item 8.01 is incorporated by reference under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below under the heading “3.25% Exchangeable Senior Notes due 2029” in Item 8.01 is incorporated by reference under this Item 2.03.</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below under the heading “3.25% Exchangeable Senior Notes due 2029” in Item 8.01 is incorporated by reference under this Item 3.02.</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Notes (as defined below) were sold to the initial purchasers in reliance on the exemption from registration provided by Section 4(a)(2) of the Securities Act of 1933, as amended (the “Securities Act”). The initial purchasers subsequently resold the Notes to persons reasonably believed to be qualified institutional buyers in reliance on the exemption from registration provided by Rule 144A under the Securities Act. The Issuer relied on these exemptions from registration based in part on representations made by the initial purchasers in the Purchase Agreement, dated January 8, 2024, by and among the Issuer and the Parent, on the one hand, and, on the other hand, J.P. Morgan Securities LLC, BofA Securities, Inc., Wells Fargo Securities, LLC (collectively, the “Representatives”) and each of the other Initial Purchasers named in Schedule 1 thereto. Initially, a maximum of 4,739,566 common shares may be issued upon exchange of the Notes, based on the initial maximum exchange rate of 9.7723 common shares per $1,000 principal amount of Notes, which is subject to customary adjustments.</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3.25% Exchangeable Senior Notes due 2029</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January 11, 2024, Federal Realty OP LP (the “Issuer”), the operating partnership through which Federal Realty Investment Trust (the “Parent”) conducts all of its business, issued $485,000,000 aggregate principal amount of its 3.25% Exchangeable Senior Notes due 2029 (the “Notes”), which amount includes $60,000,000 aggregate principal amount of Notes pursuant to the exercise in full by the initial purchasers of their option to acquire additional Notes. The Notes were issued pursuant to, and are governed by, an Indenture, dated as of January 11, 2024 (the “Indenture”), among the Issuer, the Parent and U.S. Bank Trust Company, National Association, as trustee (the “Trustee”). The Notes were sold to the initial purchasers in reliance on the exemption from registration provided by Section 4(a)(2) of the Securities Act. The initial purchasers subsequently resold the Notes to persons reasonably believed to be qualified institutional buyers in reliance on the exemption from registration provided by Rule 144A under the Securities Act.</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notes are the Issuer’s senior unsecured obligations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the Issuer’s existing and future unsecured and unsubordinated indebtedness. The Notes will be effectively subordinated to the prior claims of each secured mortgage lender to any specific property that secures such lender’s mortgage and to all of the unsecured indebtedness and other liabilities, as well as any preferred equity, of the Issuer’s subsidiaries. The Notes are not guaranteed by the Parent or any of its or the Issuer’s subsidiaries.</w:t>
      </w:r>
    </w:p>
    <w:p>
      <w:pPr>
        <w:spacing w:after="0" w:line="18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Interest on the Notes will be payable semiannually in arrears on January 15 and July 15 of each year, beginning on July 15, 2024. The Notes will mature on January 15, 2029 unless earlier exchanged, purchased or redeemed.</w:t>
      </w:r>
    </w:p>
    <w:p>
      <w:pPr>
        <w:sectPr>
          <w:pgSz w:w="11900" w:h="16838" w:orient="portrait"/>
          <w:cols w:equalWidth="0" w:num="1">
            <w:col w:w="11020"/>
          </w:cols>
          <w:pgMar w:left="440" w:top="509" w:right="439" w:bottom="1440" w:gutter="0" w:footer="0" w:header="0"/>
        </w:sectPr>
      </w:pPr>
    </w:p>
    <w:bookmarkStart w:id="3" w:name="page4"/>
    <w:bookmarkEnd w:id="3"/>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Subject to certain restrictions on share ownership and transfer, holders may exchange the Notes at their option prior to the close of business on the business day immediately preceding July 15, 2028, but only under certain circumstances. On or after July 15, 2028, until the close of business on the second scheduled trading day immediately preceding the maturity date of the Notes, holders may exchange their Notes at any time. Upon exchange of the Notes, the Issuer will pay cash up to the aggregate principal amount of the Notes to be exchanged and pay or deliver, as the case may be, cash, common shares of beneficial interest of the Parent (“common shares”) or a combination of cash and common shares, at the Issuer’s election, in respect of the remainder, if any, of the Issuer’s exchange obligation in excess of the aggregate principal amount of the Notes being exchanged.</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exchange rate applicable to the Notes is initially equal to 8.1436 common shares per $1,000 principal amount of Notes (equivalent to an exchange price of approximately $122.80 per common share). The exchange rate will be subject to adjustment upon the occurrence of certain events, but will not be adjusted for any accrued and unpaid interest.</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subject to certain conditions, holders of the Notes may require the Issuer to repurchase for cash all or any portion of their Notes at a repurchase price equal to 100% of the principal amount of the Notes to be repurchased, plus accrued and unpaid interest to, but excluding, the fundamental change purchase date (as defined in the Indenture). In addition, if certain fundamental changes occur or if the Issuer provides notice of redemption, the Issuer may be required, in certain circumstances, to increase the exchange rate for any Notes exchanged in connection with such fundamental change or notice of redemption.</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Issuer may redeem for cash all or any portion of the notes, at its option, on or after January 20, 2027 if the last reported sale price of the common shares has been at least 130% of the exchange price then in effect for at least 20 trading days (whether or not consecutive) during any 30 consecutive trading day period (including the last trading day of such period) ending on, and including, the trading day immediately preceding the date on which the Issuer provides notice of redemption. The redemption price will be equal to 100% of the principal amount of the Notes to be redeemed, plus accrued and unpaid interest, if any, to, but excluding, the redemption date.</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(as defined in the Indenture) other than those described in the following sentence occurs and is continuing, the Trustee by notice to the Issuer, or the holders of at least 25% in aggregate principal amount of the Notes then outstanding by notice to the Issuer and the Trustee, may declare 100% of the principal of, and accrued and unpaid interest, if any, on all then outstanding Notes to be due and payable. In the case of an Event of Default arising out of certain bankruptcy or insolvency events (as set forth in the Indenture), 100% of the principal of and accrued and unpaid interest on the Notes will automatically become due and payable.</w:t>
      </w:r>
    </w:p>
    <w:p>
      <w:pPr>
        <w:spacing w:after="0" w:line="18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Issuer used a portion of the net proceeds from the offering of the Notes to pay the cost of the capped call transactions described below. The Issuer intends to use the remainder of the net proceeds from the offering of the Notes for the repayment of indebtedness and for general corporate purposes. Pending such use, the net proceeds may be invested in short-term, income-producing investments, or the Issuer may use the net proceeds to temporarily repay current and/or future amounts outstanding under its revolving credit facility.</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or any state securities laws,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Indenture and the Notes is qualified in its entirety by reference to the Indenture and the form of global note, filed herewith as Exhibits 4.1 and 4.2, respectively, and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and sale of the Notes, on January 11, 2024, the Issuer and the Parent also entered into a registration rights agreement (the “Registration Rights Agreement”) with the Representatives.</w:t>
      </w:r>
    </w:p>
    <w:p>
      <w:pPr>
        <w:sectPr>
          <w:pgSz w:w="11900" w:h="16838" w:orient="portrait"/>
          <w:cols w:equalWidth="0" w:num="1">
            <w:col w:w="11000"/>
          </w:cols>
          <w:pgMar w:left="440" w:top="297" w:right="45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the Registration Rights Agreement, the Parent has agreed that it will:</w:t>
      </w:r>
    </w:p>
    <w:p>
      <w:pPr>
        <w:spacing w:after="0" w:line="131" w:lineRule="exact"/>
        <w:rPr>
          <w:sz w:val="20"/>
          <w:szCs w:val="20"/>
          <w:color w:val="auto"/>
        </w:rPr>
      </w:pPr>
    </w:p>
    <w:p>
      <w:pPr>
        <w:ind w:left="960" w:right="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90th day after the original issuance of the Notes, file a shelf registration statement (which will be an automatic shelf registration statement if the Parent is then a well-known seasoned issuer (“WKSI”)) or a resale prospectus supplement to an effective shelf registration statement with the Securities and Exchange Commission (the “SEC”) providing for the registration of, and the sale on a continuous or delayed basis by the holders of the common shares, if any, issuable upon exchange of the Notes;</w:t>
      </w:r>
    </w:p>
    <w:p>
      <w:pPr>
        <w:spacing w:after="0" w:line="85"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shelf registration statement is not an automatic shelf registration statement, use commercially reasonable efforts to cause the shelf registration statement or resale prospectus supplement to become effective within 180 days after the first date of original issuance of the Notes; and</w:t>
      </w:r>
    </w:p>
    <w:p>
      <w:pPr>
        <w:spacing w:after="0" w:line="81" w:lineRule="exact"/>
        <w:rPr>
          <w:rFonts w:ascii="Times New Roman" w:cs="Times New Roman" w:eastAsia="Times New Roman" w:hAnsi="Times New Roman"/>
          <w:sz w:val="18"/>
          <w:szCs w:val="18"/>
          <w:color w:val="auto"/>
        </w:rPr>
      </w:pPr>
    </w:p>
    <w:p>
      <w:pPr>
        <w:ind w:left="960" w:right="18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keep the shelf registration statement or resale prospectus effective until the earlier of (1) the 30th trading day immediately following the maturity date of the Notes (subject to extension for any suspension of the effectiveness of the registration during such 30-trading day period immediately following the maturity date) and (2) the date on which there are no longer outstanding any Notes or common shares issued upon exchange thereof that would be “restricted” securities (within the meaning of Rule 144 under the Securities Act).</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Issuer does not fulfill certain of its obligations under the Registration Rights Agreement with respect to the Notes, the Issuer will be required to pay additional interest to holders of the Notes. If a holder of the Notes exchanges some or all of its Notes, such holder will not be entitled to additional interest. However, if such holder exchanges its Notes when there exists a registration default with respect to common shares, the Issuer will increase the applicable exchange rate by 3% instead of paying any additional interest.</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qualified in its entirety by reference to the Registration Rights Agreement, filed herewith as Exhibit 10.1 and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Notes and the exercise by the initial purchasers of their option to purchase additional Notes, the Issuer and the Parent entered into privately negotiated capped call transactions relating to the Notes with certain of the initial purchasers or their affiliates and/or other financial institutions (the “</w:t>
      </w:r>
      <w:r>
        <w:rPr>
          <w:rFonts w:ascii="Times New Roman" w:cs="Times New Roman" w:eastAsia="Times New Roman" w:hAnsi="Times New Roman"/>
          <w:sz w:val="18"/>
          <w:szCs w:val="18"/>
          <w:b w:val="1"/>
          <w:bCs w:val="1"/>
          <w:i w:val="1"/>
          <w:iCs w:val="1"/>
          <w:color w:val="auto"/>
        </w:rPr>
        <w:t>option counterparties</w:t>
      </w:r>
      <w:r>
        <w:rPr>
          <w:rFonts w:ascii="Times New Roman" w:cs="Times New Roman" w:eastAsia="Times New Roman" w:hAnsi="Times New Roman"/>
          <w:sz w:val="18"/>
          <w:szCs w:val="18"/>
          <w:color w:val="auto"/>
        </w:rPr>
        <w:t>”). The capped call transactions cover, subject to customary adjustments, the number of common shares that initially underlie the Notes.</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cap price of the capped call transactions initially is approximately $143.26 per share, which represents a premium of approximately 40% over the last reported sale price of the Parent’s common shares of $102.33 on the New York Stock Exchange on January 8, 2024, and is subject to certain adjustments under the terms of the capped call transactions.</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expected generally to reduce the potential dilution to the Parent’s common shares upon exchange of any notes and/or offset any cash payments the Issuer is required to make in excess of the principal amount of exchanged notes, as the case may be, with such reduction and/or offset subject to a cap.</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the Issuer expects that the option counterparties or their respective affiliates may have entered into various derivative transactions with respect to the common shares and/or purchased common shares in secondary market transactions concurrently with or shortly after the pricing of the Notes, including with or from, as the case may be, certain investors in the Notes. This activity could have increased (or reduced the size of any decrease in) the market price of the common shares or the Notes at that time.</w:t>
      </w:r>
    </w:p>
    <w:p>
      <w:pPr>
        <w:spacing w:after="0" w:line="180"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Issuer expects that the option counterparties or their respective affiliates may modify or unwind their hedge positions by entering into or unwinding various derivative transactions with respect to the common shares and/or purchasing or selling common shares or other securities of the Parent in secondary market transactions following the pricing of the Notes and prior to the maturity of the Notes (and are likely to do so following any fundamental change repurchase, redemption or early exchange of the Notes and during the 40 trading day period</w:t>
      </w:r>
    </w:p>
    <w:p>
      <w:pPr>
        <w:sectPr>
          <w:pgSz w:w="11900" w:h="16838" w:orient="portrait"/>
          <w:cols w:equalWidth="0" w:num="1">
            <w:col w:w="11000"/>
          </w:cols>
          <w:pgMar w:left="440" w:top="297" w:right="459" w:bottom="1440" w:gutter="0" w:footer="0" w:header="0"/>
        </w:sectPr>
      </w:pPr>
    </w:p>
    <w:bookmarkStart w:id="5" w:name="page6"/>
    <w:bookmarkEnd w:id="5"/>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beginning on the 41st scheduled trading day prior to the maturity date of the Notes, or, to the extent the Issuer exercises the relevant election under the capped call transactions, following any other repurchase of the Notes). This activity could also cause, reduce the extent of or avoid an increase or a decrease in the market price of the common shares or the Notes, which could affect a noteholder’s ability to exchange the Notes, and, to the extent the activity occurs following exchange or during any observation period related to an exchange of Notes, it could affect the amount and value of the consideration that a noteholder will receive upon exchange of such Notes.</w:t>
      </w:r>
    </w:p>
    <w:p>
      <w:pPr>
        <w:spacing w:after="0" w:line="183"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capped call transactions are separate transactions (in each case entered into with a separate option counterparty), are not part of the terms of the Notes and will not change the holders’ rights under the Notes. Noteholders will not have any rights with respect to the capped call transactions. A copy of the form of capped call confirmation relating to the capped call transactions is attached as Exhibit 10.1 hereto and is incorporated by reference (and the foregoing summary of the capped call transactions is qualified in its entirety by reference to such document).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and Section 21E of the Securities Exchange Act of 1934, as amended. These statements may be identified by use of terms such as “propose,” “will,” “expect,” “shall,” and similar terms or the negative of such terms, and include, without limitation, statements regarding the expected use of the net proceeds of the offering of the Notes and other information that is not historical information. Actual results or developments may differ materially from those projected or implied in these forward-looking statements. More information about the risks and uncertainties faced by the Issuer and the Parent is contained in the section captioned “Risk Factors” in the Issuer’s and the Parent’s SEC filings, including their Annual Report on Form 10-K for the fiscal year ended December 31, 2022, as well as subsequent SEC filings. The forward-looking statements contained in this Current Report are as of the date hereof, and, except as required by law, neither the Issuer nor the Parent undertakes any obligation to update any such statements, whether as a result of new information, future events or otherwise.</w:t>
      </w:r>
    </w:p>
    <w:p>
      <w:pPr>
        <w:spacing w:after="0" w:line="333"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6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10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Number</w:t>
            </w:r>
          </w:p>
        </w:tc>
        <w:tc>
          <w:tcPr>
            <w:tcW w:w="8640" w:type="dxa"/>
            <w:vAlign w:val="bottom"/>
            <w:gridSpan w:val="6"/>
          </w:tcPr>
          <w:p>
            <w:pPr>
              <w:spacing w:after="0" w:line="151" w:lineRule="exact"/>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Indenture dated January 11, 2024 among the Issuer, the Parent and the Trustee</w:t>
            </w: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5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3.25% Exchangeable Senior Note due 2029 (included in Exhibit 4.1)</w:t>
            </w:r>
          </w:p>
        </w:tc>
        <w:tc>
          <w:tcPr>
            <w:tcW w:w="40" w:type="dxa"/>
            <w:vAlign w:val="bottom"/>
            <w:tcBorders>
              <w:top w:val="single" w:sz="8" w:color="0000EE"/>
            </w:tcBorders>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10.1</w:t>
            </w:r>
          </w:p>
        </w:tc>
        <w:tc>
          <w:tcPr>
            <w:tcW w:w="540" w:type="dxa"/>
            <w:vAlign w:val="bottom"/>
          </w:tcPr>
          <w:p>
            <w:pPr>
              <w:spacing w:after="0"/>
              <w:rPr>
                <w:sz w:val="24"/>
                <w:szCs w:val="24"/>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Registration Rights Agreement dated January 11, 2024 among the Issuer, the Parent and the Representatives.</w:t>
            </w: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99.1</w:t>
            </w:r>
          </w:p>
        </w:tc>
        <w:tc>
          <w:tcPr>
            <w:tcW w:w="540" w:type="dxa"/>
            <w:vAlign w:val="bottom"/>
          </w:tcPr>
          <w:p>
            <w:pPr>
              <w:spacing w:after="0"/>
              <w:rPr>
                <w:sz w:val="24"/>
                <w:szCs w:val="24"/>
                <w:color w:val="auto"/>
              </w:rPr>
            </w:pPr>
          </w:p>
        </w:tc>
        <w:tc>
          <w:tcPr>
            <w:tcW w:w="78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Form of Capped Call Transaction Confirmation</w:t>
            </w:r>
          </w:p>
        </w:tc>
        <w:tc>
          <w:tcPr>
            <w:tcW w:w="8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Interactive Data File is embedded within the Inline XBRL document).</w:t>
            </w:r>
          </w:p>
        </w:tc>
      </w:tr>
    </w:tbl>
    <w:p>
      <w:pPr>
        <w:sectPr>
          <w:pgSz w:w="11900" w:h="16838" w:orient="portrait"/>
          <w:cols w:equalWidth="0" w:num="1">
            <w:col w:w="10884"/>
          </w:cols>
          <w:pgMar w:left="436" w:top="297" w:right="579" w:bottom="1440" w:gutter="0" w:footer="0" w:header="0"/>
        </w:sectPr>
      </w:pPr>
    </w:p>
    <w:bookmarkStart w:id="6" w:name="page7"/>
    <w:bookmarkEnd w:id="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January 11, 2024</w:t>
      </w:r>
      <w:r>
        <w:rPr>
          <w:sz w:val="20"/>
          <w:szCs w:val="20"/>
          <w:color w:val="auto"/>
        </w:rPr>
        <w:tab/>
      </w:r>
      <w:r>
        <w:rPr>
          <w:rFonts w:ascii="Times New Roman" w:cs="Times New Roman" w:eastAsia="Times New Roman" w:hAnsi="Times New Roman"/>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Dawn M. Becker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p>
      <w:pPr>
        <w:sectPr>
          <w:pgSz w:w="11900" w:h="16838" w:orient="portrait"/>
          <w:cols w:equalWidth="0" w:num="1">
            <w:col w:w="10780"/>
          </w:cols>
          <w:pgMar w:left="440" w:top="293" w:right="6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FEDERAL REALTY OP LP</w:t>
      </w:r>
    </w:p>
    <w:p>
      <w:pPr>
        <w:spacing w:after="0" w:line="21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21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 REIT</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1"/>
          <w:szCs w:val="21"/>
          <w:color w:val="auto"/>
        </w:rPr>
        <w:t>U.S. BANK TRUST COMPANY, NATIONAL ASSOCIATION</w:t>
      </w:r>
    </w:p>
    <w:p>
      <w:pPr>
        <w:spacing w:after="0" w:line="2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INDENTURE</w:t>
      </w:r>
    </w:p>
    <w:p>
      <w:pPr>
        <w:spacing w:after="0" w:line="21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January 11, 2024</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3.25% Exchangeable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214630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 References to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ARTICLE 2 ISSUE, DESCRIPTION, EXECUTION, REGISTRATION AND EXCHANGE OF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 Designation and Amount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 Form of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 Date and Denomination of Notes; Payments of Interest and Defaulted Amounts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 Execution, Authentication and Delivery of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 Exchange of Notes for Other Notes and Registration of Transfer of Notes; Restrictions on Transfer; Depositary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 Mutilated, Destroyed, Lost or Stolen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 Temporary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 Cancellation of Notes Paid, Exchanged, Etc.</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 CUSIP Numbers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 Additional Notes; Repurchases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 Ranking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ARTICLE 3 SATISFACTION AND DISCHARGE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 Satisfaction and Discharge of the Indenture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 Deposited Monies to Be Held in Trust by Trustee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 Paying Agent to Repay Monies Held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 Reinstatement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ARTICLE 4 PARTICULAR COVENANTS OF THE COMPANY AND/OR THE REIT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 Payment of Principal and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 Appointments to Fill Vacancies in Trustee’s Office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 Provisions as to Paying Agent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4.05. Existence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4.06. Rule 144A Information Requirement and Annual Reports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4.07. Stay, Extension and Usury Laws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4.08. Compliance Certificate; Statements as to Defaults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0960"/>
          </w:cols>
          <w:pgMar w:left="440" w:top="266"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4.09. Additional Interest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 Covenant to Take Certain 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ARTICLE 5 LISTS OF HOLDERS AND REPORTS BY THE COMPANY AND THE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 Lists of 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 Preservation and Disclosure of Lists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 Acceleration; Rescission and Annulment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 Additional Interest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 Payments of Notes on Default; Suit Therefor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 Application of Monies Collected by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 Proceedings by 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 Proceedings by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 Remedies Cumulative and Continuing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 Direction of Proceedings and Waiver of Defaults by Majority of 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 Notice of Defaults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 Undertaking to Pay Costs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 Duties and Responsibilities of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 Reliance on Documents, Opinions,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 No Responsibility for Recitals,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 Trustee, Paying Agents, Exchange Agents or Note Registrar May Own Notes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 Monies and Common Shares to Be Held in Trust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 Compensation and Expenses of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 Officer’s Certificate as Evidence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 Eligibility of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 Resignation or Removal of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 Acceptance by Successor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 Succession by Merger,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ARTICLE 8 CONCERNING THE 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 Action by 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 Proof of Execution by 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 Who Are Deemed Absolute Owners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ectPr>
          <w:pgSz w:w="11900" w:h="16838" w:orient="portrait"/>
          <w:cols w:equalWidth="0" w:num="1">
            <w:col w:w="10960"/>
          </w:cols>
          <w:pgMar w:left="440" w:top="270" w:right="4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Company-Owned Notes Disregarded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of Consents; Future Holders Bound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SUPPLEMENTAL INDENTURES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10.01. Supplemental Indentures Without Consent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10.02. Supplemental Indentures with Consent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10.03. Effect of Supplemental Indentures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10.04. Notation on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10.05. Trustee to Sign Amendments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CONSOLIDATION, MERGER, SALE, CONVEYANCE AND LEASE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11.01. Company and REIT May Consolidate, Merge, etc., on Certain Terms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11.02. Successor Entity to Be Substituted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11.03. Opinion of Counsel to Be Given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12.01. Indenture and Notes Solely Corporate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EXCHANGE OF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14.01. Right to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14.02. Exchange Procedure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14.03. Settlement Upon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14.04. Adjustment of Exchange Rate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14.05. Discretionary and Voluntary Adjustments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14.06. Increased Exchange Rate Applicable to Certain Notes Surrendered in Connection with Make-Whole Fundamental Changes or</w:t>
            </w:r>
          </w:p>
        </w:tc>
        <w:tc>
          <w:tcPr>
            <w:tcW w:w="300" w:type="dxa"/>
            <w:vAlign w:val="bottom"/>
          </w:tcPr>
          <w:p>
            <w:pPr>
              <w:spacing w:after="0"/>
              <w:rPr>
                <w:sz w:val="24"/>
                <w:szCs w:val="24"/>
                <w:color w:val="auto"/>
              </w:rPr>
            </w:pPr>
          </w:p>
        </w:tc>
      </w:tr>
      <w:tr>
        <w:trPr>
          <w:trHeight w:val="234"/>
        </w:trPr>
        <w:tc>
          <w:tcPr>
            <w:tcW w:w="1400" w:type="dxa"/>
            <w:vAlign w:val="bottom"/>
          </w:tcPr>
          <w:p>
            <w:pPr>
              <w:spacing w:after="0"/>
              <w:rPr>
                <w:sz w:val="20"/>
                <w:szCs w:val="20"/>
                <w:color w:val="auto"/>
              </w:rPr>
            </w:pP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of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14.07. Effect of Recapitalizations, Reclassifications and Changes of the Common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14.08. Certain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14.09. Responsibility of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14.10. Stockholder Rights Plan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14.11. Deferral of Adjustments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14.12. Notice to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14.13. Exchange in Lieu of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REPURCHASE OF NOTES AT OPTION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0960"/>
          </w:cols>
          <w:pgMar w:left="440" w:top="270" w:right="4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15.01. [Reserved.]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15.02. Purchase at Option of Holders Upon a Fundamental Change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15.03. Effect of Fundamental Change Purchase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15.04. Withdrawal of Fundamental Change Purchase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15.05. Deposit of Fundamental Change Purchase Price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15.06. Notes Purchased in Whole or in Part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15.07. Covenant to Comply with Applicable Laws Upon Purchase of Notes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15.08. Repayment to the Company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15.09. Purchase by Third Party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15.10. Exempted Fundamental Change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ARTICLE 16 OPTIONAL REDEMPTION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16.01. Optional Redemption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16.02. Notice of Optional Redemption; Selection of Notes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16.03. Payment of Notes Called for Redemption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16.04. Restrictions on Redemption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16.05. No Sinking Fund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ARTICLE 17 MISCELLANEOUS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17.01. Provisions Binding on the Company’s and the REIT’s Successors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17.02. Official Acts by Successor Entity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17.03. Addresses for Notices, Demands, etc.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17.04. Governing Law; Jurisdiction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17.05. Evidence of Compliance with Conditions Precedent; Certificates and Opinions of Counsel to Trustee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17.06. Legal Holidays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17.07. No Security Interest Created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17.08. Benefits of Indenture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17.09. Table of Contents, Headings, Etc.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17.10. Authenticating Agent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17.11. Execution in Counterparts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17.12. Severability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17.13. Waiver of Jury Trial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17.14. Force Majeure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17.15. Calculations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17.16. USA PATRIOT Act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17.17. Tax Information and Withholding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17.18. Economic Sanctions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ectPr>
          <w:pgSz w:w="11900" w:h="16838" w:orient="portrait"/>
          <w:cols w:equalWidth="0" w:num="1">
            <w:col w:w="10960"/>
          </w:cols>
          <w:pgMar w:left="440" w:top="270"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w:t>
      </w:r>
    </w:p>
    <w:p>
      <w:pPr>
        <w:spacing w:after="0" w:line="13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Face of Note]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w:t>
      </w:r>
    </w:p>
    <w:p>
      <w:pPr>
        <w:spacing w:after="0" w:line="1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Schedule A</w:t>
      </w:r>
      <w:r>
        <w:rPr>
          <w:sz w:val="20"/>
          <w:szCs w:val="20"/>
          <w:color w:val="auto"/>
        </w:rPr>
        <w:tab/>
      </w:r>
      <w:r>
        <w:rPr>
          <w:rFonts w:ascii="Times New Roman" w:cs="Times New Roman" w:eastAsia="Times New Roman" w:hAnsi="Times New Roman"/>
          <w:sz w:val="18"/>
          <w:szCs w:val="18"/>
          <w:color w:val="auto"/>
        </w:rPr>
        <w:t>Schedule of Exchanges of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1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Attachment 1</w:t>
      </w:r>
      <w:r>
        <w:rPr>
          <w:sz w:val="20"/>
          <w:szCs w:val="20"/>
          <w:color w:val="auto"/>
        </w:rPr>
        <w:tab/>
      </w:r>
      <w:r>
        <w:rPr>
          <w:rFonts w:ascii="Times New Roman" w:cs="Times New Roman" w:eastAsia="Times New Roman" w:hAnsi="Times New Roman"/>
          <w:sz w:val="18"/>
          <w:szCs w:val="18"/>
          <w:color w:val="auto"/>
        </w:rPr>
        <w:t>[Form of Notice of Exchange]</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Attachment 2</w:t>
      </w:r>
      <w:r>
        <w:rPr>
          <w:sz w:val="20"/>
          <w:szCs w:val="20"/>
          <w:color w:val="auto"/>
        </w:rPr>
        <w:tab/>
      </w:r>
      <w:r>
        <w:rPr>
          <w:rFonts w:ascii="Times New Roman" w:cs="Times New Roman" w:eastAsia="Times New Roman" w:hAnsi="Times New Roman"/>
          <w:sz w:val="17"/>
          <w:szCs w:val="17"/>
          <w:color w:val="auto"/>
        </w:rPr>
        <w:t>[Form of Fundamental Change Purchase Notice]</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Attachment 3</w:t>
      </w:r>
      <w:r>
        <w:rPr>
          <w:sz w:val="20"/>
          <w:szCs w:val="20"/>
          <w:color w:val="auto"/>
        </w:rPr>
        <w:tab/>
      </w:r>
      <w:r>
        <w:rPr>
          <w:rFonts w:ascii="Times New Roman" w:cs="Times New Roman" w:eastAsia="Times New Roman" w:hAnsi="Times New Roman"/>
          <w:sz w:val="17"/>
          <w:szCs w:val="17"/>
          <w:color w:val="auto"/>
        </w:rPr>
        <w:t>[Form of Assignment and Transfer]</w:t>
      </w:r>
    </w:p>
    <w:p>
      <w:pPr>
        <w:sectPr>
          <w:pgSz w:w="11900" w:h="16838" w:orient="portrait"/>
          <w:cols w:equalWidth="0" w:num="1">
            <w:col w:w="10019"/>
          </w:cols>
          <w:pgMar w:left="440" w:top="266" w:right="1440" w:bottom="1440" w:gutter="0" w:footer="0" w:header="0"/>
        </w:sectPr>
      </w:pPr>
    </w:p>
    <w:bookmarkStart w:id="13" w:name="page14"/>
    <w:bookmarkEnd w:id="13"/>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January 11, 2024 among FEDERAL REALTY OP LP, a Delaware limited partnership,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as more fully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FEDERAL REALTY INVESTMENT TRUST, a Maryland real estate investment trust, as the REIT (the “</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xml:space="preserve">,” as more fully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as more fully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of the Company’s 3.25% Exchangeable Senior Notes due 2029 (hereinafter called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jc w:val="both"/>
        <w:ind w:right="2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(except as herein otherwise expressly provided or unless the context otherwise requires) for all purposes of this Indenture and of any indenture supplemental hereto shall have the respective meanings specified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The words “herein,” “hereof,” “hereunder” and words of similar import refer to this Indenture as a whole and not to any particular Article, Section or other subdivision. The terms defined in this Article include the plural as well as the singular.</w:t>
      </w:r>
    </w:p>
    <w:p>
      <w:pPr>
        <w:spacing w:after="0" w:line="176"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xml:space="preserve">” means all amounts, if any, payable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any liquidated damages payable pursuant to the Registration Rights Agreement,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17.17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any matter at any time, the policies and procedures of the Depositary, if any, that are applicable to such matter at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“Authorized Officers” </w:t>
      </w:r>
      <w:r>
        <w:rPr>
          <w:rFonts w:ascii="Times New Roman" w:cs="Times New Roman" w:eastAsia="Times New Roman" w:hAnsi="Times New Roman"/>
          <w:sz w:val="18"/>
          <w:szCs w:val="18"/>
          <w:color w:val="auto"/>
        </w:rPr>
        <w:t>shall have the meaning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xml:space="preserve">” means the Company or such other Person as may be appointed, from time to time, by the Company to solicit bids for the Trading Price of the Notes in accordance with </w:t>
      </w:r>
      <w:r>
        <w:rPr>
          <w:rFonts w:ascii="Times New Roman" w:cs="Times New Roman" w:eastAsia="Times New Roman" w:hAnsi="Times New Roman"/>
          <w:sz w:val="18"/>
          <w:szCs w:val="18"/>
          <w:u w:val="single" w:color="auto"/>
          <w:color w:val="auto"/>
        </w:rPr>
        <w:t>Section 14.01(b)(2)</w:t>
      </w:r>
      <w:r>
        <w:rPr>
          <w:rFonts w:ascii="Times New Roman" w:cs="Times New Roman" w:eastAsia="Times New Roman" w:hAnsi="Times New Roman"/>
          <w:sz w:val="18"/>
          <w:szCs w:val="18"/>
          <w:color w:val="auto"/>
        </w:rPr>
        <w:t xml:space="preserve"> hereof. Initially, the “Bid Solicitation Agent” means the Company.</w:t>
      </w:r>
    </w:p>
    <w:p>
      <w:pPr>
        <w:spacing w:after="0" w:line="15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Trustees</w:t>
      </w:r>
      <w:r>
        <w:rPr>
          <w:rFonts w:ascii="Times New Roman" w:cs="Times New Roman" w:eastAsia="Times New Roman" w:hAnsi="Times New Roman"/>
          <w:sz w:val="18"/>
          <w:szCs w:val="18"/>
          <w:color w:val="auto"/>
        </w:rPr>
        <w:t>” means the board of trustees of the REIT, or other body with analogous authority with respect to the REIT, or any duly authorized committee of that board or body.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4" w:name="page15"/>
    <w:bookmarkEnd w:id="14"/>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REIT or the Company to have been duly adopted by the Board of Trustees and to be in full force and effect on the date of such certification, and delivered to the Trustee.</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day on which banking institutions in New York, New York are authorized or required by law or executive order to close or to be closed.</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Person, any and all shares, interests, rights to purchase, warrants, options, participations or other equivalents of or interests in (however designated) the equity of such Person, but excluding any debt securities convertible into or exchangeable for such equity.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“Cash Percentage</w:t>
      </w:r>
      <w:r>
        <w:rPr>
          <w:rFonts w:ascii="Times New Roman" w:cs="Times New Roman" w:eastAsia="Times New Roman" w:hAnsi="Times New Roman"/>
          <w:sz w:val="18"/>
          <w:szCs w:val="18"/>
          <w:color w:val="auto"/>
        </w:rPr>
        <w:t>” shall have the meaning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 Averaging Period</w:t>
      </w:r>
      <w:r>
        <w:rPr>
          <w:rFonts w:ascii="Times New Roman" w:cs="Times New Roman" w:eastAsia="Times New Roman" w:hAnsi="Times New Roman"/>
          <w:sz w:val="18"/>
          <w:szCs w:val="18"/>
          <w:color w:val="auto"/>
        </w:rPr>
        <w:t>” with respect to any Note surrendered for exchange means:</w:t>
      </w:r>
    </w:p>
    <w:p>
      <w:pPr>
        <w:spacing w:after="0" w:line="229" w:lineRule="exact"/>
        <w:rPr>
          <w:sz w:val="20"/>
          <w:szCs w:val="20"/>
          <w:color w:val="auto"/>
        </w:rPr>
      </w:pPr>
    </w:p>
    <w:p>
      <w:pPr>
        <w:ind w:left="440" w:right="440" w:firstLine="419"/>
        <w:spacing w:after="0" w:line="282"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 below, if the relevant Exchange Date occurs prior to October 15, 2028, the 40 consecutive Trading Day period beginning on, and including, the second Trading Day immediately succeeding such Exchange Date;</w:t>
      </w:r>
    </w:p>
    <w:p>
      <w:pPr>
        <w:spacing w:after="0" w:line="161" w:lineRule="exact"/>
        <w:rPr>
          <w:rFonts w:ascii="Times New Roman" w:cs="Times New Roman" w:eastAsia="Times New Roman" w:hAnsi="Times New Roman"/>
          <w:sz w:val="18"/>
          <w:szCs w:val="18"/>
          <w:color w:val="auto"/>
        </w:rPr>
      </w:pPr>
    </w:p>
    <w:p>
      <w:pPr>
        <w:jc w:val="both"/>
        <w:ind w:left="440" w:right="240" w:firstLine="419"/>
        <w:spacing w:after="0" w:line="266"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relevant Exchange Date occurs on or after the date of issuance by the Company of a Redemption Notice and prior to the related Redemption Date, the 40 consecutive Trading Day period beginning on and including the 41st Scheduled Trading Day prior to the Redemption Date; and</w:t>
      </w:r>
    </w:p>
    <w:p>
      <w:pPr>
        <w:spacing w:after="0" w:line="175"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 above, if the relevant Exchange Date occurs on or after October 15, 2028, the 40 consecutive Trading Day period beginning on, and including, the 41st Scheduled Trading Day immediately preceding the Maturity Date.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the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5" w:name="page16"/>
    <w:bookmarkEnd w:id="15"/>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the common shares of beneficial interest, $.01 par value per share, of the REIT authorized at the date of this instrument as originally executed.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 Resale Restriction Termination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shall have the meaning specified in the first paragraph of this Indenture, and subject to the provisions of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shall include its successors and assigns.</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any one of its Chairman of the Board, its Chief Executive Officer, its President, its Vice Chairman, its Chief Financial Officer or a Vice President (whether or not designated by a number or numbers or word or words added before or after the title “Vice President”), its Treasurer, or its Secretary, and delivered to the Trustee.</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office of the Trustee at which at any time its corporate trust business shall be administered, which office at the date hereof is located at U.S. Bank National Association, 214 North Tryon Street, 27th Floor (CN-NC-H27A), Charlotte, NC 28202, Attention: Global Corporate Trust, or such other address as the Trustee may designate from time to time by notice to the Holders, the Company and the REIT, or the principal corporate trust office of any successor trustee (or such other address as such successor trustee may designate from time to time by notice to the Holders, the Company and the REIT).</w:t>
      </w:r>
    </w:p>
    <w:p>
      <w:pPr>
        <w:spacing w:after="0" w:line="17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Depositary with respect to the Notes (so long as the Notes constitute Global Notes), or any successor entity.</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Exchange Value</w:t>
      </w:r>
      <w:r>
        <w:rPr>
          <w:rFonts w:ascii="Times New Roman" w:cs="Times New Roman" w:eastAsia="Times New Roman" w:hAnsi="Times New Roman"/>
          <w:sz w:val="18"/>
          <w:szCs w:val="18"/>
          <w:color w:val="auto"/>
        </w:rPr>
        <w:t>” means, for each of the 40 consecutive Trading Days during the relevant Cash Settlement Averaging Period, 1/40th of the product of (a) the Exchange Rate on such Trading Day and (b) the Daily VWAP for such Trading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Net Settlement Amount</w:t>
      </w:r>
      <w:r>
        <w:rPr>
          <w:rFonts w:ascii="Times New Roman" w:cs="Times New Roman" w:eastAsia="Times New Roman" w:hAnsi="Times New Roman"/>
          <w:sz w:val="18"/>
          <w:szCs w:val="18"/>
          <w:color w:val="auto"/>
        </w:rPr>
        <w:t>” means, for each of the 40 consecutive Trading Days during the relevant Cash Settlement Averaging Period:</w:t>
      </w:r>
    </w:p>
    <w:p>
      <w:pPr>
        <w:spacing w:after="0" w:line="229" w:lineRule="exact"/>
        <w:rPr>
          <w:sz w:val="20"/>
          <w:szCs w:val="20"/>
          <w:color w:val="auto"/>
        </w:rPr>
      </w:pPr>
    </w:p>
    <w:p>
      <w:pPr>
        <w:ind w:left="440" w:right="80" w:firstLine="419"/>
        <w:spacing w:after="0" w:line="266" w:lineRule="auto"/>
        <w:tabs>
          <w:tab w:leader="none" w:pos="11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elect a Cash Percentage or the Company elects (or is deemed to have elected) a Cash Percentage of 0% as set forth herein, a number of Common Shares equal to (i) the difference between the Daily Exchange Value and $25, divided by (ii) the Daily VWAP for such Trading Day;</w:t>
      </w:r>
    </w:p>
    <w:p>
      <w:pPr>
        <w:spacing w:after="0" w:line="175"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a Cash Percentage of 100% as set forth herein, cash in an amount equal to the difference between the Daily Exchange Value and $25; or</w:t>
      </w:r>
    </w:p>
    <w:p>
      <w:pPr>
        <w:spacing w:after="0" w:line="161" w:lineRule="exact"/>
        <w:rPr>
          <w:rFonts w:ascii="Times New Roman" w:cs="Times New Roman" w:eastAsia="Times New Roman" w:hAnsi="Times New Roman"/>
          <w:sz w:val="18"/>
          <w:szCs w:val="18"/>
          <w:color w:val="auto"/>
        </w:rPr>
      </w:pPr>
    </w:p>
    <w:p>
      <w:pPr>
        <w:ind w:left="440" w:right="20" w:firstLine="419"/>
        <w:spacing w:after="0" w:line="276" w:lineRule="auto"/>
        <w:tabs>
          <w:tab w:leader="none" w:pos="111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elects a Cash Percentage of less than 100% but greater than 0% as set forth herein, (i) cash equal to the product of (x) the difference between the Daily Exchange Value and $25 and (y) the Cash Percentage, plus (ii) a number of Common Shares equal to the product of</w:t>
      </w:r>
    </w:p>
    <w:p>
      <w:pPr>
        <w:ind w:left="440" w:right="80" w:hanging="4"/>
        <w:spacing w:after="0" w:line="260"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difference between the Daily Exchange Value and $25, divided by (B) the Daily VWAP for such Trading Day and (y) 100% minus the Cash Percentage.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40 consecutive Trading Days during the relevant Cash Settlement Averaging Period, shall consist of:</w:t>
      </w:r>
    </w:p>
    <w:p>
      <w:pPr>
        <w:spacing w:after="0" w:line="229" w:lineRule="exact"/>
        <w:rPr>
          <w:sz w:val="20"/>
          <w:szCs w:val="20"/>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(i) $25 and (ii) the Daily Exchange Value on such Trading Day; and</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Daily Exchange Value on such Trading Day exceeds $25, the Daily Net Settlement Amount.</w:t>
      </w:r>
    </w:p>
    <w:p>
      <w:pPr>
        <w:spacing w:after="0" w:line="2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40 consecutive Trading Days during the relevant Cash Settlement Averaging Period, the per share volume-weighted average price as displayed under the heading “Bloomberg VWAP” on Bloomberg page “FRT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Purchase Price, principal and interest) that are payable but are not punctually paid or duly provided for.</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means, with respect to each Global Note, the Person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“Electronic Means” </w:t>
      </w:r>
      <w:r>
        <w:rPr>
          <w:rFonts w:ascii="Times New Roman" w:cs="Times New Roman" w:eastAsia="Times New Roman" w:hAnsi="Times New Roman"/>
          <w:sz w:val="18"/>
          <w:szCs w:val="18"/>
          <w:color w:val="auto"/>
        </w:rPr>
        <w:t>shall mean the following communications methods: e-mail, facsimile transmission, secure electronic transmission containing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authorization codes, passwords and/or authentication keys issued by the Trustee, or another method or system specified by the Trustee as available for use in connection with its services hereunder.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the Common Shares trade on the applicable exchange or in the applicable market, regular way, without the right to receive the issuance, dividend or distribution in question.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Consideration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Obligation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Price</w:t>
      </w:r>
      <w:r>
        <w:rPr>
          <w:rFonts w:ascii="Times New Roman" w:cs="Times New Roman" w:eastAsia="Times New Roman" w:hAnsi="Times New Roman"/>
          <w:sz w:val="18"/>
          <w:szCs w:val="18"/>
          <w:color w:val="auto"/>
        </w:rPr>
        <w:t xml:space="preserve">” means, in respect of each Note, as of any date, $1,000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Exchange Rate in effect on such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xml:space="preserve">” means the “Form of Assignment and Transfer” attached as Attachment 3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Purchase Notice</w:t>
      </w:r>
      <w:r>
        <w:rPr>
          <w:rFonts w:ascii="Times New Roman" w:cs="Times New Roman" w:eastAsia="Times New Roman" w:hAnsi="Times New Roman"/>
          <w:sz w:val="18"/>
          <w:szCs w:val="18"/>
          <w:color w:val="auto"/>
        </w:rPr>
        <w:t xml:space="preserve">” means the “Form of Fundamental Change Purchase Notice” attached as Attachment 2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xml:space="preserve">” means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Exchange</w:t>
      </w:r>
      <w:r>
        <w:rPr>
          <w:rFonts w:ascii="Times New Roman" w:cs="Times New Roman" w:eastAsia="Times New Roman" w:hAnsi="Times New Roman"/>
          <w:sz w:val="18"/>
          <w:szCs w:val="18"/>
          <w:color w:val="auto"/>
        </w:rPr>
        <w:t xml:space="preserve">” means the “Form of Notice of Exchange” attached as Attachment 1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9" w:lineRule="exact"/>
        <w:rPr>
          <w:sz w:val="20"/>
          <w:szCs w:val="20"/>
          <w:color w:val="auto"/>
        </w:rPr>
      </w:pPr>
    </w:p>
    <w:p>
      <w:pPr>
        <w:jc w:val="both"/>
        <w:ind w:right="80" w:firstLine="436"/>
        <w:spacing w:after="0" w:line="261"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Section 13(d) of the Exchange Act), other than the REIT or its Subsidiaries, files a Schedule TO or any schedule, form or report under the Exchange Act disclosing that such person or group has become the direct or indirect ultimate “beneficial owner,” as defined in Rule 13d-3 under the Exchange Act, of the REIT’s Common Equity representing more than 50% of the voting power of the REIT’s Common Equity;</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the Common Shares (other than a change resulting from a subdivision or combination) as a result of which the Common Shares would be converted into, or exchanged for, stock, other securities, other property or assets; (B) any share exchange, consolidation or merger of the REIT pursuant to which the Common Shares will be converted into cash, securities or other property or assets; or (C) any sale, lease or other transfer in one transaction or a series of transactions of all or substantially all of the consolidated assets of the REIT and its Subsidiaries, taken as a whole, to any Person other</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than one or more of the REIT’s direct or indirect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transaction described in clause (B) in which the holders of all classes of the REIT’s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(2);</w:t>
      </w:r>
    </w:p>
    <w:p>
      <w:pPr>
        <w:spacing w:after="0" w:line="185" w:lineRule="exact"/>
        <w:rPr>
          <w:sz w:val="20"/>
          <w:szCs w:val="20"/>
          <w:color w:val="auto"/>
        </w:rPr>
      </w:pPr>
    </w:p>
    <w:p>
      <w:pPr>
        <w:ind w:right="2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REIT approve any plan or proposal for the liquidation or dissolution of the REIT (other than in a transaction described in clause (2) above);</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(or any successor thereto permitted pursuant to the terms of this Indenture) ceases to exercise exclusive control over the general partner of the Company or otherwise ceases to control the Company; provided, however, that the pro rata distribution by the REIT to its shareholders of shares of its Capital Stock or shares of any of the REIT’s other Subsidiaries will not, in and of itself, constitute a fundamental change for purposes of this definition; or</w:t>
      </w:r>
    </w:p>
    <w:p>
      <w:pPr>
        <w:spacing w:after="0" w:line="179"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(or other Common Equity underlying the Notes) cease to be listed on any of The New York Stock Exchange, The NASDAQ Global Select Market or The NASDAQ Global Market (or any of their respective successors);</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provided, however, that in the case of a transaction or event described in clause (1), (2) or (4) above, if at least 90% of the consideration received or to be received by holders of the Common Shares (excluding cash payments for fractional shares) in the transaction or transactions that would otherwise constitute a “Fundamental Change” consists of shares of common stock or common equity interests that are traded on The New York Stock Exchange, The NASDAQ Global Select Market or The NASDAQ Global Market (or any of their respective successors) or that will be so traded when issued or exchanged in connection with the transaction that would otherwise constitute a “Fundamental Change” under clause (1), (2) or (4) above (“</w:t>
      </w:r>
      <w:r>
        <w:rPr>
          <w:rFonts w:ascii="Times New Roman" w:cs="Times New Roman" w:eastAsia="Times New Roman" w:hAnsi="Times New Roman"/>
          <w:sz w:val="18"/>
          <w:szCs w:val="18"/>
          <w:b w:val="1"/>
          <w:bCs w:val="1"/>
          <w:color w:val="auto"/>
        </w:rPr>
        <w:t>Publicly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Traded Securities</w:t>
      </w:r>
      <w:r>
        <w:rPr>
          <w:rFonts w:ascii="Times New Roman" w:cs="Times New Roman" w:eastAsia="Times New Roman" w:hAnsi="Times New Roman"/>
          <w:sz w:val="18"/>
          <w:szCs w:val="18"/>
          <w:color w:val="auto"/>
        </w:rPr>
        <w:t>”), and as a result of such transaction or transactions, the Notes become exchangeable into or by reference to such Publicly 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excluding cash payments for fractional shares (subject to settlement in accordance with the provisions of </w:t>
      </w:r>
      <w:r>
        <w:rPr>
          <w:rFonts w:ascii="Times New Roman" w:cs="Times New Roman" w:eastAsia="Times New Roman" w:hAnsi="Times New Roman"/>
          <w:sz w:val="18"/>
          <w:szCs w:val="18"/>
          <w:u w:val="single" w:color="auto"/>
          <w:color w:val="auto"/>
        </w:rPr>
        <w:t>Sections 14.02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14.06</w:t>
      </w:r>
      <w:r>
        <w:rPr>
          <w:rFonts w:ascii="Times New Roman" w:cs="Times New Roman" w:eastAsia="Times New Roman" w:hAnsi="Times New Roman"/>
          <w:sz w:val="18"/>
          <w:szCs w:val="18"/>
          <w:color w:val="auto"/>
        </w:rPr>
        <w:t>), such event shall not be a “Fundamental Change.”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15.02(b)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Expiration Time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15.02(a)(i)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Purchase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Purchase Notice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15.02(a)(i)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68" w:right="53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Fundamental Change Purchase Price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means a Note which is executed by the Company and authenticated and delivered to or on behalf of the Depositary or its nominee, all in accordance with this Indenture and pursuant to a Company Order, which shall be registered in the name of the Depositary or its nominee and which shall represent the amount of uncertificated Notes as specified therein.</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Dividend Threshold</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J.P. Morgan Securities LLC, BofA Securities, Inc. and Wells Fargo Securities, LLC as representatives of the initial purchasers named in the Purchase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Times New Roman" w:cs="Times New Roman" w:eastAsia="Times New Roman" w:hAnsi="Times New Roman"/>
          <w:sz w:val="18"/>
          <w:szCs w:val="18"/>
          <w:color w:val="auto"/>
        </w:rPr>
        <w:t>shall have the meaning specified in Section 17.03.</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with respect to the payment of interest on the Notes, each January 15 and July 15 of each year, beginning on July 15, 2024.</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with respect to the Notes, January 11, 2024.</w:t>
      </w:r>
    </w:p>
    <w:p>
      <w:pPr>
        <w:spacing w:after="0" w:line="225" w:lineRule="exact"/>
        <w:rPr>
          <w:sz w:val="20"/>
          <w:szCs w:val="20"/>
          <w:color w:val="auto"/>
        </w:rPr>
      </w:pPr>
    </w:p>
    <w:p>
      <w:pPr>
        <w:ind w:right="1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Last Reported Sale Price</w:t>
      </w:r>
      <w:r>
        <w:rPr>
          <w:rFonts w:ascii="Times New Roman" w:cs="Times New Roman" w:eastAsia="Times New Roman" w:hAnsi="Times New Roman"/>
          <w:sz w:val="17"/>
          <w:szCs w:val="17"/>
          <w:color w:val="auto"/>
        </w:rPr>
        <w:t>” of the Common Shares for any Trading Day means the closing sale price per share (or, if no closing sale price is reported, the average of the last bid and last ask prices or, if more than one in either case, the average of the average last bid and the average last ask prices) on that Trading Day as reported in composite transactions for the principal U.S. national or regional securities exchange on which the Common Shares are traded. If the Common Shares are not listed for trading on a U.S. national or regional securities exchange on the relevant Trading Day, the “Last Reported Sale Price” will be the last quoted bid price for the Common Shares in the over-the-counter market on the relevant date as reported by OTC Markets Group Inc. or a similar organization. If the Common Shares are not so quoted, the “Last Reported Sale Price” will be the average of the mid-point of the last bid and last ask prices for the Common Shares on the relevant Trading Day from each of at least three nationally recognized independent investment banking firms selected by the Company for this purpose. Any such determination will be conclusive absent manifest error.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14.06(a)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0" w:name="page21"/>
    <w:bookmarkEnd w:id="20"/>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except for determining amounts due on exchange, if the Common Shares are listed for trading on The New York Stock Exchange or listed on another U.S. national or regional securities exchange, the occurrence or existence during the one-half-hour period ending on the scheduled close of trading on any Trading Day of any material suspension or limitation imposed on trading (by reason of movements in price exceeding limits permitted by the stock exchange or otherwise) in the Common Shares or in any options contracts or futures contracts relating to the Common Shares. For the purposes of determining amounts due upon exchange, “</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(i) a failure by the primary U.S. national or regional securities exchange or market on which the Common Shares are listed or admitted for trading to open for trading during its regular trading session or (ii) the occurrence or existence prior to 1:00 p.m., New York City time, on any scheduled trading day for the Common Shares for more than one half-hour period in the aggregate during regular trading hours of any suspension or limitation imposed on trading (by reason of movements in price exceeding limits permitted by the relevant stock exchange or otherwise) in the Common Shares or in any options contracts or futures contracts relating to the Common Shares.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with respect to any Note and the payment of the principal amount thereof, January 15, 2029.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14.01(b)(2)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Event Common Stock</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Event Valuation Period</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Exchange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January 8, 2024, as supplemented by the related pricing term sheet dated January 8, 2024, relating to the offering and sale of the Notes.</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any person holding any of the following positions with the REIT or the Company: the Chairman of the Board, the Chief Executive Officer, the President, any Vice President (whether or not designated by a number or numbers or word or words added before or after the title “Vice President”), the Chief Financial Officer, the Treasurer, and the Secretary.</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or the REIT, means a certificate signed by any one Officer, and delivered to the Trustee.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REIT or the Company, or other counsel reasonably acceptable to the Trustee.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when used with reference to Notes, shall, subject to the provisions of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mean, as of any particular time, all Notes authenticated and delivered by the Trustee under this Indenture, except:</w:t>
      </w:r>
    </w:p>
    <w:p>
      <w:pPr>
        <w:spacing w:after="0" w:line="159" w:lineRule="exact"/>
        <w:rPr>
          <w:sz w:val="20"/>
          <w:szCs w:val="20"/>
          <w:color w:val="auto"/>
        </w:rPr>
      </w:pPr>
    </w:p>
    <w:p>
      <w:pPr>
        <w:ind w:left="680" w:hanging="24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ind w:right="54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5" w:lineRule="exact"/>
        <w:rPr>
          <w:rFonts w:ascii="Times New Roman" w:cs="Times New Roman" w:eastAsia="Times New Roman" w:hAnsi="Times New Roman"/>
          <w:sz w:val="18"/>
          <w:szCs w:val="18"/>
          <w:color w:val="auto"/>
        </w:rPr>
      </w:pPr>
    </w:p>
    <w:p>
      <w:pPr>
        <w:ind w:right="240" w:firstLine="436"/>
        <w:spacing w:after="0" w:line="266"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that have been paid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Notes in lieu of which, or in substitution for which, other Notes shall have been authenticated and delivered pursuant to the terms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unless proof satisfactory to the Trustee is presented that any such Notes are held by protected purchasers in due course;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exchanged pursuant to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and required to be cancelled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repurchased by the Company pursuant to the penultimate sentence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provided, however, that in determining whether the holders of the requisite principal amount of Outstanding Notes have consented to any request, demand, authorization, direction, notice, consent, waiver, amendment or modification hereunder, Notes held for the account of the Company, any of its Subsidiaries or any of its Affiliates shall be disregarded and deemed not to be Outstanding, except that in determining whether the Trustee shall be protected in making such a determination or relying upon any such consent, only Notes which a Responsible Officer of the Trustee actually knows to be so owned shall be so disregarded.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minimum denominations of $1,000 principal amount and integral multiples thereof.</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6" w:right="519" w:bottom="1440" w:gutter="0" w:footer="0" w:header="0"/>
        </w:sectPr>
      </w:pPr>
    </w:p>
    <w:bookmarkStart w:id="22" w:name="page23"/>
    <w:bookmarkEnd w:id="22"/>
    <w:p>
      <w:pPr>
        <w:ind w:right="400" w:firstLine="4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Predecessor Note</w:t>
      </w:r>
      <w:r>
        <w:rPr>
          <w:rFonts w:ascii="Times New Roman" w:cs="Times New Roman" w:eastAsia="Times New Roman" w:hAnsi="Times New Roman"/>
          <w:sz w:val="17"/>
          <w:szCs w:val="17"/>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xml:space="preserve">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means that certain Purchase Agreement, dated January 8, 2024, among the Company, the REIT and the Initial Purchasers.</w:t>
      </w:r>
    </w:p>
    <w:p>
      <w:pPr>
        <w:spacing w:after="0" w:line="237"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means, except to the extent otherwise provided under </w:t>
      </w:r>
      <w:r>
        <w:rPr>
          <w:rFonts w:ascii="Times New Roman" w:cs="Times New Roman" w:eastAsia="Times New Roman" w:hAnsi="Times New Roman"/>
          <w:sz w:val="18"/>
          <w:szCs w:val="18"/>
          <w:u w:val="single" w:color="auto"/>
          <w:color w:val="auto"/>
        </w:rPr>
        <w:t>Section 4.04(c)</w:t>
      </w:r>
      <w:r>
        <w:rPr>
          <w:rFonts w:ascii="Times New Roman" w:cs="Times New Roman" w:eastAsia="Times New Roman" w:hAnsi="Times New Roman"/>
          <w:sz w:val="18"/>
          <w:szCs w:val="18"/>
          <w:color w:val="auto"/>
        </w:rPr>
        <w:t xml:space="preserve"> hereof, with respect to any dividend, distribution or other transaction or event in which the holders of the Common Shares (or any other applicable security) have the right to receive any cash, securities or other property or in which Common Shares (or any other applicable security) are exchanged for or converted into any combination of cash, securities or other property, the date fixed for determination of holders of the Common Shares entitled to receive such cash, securities or other property (whether such date is fixed by the Board of Trustees, statute, contract or otherwise).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to Holders of record of such Notes on such Regular Record Date, and the Redemption Price will be equal to 100% of the principal amount of such Notes and will not include accrued and unpaid interest on such Note to, but excluding, such redemption date).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as of January 11, 2024, among the Company, the REIT and the Initial Purchasers, as amended from time to time in accordance with its terms.</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means, with respect to any Interest Payment Date, the January 1 (whether or not a Business Day) or the July 1 (whether or not a Business Day), as the case may be, immediately preceding such Interest Payment Date.</w:t>
      </w:r>
    </w:p>
    <w:p>
      <w:pPr>
        <w:spacing w:after="0" w:line="15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xml:space="preserve">” shall have the meaning specified in the first paragraph of this Indenture, and subject to the provisions of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shall include its successors and assigns.</w:t>
      </w:r>
    </w:p>
    <w:p>
      <w:pPr>
        <w:spacing w:after="0" w:line="15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means, when used with respect to the Trustee, any officer in the Corporate Trust Office,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“Sanctions” </w:t>
      </w:r>
      <w:r>
        <w:rPr>
          <w:rFonts w:ascii="Times New Roman" w:cs="Times New Roman" w:eastAsia="Times New Roman" w:hAnsi="Times New Roman"/>
          <w:sz w:val="18"/>
          <w:szCs w:val="18"/>
          <w:color w:val="auto"/>
        </w:rPr>
        <w:t>shall have the meaning specified in Section 17.18.</w:t>
      </w:r>
    </w:p>
    <w:p>
      <w:pPr>
        <w:spacing w:after="0" w:line="225"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Shares are listed or admitted for trading. If the Common Shares are not so listed or admitted for trading, “</w:t>
      </w:r>
      <w:r>
        <w:rPr>
          <w:rFonts w:ascii="Times New Roman" w:cs="Times New Roman" w:eastAsia="Times New Roman" w:hAnsi="Times New Roman"/>
          <w:sz w:val="18"/>
          <w:szCs w:val="18"/>
          <w:b w:val="1"/>
          <w:bCs w:val="1"/>
          <w:color w:val="auto"/>
        </w:rPr>
        <w:t>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with respect to any person, a Subsidiary of such person that would constitute a “significant subsidiary” as such term is defined in Article 1, Rule 1-02 of Regulation S-X, promulgated pursuant to the Exchange Act, as in effect on the original date of issuance of the Notes.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xml:space="preserve"> means, with respect to the Company or the REIT, a Person a majority of the outstanding voting stock of which is owned or controlled, directly or indirectly, by the Company or the REIT, or by one or more other Subsidiaries of the Company or the REIT. For the purposes of this definition, “voting stock” means having the voting power for the election of directors, general partners, trustees, managing members or Persons performing similar functions, whether at all times or only so long as no senior class of securities has such voting power by reason of any contingency.</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except for determining amounts due upon exchange, a Scheduled Trading Day on which (i) trading in the Common Shares (or other security for which a closing sale price must be determined) generally occurs on the New York Stock Exchange or, if the Common Shares (or such other security) are not then listed on the New York Stock Exchange, on the principal other U.S. national or regional securities exchange on which the Common Shares (or such other security) are then listed or, if the Common Shares (or such other security) are not then listed on a U.S. national or regional securities exchange, on the principal other market on which</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4" w:name="page25"/>
    <w:bookmarkEnd w:id="2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Common Shares (or such other security) are then traded and (ii) a there is no Market Disruption Event; provided that if the Common Shares (or such other security) are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 and provided further that, for purposes of determining amounts due upon exchange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Shares generally occurs on the New York Stock Exchange or, if the Common Shares are not then listed on the New York Stock Exchange, on the principal other U.S. national or regional securities exchange on which the Common Shares are then listed or, if the Common Shares are not then listed on a U.S. national or regional securities exchange, on the principal other market on which the Common Shares are then listed or admitted for trading, except that if the Common Shares are not so listed or admitted for trading, “Trading Day” means a Business Day.</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of the Notes on any date of determination means the average of the secondary market bid quotations obtained by the Bid Solicitation Agent for $3,000,000 principal amount of Notes at approximately 3:30 p.m., New York City time, on such determination date from three independent nationally recognized securities dealers selected for this purpose by the Company; provided,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$3,000,000 principal amount of Notes from a nationally recognized securities dealer, then the Trading Price per $1,000 principal amount of Notes will be deemed to be less than 98% of the product of (i) the Last Reported Sale Price of the Common Shares and (ii) the applicable Exchange Rate. If the Company is not acting as Bid Solicitation Agent, and the Company does not, when it is required to, instruct the Bid Solicitation Agent to obtain bids, or if the Company gives such instruction to the Bid Solicitation Agent, and the Bid Solicitation Agent fails to make such determination, then, in either case, the trading price per $1,000 principal amount of Notes will be deemed to be less than 98% of the product of (i) the Last Reported Sale Price of the Common Shares and (ii) the applicable Exchange Rate on each Trading Day of such failure.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as it was in force at the date of execution of this Indenture; provided, however, that in the event the Trust Indenture Act of 1939 is amended after the date hereof, the term “Trust Indenture Act” shall mean, to the extent required by such amendment, the Trust Indenture Act of 1939, as so amended.</w:t>
      </w:r>
    </w:p>
    <w:p>
      <w:pPr>
        <w:spacing w:after="0" w:line="171" w:lineRule="exact"/>
        <w:rPr>
          <w:sz w:val="20"/>
          <w:szCs w:val="20"/>
          <w:color w:val="auto"/>
        </w:rPr>
      </w:pPr>
    </w:p>
    <w:p>
      <w:pPr>
        <w:ind w:right="3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shall mean or include each Person who is then a Trustee hereunder.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Percentage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5" w:name="page26"/>
    <w:bookmarkEnd w:id="25"/>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b w:val="1"/>
          <w:bCs w:val="1"/>
          <w:i w:val="1"/>
          <w:iCs w:val="1"/>
          <w:color w:val="auto"/>
        </w:rPr>
        <w:t>References to Interest</w:t>
      </w:r>
      <w:r>
        <w:rPr>
          <w:rFonts w:ascii="Times New Roman" w:cs="Times New Roman" w:eastAsia="Times New Roman" w:hAnsi="Times New Roman"/>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the Registration Rights Agreement. Unless the context otherwise requires, any express mention of Additional Interest in any provision hereof shall not be construed as excluding Additional Interest in those provisions hereof where such express mention is not made.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ISSUE, DESCRIPTION, EXECUTION, REGISTRATION AND EXCHANGE OF NOTES</w:t>
      </w:r>
    </w:p>
    <w:p>
      <w:pPr>
        <w:spacing w:after="0" w:line="20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b w:val="1"/>
          <w:bCs w:val="1"/>
          <w:i w:val="1"/>
          <w:iCs w:val="1"/>
          <w:color w:val="auto"/>
        </w:rPr>
        <w:t>Designation and Amount</w:t>
      </w:r>
      <w:r>
        <w:rPr>
          <w:rFonts w:ascii="Times New Roman" w:cs="Times New Roman" w:eastAsia="Times New Roman" w:hAnsi="Times New Roman"/>
          <w:sz w:val="18"/>
          <w:szCs w:val="18"/>
          <w:color w:val="auto"/>
        </w:rPr>
        <w:t xml:space="preserve">. The Notes shall be designated as the “3.25% Exchangeable Senior Notes due 2029.” The aggregate principal amount of Notes that may be authenticated and delivered under this Indenture is initially limited to $485,000,000,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except for Notes authenticated and delivered upon registration or transfer of other Notes, or in exchange for other Notes, or in lieu of other Notes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b w:val="1"/>
          <w:bCs w:val="1"/>
          <w:i w:val="1"/>
          <w:iCs w:val="1"/>
          <w:color w:val="auto"/>
        </w:rPr>
        <w:t>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and provisions of which shall constitute, and are hereby expressly incorporated in and made a part of this Indenture. To the extent applicable, the Company, the REIT and the Trustee, by their execution and delivery of this Indenture, and the Holders, by their acceptance of the Notes, expressly agree to such terms and provisions and to be bound thereby.</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changes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66" w:right="519" w:bottom="1440" w:gutter="0" w:footer="0" w:header="0"/>
        </w:sectPr>
      </w:pPr>
    </w:p>
    <w:bookmarkStart w:id="26" w:name="page27"/>
    <w:bookmarkEnd w:id="2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exchanges, transfers or exchanges for other Notes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8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b w:val="1"/>
          <w:bCs w:val="1"/>
          <w:i w:val="1"/>
          <w:iCs w:val="1"/>
          <w:color w:val="auto"/>
        </w:rPr>
        <w:t>Date and Denomination of Notes; Payments of Interest and Defaulted Amounts</w:t>
      </w:r>
      <w:r>
        <w:rPr>
          <w:rFonts w:ascii="Times New Roman" w:cs="Times New Roman" w:eastAsia="Times New Roman" w:hAnsi="Times New Roman"/>
          <w:sz w:val="18"/>
          <w:szCs w:val="18"/>
          <w:color w:val="auto"/>
        </w:rPr>
        <w:t>. (a) The Notes shall be issuable in registered form without coupons in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actual days elapsed over a 30-day month.</w:t>
      </w:r>
    </w:p>
    <w:p>
      <w:pPr>
        <w:spacing w:after="0" w:line="180" w:lineRule="exact"/>
        <w:rPr>
          <w:sz w:val="20"/>
          <w:szCs w:val="20"/>
          <w:color w:val="auto"/>
        </w:rPr>
      </w:pPr>
    </w:p>
    <w:p>
      <w:pPr>
        <w:ind w:right="20" w:firstLine="436"/>
        <w:spacing w:after="0" w:line="254"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the principal of, the Redemption Price or Fundamental Change Purchase Price for any Physical Note to the Holder of such Note in cash at the designated office of the Paying Agent at U.S. Bank National Association, 214 North Tryon Street, 27th Floor (CN-NC-H27A), Charlotte, NC 28202, prior to 11:00 a.m. New York City time on the relevant payment date. The Company will pay any interest on any Physical Note to the Holder of such Note by check mailed to such Holder’s registered address or, if a Holder of more than $2,000,000 aggregate principal amount of Notes delivers to the Note Registrar a written request on or prior to a Regular Record Date that the Company make such payments by wire transfer to an account of such Holder within the United States, for each interest payment corresponding to each Regular Record Date occurring during the period beginning on the date on which such Holder delivered such request and ending on the date, if any, on which such Holder delivers to the Note Registrar a written instruction to the contrary, by wire transfer of immediately available funds to the account specified by such Holder.</w:t>
      </w:r>
    </w:p>
    <w:p>
      <w:pPr>
        <w:spacing w:after="0" w:line="19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pay the principal of, interest on, the Redemption Price or Fundamental Change Purchase Price for any Global Note to the Depositary by wire transfer of immediately available funds on the relevant payment date in accordance with Applicable Procedures.</w:t>
      </w:r>
    </w:p>
    <w:p>
      <w:pPr>
        <w:spacing w:after="0" w:line="162" w:lineRule="exact"/>
        <w:rPr>
          <w:sz w:val="20"/>
          <w:szCs w:val="20"/>
          <w:color w:val="auto"/>
        </w:rPr>
      </w:pPr>
    </w:p>
    <w:p>
      <w:pPr>
        <w:ind w:right="80" w:firstLine="436"/>
        <w:spacing w:after="0" w:line="289" w:lineRule="auto"/>
        <w:tabs>
          <w:tab w:leader="none" w:pos="68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57" w:lineRule="exact"/>
        <w:rPr>
          <w:rFonts w:ascii="Times New Roman" w:cs="Times New Roman" w:eastAsia="Times New Roman" w:hAnsi="Times New Roman"/>
          <w:sz w:val="17"/>
          <w:szCs w:val="17"/>
          <w:color w:val="auto"/>
        </w:rPr>
      </w:pPr>
    </w:p>
    <w:p>
      <w:pPr>
        <w:ind w:right="40" w:firstLine="1428"/>
        <w:spacing w:after="0" w:line="261" w:lineRule="auto"/>
        <w:tabs>
          <w:tab w:leader="none" w:pos="16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and at the same time the Company shall deposit with the Trustee an amount of money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7" w:name="page28"/>
    <w:bookmarkEnd w:id="27"/>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sent to each Holder at its address as it appears in the Note Register, not less than 10 days prior to such special record date. Notice of the proposed payment of such Defaulted Amounts and the special record date therefor having been so sent, such Defaulted Amounts shall be paid to the Persons in whose names the Notes (or their respective Predecessor Notes) are registered at the Close of Business on such special record date and shall no longer be payable pursuant to the following clause (ii)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right="80" w:firstLine="1428"/>
        <w:spacing w:after="0" w:line="261" w:lineRule="auto"/>
        <w:tabs>
          <w:tab w:leader="none" w:pos="16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b w:val="1"/>
          <w:bCs w:val="1"/>
          <w:i w:val="1"/>
          <w:iCs w:val="1"/>
          <w:color w:val="auto"/>
        </w:rPr>
        <w:t>Execution, Authentication and Delivery of Notes</w:t>
      </w:r>
      <w:r>
        <w:rPr>
          <w:rFonts w:ascii="Times New Roman" w:cs="Times New Roman" w:eastAsia="Times New Roman" w:hAnsi="Times New Roman"/>
          <w:sz w:val="18"/>
          <w:szCs w:val="18"/>
          <w:color w:val="auto"/>
        </w:rPr>
        <w:t>. The Notes shall be signed in the name and on behalf of the Company by the manual, electronic or facsimile signature of an Officer.</w:t>
      </w:r>
    </w:p>
    <w:p>
      <w:pPr>
        <w:spacing w:after="0" w:line="15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Only such Notes as shall bear thereon a certificate of authentication substantially in the form set forth on the form of Note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executed manually or electronically by an authorized signatory of the Trustee (or an authenticating agent appointed by the Trustee as provided by </w:t>
      </w:r>
      <w:r>
        <w:rPr>
          <w:rFonts w:ascii="Times New Roman" w:cs="Times New Roman" w:eastAsia="Times New Roman" w:hAnsi="Times New Roman"/>
          <w:sz w:val="18"/>
          <w:szCs w:val="18"/>
          <w:u w:val="single" w:color="auto"/>
          <w:color w:val="auto"/>
        </w:rPr>
        <w:t>Section 17.10</w:t>
      </w:r>
      <w:r>
        <w:rPr>
          <w:rFonts w:ascii="Times New Roman" w:cs="Times New Roman" w:eastAsia="Times New Roman" w:hAnsi="Times New Roman"/>
          <w:sz w:val="18"/>
          <w:szCs w:val="18"/>
          <w:color w:val="auto"/>
        </w:rPr>
        <w:t>),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8" w:name="page29"/>
    <w:bookmarkEnd w:id="28"/>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Times New Roman" w:cs="Times New Roman" w:eastAsia="Times New Roman" w:hAnsi="Times New Roman"/>
          <w:sz w:val="18"/>
          <w:szCs w:val="18"/>
          <w:b w:val="1"/>
          <w:bCs w:val="1"/>
          <w:i w:val="1"/>
          <w:iCs w:val="1"/>
          <w:color w:val="auto"/>
        </w:rPr>
        <w:t>Exchange of Notes for Other Notes and Registration of Transfer of Notes; Restrictions on Transfer; Depositary</w:t>
      </w:r>
      <w:r>
        <w:rPr>
          <w:rFonts w:ascii="Times New Roman" w:cs="Times New Roman" w:eastAsia="Times New Roman" w:hAnsi="Times New Roman"/>
          <w:sz w:val="18"/>
          <w:szCs w:val="18"/>
          <w:color w:val="auto"/>
        </w:rPr>
        <w:t xml:space="preserve">. (a) The Company shall cause to be kept at the Corporate Trust Office a register (the register maintained in such office or in any other office or agency of the Company designated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“Note Register”)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“Note Registrar” for the purpose of registering Notes and transfers of Notes as herein provided. The Company may appoint one or more co-Note Registrars in accordance with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Upon surrender for registration of transfer of any Note to the Note Registrar or any co-Note Registrar, and satisfaction of the requirements for such transfer set forth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Notes may be exchanged for other Notes of any authorized denominations and of a like aggregate principal amount, upon surrender of the Notes to be exchanged at any such office or agency maintained by the Company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for other Notes, repurchase or exchange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No service charge shall be imposed by the Company, the Trustee, the Note Registrar, any co-Note Registrar or the Paying Agent for any exchange of Notes for other Notes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6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None of the Company, the Trustee, the Note Registrar or any co-Note Registrar shall be required to exchange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register a transfer of (i) any Notes surrendered for exchange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or, if a portion of any Note is surrendered for exchange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such portion thereof surrendered for exchange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(ii) any Notes, or a portion of any Note, surrendered for repurchase (and not withdrawn) in accordance with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xml:space="preserve"> or (iii) any Notes selected for redemption in accordance with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29" w:name="page30"/>
    <w:bookmarkEnd w:id="29"/>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Notes issued upon any registration of transfer of Notes or exchange of Notes for other Notes in accordance with this Indenture shall be the valid obligations of the Company, evidencing the same debt, and entitled to the same benefits under this Indenture as the Notes surrendered upon such registration of transfer of Notes or exchange of Notes for other Notes.</w:t>
      </w:r>
    </w:p>
    <w:p>
      <w:pPr>
        <w:spacing w:after="0" w:line="176"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None of the Trustee, Custodian or any Note Registrar shall have any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0" w:lineRule="exact"/>
        <w:rPr>
          <w:sz w:val="20"/>
          <w:szCs w:val="20"/>
          <w:color w:val="auto"/>
        </w:rPr>
      </w:pPr>
    </w:p>
    <w:p>
      <w:pPr>
        <w:ind w:right="120" w:firstLine="436"/>
        <w:spacing w:after="0" w:line="258"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 Notes are eligible for book-entry settlement with the Depositary, unless otherwise required by law, subject to the fourth paragraph from the end of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xml:space="preserve">”) registered in the name of the Depositary or the nominee of the Depositary. The transfer and exchange in accordance with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spacing w:after="0" w:line="183" w:lineRule="exact"/>
        <w:rPr>
          <w:rFonts w:ascii="Times New Roman" w:cs="Times New Roman" w:eastAsia="Times New Roman" w:hAnsi="Times New Roman"/>
          <w:sz w:val="18"/>
          <w:szCs w:val="18"/>
          <w:color w:val="auto"/>
        </w:rPr>
      </w:pPr>
    </w:p>
    <w:p>
      <w:pPr>
        <w:jc w:val="both"/>
        <w:ind w:right="160" w:firstLine="436"/>
        <w:spacing w:after="0" w:line="256"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Note that bears or is required under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to bear the legend set forth in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(together with any Common Shares issued upon exchange of the Notes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that is required to bear the legend set forth in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shall be subject to the restrictions on transfer set forth in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(including the legend set forth below), unless such restrictions on transfer shall be eliminated or otherwise waived by written consent of the Company and the REIT, and the Holder of each such Restricted Security, by such Holder’s acceptance thereof, agrees to be bound by all such restrictions on transfer. As used in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8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Any certificate evidencing such Note shall bear a legend in substantially the following form unless such Notes have been transferred pursuant to a registration statement that has become or been declared effective under the Securities Act and that continues to be effective at the time of such transfer, or unless otherwise agreed by the Company and the REIT in writing, with notice thereof to the Trustee:</w:t>
      </w:r>
    </w:p>
    <w:p>
      <w:pPr>
        <w:spacing w:after="0" w:line="17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ACCORDINGLY, MAY NOT BE OFFERED OR SOLD EXCEPT AS SET FORTH IN THE FOLLOWING SENTENCE. BY ITS ACQUISITION HEREOF, THE HOLDER AGREES THAT IT WILL NOT RESELL OR OTHERWISE TRANSFER THE SECURITY EVIDENCED HEREBY, EXCEPT (A) 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30" w:name="page31"/>
    <w:bookmarkEnd w:id="30"/>
    <w:p>
      <w:pPr>
        <w:ind w:left="4"/>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OP LP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FEDERAL REALTY INVESTMENT TRUST (THE “</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OR A SUBSIDIARY THEREOF; OR (B)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w:t>
      </w:r>
    </w:p>
    <w:p>
      <w:pPr>
        <w:spacing w:after="0" w:line="183"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No transfer of any Note will be registered by the Note Registrar unless the applicable box on the Form of Assignment and Transfer has been checked.</w:t>
      </w:r>
    </w:p>
    <w:p>
      <w:pPr>
        <w:spacing w:after="0" w:line="162" w:lineRule="exact"/>
        <w:rPr>
          <w:sz w:val="20"/>
          <w:szCs w:val="20"/>
          <w:color w:val="auto"/>
        </w:rPr>
      </w:pPr>
    </w:p>
    <w:p>
      <w:pPr>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Notwithstanding any other provisions of this Indenture (other than the provisions set forth in this </w:t>
      </w:r>
      <w:r>
        <w:rPr>
          <w:rFonts w:ascii="Times New Roman" w:cs="Times New Roman" w:eastAsia="Times New Roman" w:hAnsi="Times New Roman"/>
          <w:sz w:val="17"/>
          <w:szCs w:val="17"/>
          <w:u w:val="single" w:color="auto"/>
          <w:color w:val="auto"/>
        </w:rPr>
        <w:t>Section 2.05(c)</w:t>
      </w:r>
      <w:r>
        <w:rPr>
          <w:rFonts w:ascii="Times New Roman" w:cs="Times New Roman" w:eastAsia="Times New Roman" w:hAnsi="Times New Roman"/>
          <w:sz w:val="17"/>
          <w:szCs w:val="17"/>
          <w:color w:val="auto"/>
        </w:rPr>
        <w:t>),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w:t>
      </w:r>
    </w:p>
    <w:p>
      <w:pPr>
        <w:spacing w:after="0" w:line="2" w:lineRule="exact"/>
        <w:rPr>
          <w:sz w:val="20"/>
          <w:szCs w:val="20"/>
          <w:color w:val="auto"/>
        </w:rPr>
      </w:pPr>
    </w:p>
    <w:p>
      <w:pPr>
        <w:ind w:left="4" w:right="160" w:hanging="4"/>
        <w:spacing w:after="0" w:line="255"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unable or no longer permitted under applicable law to continue as depositary for the Global Notes and a successor depositary is not appointed within 90 days, (ii) the Company notifies the Trustee that the Company wishes to terminate the Global Notes (or reduce the principal amount of such Global Notes) and the beneficial owners of the majority of the principal amount of such Global Notes consent to such termination,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cancelled.</w:t>
      </w:r>
    </w:p>
    <w:p>
      <w:pPr>
        <w:spacing w:after="0" w:line="194"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Physical Notes issued in exchange for all or a part of the Global Notes pursuant to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shall be registered in such names and in such authorized denominations as the Depositary, pursuant to instructions from its direct or indirect participants or otherwise, shall instruct the Trustee in writing. Upon execution and authentication, the Trustee shall deliver such Physical Notes to the Persons in whose names such Physical Notes are so registered.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31" w:name="page32"/>
    <w:bookmarkEnd w:id="31"/>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such time as all interests in a Global Note have been exchanged, cancelled, repurchased or transferred, such Global Note shall be, upon receipt thereof, cancelled by the Trustee in accordance with standing procedures and existing instructions between the Depositary and the Custodian. At any time prior to such cancellation, if any interest in a Global Note is exchanged for Physical Notes, exchanged, cancelled,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None of the Company, the REIT, the Trustee or any agent of the Company, the REIT or the Trustee shall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72" w:lineRule="exact"/>
        <w:rPr>
          <w:sz w:val="20"/>
          <w:szCs w:val="20"/>
          <w:color w:val="auto"/>
        </w:rPr>
      </w:pPr>
    </w:p>
    <w:p>
      <w:pPr>
        <w:ind w:right="20" w:firstLine="436"/>
        <w:spacing w:after="0" w:line="273" w:lineRule="auto"/>
        <w:tabs>
          <w:tab w:leader="none" w:pos="69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date (the “</w:t>
      </w:r>
      <w:r>
        <w:rPr>
          <w:rFonts w:ascii="Times New Roman" w:cs="Times New Roman" w:eastAsia="Times New Roman" w:hAnsi="Times New Roman"/>
          <w:sz w:val="17"/>
          <w:szCs w:val="17"/>
          <w:b w:val="1"/>
          <w:bCs w:val="1"/>
          <w:color w:val="auto"/>
        </w:rPr>
        <w:t>Common Shares Resale Restriction Termination Date</w:t>
      </w:r>
      <w:r>
        <w:rPr>
          <w:rFonts w:ascii="Times New Roman" w:cs="Times New Roman" w:eastAsia="Times New Roman" w:hAnsi="Times New Roman"/>
          <w:sz w:val="17"/>
          <w:szCs w:val="17"/>
          <w:color w:val="auto"/>
        </w:rPr>
        <w:t>”) that is the later of (1) the date that is one year after the issuance date of the relevant Common Shares or such shorter period of time as permitted by Rule 144 under the Securities Act or any successor provision thereto, and (2) such later date, if any, as may be required by applicable law, any certificate representing Common Shares issued upon exchange of a Note shall bear a legend in substantially the following form (unless such Common Shares have been transferred pursuant to a registration statement that has become or been declared effective under the Securities Act and that continues to be effective at the time of such transfer or such Common Shares have been transferred pursuant to the exemption from registration provided by Rule 144 or any similar provision then in force under the Securities Act, or unless otherwise agreed by the Company and the REIT with written notice thereof to the Trustee and any transfer agent for the Common Shares):</w:t>
      </w:r>
    </w:p>
    <w:p>
      <w:pPr>
        <w:spacing w:after="0" w:line="17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THIS SECURITY HAS NOT BEEN REGISTERED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ACCORDINGLY, MAY NOT BE OFFERED OR SOLD EXCEPT AS SET FORTH IN THE FOLLOWING SENTENCE. BY ITS ACQUISITION HEREOF, THE HOLDER AGREES (1) THAT IT WILL NOT RESELL OR OTHERWISE TRANSFER THE SECURITY EVIDENCED HEREBY, EXCEPT (A) TO FEDERAL REALTY INVESTMENT TRUST OR A SUBSIDIARY THEREOF; (B) UNDER AN EFFECTIVE REGISTRATION STATEMENT UNDER THE SECURITIES ACT; OR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FURNISH TO THE TRANSFER AGENT AND FEDERAL REALTY INVESTMENT TRUST SUCH CERTIFICATIONS, LEGAL OPINIONS OR OTHER INFORMATION AS MAY BE REQUIRED TO CONFIRM THAT SUCH TRANSFER IS BEING MADE PURSUANT TO AN EXEMPTION FROM, OR IN A TRANSACTION NOT SUBJECT TO, THE REGISTRATION REQUIREMENTS OF THE SECURITIES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2" w:name="page33"/>
    <w:bookmarkEnd w:id="32"/>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Common Shares as to which such restrictions on transfer shall have expired in accordance with their terms may, upon surrender of the certificates representing such Common Shares for exchange in accordance with the procedures of the transfer agent for the Common Shares, be exchanged for a new certificate or certificates for a like aggregate number of Common Shares, which shall not bear the restrictive legend required by this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i w:val="1"/>
          <w:iCs w:val="1"/>
          <w:color w:val="auto"/>
        </w:rPr>
        <w:t>Mutilated, Destroyed, Lost or Stolen Notes</w:t>
      </w:r>
      <w:r>
        <w:rPr>
          <w:rFonts w:ascii="Times New Roman" w:cs="Times New Roman" w:eastAsia="Times New Roman" w:hAnsi="Times New Roman"/>
          <w:sz w:val="18"/>
          <w:szCs w:val="18"/>
          <w:color w:val="auto"/>
        </w:rPr>
        <w:t>.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REIT,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REIT, to the Trustee and, if applicable, to such authenticating agent evidence to their satisfaction of the destruction, loss or theft of such Note and of the ownership thereof.</w:t>
      </w:r>
    </w:p>
    <w:p>
      <w:pPr>
        <w:spacing w:after="0" w:line="189" w:lineRule="exact"/>
        <w:rPr>
          <w:sz w:val="20"/>
          <w:szCs w:val="20"/>
          <w:color w:val="auto"/>
        </w:rPr>
      </w:pPr>
    </w:p>
    <w:p>
      <w:pPr>
        <w:ind w:right="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The Trustee or such authenticating agent may authenticate any such substituted Note and deliver the same upon the receipt of such security or indemnity as the Trustee, the Company, the REIT and, if applicable, such authenticating agent may require. No service charge shall be imposed by the Company, the REIT,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exchanged in accordance with </w:t>
      </w:r>
      <w:r>
        <w:rPr>
          <w:rFonts w:ascii="Times New Roman" w:cs="Times New Roman" w:eastAsia="Times New Roman" w:hAnsi="Times New Roman"/>
          <w:sz w:val="17"/>
          <w:szCs w:val="17"/>
          <w:u w:val="single" w:color="auto"/>
          <w:color w:val="auto"/>
        </w:rPr>
        <w:t>Article 14</w:t>
      </w:r>
      <w:r>
        <w:rPr>
          <w:rFonts w:ascii="Times New Roman" w:cs="Times New Roman" w:eastAsia="Times New Roman" w:hAnsi="Times New Roman"/>
          <w:sz w:val="17"/>
          <w:szCs w:val="17"/>
          <w:color w:val="auto"/>
        </w:rPr>
        <w:t xml:space="preserve"> shall become mutilated or be destroyed, lost or stolen, the Company may, in its sole discretion, instead of issuing a substitute Note, pay or authorize the payment of or exchange or authorize the exchange of the same (without surrender thereof except in the case of a mutilated Note), as the case may be, if the applicant for such payment or exchange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Exchange Agent of the destruction, loss or theft of such Note and of the ownership thereof.</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3" w:name="page34"/>
    <w:bookmarkEnd w:id="33"/>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Every substitute Note issued pursuant to the provisions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by virtue of the fact that any Note is destroyed, lost or stolen shall constitute an additional contractual obligation of the Company and the REIT,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exchange, redemption or repurchase of mutilated, destroyed, lost or stolen Notes and shall preclude any and all other rights or remedies notwithstanding any law or statute existing or hereafter enacted to the contrary with respect to the replacement, payment, exchange, redemption or repurchase of negotiable instruments or other securities without their surrender.</w:t>
      </w:r>
    </w:p>
    <w:p>
      <w:pPr>
        <w:spacing w:after="0" w:line="18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b w:val="1"/>
          <w:bCs w:val="1"/>
          <w:i w:val="1"/>
          <w:iCs w:val="1"/>
          <w:color w:val="auto"/>
        </w:rPr>
        <w:t>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b w:val="1"/>
          <w:bCs w:val="1"/>
          <w:i w:val="1"/>
          <w:iCs w:val="1"/>
          <w:color w:val="auto"/>
        </w:rPr>
        <w:t>Cancellation of Notes Paid, Exchanged, Etc</w:t>
      </w:r>
      <w:r>
        <w:rPr>
          <w:rFonts w:ascii="Times New Roman" w:cs="Times New Roman" w:eastAsia="Times New Roman" w:hAnsi="Times New Roman"/>
          <w:sz w:val="18"/>
          <w:szCs w:val="18"/>
          <w:color w:val="auto"/>
        </w:rPr>
        <w:t xml:space="preserve">. The Company shall cause all Notes surrendered for the purpose of payment, repurchase, redemption, registration of transfer of Notes or exchange of Notes for other Notes or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if surrendered to any Person other than the Trustee (including any of the Company’s or the REIT’s agents, Subsidiaries or Affiliates), to be surrendered to the Trustee for cancellation. All Notes delivered to the Trustee shall be cancelled promptly by it, and no Notes shall be authenticated in exchange thereof except as expressly permitted by any of the provisions of this Indenture. The Trustee shall dispose of cancelled Notes in accordance with its customary procedures and shall deliver a certificate of such disposition to the Company, at the Company’s written request.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4" w:name="page35"/>
    <w:bookmarkEnd w:id="34"/>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2.09. </w:t>
      </w:r>
      <w:r>
        <w:rPr>
          <w:rFonts w:ascii="Times New Roman" w:cs="Times New Roman" w:eastAsia="Times New Roman" w:hAnsi="Times New Roman"/>
          <w:sz w:val="18"/>
          <w:szCs w:val="18"/>
          <w:b w:val="1"/>
          <w:bCs w:val="1"/>
          <w:i w:val="1"/>
          <w:iCs w:val="1"/>
          <w:color w:val="auto"/>
        </w:rPr>
        <w:t>CUSIP Numbers</w:t>
      </w:r>
      <w:r>
        <w:rPr>
          <w:rFonts w:ascii="Times New Roman" w:cs="Times New Roman" w:eastAsia="Times New Roman" w:hAnsi="Times New Roman"/>
          <w:sz w:val="18"/>
          <w:szCs w:val="18"/>
          <w:color w:val="auto"/>
        </w:rPr>
        <w:t>. The Company in issuing the Notes may use “CUSIP” numbers (if then generally in use), and, if so, the Trustee shall use “CUSIP” numbers in all notices issued to Holders as a convenience to such Holders; provided that any such notice may state that no representation is made as to the correctness of such numbers either as printed on the Notes or on such notice and that reliance may be placed only on the other identification numbers printed on the Notes, and any such notices shall not be affected by any defect in or omission of such numbers. The Company shall promptly notify the Trustee in writing of any change in the “CUSIP” numbers.</w:t>
      </w:r>
    </w:p>
    <w:p>
      <w:pPr>
        <w:spacing w:after="0" w:line="17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b w:val="1"/>
          <w:bCs w:val="1"/>
          <w:i w:val="1"/>
          <w:iCs w:val="1"/>
          <w:color w:val="auto"/>
        </w:rPr>
        <w:t>Additional Notes; Repurchases</w:t>
      </w:r>
      <w:r>
        <w:rPr>
          <w:rFonts w:ascii="Times New Roman" w:cs="Times New Roman" w:eastAsia="Times New Roman" w:hAnsi="Times New Roman"/>
          <w:sz w:val="18"/>
          <w:szCs w:val="18"/>
          <w:color w:val="auto"/>
        </w:rPr>
        <w:t xml:space="preserve">. The Company may, without the consent of the Holders and notwithstanding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reopen this Indenture and issue additional Notes hereunder with the same terms as the Notes initially issued hereunder (other than differences in the issue price and interest accrued prior to the issue date of such additional Notes) in an unlimited aggregate principal amount; provided that such additional Notes must be part of the same issue (and part of the same series) as the Notes for U.S. federal income tax purposes. Prior to the issuance of any such additional Notes, the Company shall deliver to the Trustee a Company Order, an Officer’s Certificate and an Opinion of Counsel, such Officer’s Certificate and Opinion of Counsel to cover such matters, in addition to those required by </w:t>
      </w:r>
      <w:r>
        <w:rPr>
          <w:rFonts w:ascii="Times New Roman" w:cs="Times New Roman" w:eastAsia="Times New Roman" w:hAnsi="Times New Roman"/>
          <w:sz w:val="18"/>
          <w:szCs w:val="18"/>
          <w:u w:val="single" w:color="auto"/>
          <w:color w:val="auto"/>
        </w:rPr>
        <w:t>Section 17.05</w:t>
      </w:r>
      <w:r>
        <w:rPr>
          <w:rFonts w:ascii="Times New Roman" w:cs="Times New Roman" w:eastAsia="Times New Roman" w:hAnsi="Times New Roman"/>
          <w:sz w:val="18"/>
          <w:szCs w:val="18"/>
          <w:color w:val="auto"/>
        </w:rPr>
        <w:t xml:space="preserve">,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pursuant to private agreements, including by cash-settled swaps or other cash-settled derivatives. The Company shall cause any Notes so repurchased (other than Notes repurchased pursuant to cash-settled swaps or other derivatives) to be surrendered to the Trustee for cancellation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b w:val="1"/>
          <w:bCs w:val="1"/>
          <w:i w:val="1"/>
          <w:iCs w:val="1"/>
          <w:color w:val="auto"/>
        </w:rPr>
        <w:t>Ranking</w:t>
      </w:r>
      <w:r>
        <w:rPr>
          <w:rFonts w:ascii="Times New Roman" w:cs="Times New Roman" w:eastAsia="Times New Roman" w:hAnsi="Times New Roman"/>
          <w:sz w:val="18"/>
          <w:szCs w:val="18"/>
          <w:color w:val="auto"/>
        </w:rPr>
        <w:t>. The obligations of the Company arising under or in connection with this Indenture and every outstanding Note issued under this Indenture from time to time constitute and shall constitute a general unsecured senior obligation of the Company, ranking equally with existing and future senior unsecured indebtedness of the Company and ranking senior in right of payment to any existing and future indebtedness of the Company that is expressly made subordinate to the Notes by the terms of such indebtedness.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b w:val="1"/>
          <w:bCs w:val="1"/>
          <w:i w:val="1"/>
          <w:iCs w:val="1"/>
          <w:color w:val="auto"/>
        </w:rPr>
        <w:t>Satisfaction and Discharge of the Indenture</w:t>
      </w:r>
      <w:r>
        <w:rPr>
          <w:rFonts w:ascii="Times New Roman" w:cs="Times New Roman" w:eastAsia="Times New Roman" w:hAnsi="Times New Roman"/>
          <w:sz w:val="18"/>
          <w:szCs w:val="18"/>
          <w:color w:val="auto"/>
        </w:rPr>
        <w:t xml:space="preserve">. When (i) the Company shall deliver to the Trustee for cancellation all Notes theretofore authenticated (other than any Notes that have been destroyed, lost or stolen and in lieu of or in substitution for which other Notes shall have been authenticated and delivered or paid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not theretofore cancelled, or (ii) all such Notes not theretofore cancelled or delivered to the Trustee for cancellation shall have become due and payable (whether on the Maturity Date, on any Redemption Date, on any Fundamental Change Purchase Date, upon exchange or otherwise) and the Company shall deposit with the Trustee, in trust, or deliver to the Holders, as applicable, an amount of cash and (if applicable in the case of exchange) Common Shares sufficient to pay all amounts due on all of such Notes (other than any Notes that shall have been mutilated, destroyed, lost or stolen and in lieu of or in substitution for which other Notes shall have been authenticated and delivered or paid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not theretofore cancelled or delivered to the Trustee for cancellation, including principal and interest due, and if the Company shall also pay or cause to be paid all other sums payable hereunder by the Company, then the Indenture shall cease to be of further effect with respect to the Notes (except as to (i) rights hereunder of Holders to receive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6" w:right="499" w:bottom="1440" w:gutter="0" w:footer="0" w:header="0"/>
        </w:sectPr>
      </w:pPr>
    </w:p>
    <w:bookmarkStart w:id="35" w:name="page36"/>
    <w:bookmarkEnd w:id="35"/>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amounts owing upon the Notes and the other rights, duties and obligations of Holders, as beneficiaries hereof with respect to the amounts, if any, so deposited with the Trustee and (ii) the rights, obligations and immunities of the Trustee under the Indenture), and the Trustee, on written demand of the Company accompanied by an Officer’s Certificate and an Opinion of Counsel, each stating that all conditions precedent herein provided for relating to the satisfaction and discharge of the entire indebtedness on the Notes have been complied with, and at the cost and expense of the Company, shall execute proper instruments acknowledging satisfaction and discharge of the Indenture with respect to the Notes; the Company, however, hereby agrees to reimburse the Trustee for any costs or expenses thereafter reasonably and properly incurred by the Trustee, including the fees and expenses of its counsel, and to compensate the Trustee for any services thereafter reasonably and properly rendered by the Trustee in connection with the Indenture or the Notes.</w:t>
      </w:r>
    </w:p>
    <w:p>
      <w:pPr>
        <w:spacing w:after="0" w:line="18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b w:val="1"/>
          <w:bCs w:val="1"/>
          <w:i w:val="1"/>
          <w:iCs w:val="1"/>
          <w:color w:val="auto"/>
        </w:rPr>
        <w:t>Deposited Monies to Be Held in Trust by Trustee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4.04(d)</w:t>
      </w:r>
      <w:r>
        <w:rPr>
          <w:rFonts w:ascii="Times New Roman" w:cs="Times New Roman" w:eastAsia="Times New Roman" w:hAnsi="Times New Roman"/>
          <w:sz w:val="18"/>
          <w:szCs w:val="18"/>
          <w:color w:val="auto"/>
        </w:rPr>
        <w:t xml:space="preserve"> hereof, all monies and Common Shares, if any, deposited with the Trustee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hereof shall be held in trust for the sole benefit of the Holders of the Notes, and such monies and Common Shares shall be applied by the Trustee to the payment, either directly or through any Paying Agent (including the Company if acting as its own Paying Agent), to the Holders of the particular Notes for the payment or settlement of which such monies or Common Shares have been deposited with the Trustee, of all sums or amounts due and to become due thereon for principal and interest, if any.</w:t>
      </w:r>
    </w:p>
    <w:p>
      <w:pPr>
        <w:spacing w:after="0" w:line="179"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i w:val="1"/>
          <w:iCs w:val="1"/>
          <w:color w:val="auto"/>
        </w:rPr>
        <w:t>Paying Agent to Repay Monies Held</w:t>
      </w:r>
      <w:r>
        <w:rPr>
          <w:rFonts w:ascii="Times New Roman" w:cs="Times New Roman" w:eastAsia="Times New Roman" w:hAnsi="Times New Roman"/>
          <w:sz w:val="18"/>
          <w:szCs w:val="18"/>
          <w:color w:val="auto"/>
        </w:rPr>
        <w:t>. Upon the satisfaction and discharge of the Indenture with respect to the Notes, all monies and Common Shares, if any, then held by any Paying Agent (if other than the Trustee) with respect to the Notes shall, upon written request of the Company, be repaid to it or paid to the Trustee, and thereupon such Paying Agent shall be released from all further liability with respect to such monies and Common Shares.</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b w:val="1"/>
          <w:bCs w:val="1"/>
          <w:i w:val="1"/>
          <w:iCs w:val="1"/>
          <w:color w:val="auto"/>
        </w:rPr>
        <w:t>Reinstatement</w:t>
      </w:r>
      <w:r>
        <w:rPr>
          <w:rFonts w:ascii="Times New Roman" w:cs="Times New Roman" w:eastAsia="Times New Roman" w:hAnsi="Times New Roman"/>
          <w:sz w:val="18"/>
          <w:szCs w:val="18"/>
          <w:color w:val="auto"/>
        </w:rPr>
        <w:t xml:space="preserve">. If the Trustee or the Paying Agent is unable to apply any money or Common Shares in accordance with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by reason of any order or judgment of any court or governmental authority enjoining, restraining or otherwise prohibiting such application, the Company’s obligations under the Indenture and the Notes shall be revived and reinstated as though no deposit had occurred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until such time as the Trustee or the Paying Agent is permitted to apply all such money and Common Shares in accordance with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provided, however, that if the Company makes any payment of interest on, principal of or payment or delivery in respect of any Note following the reinstatement of its obligations, the Company shall be subrogated to the rights of the Holders of such Notes to receive such payment from the money or Common Shares, if any, held by the Trustee or Paying Agent.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PARTICULAR COVENANTS OF THE COMPANY AND/OR THE REIT</w:t>
      </w:r>
    </w:p>
    <w:p>
      <w:pPr>
        <w:spacing w:after="0" w:line="20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b w:val="1"/>
          <w:bCs w:val="1"/>
          <w:i w:val="1"/>
          <w:iCs w:val="1"/>
          <w:color w:val="auto"/>
        </w:rPr>
        <w:t>Payment of Principal and Interest</w:t>
      </w:r>
      <w:r>
        <w:rPr>
          <w:rFonts w:ascii="Times New Roman" w:cs="Times New Roman" w:eastAsia="Times New Roman" w:hAnsi="Times New Roman"/>
          <w:sz w:val="18"/>
          <w:szCs w:val="18"/>
          <w:color w:val="auto"/>
        </w:rPr>
        <w:t>. The Company covenants and agrees that it will cause to be paid the principal (including the Fundamental Change Purchase Price, if applicable) of, and accrued and unpaid interest on, each of the Notes at the places, at the respective times and in the manner provided herein and in the Notes.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6" w:name="page37"/>
    <w:bookmarkEnd w:id="36"/>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b w:val="1"/>
          <w:bCs w:val="1"/>
          <w:i w:val="1"/>
          <w:iCs w:val="1"/>
          <w:color w:val="auto"/>
        </w:rPr>
        <w:t>Maintenance of Office or Agency</w:t>
      </w:r>
      <w:r>
        <w:rPr>
          <w:rFonts w:ascii="Times New Roman" w:cs="Times New Roman" w:eastAsia="Times New Roman" w:hAnsi="Times New Roman"/>
          <w:sz w:val="18"/>
          <w:szCs w:val="18"/>
          <w:color w:val="auto"/>
        </w:rPr>
        <w:t xml:space="preserve">. The Company will maintain in the continental United States an office or agency where the Notes may be surrendered for registration of transfer of Notes or exchange of Notes for other Notes or for presentation for payment or repurchase (“Paying Agent”) or for exchange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(“Exchange Agent”) and where notices and demands to or upon the Company in respect of the Notes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 The terms “Paying Agent” and “Exchange Agent” include any such additional or other offices or agencies, as applicable.</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hereby initially designates the Trustee as the Paying Agent, Note Registrar, Custodian and Exchange Agent and the Corporate Trust Office as the office or agency in the continental United States where Notes may be surrendered for registration of transfer of Notes or exchange of Notes for other Notes or for presentation for payment or repurchase or for exchange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b w:val="1"/>
          <w:bCs w:val="1"/>
          <w:i w:val="1"/>
          <w:iCs w:val="1"/>
          <w:color w:val="auto"/>
        </w:rPr>
        <w:t>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a Trustee, so that there shall at all times be a Trustee hereunder.</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b w:val="1"/>
          <w:bCs w:val="1"/>
          <w:i w:val="1"/>
          <w:iCs w:val="1"/>
          <w:color w:val="auto"/>
        </w:rPr>
        <w:t>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80" w:firstLine="1428"/>
        <w:spacing w:after="0" w:line="312" w:lineRule="auto"/>
        <w:tabs>
          <w:tab w:leader="none" w:pos="164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hold all sums held by it as such agent for the payment of the principal (including the Redemption Price and the Fundamental Change Purchase Price, if applicable) of, and accrued and unpaid interest on, the Notes in trust for the benefit of the Holders of the Notes;</w:t>
      </w:r>
    </w:p>
    <w:p>
      <w:pPr>
        <w:spacing w:after="0" w:line="139" w:lineRule="exact"/>
        <w:rPr>
          <w:rFonts w:ascii="Times New Roman" w:cs="Times New Roman" w:eastAsia="Times New Roman" w:hAnsi="Times New Roman"/>
          <w:sz w:val="17"/>
          <w:szCs w:val="17"/>
          <w:color w:val="auto"/>
        </w:rPr>
      </w:pPr>
    </w:p>
    <w:p>
      <w:pPr>
        <w:ind w:right="120" w:firstLine="1428"/>
        <w:spacing w:after="0" w:line="266" w:lineRule="auto"/>
        <w:tabs>
          <w:tab w:leader="none" w:pos="16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notice of any failure by the Company to make any payment of the principal (including the Redemption Price and the Fundamental Change Purchase Price, if applicable) of, and accrued and unpaid interest on, the Notes when the same shall be due and payable;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6" w:right="479" w:bottom="1440" w:gutter="0" w:footer="0" w:header="0"/>
        </w:sectPr>
      </w:pPr>
    </w:p>
    <w:bookmarkStart w:id="37" w:name="page38"/>
    <w:bookmarkEnd w:id="37"/>
    <w:p>
      <w:pPr>
        <w:ind w:right="180" w:firstLine="1428"/>
        <w:spacing w:after="0" w:line="282" w:lineRule="auto"/>
        <w:tabs>
          <w:tab w:leader="none" w:pos="17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shall, on or before each due date of the principal (including the Redemption Price and the Fundamental Change Purchase Price, if applicable) of, or accrued and unpaid interest on, the Notes, deposit with the Paying Agent a sum sufficient to pay such principal (including the Redemption Price and the Fundamental Change Purchase Price, if applicable) or accrued and unpaid interest, and (unless such Paying Agent is the Trustee) the Company will promptly notify the Trustee of any failure to take such action; provided that if such deposit is made on the due date, such deposit must be received by the Paying Agent by 11:00 a.m., New York City time, on such date.</w:t>
      </w:r>
    </w:p>
    <w:p>
      <w:pPr>
        <w:spacing w:after="0" w:line="183" w:lineRule="exact"/>
        <w:rPr>
          <w:sz w:val="20"/>
          <w:szCs w:val="20"/>
          <w:color w:val="auto"/>
        </w:rPr>
      </w:pPr>
    </w:p>
    <w:p>
      <w:pPr>
        <w:ind w:firstLine="436"/>
        <w:spacing w:after="0" w:line="25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and the Fundamental Change Purchase Price, if applicable) of, and accrued and unpaid interest on, the Notes, set aside, segregate and hold in trust for the benefit of the Holders of the Notes a sum sufficient to pay such principal (including the Redemption Price and the Fundamental Change 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Purchase Price, if applicable) of, or accrued and unpaid interest on, the Notes when the same shall become due and payable.</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and Common Shares deposited with the Trustee or any Paying Agent, or then held by the Company, in trust for the payment of the principal (including the Redemption Price and the Fundamental Change Purchase Price, if applicable) of, accrued and unpaid interest on and the consideration due upon exchange of any Note and remaining unclaimed for two years after such principal (including the Redemption Price and the Fundamental Change Purchase Price, if applicable), interest or consideration due upon exchange has become due and payable shall, subject to applicable escheat laws,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Common Shares, and all liability of the Company as trustee thereof, shall thereupon cease; provided, however, that prior to the Trustee or such Paying Agent making any such repayment, the Company shall publish in a newspaper of general circulation in New York City or publish such information on the Company’s website or through such other public medium as the Company deems appropriate at that time, a notice that such money and Common Shares remain unclaimed and that, after a date specified therein, which shall not be less than 30 days from the date of such publication, any unclaimed balance of such money and Common Shares then remaining will be repaid or delivered to the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4.05. </w:t>
      </w:r>
      <w:r>
        <w:rPr>
          <w:rFonts w:ascii="Times New Roman" w:cs="Times New Roman" w:eastAsia="Times New Roman" w:hAnsi="Times New Roman"/>
          <w:sz w:val="18"/>
          <w:szCs w:val="18"/>
          <w:b w:val="1"/>
          <w:bCs w:val="1"/>
          <w:i w:val="1"/>
          <w:iCs w:val="1"/>
          <w:color w:val="auto"/>
        </w:rPr>
        <w:t>Existence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each of the Company and the REIT shall do or cause to be done all things necessary to preserve and keep in full force and effect its existence.</w:t>
      </w:r>
    </w:p>
    <w:p>
      <w:pPr>
        <w:spacing w:after="0" w:line="15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b w:val="1"/>
          <w:bCs w:val="1"/>
          <w:i w:val="1"/>
          <w:iCs w:val="1"/>
          <w:color w:val="auto"/>
        </w:rPr>
        <w:t>Rule 144A Information Requirement and Annual Reports</w:t>
      </w:r>
      <w:r>
        <w:rPr>
          <w:rFonts w:ascii="Times New Roman" w:cs="Times New Roman" w:eastAsia="Times New Roman" w:hAnsi="Times New Roman"/>
          <w:sz w:val="18"/>
          <w:szCs w:val="18"/>
          <w:color w:val="auto"/>
        </w:rPr>
        <w:t>. (a) At any time the REIT (or the Company in lieu of the REIT) is not subject to Section 13 or 15(d) of the Exchange Act, the Company and the REIT shall, so long as any of the Notes or any Common Shares issuable upon exchange thereof will, at such time, constitute “restricted securities” within the meaning of Rule 144(a)(3) under the Securities Act, promptly provide to the Trustee and furnish to the Holders, beneficial owners and prospective purchasers of the Notes and of any Common Shares delivered upon exchange of the Notes, upon their written request, the information required to be delivered pursuant to Rule 144A(d)(4) under the Securities Act to facilitate the resale of the Notes and such Common Shares pursuant to Rule 144A. The Company shall take such further action as any Holder or beneficial owner of such Notes may reasonably request to the extent from time to time required to enable such Holder or beneficial owner to sell such Notes or Common Shares in accordance with Rule 144A, as such rule may be amended from time to time.</w:t>
      </w:r>
    </w:p>
    <w:p>
      <w:pPr>
        <w:spacing w:after="0" w:line="189" w:lineRule="exact"/>
        <w:rPr>
          <w:sz w:val="20"/>
          <w:szCs w:val="20"/>
          <w:color w:val="auto"/>
        </w:rPr>
      </w:pPr>
    </w:p>
    <w:p>
      <w:pPr>
        <w:ind w:right="260" w:firstLine="436"/>
        <w:spacing w:after="0" w:line="256"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file with the Trustee, within 15 days after the same are required to be filed by the REIT with the Commission, copies of any documents or reports that the REIT is required to file with the Commission pursuant to Section 13 or 15(d) of the Exchange Act (giving effect to any grace period provided by Rule 12b-25 under the Exchange Act). Any such document or report that the REIT files with the Commission via the Commission’s EDGAR system (or any successor thereto) shall be deemed to be filed with the Trustee for purposes of this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at the time such documents are filed via the EDGAR system (or such successor thereto); provided, however, that the Trustee shall have no responsibility whatsoever to determine if such filing has occurred.</w:t>
      </w:r>
    </w:p>
    <w:p>
      <w:pPr>
        <w:spacing w:after="0" w:line="187"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and documents described in subsection (b) above to the Trustee is for informational purposes only, and the Trustee’s receipt of such shall not constitute constructive notice or knowledge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b w:val="1"/>
          <w:bCs w:val="1"/>
          <w:i w:val="1"/>
          <w:iCs w:val="1"/>
          <w:color w:val="auto"/>
        </w:rPr>
        <w:t>Stay, Extension and Usury Laws</w:t>
      </w:r>
      <w:r>
        <w:rPr>
          <w:rFonts w:ascii="Times New Roman" w:cs="Times New Roman" w:eastAsia="Times New Roman" w:hAnsi="Times New Roman"/>
          <w:sz w:val="18"/>
          <w:szCs w:val="18"/>
          <w:color w:val="auto"/>
        </w:rPr>
        <w:t>. Each of the Company and the REIT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each of the Company and the REIT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9" w:name="page40"/>
    <w:bookmarkEnd w:id="39"/>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4.08. </w:t>
      </w:r>
      <w:r>
        <w:rPr>
          <w:rFonts w:ascii="Times New Roman" w:cs="Times New Roman" w:eastAsia="Times New Roman" w:hAnsi="Times New Roman"/>
          <w:sz w:val="18"/>
          <w:szCs w:val="18"/>
          <w:b w:val="1"/>
          <w:bCs w:val="1"/>
          <w:i w:val="1"/>
          <w:iCs w:val="1"/>
          <w:color w:val="auto"/>
        </w:rPr>
        <w:t>Compliance Certificate; Statements as to Defaults</w:t>
      </w:r>
      <w:r>
        <w:rPr>
          <w:rFonts w:ascii="Times New Roman" w:cs="Times New Roman" w:eastAsia="Times New Roman" w:hAnsi="Times New Roman"/>
          <w:sz w:val="18"/>
          <w:szCs w:val="18"/>
          <w:color w:val="auto"/>
        </w:rPr>
        <w:t>. The Company shall deliver to the Trustee within 120 days after the end of each fiscal year of the Company (beginning with the fiscal year ending on December 31, 2024) an Officer’s Certificate stating (1) that a review has been conducted of the activities of the Company, its Subsidiaries and of the REIT and their respective performance under this Indenture and (2) that the Company and the REIT have fulfilled all obligations under this Indenture (such compliance to be determined without regard to any period of grace or requirement of notice provided under this Indenture) or specifying any Event of Default and the nature thereof.</w:t>
      </w:r>
    </w:p>
    <w:p>
      <w:pPr>
        <w:spacing w:after="0" w:line="183"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shall deliver to the Trustee within 30 days after an Officer of the Company becomes aware of the occurrence of any Default or Event of Default, an Officer’s Certificate setting forth the details of such Default or Event of Default, its status and the action that the Company is taking or proposing to take in respect thereof.</w:t>
      </w:r>
    </w:p>
    <w:p>
      <w:pPr>
        <w:spacing w:after="0" w:line="172"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b w:val="1"/>
          <w:bCs w:val="1"/>
          <w:i w:val="1"/>
          <w:iCs w:val="1"/>
          <w:color w:val="auto"/>
        </w:rPr>
        <w:t>Additional Interest Notice</w:t>
      </w:r>
      <w:r>
        <w:rPr>
          <w:rFonts w:ascii="Times New Roman" w:cs="Times New Roman" w:eastAsia="Times New Roman" w:hAnsi="Times New Roman"/>
          <w:sz w:val="18"/>
          <w:szCs w:val="18"/>
          <w:color w:val="auto"/>
        </w:rPr>
        <w:t xml:space="preserve">. If Additional Interest is payable by the Company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the Registration Rights Agreement, the Company shall deliver to the Trustee prior to the applicable payment date an Officer’s Certificate to that effect stating (a) the amount of such Additional Interest that is payable and (b) the date on which such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them, the Company shall deliver to the Trustee promptly following such payment an Officer’s Certificate setting forth the particulars of such payment.</w:t>
      </w:r>
    </w:p>
    <w:p>
      <w:pPr>
        <w:spacing w:after="0" w:line="18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b w:val="1"/>
          <w:bCs w:val="1"/>
          <w:i w:val="1"/>
          <w:iCs w:val="1"/>
          <w:color w:val="auto"/>
        </w:rPr>
        <w:t>Covenant to Take Certain Actions</w:t>
      </w:r>
      <w:r>
        <w:rPr>
          <w:rFonts w:ascii="Times New Roman" w:cs="Times New Roman" w:eastAsia="Times New Roman" w:hAnsi="Times New Roman"/>
          <w:sz w:val="18"/>
          <w:szCs w:val="18"/>
          <w:color w:val="auto"/>
        </w:rPr>
        <w:t>. Before taking any action which would cause an adjustment to the Exchange Rate such that the Exchange Price per Common Share issuable upon exchange of the Notes would be less than the par value of the Common Shares, the REIT shall take all corporate actions that may, in the opinion of its counsel, be necessary so it may validly and legally issue Common Shares at such adjusted Exchange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LISTS OF HOLDERS AND REPORTS BY THE COMPANY AND THE TRUSTEE</w:t>
      </w:r>
    </w:p>
    <w:p>
      <w:pPr>
        <w:spacing w:after="0" w:line="203"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b w:val="1"/>
          <w:bCs w:val="1"/>
          <w:i w:val="1"/>
          <w:iCs w:val="1"/>
          <w:color w:val="auto"/>
        </w:rPr>
        <w:t>Lists of Holders</w:t>
      </w:r>
      <w:r>
        <w:rPr>
          <w:rFonts w:ascii="Times New Roman" w:cs="Times New Roman" w:eastAsia="Times New Roman" w:hAnsi="Times New Roman"/>
          <w:sz w:val="17"/>
          <w:szCs w:val="17"/>
          <w:color w:val="auto"/>
        </w:rPr>
        <w:t>. The Company and the REIT covenant and agree that they will furnish or cause to be furnished to the Trustee, semi-annually, not more than 10 days after each January 15 and July 15 in each year beginning with July 15, 2024,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b w:val="1"/>
          <w:bCs w:val="1"/>
          <w:i w:val="1"/>
          <w:iCs w:val="1"/>
          <w:color w:val="auto"/>
        </w:rPr>
        <w:t>Preservation and Disclosure of Lists</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maintained by the Trustee in its capacity as Note Registrar, if so acting. The Trustee may destroy any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upon receipt of a new list so furnished.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b w:val="1"/>
          <w:bCs w:val="1"/>
          <w:i w:val="1"/>
          <w:iCs w:val="1"/>
          <w:color w:val="auto"/>
        </w:rPr>
        <w:t>Events of Default</w:t>
      </w:r>
      <w:r>
        <w:rPr>
          <w:rFonts w:ascii="Times New Roman" w:cs="Times New Roman" w:eastAsia="Times New Roman" w:hAnsi="Times New Roman"/>
          <w:sz w:val="18"/>
          <w:szCs w:val="18"/>
          <w:color w:val="auto"/>
        </w:rPr>
        <w:t>. Each of the following events shall be an “Event of Default” with respect to the Notes:</w:t>
      </w:r>
    </w:p>
    <w:p>
      <w:pPr>
        <w:spacing w:after="0" w:line="229" w:lineRule="exact"/>
        <w:rPr>
          <w:sz w:val="20"/>
          <w:szCs w:val="20"/>
          <w:color w:val="auto"/>
        </w:rPr>
      </w:pPr>
    </w:p>
    <w:p>
      <w:pPr>
        <w:ind w:left="660" w:hanging="244"/>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Note (including the Fundamental Change Purchase Price or the Redemption Price) when due and payable on the Maturity Date, upon redemption, upon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left="-20" w:right="140" w:firstLine="436"/>
        <w:spacing w:after="0" w:line="282"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exchange the Notes in accordance with the terms of this Indenture upon exercise of a Holder’s exchange right, and such failure continues for five Business Days;</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Company to comply with its obligations under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Company to issue a notice in accordance with the provisions of </w:t>
      </w:r>
      <w:r>
        <w:rPr>
          <w:rFonts w:ascii="Times New Roman" w:cs="Times New Roman" w:eastAsia="Times New Roman" w:hAnsi="Times New Roman"/>
          <w:sz w:val="18"/>
          <w:szCs w:val="18"/>
          <w:u w:val="single" w:color="auto"/>
          <w:color w:val="auto"/>
        </w:rPr>
        <w:t>Section 15.02(b)</w:t>
      </w:r>
      <w:r>
        <w:rPr>
          <w:rFonts w:ascii="Times New Roman" w:cs="Times New Roman" w:eastAsia="Times New Roman" w:hAnsi="Times New Roman"/>
          <w:sz w:val="18"/>
          <w:szCs w:val="18"/>
          <w:color w:val="auto"/>
        </w:rPr>
        <w:t xml:space="preserve"> or notice of a specified corporate transaction in accordance with the provisions of </w:t>
      </w:r>
      <w:r>
        <w:rPr>
          <w:rFonts w:ascii="Times New Roman" w:cs="Times New Roman" w:eastAsia="Times New Roman" w:hAnsi="Times New Roman"/>
          <w:sz w:val="18"/>
          <w:szCs w:val="18"/>
          <w:u w:val="single" w:color="auto"/>
          <w:color w:val="auto"/>
        </w:rPr>
        <w:t>Section 14.01(b)(4)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14.01(b)(5)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Company for 60 days after written notice from the Trustee or the Holders of at least 25% in principal amount of the Notes then outstanding (a copy of which notice, if given by Holders, must also be given to the Trustee) has been received by the Company to comply with any of its other agreements contained in the Notes or this Indenture (other than a covenant or warranty a default in whose performance or whose breach is elsewhere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specifically provided for or that is not applicable to the Notes), which notice shall state that it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w:t>
      </w:r>
    </w:p>
    <w:p>
      <w:pPr>
        <w:spacing w:after="0" w:line="183"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REIT or the Company, to pay beyond any applicable grace period, or the acceleration of, indebtedness of the Company or any of the Company’s Significant Subsidiaries in an aggregate amount greater than $125,000,000 (or its foreign currency equivalent at the time);</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REIT or any Significant Subsidiary of the REIT shall commence a voluntary case or other proceeding seeking the liquidation, reorganization or other relief with respect to the Company, the REIT or such Significant Subsidiary or its debts under any bankruptcy, insolvency or other similar law now or hereafter in effect or seeking the appointment of a trustee, receiver, liquidator, custodian or other similar official of the Company, the REIT or such Significant Subsidiary or any substantial part of the Company’s, the REIT’s or such Significant Subsidiary’s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60" w:top="266" w:right="459" w:bottom="1440" w:gutter="0" w:footer="0" w:header="0"/>
        </w:sectPr>
      </w:pPr>
    </w:p>
    <w:bookmarkStart w:id="41" w:name="page42"/>
    <w:bookmarkEnd w:id="41"/>
    <w:p>
      <w:pPr>
        <w:ind w:right="20" w:firstLine="436"/>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involuntary case or other proceeding shall be commenced against the Company, the REIT or any Significant Subsidiary of the REIT seeking liquidation, reorganization or other relief with respect to the Company, the REIT or such Significant Subsidiary or its debts under any bankruptcy, insolvency or other similar law now or hereafter in effect or seeking the appointment of a trustee, receiver, liquidator, custodian or other similar official of the Company, the REIT or such Significant Subsidiary or any substantial part of its property, and such involuntary case or other proceeding shall remain undismissed and unstayed for a period of 30 consecutive days.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b w:val="1"/>
          <w:bCs w:val="1"/>
          <w:i w:val="1"/>
          <w:iCs w:val="1"/>
          <w:color w:val="auto"/>
        </w:rPr>
        <w:t>Acceleration; Rescission and Annulment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36"/>
        <w:spacing w:after="0" w:line="255"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w:t>
      </w:r>
      <w:r>
        <w:rPr>
          <w:rFonts w:ascii="Times New Roman" w:cs="Times New Roman" w:eastAsia="Times New Roman" w:hAnsi="Times New Roman"/>
          <w:sz w:val="18"/>
          <w:szCs w:val="18"/>
          <w:u w:val="single" w:color="auto"/>
          <w:color w:val="auto"/>
        </w:rPr>
        <w:t>Section 6.01(h)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with respect to the Company or the REIT (and not solely with respect to a Significant Subsidiary of the REIT), unless the principal of all of the Notes shall have already become due and payable, either the Trustee or the Holders of at least 25% in aggregate principal amount of the Notes then outstanding, by notice in writing to the Company (and to the Trustee if given by the Holders), may declare 100% of the principal of, and accrued and unpaid interest, if any, on all the Notes to be due and payable immediately.</w:t>
      </w:r>
    </w:p>
    <w:p>
      <w:pPr>
        <w:spacing w:after="0" w:line="188"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specified in </w:t>
      </w:r>
      <w:r>
        <w:rPr>
          <w:rFonts w:ascii="Times New Roman" w:cs="Times New Roman" w:eastAsia="Times New Roman" w:hAnsi="Times New Roman"/>
          <w:sz w:val="18"/>
          <w:szCs w:val="18"/>
          <w:u w:val="single" w:color="auto"/>
          <w:color w:val="auto"/>
        </w:rPr>
        <w:t>Section 6.01(h)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with respect to the Company or the REIT (and not solely with respect to a Significant Subsidiary of the REIT) occurs and is continuing, the principal of, and accrued and unpaid interest, if any, on all Notes shall be immediately due and payable.</w:t>
      </w:r>
    </w:p>
    <w:p>
      <w:pPr>
        <w:spacing w:after="0" w:line="17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Notwithstanding anything in this Indenture or in the Notes to the contrary, to the extent the Company elects, the sole remedy for an Event of Default relating to the Company’s failure to comply with its obligations as set forth in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(a “Reporting Event of Default”) shall, for the first 365 days after the occurrence of such an Event of Default, consist exclusively of the right to receive additional interest (the “Additional Interest”) on the Notes at a rate equal to (i) 0.25% per annum of the principal amount of the Notes outstanding for the first 180 days of the 365-day period on which such Event of Default is continuing beginning on, and including, the date on which such an Event of Default first occurs and (ii) 0.50% per annum of the Outstanding principal amount of the Notes for the remainder of such 365-day period as long as such Event of Default is continuing beginning on and including the 181st day after such Event of Default. If the Company so elects, such Additional Interest shall be payable in the same manner and on the same dates as the stated interest payable on the Notes and shall be in addition to, not in lieu of, any liquidated damages payable pursuant to the Registration Rights Agreement; provided that in no event shall Additional Interest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liquidated damages pursuant to the Registration Rights Agreement accrue at a rate, in the aggregate, in excess of 0.50% per annum regardless of the number of events or circumstances giving rise to the requirement to pay such Additional Interest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and/or liquidated damages pursuant to the Registration Rights Agreement. On the 366th day after such Event of Default (if the Event of Default relating to the Company’s failure to comply with its obligations as set forth in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is not cured or waived prior to such 366th day), the Notes shall be immediately subject to acceleration as provided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 the event the Company does not elect to pay Additional Interest following an Event of Default in accordance with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the Company elects to make such payment but does not pay the Additional Interest when due, the Notes shall be immediately subject to acceleration as provided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42" w:name="page43"/>
    <w:bookmarkEnd w:id="42"/>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order to elect to pay the Additional Interest as the sole remedy during the first 365 days after the occurrence of a Reporting Event of Default, the Company must notify all Holders of Notes, the Trustee and the Paying Agent of such election prior to the beginning of such 365-day period. Upon the Company’s failure to timely give such notice, the Notes will be immediately subject to acceleration as provided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b w:val="1"/>
          <w:bCs w:val="1"/>
          <w:i w:val="1"/>
          <w:iCs w:val="1"/>
          <w:color w:val="auto"/>
        </w:rPr>
        <w:t>Payments of Notes on Default; Suit Therefor</w:t>
      </w:r>
      <w:r>
        <w:rPr>
          <w:rFonts w:ascii="Times New Roman" w:cs="Times New Roman" w:eastAsia="Times New Roman" w:hAnsi="Times New Roman"/>
          <w:sz w:val="18"/>
          <w:szCs w:val="18"/>
          <w:color w:val="auto"/>
        </w:rPr>
        <w:t xml:space="preserve">. If an Event of Default described in clause (a) or (b)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have occurred,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Until such demand by the Trustee, the Company may pay the principal and interest, if any, on the Notes to the registered Holders, whether or not the Notes are overdue.</w:t>
      </w:r>
    </w:p>
    <w:p>
      <w:pPr>
        <w:spacing w:after="0" w:line="19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and its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and any receiver, assignee or trustee in bankruptcy or reorganization, liquidator, custodian or similar official is hereby authorized by each of the Holders to make such payments to the Trustee, as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3" w:name="page44"/>
    <w:bookmarkEnd w:id="4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expenses, and, in the event that the Trustee shall consent to the making of such payments directly to the Holders, to pay to the Trustee any amount due it for reasonable compensation, expenses, advances and disbursements, including counsel fees, and including any other amounts due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8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and its counsel, be for the ratable benefit of the Holders of the Notes.</w:t>
      </w:r>
    </w:p>
    <w:p>
      <w:pPr>
        <w:spacing w:after="0" w:line="180"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case the Trustee shall have proceeded to enforce any right under this Indenture and such proceedings shall have been discontinued or abandoned because of any waiver pursuant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or any rescission and annulment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for any other reason or shall have been determined adversely to the Trustee, then and in every such case the Company, the REIT, the Holders and the Trustee shall, subject to any determination in such proceeding, be restored respectively to their several positions and rights hereunder, and all rights, remedies and powers of the Company, the REIT, the Holders and the Trustee shall continue as though no such proceeding had been instituted.</w:t>
      </w:r>
    </w:p>
    <w:p>
      <w:pPr>
        <w:spacing w:after="0" w:line="179"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b w:val="1"/>
          <w:bCs w:val="1"/>
          <w:i w:val="1"/>
          <w:iCs w:val="1"/>
          <w:color w:val="auto"/>
        </w:rPr>
        <w:t>Application of Monies Collected by Trustee</w:t>
      </w:r>
      <w:r>
        <w:rPr>
          <w:rFonts w:ascii="Times New Roman" w:cs="Times New Roman" w:eastAsia="Times New Roman" w:hAnsi="Times New Roman"/>
          <w:sz w:val="18"/>
          <w:szCs w:val="18"/>
          <w:color w:val="auto"/>
        </w:rPr>
        <w:t xml:space="preserve">. Any monies collected by the Trustee pursuant to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the Paying Agent or the Exchange Agent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4" w:name="page45"/>
    <w:bookmarkEnd w:id="44"/>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exchange of, the Notes in default in the order of the date due of the payments of such interest and cash due upon exchange, as the case may be, with interest (to the extent that such interest has been collected by the Trustee) upon such overdue payments at the rate borne by the Notes at such time, such payments to be made ratably to the Persons entitled thereto;</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Purchase Price and any cash due upon exchange) then owing and unpaid upon the Notes for principal and interest, if any, with interest on the overdue principal and, to the extent that such interest has been collected by the Trustee, upon overdue instalments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Purchase Price and the cash due upon exchange) and interest without preference or priority of principal over interest, or of interest over principal or of any instalment of interest over any other instalment of interest, or of any Note over any other Note, ratably to the aggregate of such principal (including, if applicable, the Redemption Price the Fundamental Change Purchase Price and any cash due upon exchange) and accrued and unpaid interest; and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b w:val="1"/>
          <w:bCs w:val="1"/>
          <w:i w:val="1"/>
          <w:iCs w:val="1"/>
          <w:color w:val="auto"/>
        </w:rPr>
        <w:t>Proceedings by Holders</w:t>
      </w:r>
      <w:r>
        <w:rPr>
          <w:rFonts w:ascii="Times New Roman" w:cs="Times New Roman" w:eastAsia="Times New Roman" w:hAnsi="Times New Roman"/>
          <w:sz w:val="18"/>
          <w:szCs w:val="18"/>
          <w:color w:val="auto"/>
        </w:rPr>
        <w:t>. Except to enforce the right to receive payment of principal (including, if applicable, the Redemption Price and the Fundamental Change Purchase Price) or interest when due, or the right to receive payment or delivery of the consideration due upon exchange,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3" w:lineRule="exact"/>
        <w:rPr>
          <w:sz w:val="20"/>
          <w:szCs w:val="20"/>
          <w:color w:val="auto"/>
        </w:rPr>
      </w:pPr>
    </w:p>
    <w:p>
      <w:pPr>
        <w:ind w:left="680" w:hanging="244"/>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previously shall have given to the Trustee written notice of an Event of Default and of the continuance thereof, as herein provided;</w:t>
      </w:r>
    </w:p>
    <w:p>
      <w:pPr>
        <w:spacing w:after="0" w:line="236" w:lineRule="exact"/>
        <w:rPr>
          <w:rFonts w:ascii="Times New Roman" w:cs="Times New Roman" w:eastAsia="Times New Roman" w:hAnsi="Times New Roman"/>
          <w:sz w:val="17"/>
          <w:szCs w:val="17"/>
          <w:color w:val="auto"/>
        </w:rPr>
      </w:pPr>
    </w:p>
    <w:p>
      <w:pPr>
        <w:ind w:right="500" w:firstLine="436"/>
        <w:spacing w:after="0" w:line="28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shall have offered to the Trustee such indemnity or security reasonably satisfactory to it against any loss, liabilities or expenses to be incurred in compliance with such request;</w:t>
      </w:r>
    </w:p>
    <w:p>
      <w:pPr>
        <w:spacing w:after="0" w:line="161"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shall have neglected or refused to institute any such action, suit or proceeding; and</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60-day period, no direction that is inconsistent with such written request shall have been given to the Trustee by the Holders of a majority of the aggregate principal amount of the Notes then outstanding pursuant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45" w:name="page46"/>
    <w:bookmarkEnd w:id="4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does not have an affirmative duty to ascertain whether or not such actions or forbearances are unduly prejudicial to such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each and every Holder and the Trustee shall be entitled to such relief as can be given either at law or in equity.</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the right of any Holder to receive payment or delivery, as the case may be, of (x) the principal (including the Fundamental Change Purchase Price, the Redemption Price, if applicable) of, (y) accrued and unpaid interest, if any, on, and (z) the consideration due upon exchange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spacing w:after="0" w:line="179"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b w:val="1"/>
          <w:bCs w:val="1"/>
          <w:i w:val="1"/>
          <w:iCs w:val="1"/>
          <w:color w:val="auto"/>
        </w:rPr>
        <w:t>Proceedings by Trustee</w:t>
      </w:r>
      <w:r>
        <w:rPr>
          <w:rFonts w:ascii="Times New Roman" w:cs="Times New Roman" w:eastAsia="Times New Roman" w:hAnsi="Times New Roman"/>
          <w:sz w:val="18"/>
          <w:szCs w:val="18"/>
          <w:color w:val="auto"/>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b w:val="1"/>
          <w:bCs w:val="1"/>
          <w:i w:val="1"/>
          <w:iCs w:val="1"/>
          <w:color w:val="auto"/>
        </w:rPr>
        <w:t>Remedies Cumulative and Continuing</w:t>
      </w:r>
      <w:r>
        <w:rPr>
          <w:rFonts w:ascii="Times New Roman" w:cs="Times New Roman" w:eastAsia="Times New Roman" w:hAnsi="Times New Roman"/>
          <w:sz w:val="18"/>
          <w:szCs w:val="18"/>
          <w:color w:val="auto"/>
        </w:rPr>
        <w:t xml:space="preserve">. Except as provided in the last paragraph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all powers and remedies given by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continuing Default or continuing Event of Default shall impair any such right or power, or shall be construed to be a waiver of any such Default or Event of Default or any acquiescence therein; and, subject to the provisions of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every power and remedy given by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by law to the Trustee or to the Holders may be exercised from time to time, and as often as shall be deemed expedient, by the Trustee or by the Holders.</w:t>
      </w:r>
    </w:p>
    <w:p>
      <w:pPr>
        <w:spacing w:after="0" w:line="18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b w:val="1"/>
          <w:bCs w:val="1"/>
          <w:i w:val="1"/>
          <w:iCs w:val="1"/>
          <w:color w:val="auto"/>
        </w:rPr>
        <w:t>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have the right to direct the time, method and place of conducting any proceeding for any remedy available to the Trustee or exercising any trust or power conferred on the Trustee with respect to the Notes; provided, however, that (a) such direction shall not be in conflict with any rule of law or with this Indenture, and (b) the Trustee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6" w:name="page47"/>
    <w:bookmarkEnd w:id="4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may take any other action deemed proper by the Trustee that is not inconsistent with such direction. The Trustee may refuse to follow any direction that it determines in good faith is unduly prejudicial to the rights of any other Holder or that would involve the Trustee in personal liability unless the Trustee is offered indemnity or security reasonably satisfactory to it against any loss, liability or expense to the Trustee that may result from the Trustee’s instituting such proceeding as the Trustee. The Holders of a majority in aggregate principal amount of the Notes at the time outstanding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may on behalf of the Holders of all of the Notes waive any past Default or Event of Default hereunder and its consequences except (i) a default in the payment of accrued and unpaid interest, if any, on, or the principal (including the Redemption Price or the Fundamental Change Purchase Price) of, the Notes when due that has not been cured, (ii) a failure by the Company to pay or deliver, as the case may be, the consideration due upon exchange of the Notes or (iii) a default in respect of a covenant or provision hereof which under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b w:val="1"/>
          <w:bCs w:val="1"/>
          <w:i w:val="1"/>
          <w:iCs w:val="1"/>
          <w:color w:val="auto"/>
        </w:rPr>
        <w:t>Notice of Defaults</w:t>
      </w:r>
      <w:r>
        <w:rPr>
          <w:rFonts w:ascii="Times New Roman" w:cs="Times New Roman" w:eastAsia="Times New Roman" w:hAnsi="Times New Roman"/>
          <w:sz w:val="18"/>
          <w:szCs w:val="18"/>
          <w:color w:val="auto"/>
        </w:rPr>
        <w:t>. The Trustee shall, within 90 days after a Responsible Officer has received written notice of the occurrence and continuance of a Default, send to all Holders as the names and addresses of such Holders appear upon the Note Register, notice of all such Defaults known to a Responsible Officer, unless such Defaults shall have been cured or waived before the giving of such notice; provided that, except in the case of a Default in the payment of the principal of (including the Redemption Price and the Fundamental Change Purchase Price, if applicable), or accrued and unpaid interest on, any of the Notes or a Default in the payment or delivery of the consideration due upon exchange, the Trustee shall be protected in withholding such notice if and so long as the board of directors, the executive committee or a trust committee of directors and/or Responsible Officers of the Trustee in good faith determines that the withholding of such notice is in the interests of the Holders.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b w:val="1"/>
          <w:bCs w:val="1"/>
          <w:i w:val="1"/>
          <w:iCs w:val="1"/>
          <w:color w:val="auto"/>
        </w:rPr>
        <w:t>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(to the extent permitted by law) shall not apply to any suit instituted by the Trustee, to any suit instituted by any Holder, or group of Holders, holding in the aggregate more than 10% in principal amount of the Notes at the time outstanding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to any suit instituted by any Holder for the enforcement of the payment of the principal of or accrued and unpaid interest, if any, on any Note (including, but not limited to, the Fundamental Change Purchase Price with respect to the Notes being repurchased as provided in this Indenture) on or after the due date expressed or provided for in such Note or to any suit for the enforcement of the right to exchange any Note in accordance with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0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b w:val="1"/>
          <w:bCs w:val="1"/>
          <w:i w:val="1"/>
          <w:iCs w:val="1"/>
          <w:color w:val="auto"/>
        </w:rPr>
        <w:t>Duties and Responsibilities of Trustee</w:t>
      </w:r>
      <w:r>
        <w:rPr>
          <w:rFonts w:ascii="Times New Roman" w:cs="Times New Roman" w:eastAsia="Times New Roman" w:hAnsi="Times New Roman"/>
          <w:sz w:val="18"/>
          <w:szCs w:val="18"/>
          <w:color w:val="auto"/>
        </w:rPr>
        <w:t>.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to the Trustee indemnity or security reasonably satisfactory to it against all losses and expenses that might be incurred by it in compliance with such request or direction.</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680" w:hanging="244"/>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225"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relating to the time, method and place of conducting any proceeding for any remedy available to the Trustee, or exercising any trust or power conferred upon the Trustee, under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48" w:name="page49"/>
    <w:bookmarkEnd w:id="48"/>
    <w:p>
      <w:pPr>
        <w:ind w:right="4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whether or not therein provided, 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specific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specific written investment direction from the Company; and</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Trustee is also acting as Custodian, Note Registrar, Paying Agent, Exchange Agent or transfer agent hereunder, the rights and protections afforded to the Trustee pursuant to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shall also be afforded to such Custodian, Note Registrar, Paying Agent, Exchange Agent or transfer agent.</w:t>
      </w:r>
    </w:p>
    <w:p>
      <w:pPr>
        <w:spacing w:after="0" w:line="175" w:lineRule="exact"/>
        <w:rPr>
          <w:rFonts w:ascii="Times New Roman" w:cs="Times New Roman" w:eastAsia="Times New Roman" w:hAnsi="Times New Roman"/>
          <w:sz w:val="18"/>
          <w:szCs w:val="18"/>
          <w:color w:val="auto"/>
        </w:rPr>
      </w:pPr>
    </w:p>
    <w:p>
      <w:pPr>
        <w:ind w:right="66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b w:val="1"/>
          <w:bCs w:val="1"/>
          <w:i w:val="1"/>
          <w:iCs w:val="1"/>
          <w:color w:val="auto"/>
        </w:rPr>
        <w:t>Reliance on Documents, Opinions, Etc</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36"/>
        <w:spacing w:after="0" w:line="266"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right="280" w:firstLine="436"/>
        <w:spacing w:after="0" w:line="266"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resolution of the Board of Trustees may be evidenced to the Trustee by a copy thereof certified by the Secretary or an Assistant Secretary of the REIT or the Company;</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9" w:name="page50"/>
    <w:bookmarkEnd w:id="49"/>
    <w:p>
      <w:pPr>
        <w:ind w:right="160" w:firstLine="436"/>
        <w:spacing w:after="0" w:line="258"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18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any indirect, special, consequential or punitive loss or damage of any kind whatsoever (including but not limited to lost profits), even if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charged with knowledge of any Default, Event of Default or any other default with respect to the Notes, unless written notice from the Company or any Holder of the Notes of such Default or Event of Default shall have been received by a Responsible Officer of the Trustee;</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right="120" w:firstLine="436"/>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161" w:lineRule="exact"/>
        <w:rPr>
          <w:rFonts w:ascii="Times New Roman" w:cs="Times New Roman" w:eastAsia="Times New Roman" w:hAnsi="Times New Roman"/>
          <w:sz w:val="18"/>
          <w:szCs w:val="18"/>
          <w:color w:val="auto"/>
        </w:rPr>
      </w:pPr>
    </w:p>
    <w:p>
      <w:pPr>
        <w:ind w:right="720" w:firstLine="436"/>
        <w:spacing w:after="0" w:line="282"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Responsible Officer of the Trustee has received an Officer’s Certificate with respect thereto, the Trustee may assume that no Additional Interest is owed on the Notes.</w:t>
      </w:r>
    </w:p>
    <w:p>
      <w:pPr>
        <w:spacing w:after="0" w:line="158"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b w:val="1"/>
          <w:bCs w:val="1"/>
          <w:i w:val="1"/>
          <w:iCs w:val="1"/>
          <w:color w:val="auto"/>
        </w:rPr>
        <w:t>No Responsibility for Recitals, Etc</w:t>
      </w:r>
      <w:r>
        <w:rPr>
          <w:rFonts w:ascii="Times New Roman" w:cs="Times New Roman" w:eastAsia="Times New Roman" w:hAnsi="Times New Roman"/>
          <w:sz w:val="18"/>
          <w:szCs w:val="18"/>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79"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b w:val="1"/>
          <w:bCs w:val="1"/>
          <w:i w:val="1"/>
          <w:iCs w:val="1"/>
          <w:color w:val="auto"/>
        </w:rPr>
        <w:t>Trustee, Paying Agents, Exchange Agents or Note Registrar May Own Notes</w:t>
      </w:r>
      <w:r>
        <w:rPr>
          <w:rFonts w:ascii="Times New Roman" w:cs="Times New Roman" w:eastAsia="Times New Roman" w:hAnsi="Times New Roman"/>
          <w:sz w:val="18"/>
          <w:szCs w:val="18"/>
          <w:color w:val="auto"/>
        </w:rPr>
        <w:t>. The Trustee, any Paying Agent, any Exchange Agent or Note Registrar, in its individual or any other capacity, may become the owner or pledgee of Notes with the same rights it would have if it were not the Trustee, Paying Agent, Exchange Agent or Note Registrar.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0" w:name="page51"/>
    <w:bookmarkEnd w:id="50"/>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Times New Roman" w:cs="Times New Roman" w:eastAsia="Times New Roman" w:hAnsi="Times New Roman"/>
          <w:sz w:val="18"/>
          <w:szCs w:val="18"/>
          <w:b w:val="1"/>
          <w:bCs w:val="1"/>
          <w:i w:val="1"/>
          <w:iCs w:val="1"/>
          <w:color w:val="auto"/>
        </w:rPr>
        <w:t>Monies and Common Shares to Be Held in Trust</w:t>
      </w:r>
      <w:r>
        <w:rPr>
          <w:rFonts w:ascii="Times New Roman" w:cs="Times New Roman" w:eastAsia="Times New Roman" w:hAnsi="Times New Roman"/>
          <w:sz w:val="18"/>
          <w:szCs w:val="18"/>
          <w:color w:val="auto"/>
        </w:rPr>
        <w:t>. All monies and Common Shares received by the Trustee shall, until used or applied as herein provided, be held in trust for the purposes for which they were received. Money and Common Shares held by the Trustee in trust hereunder need not be segregated from other funds except to the extent required by law. The Trustee shall be under no liability for interest on any money or Common Shares received by it hereunder except as may be agreed from time to time by the Company and the Trustee.</w:t>
      </w:r>
    </w:p>
    <w:p>
      <w:pPr>
        <w:spacing w:after="0" w:line="176"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b w:val="1"/>
          <w:bCs w:val="1"/>
          <w:i w:val="1"/>
          <w:iCs w:val="1"/>
          <w:color w:val="auto"/>
        </w:rPr>
        <w:t>Compensation and Expenses of Trustee</w:t>
      </w:r>
      <w:r>
        <w:rPr>
          <w:rFonts w:ascii="Times New Roman" w:cs="Times New Roman" w:eastAsia="Times New Roman" w:hAnsi="Times New Roman"/>
          <w:sz w:val="18"/>
          <w:szCs w:val="18"/>
          <w:color w:val="auto"/>
        </w:rPr>
        <w:t xml:space="preserve">.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counsel and of all Persons not regularly in its employ) except any such expense, disbursement or advance as shall have been caused by its gross negligence, willful misconduct or bad faith. The Company also covenants to indemnify the Trustee in any capacity under this Indenture (including as Custodian, Note Registrar or Exchange Agent) and any other document or transaction entered into in connection herewith and any authenticating agent for, and to hold them harmless against, any loss, charge, claim, damage, liability or expense incurred without gross negligence, willful misconduct or bad faith on the part of the Trustee, its officers, directors or employees, or such authenticating agent, as the case may be, and arising out of or in connection with the acceptance or administration of this Indenture or in any other capacity hereunder, including the reasonable costs and expenses of defending themselves against any claim of liability in the premises. The obligations of the Company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funds held in trust herewith for the benefit of the Holders of particular Notes. The Trustee’s right to receive payment of any amounts due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not be subordinate to any other liability or indebtedness of the Company. The obligation of the Company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survive the satisfaction and discharge of this Indenture and the earlier resignation or removal or the Trustee. The Company need not pay for any settlement made without its consent, which consent shall not be unreasonably withheld. The indemnification provided in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extend to the officers, directors and employees of the Trustee.</w:t>
      </w:r>
    </w:p>
    <w:p>
      <w:pPr>
        <w:spacing w:after="0" w:line="19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Without prejudice to any other rights available to the Trustee under applicable law, when the Trustee and any authenticating agent incur expenses or render services after an Event of Default specified in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6.01(j)</w:t>
      </w:r>
      <w:r>
        <w:rPr>
          <w:rFonts w:ascii="Times New Roman" w:cs="Times New Roman" w:eastAsia="Times New Roman" w:hAnsi="Times New Roman"/>
          <w:sz w:val="18"/>
          <w:szCs w:val="18"/>
          <w:color w:val="auto"/>
        </w:rPr>
        <w:t xml:space="preserve"> occurs, the expenses and the compensation for the services are intended to constitute expenses of administration under any bankruptcy, insolvency or similar laws.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51" w:name="page52"/>
    <w:bookmarkEnd w:id="51"/>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7.07. </w:t>
      </w:r>
      <w:r>
        <w:rPr>
          <w:rFonts w:ascii="Times New Roman" w:cs="Times New Roman" w:eastAsia="Times New Roman" w:hAnsi="Times New Roman"/>
          <w:sz w:val="18"/>
          <w:szCs w:val="18"/>
          <w:b w:val="1"/>
          <w:bCs w:val="1"/>
          <w:i w:val="1"/>
          <w:iCs w:val="1"/>
          <w:color w:val="auto"/>
        </w:rPr>
        <w:t>Officer’s Certificate as Evidence</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negligence, willful misconduct and bad faith on the part of the Trustee, be deemed to be conclusively proved and established by an Officer’s Certificate delivered to the Trustee, and such Officer’s Certificate, in the absence of negligence, willful misconduct and bad faith on the part of the Trustee, shall be full warrant to the Trustee for any action taken or omitted by it under the provisions of this Indenture upon the faith thereof.</w:t>
      </w:r>
    </w:p>
    <w:p>
      <w:pPr>
        <w:spacing w:after="0" w:line="182"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b w:val="1"/>
          <w:bCs w:val="1"/>
          <w:i w:val="1"/>
          <w:iCs w:val="1"/>
          <w:color w:val="auto"/>
        </w:rPr>
        <w:t>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it shall resign immediately in the manner and with the effect hereinafter specified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b w:val="1"/>
          <w:bCs w:val="1"/>
          <w:i w:val="1"/>
          <w:iCs w:val="1"/>
          <w:color w:val="auto"/>
        </w:rPr>
        <w:t>Resignation or Removal of Trustee</w:t>
      </w:r>
      <w:r>
        <w:rPr>
          <w:rFonts w:ascii="Times New Roman" w:cs="Times New Roman" w:eastAsia="Times New Roman" w:hAnsi="Times New Roman"/>
          <w:sz w:val="18"/>
          <w:szCs w:val="18"/>
          <w:color w:val="auto"/>
        </w:rPr>
        <w:t xml:space="preserve">. (a) The Trustee may at any time resign by giving written notice of such resignation to the Company. Upon receiving such notice of resignation, the Company shall promptly appoint a successor trustee by written instrument, in duplicate, executed by order of the Board of Trustees, one copy of which instrument shall be delivered to the resigning Trustee and one copy to the successor trustee. If no successor trustee shall have been so appointed and have accepted appointment within 60 days, the resigning Trustee may, upon 10 Business Days’ notice to the Company, petition at the expense of the Company any court of competent jurisdiction for the appointment of a successor trustee, or any Holder who has been a bona fide holder of a Note or Notes for at least six months may, subject to the provisions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on behalf of himself or herself and all others similarly situated, petition any such court for the appointment of a successor trustee. Such court may thereupon, after such notice, if any, as it may deem proper and prescribe, appoint a successor trustee. At any time at which no Default or Event of Default has occurred and is continuing, the Company may, by a Board Resolution and upon 30 days’ notice to the Trustee, remove the Trustee and appoint a successor trustee by written instrument, in duplicate, executed by order of the Board of Trustees, one copy of which instrument shall be delivered to the Trustee so removed and one copy to the successor Trustee.</w:t>
      </w:r>
    </w:p>
    <w:p>
      <w:pPr>
        <w:spacing w:after="0" w:line="186" w:lineRule="exact"/>
        <w:rPr>
          <w:sz w:val="20"/>
          <w:szCs w:val="20"/>
          <w:color w:val="auto"/>
        </w:rPr>
      </w:pPr>
    </w:p>
    <w:p>
      <w:pPr>
        <w:ind w:left="700" w:hanging="264"/>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right="460" w:firstLine="987"/>
        <w:spacing w:after="0" w:line="282" w:lineRule="auto"/>
        <w:tabs>
          <w:tab w:leader="none" w:pos="120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in accordance with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5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6" w:right="459" w:bottom="1440" w:gutter="0" w:footer="0" w:header="0"/>
        </w:sectPr>
      </w:pPr>
    </w:p>
    <w:bookmarkStart w:id="52" w:name="page53"/>
    <w:bookmarkEnd w:id="52"/>
    <w:p>
      <w:pPr>
        <w:ind w:right="2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in either case, the Company may by a Board Resolution remove the Trustee and appoint a successor trustee by written instrument, in duplicate, executed by order of the Board of Trustees, one copy of which instrument shall be delivered to the Trustee so removed and one copy to the successor trustee, or, subject to the provisions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any 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7" w:lineRule="exact"/>
        <w:rPr>
          <w:sz w:val="20"/>
          <w:szCs w:val="20"/>
          <w:color w:val="auto"/>
        </w:rPr>
      </w:pPr>
    </w:p>
    <w:p>
      <w:pPr>
        <w:ind w:right="160" w:firstLine="436"/>
        <w:spacing w:after="0" w:line="258"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a majority in aggregate principal amount of the Notes at the time outstanding, as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may at any time remove the Trustee and nominate a successor trustee that shall be deemed appointed as successor trustee unless within 10 days after notice to the Company of such nomination the Company objects thereto, in which case the Trustee so removed or any Holder, upon the terms and conditions and otherwise as in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 xml:space="preserve"> provided, may, at the expense of the Company, petition any court of competent jurisdiction for an appointment of a successor trustee.</w:t>
      </w:r>
    </w:p>
    <w:p>
      <w:pPr>
        <w:spacing w:after="0" w:line="183"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or removal of the Trustee and appointment of a successor trustee pursuant to any of the provisions of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shall become effective upon acceptance of appointment by the successor trustee as provided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b w:val="1"/>
          <w:bCs w:val="1"/>
          <w:i w:val="1"/>
          <w:iCs w:val="1"/>
          <w:color w:val="auto"/>
        </w:rPr>
        <w:t>Acceptance by Successor Trustee</w:t>
      </w:r>
      <w:r>
        <w:rPr>
          <w:rFonts w:ascii="Times New Roman" w:cs="Times New Roman" w:eastAsia="Times New Roman" w:hAnsi="Times New Roman"/>
          <w:sz w:val="18"/>
          <w:szCs w:val="18"/>
          <w:color w:val="auto"/>
        </w:rPr>
        <w:t xml:space="preserve">. Any successor trustee appointed as provided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 successor trustee shall accept appointment as provided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unless at the time of such acceptance such successor trustee shall be eligible under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Upon acceptance of appointment by a successor trustee as provided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10 days after acceptance of appointment by the successor trustee, the successor trustee shall cause such notice to be mailed at the expense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3" w:name="page54"/>
    <w:bookmarkEnd w:id="53"/>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7.11. </w:t>
      </w:r>
      <w:r>
        <w:rPr>
          <w:rFonts w:ascii="Times New Roman" w:cs="Times New Roman" w:eastAsia="Times New Roman" w:hAnsi="Times New Roman"/>
          <w:sz w:val="18"/>
          <w:szCs w:val="18"/>
          <w:b w:val="1"/>
          <w:bCs w:val="1"/>
          <w:i w:val="1"/>
          <w:iCs w:val="1"/>
          <w:color w:val="auto"/>
        </w:rPr>
        <w:t>Succession by Merger, Etc</w:t>
      </w:r>
      <w:r>
        <w:rPr>
          <w:rFonts w:ascii="Times New Roman" w:cs="Times New Roman" w:eastAsia="Times New Roman" w:hAnsi="Times New Roman"/>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corporation or other entity succeeding to all or substantially all of the corporate trust business of the Trustee such corporation or other entity shall be eligible under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provided, however, that the right to adopt the certificate of authentication of any predecessor trustee or to authenticate Notes in the name of any predecessor trustee shall apply only to its successor or successors by merger, conversion or consolidation.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HOLDERS</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b w:val="1"/>
          <w:bCs w:val="1"/>
          <w:i w:val="1"/>
          <w:iCs w:val="1"/>
          <w:color w:val="auto"/>
        </w:rPr>
        <w:t>Action by Holders</w:t>
      </w:r>
      <w:r>
        <w:rPr>
          <w:rFonts w:ascii="Times New Roman" w:cs="Times New Roman" w:eastAsia="Times New Roman" w:hAnsi="Times New Roman"/>
          <w:sz w:val="18"/>
          <w:szCs w:val="18"/>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Holders in person or by agent or proxy appointed in writing.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15 days prior to the date of commencement of solicitation of such action.</w:t>
      </w:r>
    </w:p>
    <w:p>
      <w:pPr>
        <w:spacing w:after="0" w:line="18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b w:val="1"/>
          <w:bCs w:val="1"/>
          <w:i w:val="1"/>
          <w:iCs w:val="1"/>
          <w:color w:val="auto"/>
        </w:rPr>
        <w:t>Proof of Execution by Holders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66" w:right="439" w:bottom="1440" w:gutter="0" w:footer="0" w:header="0"/>
        </w:sectPr>
      </w:pPr>
    </w:p>
    <w:bookmarkStart w:id="54" w:name="page55"/>
    <w:bookmarkEnd w:id="5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b w:val="1"/>
          <w:bCs w:val="1"/>
          <w:i w:val="1"/>
          <w:iCs w:val="1"/>
          <w:color w:val="auto"/>
        </w:rPr>
        <w:t>Who Are Deemed Absolute Owners</w:t>
      </w:r>
      <w:r>
        <w:rPr>
          <w:rFonts w:ascii="Times New Roman" w:cs="Times New Roman" w:eastAsia="Times New Roman" w:hAnsi="Times New Roman"/>
          <w:sz w:val="18"/>
          <w:szCs w:val="18"/>
          <w:color w:val="auto"/>
        </w:rPr>
        <w:t xml:space="preserve">. The Company, the Trustee, any authenticating agent, any Paying Agent, any Exchange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accrued and unpaid interest on such Note, for exchange of such Note and for all other purposes; and neither the Company nor the Trustee nor any Paying Agent nor any Exchange Agent nor any Note Registrar shall be affected by any notice to the contrary. All such payments or deliveries so made to any Holder for the time being, or upon its order, shall be valid, and, to the extent of the sums or Common Shares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b w:val="1"/>
          <w:bCs w:val="1"/>
          <w:i w:val="1"/>
          <w:iCs w:val="1"/>
          <w:color w:val="auto"/>
        </w:rPr>
        <w:t>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the REIT, by any Subsidiary of the Company or the REIT or by any Person directly or indirectly controlling or controlled by or under direct or indirect common control with the Company, the REIT or any Subsidiary of the Company or the REIT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if the pledgee shall establish to the satisfaction of the Trustee the pledgee’s right to so act with respect to such Notes and that the pledgee is not the Company, the REIT, a Subsidiary of the Company or the REIT or a Person directly or indirectly controlling or controlled by or under direct or indirect common control with the Company, the REIT or any Subsidiary of the Company or the REIT.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or the REIT to be owned or held by or for the account of any of the above-described Persons; and,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Trustee shall be entitled to accept such Officer’s Certificate as conclusive evidence of the facts therein set forth and of the fact that all Notes not listed therein are outstanding for the purpose of any such determination.</w:t>
      </w:r>
    </w:p>
    <w:p>
      <w:pPr>
        <w:spacing w:after="0" w:line="18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b w:val="1"/>
          <w:bCs w:val="1"/>
          <w:i w:val="1"/>
          <w:iCs w:val="1"/>
          <w:color w:val="auto"/>
        </w:rPr>
        <w:t>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revoke such action so far as concerns such Note. Except as aforesaid, any such action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66" w:right="479" w:bottom="1440" w:gutter="0" w:footer="0" w:header="0"/>
        </w:sectPr>
      </w:pPr>
    </w:p>
    <w:bookmarkStart w:id="55" w:name="page56"/>
    <w:bookmarkEnd w:id="55"/>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b w:val="1"/>
          <w:bCs w:val="1"/>
          <w:i w:val="1"/>
          <w:iCs w:val="1"/>
          <w:color w:val="auto"/>
        </w:rPr>
        <w:t>Supplemental Indentures Without Consent of Holders</w:t>
      </w:r>
      <w:r>
        <w:rPr>
          <w:rFonts w:ascii="Times New Roman" w:cs="Times New Roman" w:eastAsia="Times New Roman" w:hAnsi="Times New Roman"/>
          <w:sz w:val="18"/>
          <w:szCs w:val="18"/>
          <w:color w:val="auto"/>
        </w:rPr>
        <w:t>. The Company, when authorized by a Board Resolution, and the Trustee, at the Company’s expense, may from time to time and at any time enter into an indenture or indentures supplemental hereto for one or more of the following purposes:</w:t>
      </w:r>
    </w:p>
    <w:p>
      <w:pPr>
        <w:spacing w:after="0" w:line="175" w:lineRule="exact"/>
        <w:rPr>
          <w:sz w:val="20"/>
          <w:szCs w:val="20"/>
          <w:color w:val="auto"/>
        </w:rPr>
      </w:pPr>
    </w:p>
    <w:p>
      <w:pPr>
        <w:ind w:left="680" w:hanging="244"/>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thereof in the Offering Memorandum;</w:t>
      </w:r>
    </w:p>
    <w:p>
      <w:pPr>
        <w:spacing w:after="0" w:line="225"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by a Successor Entity and to provide for the assumption by a Successor Entity of the Company’s or the REIT’S obligations under the Indenture and the Notes, as applicable;</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Company’s or the REIT’s covenants such further covenants, restrictions or conditions for the benefit of the Holders (or any other holders) or to surrender any right or power conferred upon the Company or the REIT by the Indenture;</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cure any ambiguity, omission, defect or inconsistency in the Indenture or the Notes, including to eliminate any conflict with the terms of the Trust Indenture Act, or (ii) to make any other change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successor Trustee;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Depositary; or</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in connection with any qualification of this Indenture under the Trust Indenture Act.</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join with the Company and the REIT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6" w:name="page57"/>
    <w:bookmarkEnd w:id="56"/>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supplemental indenture authorized by the provisions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may be executed by the Company, the REIT and the Trustee without the consent of the Holders of any of the Notes at the time outstanding, notwithstanding any of the provisions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b w:val="1"/>
          <w:bCs w:val="1"/>
          <w:i w:val="1"/>
          <w:iCs w:val="1"/>
          <w:color w:val="auto"/>
        </w:rPr>
        <w:t>Supplemental Indentures with Consent of Holders</w:t>
      </w:r>
      <w:r>
        <w:rPr>
          <w:rFonts w:ascii="Times New Roman" w:cs="Times New Roman" w:eastAsia="Times New Roman" w:hAnsi="Times New Roman"/>
          <w:sz w:val="18"/>
          <w:szCs w:val="18"/>
          <w:color w:val="auto"/>
        </w:rPr>
        <w:t xml:space="preserve">. With the consent (evidenced as provided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the Holders of at least a majority of the aggregate principal amount of the Notes then outstanding (determined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including, without limitation, consents obtained in connection with a repurchase of, or tender or exchange offer for, Notes), the Company and the REIT, when authorized by a Board Resolution,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provided, however, that, without the consent of each Holder of an outstanding Note affected, no such supplemental indenture shall:</w:t>
      </w:r>
    </w:p>
    <w:p>
      <w:pPr>
        <w:spacing w:after="0" w:line="187" w:lineRule="exact"/>
        <w:rPr>
          <w:sz w:val="20"/>
          <w:szCs w:val="20"/>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Notes outstanding necessary to waive any past Default or Event of Default;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on any Note or change the time for payment of interest on any Note;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any Note or the amount payable upon redemption of any Note or change the Maturity Date;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any Note;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impairs or adversely affects the exchange rights of any Notes;</w:t>
      </w:r>
    </w:p>
    <w:p>
      <w:pPr>
        <w:spacing w:after="0" w:line="225" w:lineRule="exact"/>
        <w:rPr>
          <w:rFonts w:ascii="Times New Roman" w:cs="Times New Roman" w:eastAsia="Times New Roman" w:hAnsi="Times New Roman"/>
          <w:sz w:val="18"/>
          <w:szCs w:val="18"/>
          <w:color w:val="auto"/>
        </w:rPr>
      </w:pPr>
    </w:p>
    <w:p>
      <w:pPr>
        <w:ind w:right="420" w:firstLine="436"/>
        <w:spacing w:after="0" w:line="266"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Fundamental Change Purchase Price of any Note or amend or modify in any manner adverse to the rights of the Holders of the Notes the Company’s obligation to pay the Fundamental Change Purchase Price, whether through an amendment or waiver of provisions in the covenants, definitions related thereto or otherwise;</w:t>
      </w:r>
    </w:p>
    <w:p>
      <w:pPr>
        <w:spacing w:after="0" w:line="17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Notes to receive payment of principal of, and interest, if any, on, its Notes, or the right to receive payment of cash and, if applicable, Common Shares or other consideration, together with cash in lieu thereof in respect of any fractional shares, due upon exchange of its Notes on or after the due dates therefor or to institute suit for the enforcement of any such payment or delivery, as the case may be, with respect to such Holder’s Notes;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ranking provisions of the Indenture in a manner that is adverse to the rights of the Holders of the Notes; or</w:t>
      </w:r>
    </w:p>
    <w:p>
      <w:pPr>
        <w:spacing w:after="0" w:line="225" w:lineRule="exact"/>
        <w:rPr>
          <w:rFonts w:ascii="Times New Roman" w:cs="Times New Roman" w:eastAsia="Times New Roman" w:hAnsi="Times New Roman"/>
          <w:sz w:val="18"/>
          <w:szCs w:val="18"/>
          <w:color w:val="auto"/>
        </w:rPr>
      </w:pPr>
    </w:p>
    <w:p>
      <w:pPr>
        <w:ind w:right="380" w:firstLine="43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change to the provisions of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that requires each Holder’s consent or in the waiver provisions in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if such change is adverse to the rights of Holders of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7" w:name="page58"/>
    <w:bookmarkEnd w:id="57"/>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83"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Upon the written request of the Company, and upon the filing with the Trustee of evidence of the consent of Holders as aforesaid and subject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the Trustee shall join with the Company and the REIT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Holders do not need under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to approve the particular form of any proposed supplemental indenture. It shall be sufficient if such Holders approve the substance thereof. After any such supplemental indenture becomes effective, the Company shall send to the Holders a notice briefly describing such supplemental indenture. However, the failure to give such notice to all the Holders, or any defect in the notice, will not impair or affect the validity of the supplemental indenture.</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b w:val="1"/>
          <w:bCs w:val="1"/>
          <w:i w:val="1"/>
          <w:iCs w:val="1"/>
          <w:color w:val="auto"/>
        </w:rPr>
        <w:t>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this Indenture shall be and be deemed to be modified and amended in accordance therewith and the respective rights, limitation of rights, obligations, duties and immunities under this Indenture of the Trustee, the Company, the REIT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b w:val="1"/>
          <w:bCs w:val="1"/>
          <w:i w:val="1"/>
          <w:iCs w:val="1"/>
          <w:color w:val="auto"/>
        </w:rPr>
        <w:t>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may, at the Company’s expense, bear a notation in form approved by the Trustee as to any matter provided for in such supplemental indenture. If the Company or the Trustee shall so determine, new Notes so modified as to conform, in the opinion of the Trustee and the Board of Trustees,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w:t>
      </w:r>
      <w:r>
        <w:rPr>
          <w:rFonts w:ascii="Times New Roman" w:cs="Times New Roman" w:eastAsia="Times New Roman" w:hAnsi="Times New Roman"/>
          <w:sz w:val="18"/>
          <w:szCs w:val="18"/>
          <w:u w:val="single" w:color="auto"/>
          <w:color w:val="auto"/>
        </w:rPr>
        <w:t>Section 17.10</w:t>
      </w:r>
      <w:r>
        <w:rPr>
          <w:rFonts w:ascii="Times New Roman" w:cs="Times New Roman" w:eastAsia="Times New Roman" w:hAnsi="Times New Roman"/>
          <w:sz w:val="18"/>
          <w:szCs w:val="18"/>
          <w:color w:val="auto"/>
        </w:rPr>
        <w:t>) and delivered in exchange for the Notes then outstanding, upon surrender of such Notes then outstanding.</w:t>
      </w:r>
    </w:p>
    <w:p>
      <w:pPr>
        <w:spacing w:after="0" w:line="18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 xml:space="preserve">Section 10.05. </w:t>
      </w:r>
      <w:r>
        <w:rPr>
          <w:rFonts w:ascii="Times New Roman" w:cs="Times New Roman" w:eastAsia="Times New Roman" w:hAnsi="Times New Roman"/>
          <w:sz w:val="17"/>
          <w:szCs w:val="17"/>
          <w:b w:val="1"/>
          <w:bCs w:val="1"/>
          <w:i w:val="1"/>
          <w:iCs w:val="1"/>
          <w:color w:val="auto"/>
        </w:rPr>
        <w:t>Trustee to Sign Amendments</w:t>
      </w:r>
      <w:r>
        <w:rPr>
          <w:rFonts w:ascii="Times New Roman" w:cs="Times New Roman" w:eastAsia="Times New Roman" w:hAnsi="Times New Roman"/>
          <w:sz w:val="17"/>
          <w:szCs w:val="17"/>
          <w:color w:val="auto"/>
        </w:rPr>
        <w:t>. The Trustee shall sign any amendment, supplement or waiver authorized pursuant hereto if the amendment or supplement does not adversely affect the rights, duties, liabilities or immunities of the Trustee. In executing any amendment, supplement or waiver, the Trustee shall receive and shall be fully protected in relying upon, in addition to the documents required by Section 17.05, an Officer’s Certificate and an Opinion of Counsel stating that the execution of such amended or supplemental indenture is authorized or permitted by this indenture.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SALE, CONVEYANCE AND LEASE</w:t>
      </w:r>
    </w:p>
    <w:p>
      <w:pPr>
        <w:spacing w:after="0" w:line="203"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b w:val="1"/>
          <w:bCs w:val="1"/>
          <w:i w:val="1"/>
          <w:iCs w:val="1"/>
          <w:color w:val="auto"/>
        </w:rPr>
        <w:t>Company and REIT May Consolidate, Merge, etc., on Certain Terms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neither the Company nor the REIT shall consolidate with, merge with or into, or convey, transfer or lease all or substantially all of its properties and assets to another Person, unless:</w:t>
      </w:r>
    </w:p>
    <w:p>
      <w:pPr>
        <w:spacing w:after="0" w:line="171" w:lineRule="exact"/>
        <w:rPr>
          <w:sz w:val="20"/>
          <w:szCs w:val="20"/>
          <w:color w:val="auto"/>
        </w:rPr>
      </w:pPr>
    </w:p>
    <w:p>
      <w:pPr>
        <w:ind w:firstLine="436"/>
        <w:spacing w:after="0" w:line="26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REIT, as the case may be, shall be the surviving Person or the resulting, surviving or transferee Person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shall be an entity organized and existing under the laws of the United States of America, any State thereof or the District of Columbia,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Entity shall expressly assume, by supplemental indenture, executed and delivered to the Trustee, in form satisfactory to the Trustee, all of the obligations of the Company or the REIT, as the case may be, under the Notes and the Indenture as applicable to the Notes; and</w:t>
      </w:r>
    </w:p>
    <w:p>
      <w:pPr>
        <w:spacing w:after="0" w:line="1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under the Indenture.</w:t>
      </w:r>
    </w:p>
    <w:p>
      <w:pPr>
        <w:spacing w:after="0" w:line="22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b w:val="1"/>
          <w:bCs w:val="1"/>
          <w:i w:val="1"/>
          <w:iCs w:val="1"/>
          <w:color w:val="auto"/>
        </w:rPr>
        <w:t>Successor Entity to Be Substituted</w:t>
      </w:r>
      <w:r>
        <w:rPr>
          <w:rFonts w:ascii="Times New Roman" w:cs="Times New Roman" w:eastAsia="Times New Roman" w:hAnsi="Times New Roman"/>
          <w:sz w:val="18"/>
          <w:szCs w:val="18"/>
          <w:color w:val="auto"/>
        </w:rPr>
        <w:t>. In case of any such consolidation, merger, conveyance, transfer or lease and upon the assumption by the Successor Entity, by supplemental indenture, executed and delivered to the Trustee and satisfactory in form to the Trustee, of the due and punctual payment of the principal of (including any Fundamental Change Purchase Price), the Redemption Price (if applicable) of, accrued and unpaid interest and accrued and unpaid Additional Interest, if any, on all of the Notes, the due and punctual delivery or payment, as the case may be, of any consideration due upon exchange of the Notes and the due and punctual performance of all of the covenants and conditions of this Indenture to be performed by the Company and the REIT, such Successor Entity (if not the Company or the REIT) shall succeed to and, shall be substituted for the Company or the REIT, as the case may be, and may exercise every right and power of, the Company or the REIT, as the case may be, under the Indenture, with the same effect as if it had been named herein as the party of the first part. Such Successor Entity, if a successor to the Company,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amalgamation, consolidation, merger, conveyance or transfer (but not in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6" w:right="45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case of a lease), the Person named as the “Company” in the first paragraph of this Indenture (or any successor that shall thereafter have become such in the manner prescribed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may be dissolved, wound up and liquidated at any time thereafter and, except in the case of a lease, such Person shall be released from its liabilities as obligor and maker of the Notes and from its obligations under this Indenture, the Notes and the Registration Rights Agreement.</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conveyance, transfer or lease, such changes in phraseology and form (but not in substance) may be made in the Notes thereafter to be issued as may be appropriate</w:t>
      </w:r>
      <w:r>
        <w:rPr>
          <w:rFonts w:ascii="Times New Roman" w:cs="Times New Roman" w:eastAsia="Times New Roman" w:hAnsi="Times New Roman"/>
          <w:sz w:val="18"/>
          <w:szCs w:val="18"/>
          <w:b w:val="1"/>
          <w:bCs w:val="1"/>
          <w:i w:val="1"/>
          <w:iCs w:val="1"/>
          <w:color w:val="auto"/>
        </w:rPr>
        <w:t>.</w:t>
      </w:r>
    </w:p>
    <w:p>
      <w:pPr>
        <w:spacing w:after="0" w:line="158"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b w:val="1"/>
          <w:bCs w:val="1"/>
          <w:i w:val="1"/>
          <w:iCs w:val="1"/>
          <w:color w:val="auto"/>
        </w:rPr>
        <w:t>Opinion of Counsel to Be Given to Trustee</w:t>
      </w:r>
      <w:r>
        <w:rPr>
          <w:rFonts w:ascii="Times New Roman" w:cs="Times New Roman" w:eastAsia="Times New Roman" w:hAnsi="Times New Roman"/>
          <w:sz w:val="18"/>
          <w:szCs w:val="18"/>
          <w:color w:val="auto"/>
        </w:rPr>
        <w:t xml:space="preserve">. In the case of any such amalgamation, merger, consolidation, conveyance, transfer or lease, the Trustee shall receive an Officer’s Certificate and an Opinion of Counsel stating that any such amalgamation, consolidation, merger, conveyance, transfer or lease and any such assumption and, if a supplemental indenture is required in connection with such transaction, such supplemental indenture, complies with the provisions of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0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b w:val="1"/>
          <w:bCs w:val="1"/>
          <w:i w:val="1"/>
          <w:iCs w:val="1"/>
          <w:color w:val="auto"/>
        </w:rPr>
        <w:t>Indenture and Notes Solely Corporate Obligations</w:t>
      </w:r>
      <w:r>
        <w:rPr>
          <w:rFonts w:ascii="Times New Roman" w:cs="Times New Roman" w:eastAsia="Times New Roman" w:hAnsi="Times New Roman"/>
          <w:sz w:val="18"/>
          <w:szCs w:val="18"/>
          <w:color w:val="auto"/>
        </w:rPr>
        <w:t>. No recourse for the payment of the principal of or accrued and unpaid interest on any Note, nor for any claim based thereon or otherwise in respect thereof, and no recourse under or upon any obligation, covenant or agreement of the Company or the REIT in this Indenture or in any supplemental indenture or in any Note, nor because of the creation of any indebtedness represented thereby, shall be had against any incorporator, stockholder, partner, member, employee, agent, Officer or director or Subsidiary, as such, past, present or future, of the Company or the REIT or of any successor Person, either directly or through the Company or the REIT (as the case may be) or any successor Person, whether by virtue of any constitution, statute or rule of law, or by the enforcement of any assessment or penalty or otherwise; it being expressly understood that all such liability, including, without limitation, any such liability of the REIT for the obligations of the Company hereunder or under any Note, is hereby expressly waived and released as a condition of, and as a consideration for, the execution of this Indenture and the issue of the Notes.</w:t>
      </w: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OF NOTES</w:t>
      </w:r>
    </w:p>
    <w:p>
      <w:pPr>
        <w:spacing w:after="0" w:line="203"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b w:val="1"/>
          <w:bCs w:val="1"/>
          <w:i w:val="1"/>
          <w:iCs w:val="1"/>
          <w:color w:val="auto"/>
        </w:rPr>
        <w:t>Right to Exchange</w:t>
      </w:r>
      <w:r>
        <w:rPr>
          <w:rFonts w:ascii="Times New Roman" w:cs="Times New Roman" w:eastAsia="Times New Roman" w:hAnsi="Times New Roman"/>
          <w:sz w:val="18"/>
          <w:szCs w:val="18"/>
          <w:color w:val="auto"/>
        </w:rPr>
        <w:t>. (a) Subject to and upon compliance with the provisions of this Article 14, each Holder of a Note shall have the right, at such Holder’s option, to exchange all or any portion (if the portion to be exchanged is $1,000 principal amount or an integral multiple thereof) of such Note (i) subject to satisfaction of the conditions described in Section 14.01(b), at any time prior to the Close of Business on the Business Day immediately preceding July 15, 2028 under the circumstances and during the periods set forth in Section 14.01(b), and (ii) regardless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0" w:name="page61"/>
    <w:bookmarkEnd w:id="6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conditions described in Section 14.01(b), on or after July 15, 2028 and prior to the Close of Business on the second Scheduled Trading Day immediately preceding the Maturity Date, in each case, at an initial Exchange Rate of 8.1436 Common Shares (subject to adjustment as provided in this Article 14, the “Exchange Rate”) per $1,000 principal amount of Notes (subject to, and in accordance with, the settlement provisions of Section 14.03, the “Exchange Obligation”).</w:t>
      </w:r>
    </w:p>
    <w:p>
      <w:pPr>
        <w:spacing w:after="0" w:line="180" w:lineRule="exact"/>
        <w:rPr>
          <w:sz w:val="20"/>
          <w:szCs w:val="20"/>
          <w:color w:val="auto"/>
        </w:rPr>
      </w:pPr>
    </w:p>
    <w:p>
      <w:pPr>
        <w:ind w:right="380"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Prior to the Close of Business on the Business Day preceding July 15, 2028, a Holder may surrender all or any portion of its Notes for exchange at any time during any calendar quarter commencing after the calendar quarter ending on March 31, 2024 (and only during such calendar quarter), if the Last Reported Sale Price of the Common Shares for at least 20 Trading Days (whether or not consecutive) during the period of 30 consecutive Trading Days ending on the last Trading Day of the immediately preceding calendar quarter is greater than or equal to 130% of the applicable Exchange Price on each applicable Trading Day.</w:t>
      </w:r>
    </w:p>
    <w:p>
      <w:pPr>
        <w:spacing w:after="0" w:line="183"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July 15, 2028, a Holder may surrender all or any portion of its Notes for exchange at any time during the five Business Day period after any five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in accordance with the procedures set forth in this subsection (b)(2), for each Trading Day of the Measurement Period was less than 98% of the product of (x) the Last Reported Sale Price of the Common Shares and (y) the applicable Exchange Rate on each such Trading Day. The Trading Prices shall be determined by the Bid Solicitation Agent pursuant to this subsection (b)(2) and the definition of “Trading Price” set forth in this Indenture. The Company shall provide written notice to the Bid Solicitation Agent (if other than the Company) of the three independent nationally recognized securities dealers selected by the Company in accordance with the definition of Trading Price, along with the appropriate contact information for each.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the Bid Solicitation Agent, the Company shall have no obligation to determine the Trading Price of the Notes) unless a Holder of at least $3,000,000 aggregate principal amount of Notes provides the Company with reasonable evidence that the Trading Price per $1,000 principal amount of Notes would be less than 98% of the product of (x) the Last Reported Sale Price of the Common Shares on such Trading Day and</w:t>
      </w:r>
    </w:p>
    <w:p>
      <w:pPr>
        <w:spacing w:after="0" w:line="1" w:lineRule="exact"/>
        <w:rPr>
          <w:rFonts w:ascii="Times New Roman" w:cs="Times New Roman" w:eastAsia="Times New Roman" w:hAnsi="Times New Roman"/>
          <w:sz w:val="18"/>
          <w:szCs w:val="18"/>
          <w:color w:val="auto"/>
        </w:rPr>
      </w:pPr>
    </w:p>
    <w:p>
      <w:pPr>
        <w:ind w:left="440" w:right="100" w:hanging="4"/>
        <w:spacing w:after="0" w:line="251"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Exchange Rate on such Trading Day. At such time, the Company shall instruct the Bid Solicitation Agent (if other than the Company) to determine or, if the Company is the Bid Solicitation Agent, the Company shall determine the Trading Price per $1,000 principal amount of the Notes beginning on the next Trading Day and on each successive Trading Day until the Trading Price per $1,000 principal amount of Notes for a Trading Day is greater than or equal to 98% of the product of (x) the Last Reported Sale Price of the Common Shares on such Trading Day and (y) the applicable Exchange Rate on such Trading Day. Whenever the condition to exchange set forth in this subsection (b)(2) has been met, the Company will so notify the Holders, the Trustee and the Exchange Agent (if other than the Trustee). If, at any time after the condition to exchange set forth in this subsection (b)(2) has been met, the Trading Price per $1,000 principal amount of Notes is greater than or equal to 98% of the product of (x) the Last Reported Sale Price of the Common Shares and (y) the applicable Exchange Rate for such date, the Company will so notify the Holders, the Trustee and the Exchange Agent (if other than the Trustee) promptly. The Company will initially act as Bid Solicitation Agent.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61" w:name="page62"/>
    <w:bookmarkEnd w:id="61"/>
    <w:p>
      <w:pPr>
        <w:ind w:right="120" w:firstLine="419"/>
        <w:spacing w:after="0" w:line="256"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Company calls any or all Notes for Optional Redemption pursuant to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hereof prior to the Close of Business on the Business Day immediately preceding July 15, 2028, then a Holder may surrender all or any portion of its Notes for exchange at any time prior to the Close of Business on the Business Day prior to the relevant Redemption Date, even if the Notes are not otherwise exchangeable at such time. After that time, the right to exchange on account of the Company’s delivery of a Redemption Notice shall expire, unless the Company defaults in the payment of the Redemption Price, in which case a Holder of Notes may exchange its Notes until the Redemption Price has been paid or duly provided for.</w:t>
      </w:r>
    </w:p>
    <w:p>
      <w:pPr>
        <w:spacing w:after="0" w:line="18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July 15, 2028, the REIT elects to:</w:t>
      </w:r>
    </w:p>
    <w:p>
      <w:pPr>
        <w:spacing w:after="0" w:line="225" w:lineRule="exact"/>
        <w:rPr>
          <w:rFonts w:ascii="Times New Roman" w:cs="Times New Roman" w:eastAsia="Times New Roman" w:hAnsi="Times New Roman"/>
          <w:sz w:val="18"/>
          <w:szCs w:val="18"/>
          <w:color w:val="auto"/>
        </w:rPr>
      </w:pPr>
    </w:p>
    <w:p>
      <w:pPr>
        <w:ind w:left="540" w:right="40" w:firstLine="408"/>
        <w:spacing w:after="0" w:line="273" w:lineRule="auto"/>
        <w:tabs>
          <w:tab w:leader="none" w:pos="123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issue to all or substantially all holders of the Common Shares any rights, options or warrants (other than rights issued pursuant to a stockholder rights plan, so long as such rights have not separated from the Common Shares and are not exercisable until the occurrence of a Trigger Event, except that such rights will be deemed to be distributed for purposes of this clause (4)(A) upon their separation from the Common Shares or upon the occurrence of such Trigger Event) entitling them for a period of not more than 45 calendar days after the date of such issuance, to subscribe for or purchase Common Shares at a price per share that is less than the average of the Last Reported Sale Prices of the Common Shares for the 10 consecutive Trading Day period ending on the Trading Day immediately preceding the date of announcement of such issuance (taking into account any consideration received by the Company as described in </w:t>
      </w:r>
      <w:r>
        <w:rPr>
          <w:rFonts w:ascii="Times New Roman" w:cs="Times New Roman" w:eastAsia="Times New Roman" w:hAnsi="Times New Roman"/>
          <w:sz w:val="17"/>
          <w:szCs w:val="17"/>
          <w:u w:val="single" w:color="auto"/>
          <w:color w:val="auto"/>
        </w:rPr>
        <w:t>Section 14.04(b)</w:t>
      </w:r>
      <w:r>
        <w:rPr>
          <w:rFonts w:ascii="Times New Roman" w:cs="Times New Roman" w:eastAsia="Times New Roman" w:hAnsi="Times New Roman"/>
          <w:sz w:val="17"/>
          <w:szCs w:val="17"/>
          <w:color w:val="auto"/>
        </w:rPr>
        <w:t>); or</w:t>
      </w:r>
    </w:p>
    <w:p>
      <w:pPr>
        <w:spacing w:after="0" w:line="171" w:lineRule="exact"/>
        <w:rPr>
          <w:rFonts w:ascii="Times New Roman" w:cs="Times New Roman" w:eastAsia="Times New Roman" w:hAnsi="Times New Roman"/>
          <w:sz w:val="17"/>
          <w:szCs w:val="17"/>
          <w:color w:val="auto"/>
        </w:rPr>
      </w:pPr>
    </w:p>
    <w:p>
      <w:pPr>
        <w:ind w:left="540" w:right="80" w:firstLine="408"/>
        <w:spacing w:after="0" w:line="289" w:lineRule="auto"/>
        <w:tabs>
          <w:tab w:leader="none" w:pos="122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 to all or substantially all holders of the Common Shares the REIT’s assets, debt securities or rights to purchase the REIT’s securities, which distribution has a per share value, as reasonably determined by the Board of Trustees, exceeding 10% of the Last Reported Sale Price of the Common Shares on the Trading Day immediately preceding the date of announcement for such distribution,</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then, in either case, the Company must notify the Holders at least 50 Scheduled Trading Days prior to the Ex-Dividend Date for such issuance or distribution (or, if later in the case of any such separation of rights issued pursuant to a stockholder rights plan or the occurrence of any such Trigger Event under a stockholder rights plan, as soon as reasonably practicable after the Company becomes aware that such separation or Trigger Event has occurred or will occur). Holders may surrender all or any portion of their Notes for exchange at any time during the period beginning on the 45th Scheduled Trading Day immediately prior to the Ex-Dividend Date for such issuance or distribution and ending on the earlier of (i) 5:00 p.m., New York City time, on the Business Day immediately preceding the Ex-Dividend Date for such issuance or distribution and (ii) the Company’s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0"/>
          </w:cols>
          <w:pgMar w:left="880" w:top="270" w:right="459" w:bottom="1440" w:gutter="0" w:footer="0" w:header="0"/>
        </w:sectPr>
      </w:pPr>
    </w:p>
    <w:bookmarkStart w:id="62" w:name="page63"/>
    <w:bookmarkEnd w:id="62"/>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announcement that such issuance or distribution will not take place, even if the Notes are not otherwise exchangeable at such time. Holders of the Notes will not, however, have the right to exchange pursuant to this subsection (b)(4) if they participate, at the same time and upon the same terms, as holders of Common Shares in any of the transactions described above without having to exchange their Notes as if they held a number of Common Shares equal to the applicable Exchange Rate in effect immediately prior to the Open of Business on the Ex-Dividend Date for such issuance or distribution multiplied by the principal amount (expressed in thousands) of Notes held by such holder on the Ex-Dividend Date for such issuance or distribution.</w:t>
      </w:r>
    </w:p>
    <w:p>
      <w:pPr>
        <w:spacing w:after="0" w:line="187" w:lineRule="exact"/>
        <w:rPr>
          <w:sz w:val="20"/>
          <w:szCs w:val="20"/>
          <w:color w:val="auto"/>
        </w:rPr>
      </w:pPr>
    </w:p>
    <w:p>
      <w:pPr>
        <w:ind w:left="440" w:right="20" w:firstLine="419"/>
        <w:spacing w:after="0" w:line="253" w:lineRule="auto"/>
        <w:tabs>
          <w:tab w:leader="none" w:pos="11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July 15, 2028 (A) a Make-Whole Fundamental Change occurs, or (B) the REIT is a party to (i) a consolidation, merger or binding share exchange pursuant to which the Common Shares would be converted into cash, securities or assets or (ii) a sale, conveyance, transfer or lease of all or substantially all of its assets, all or any portion of a Holder’s Notes may be surrendered for exchange at any time from or after the date which is 25 Scheduled Trading Days prior to the anticipated effective date of the transaction (or, if later, the Business Day after the Company gives notice of such transaction) until the Close of Business (a) if such transaction or event is a Fundamental Change, on the Business Day immediately preceding the related Fundamental Change Purchase Date, and (b) otherwise on the 35th Business Day immediately following the effective date of such transaction or event. The Company will notify the Holders, the Trustee and the Exchange Agent (if other than the Trustee) of such a transaction: (I) as promptly as practicable following the date on which the REIT publicly announces such transaction but in no event less than 35 Scheduled Trading Days prior to the anticipated effective date of such transaction or (II) if the Company does not have knowledge of such transaction at least 35 Scheduled Trading Days prior to the anticipated effective date of such transaction, within one Business Day of the date upon which the Company receives notice, or otherwise becomes aware, of such transaction, but in no event later than the actual effective date of such transaction or event.</w:t>
      </w:r>
    </w:p>
    <w:p>
      <w:pPr>
        <w:spacing w:after="0" w:line="189"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Notes, no Holders of Notes shall be entitled to exchange such Notes for Common Shares to the extent that receipt of such shares would cause such Holder (or any other Person) to exceed the ownership limit contained in Article VII of the Amended and Restated Declaration of Trust of the REIT effective as of January 1, 2022, as amended to the date hereof and as may be amended, supplemented or restated from time to time.</w:t>
      </w:r>
    </w:p>
    <w:p>
      <w:pPr>
        <w:spacing w:after="0" w:line="179"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delivery of Common Shares owed to a Holder upon exchange of Notes is not made, in whole or in part, as a result of the limitations set forth in </w:t>
      </w:r>
      <w:r>
        <w:rPr>
          <w:rFonts w:ascii="Times New Roman" w:cs="Times New Roman" w:eastAsia="Times New Roman" w:hAnsi="Times New Roman"/>
          <w:sz w:val="18"/>
          <w:szCs w:val="18"/>
          <w:u w:val="single" w:color="auto"/>
          <w:color w:val="auto"/>
        </w:rPr>
        <w:t>Section 14.01(c)</w:t>
      </w:r>
      <w:r>
        <w:rPr>
          <w:rFonts w:ascii="Times New Roman" w:cs="Times New Roman" w:eastAsia="Times New Roman" w:hAnsi="Times New Roman"/>
          <w:sz w:val="18"/>
          <w:szCs w:val="18"/>
          <w:color w:val="auto"/>
        </w:rPr>
        <w:t>, the REIT’s obligation to make such delivery shall not be extinguished and the Company shall deliver such shares as promptly as practicable after any such exchanging Holder gives notice to the Company that such delivery would not result in a violation of the ownership limit contained in the REIT’s Amended and Restated Declaration of Trust.</w:t>
      </w:r>
    </w:p>
    <w:p>
      <w:pPr>
        <w:spacing w:after="0" w:line="179" w:lineRule="exact"/>
        <w:rPr>
          <w:rFonts w:ascii="Times New Roman" w:cs="Times New Roman" w:eastAsia="Times New Roman" w:hAnsi="Times New Roman"/>
          <w:sz w:val="18"/>
          <w:szCs w:val="18"/>
          <w:color w:val="auto"/>
        </w:rPr>
      </w:pPr>
    </w:p>
    <w:p>
      <w:pPr>
        <w:ind w:right="260" w:firstLine="436"/>
        <w:spacing w:after="0" w:line="28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Trustee nor the Exchange Agent shall be responsible for monitoring compliance with </w:t>
      </w:r>
      <w:r>
        <w:rPr>
          <w:rFonts w:ascii="Times New Roman" w:cs="Times New Roman" w:eastAsia="Times New Roman" w:hAnsi="Times New Roman"/>
          <w:sz w:val="18"/>
          <w:szCs w:val="18"/>
          <w:u w:val="single" w:color="auto"/>
          <w:color w:val="auto"/>
        </w:rPr>
        <w:t>Section 14.01(c)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absent written direction from the Company to the contrary, may assume that any exchange complies with the limitations set forth therein.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14.02. </w:t>
      </w:r>
      <w:r>
        <w:rPr>
          <w:rFonts w:ascii="Times New Roman" w:cs="Times New Roman" w:eastAsia="Times New Roman" w:hAnsi="Times New Roman"/>
          <w:sz w:val="18"/>
          <w:szCs w:val="18"/>
          <w:b w:val="1"/>
          <w:bCs w:val="1"/>
          <w:i w:val="1"/>
          <w:iCs w:val="1"/>
          <w:color w:val="auto"/>
        </w:rPr>
        <w:t>Exchange Procedure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6"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Accrued Interest and Deemed Payment of Principal</w:t>
      </w:r>
      <w:r>
        <w:rPr>
          <w:rFonts w:ascii="Times New Roman" w:cs="Times New Roman" w:eastAsia="Times New Roman" w:hAnsi="Times New Roman"/>
          <w:sz w:val="18"/>
          <w:szCs w:val="18"/>
          <w:color w:val="auto"/>
        </w:rPr>
        <w:t>. If a Holder exchanges a Note, the Company will not adjust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to account for any accrued and unpaid interest on such Note and the Company’s delivery of cash and the number of Common Shares into which a Note is exchangeable, together with any cash payment for any fractional Common Share, will be deemed to satisfy and discharge in full the Company’s obligation to pay the principal of, and accrued and unpaid interest, if any, on, such Note to, but excluding, the Exchange Date; provided, however, that if a Holder exchanges a Note after the Close of Business on a Regular Record Date and prior to the Open of Business on the corresponding Interest Payment Date, the Company will still be obligated to pay the interest due on such Interest Payment Date to the Holder of such Note on such Regular Record Date (provided the Holder makes the interest payment upon exchange if so required by </w:t>
      </w:r>
      <w:r>
        <w:rPr>
          <w:rFonts w:ascii="Times New Roman" w:cs="Times New Roman" w:eastAsia="Times New Roman" w:hAnsi="Times New Roman"/>
          <w:sz w:val="18"/>
          <w:szCs w:val="18"/>
          <w:u w:val="single" w:color="auto"/>
          <w:color w:val="auto"/>
        </w:rPr>
        <w:t>Section 14.02(h)</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except as otherwise provided in the proviso to the immediately preceding sentence, any accrued and unpaid interest with respect to an exchanged Note will be deemed to be paid in full rather than cancelled, extinguished or forfeited. Upon an exchange of Notes into into cash, and, if applicable, Common Shares, accrued and unpaid interest will be deemed to be paid first out of the cash paid upon such exchange.</w:t>
      </w:r>
    </w:p>
    <w:p>
      <w:pPr>
        <w:spacing w:after="0" w:line="174" w:lineRule="exact"/>
        <w:rPr>
          <w:sz w:val="20"/>
          <w:szCs w:val="20"/>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Upon receipt of a Notice of Exchange (as contemplated below), the Exchange Agent shall promptly notify the Company.</w:t>
      </w:r>
    </w:p>
    <w:p>
      <w:pPr>
        <w:spacing w:after="0" w:line="225" w:lineRule="exact"/>
        <w:rPr>
          <w:rFonts w:ascii="Times New Roman" w:cs="Times New Roman" w:eastAsia="Times New Roman" w:hAnsi="Times New Roman"/>
          <w:sz w:val="18"/>
          <w:szCs w:val="18"/>
          <w:color w:val="auto"/>
        </w:rPr>
      </w:pPr>
    </w:p>
    <w:p>
      <w:pPr>
        <w:ind w:right="780" w:firstLine="436"/>
        <w:spacing w:after="0" w:line="284"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Location</w:t>
      </w:r>
      <w:r>
        <w:rPr>
          <w:rFonts w:ascii="Times New Roman" w:cs="Times New Roman" w:eastAsia="Times New Roman" w:hAnsi="Times New Roman"/>
          <w:sz w:val="18"/>
          <w:szCs w:val="18"/>
          <w:color w:val="auto"/>
        </w:rPr>
        <w:t>. Each Note shall be exchangeable at the office of the Exchange Agent and, if applicable,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Procedures.</w:t>
      </w:r>
    </w:p>
    <w:p>
      <w:pPr>
        <w:spacing w:after="0" w:line="158"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To exercise the exchange privilege with respect to a beneficial interest in a Global Note, the Holder must complete the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 form for exchange pursuant to the Depositary’s book-entry exchange program, furnish appropriate endorsements and transfer documents if required by the Company or the Exchange Agent , and pay the funds, if any, required by </w:t>
      </w:r>
      <w:r>
        <w:rPr>
          <w:rFonts w:ascii="Times New Roman" w:cs="Times New Roman" w:eastAsia="Times New Roman" w:hAnsi="Times New Roman"/>
          <w:sz w:val="18"/>
          <w:szCs w:val="18"/>
          <w:u w:val="single" w:color="auto"/>
          <w:color w:val="auto"/>
        </w:rPr>
        <w:t>Section 14.02(h)</w:t>
      </w:r>
      <w:r>
        <w:rPr>
          <w:rFonts w:ascii="Times New Roman" w:cs="Times New Roman" w:eastAsia="Times New Roman" w:hAnsi="Times New Roman"/>
          <w:sz w:val="18"/>
          <w:szCs w:val="18"/>
          <w:color w:val="auto"/>
        </w:rPr>
        <w:t xml:space="preserve"> and any taxes or duties if required pursuant to </w:t>
      </w:r>
      <w:r>
        <w:rPr>
          <w:rFonts w:ascii="Times New Roman" w:cs="Times New Roman" w:eastAsia="Times New Roman" w:hAnsi="Times New Roman"/>
          <w:sz w:val="18"/>
          <w:szCs w:val="18"/>
          <w:u w:val="single" w:color="auto"/>
          <w:color w:val="auto"/>
        </w:rPr>
        <w:t>Section 14.02(i)</w:t>
      </w:r>
      <w:r>
        <w:rPr>
          <w:rFonts w:ascii="Times New Roman" w:cs="Times New Roman" w:eastAsia="Times New Roman" w:hAnsi="Times New Roman"/>
          <w:sz w:val="18"/>
          <w:szCs w:val="18"/>
          <w:color w:val="auto"/>
        </w:rPr>
        <w:t>, and the Exchange Agent must be informed of the exchange in accordance with the customary practice of the Depositary (at which time such exchange will become irrevocable unless the Company, in its sole and absolute discretion agrees to permit the owner of the beneficial interest to withdraw such exchange and such withdrawal is reasonably feasible pursuant to the Applicable Procedures).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exercise the exchange privilege with respect to any Physical Notes, the Holder of such Physical Notes shall:</w:t>
      </w:r>
    </w:p>
    <w:p>
      <w:pPr>
        <w:spacing w:after="0" w:line="221" w:lineRule="exact"/>
        <w:rPr>
          <w:sz w:val="20"/>
          <w:szCs w:val="20"/>
          <w:color w:val="auto"/>
        </w:rPr>
      </w:pPr>
    </w:p>
    <w:p>
      <w:pPr>
        <w:ind w:right="400" w:firstLine="436"/>
        <w:spacing w:after="0" w:line="28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manually sign an exchange notice in the form set forth in the Form of Notice of Exchange (the “</w:t>
      </w:r>
      <w:r>
        <w:rPr>
          <w:rFonts w:ascii="Times New Roman" w:cs="Times New Roman" w:eastAsia="Times New Roman" w:hAnsi="Times New Roman"/>
          <w:sz w:val="18"/>
          <w:szCs w:val="18"/>
          <w:b w:val="1"/>
          <w:bCs w:val="1"/>
          <w:color w:val="auto"/>
        </w:rPr>
        <w:t>Notice of Exchange</w:t>
      </w:r>
      <w:r>
        <w:rPr>
          <w:rFonts w:ascii="Times New Roman" w:cs="Times New Roman" w:eastAsia="Times New Roman" w:hAnsi="Times New Roman"/>
          <w:sz w:val="18"/>
          <w:szCs w:val="18"/>
          <w:color w:val="auto"/>
        </w:rPr>
        <w:t>”) or a facsimile of the Notice of Exchange;</w:t>
      </w:r>
    </w:p>
    <w:p>
      <w:pPr>
        <w:spacing w:after="0" w:line="158"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Notice of Exchange which is irrevocable (unless the Company, in its sole and absolute discretion agrees to permit the Holder to withdraw such Notice of Exchange), and the Note to the Exchange Agent;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40" w:top="266" w:right="499" w:bottom="1440" w:gutter="0" w:footer="0" w:header="0"/>
        </w:sectPr>
      </w:pPr>
    </w:p>
    <w:bookmarkStart w:id="64" w:name="page65"/>
    <w:bookmarkEnd w:id="64"/>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required, make any payment required under </w:t>
      </w:r>
      <w:r>
        <w:rPr>
          <w:rFonts w:ascii="Times New Roman" w:cs="Times New Roman" w:eastAsia="Times New Roman" w:hAnsi="Times New Roman"/>
          <w:sz w:val="18"/>
          <w:szCs w:val="18"/>
          <w:u w:val="single" w:color="auto"/>
          <w:color w:val="auto"/>
        </w:rPr>
        <w:t>Section 14.02(h)</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pay all transfer or similar taxes as set forth in </w:t>
      </w:r>
      <w:r>
        <w:rPr>
          <w:rFonts w:ascii="Times New Roman" w:cs="Times New Roman" w:eastAsia="Times New Roman" w:hAnsi="Times New Roman"/>
          <w:sz w:val="18"/>
          <w:szCs w:val="18"/>
          <w:u w:val="single" w:color="auto"/>
          <w:color w:val="auto"/>
        </w:rPr>
        <w:t>Section 14.02(i)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upon exchange of a Note, any Common Shares are to be issued to a person other than the Holder of such Note, the related Notice of Exchange shall include such other person’s name and address.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a Note or portion thereof is subject to a Fundamental Change Purchase Notice, such Note or portion thereof may not be exchanged unless such Fundamental Change Purchase Notice is withdrawn in accordance with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 xml:space="preserve"> prior to the relevant Fundamental Change Expiration Time.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For any Note, the first Business Day on which the Holder of such Note satisfies all of the applicable requirements set forth above with respect to such Note and on which exchange of such Note is not otherwise prohibited under this Indenture shall be the “</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with respect to such Note.</w:t>
      </w:r>
    </w:p>
    <w:p>
      <w:pPr>
        <w:spacing w:after="0" w:line="176"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Each exchange shall be deemed to have been effected as to any such Notes (or portion thereof) surrendered for exchange at the Close of Business on the applicable Exchange Date, and the Person in whose name the certificate for any Common Shares delivered upon exchange is registered shall be treated as a stockholder of record as of the Close of Business on the last Trading Day of the relevant Cash Settlement Averaging Period.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shall pay or deliver, as the case may be, the Settlement Amount due in respect of its exchange obligation no later than the second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Day immediately following the last Trading Day of the relevant Cash Settlement Averaging Period; provided that if prior to the Exchange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exchanged Notes the Common Shares have been replaced by Reference Property consisting solely of cash pursuant to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14.07, the Company shall deliver the Settlement Amount due in respect of such exchange on the Second Trading Day immediately following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Exchange Date.</w:t>
      </w:r>
    </w:p>
    <w:p>
      <w:pPr>
        <w:spacing w:after="0" w:line="20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any Common Shares are due to exchanging Holders, the REIT shall issue or cause to be issued, and the Company shall deliver to such Holder, or such Holder’s nominee or nominees, certificates or a book-entry transfer through the Depositary, as the case may be, for the full number of Common Shares to which such Holder shall be entitled in satisfaction of the Company’s exchange obligation.</w:t>
      </w:r>
    </w:p>
    <w:p>
      <w:pPr>
        <w:spacing w:after="0" w:line="174" w:lineRule="exact"/>
        <w:rPr>
          <w:sz w:val="20"/>
          <w:szCs w:val="20"/>
          <w:color w:val="auto"/>
        </w:rPr>
      </w:pPr>
    </w:p>
    <w:p>
      <w:pPr>
        <w:jc w:val="both"/>
        <w:ind w:right="120" w:firstLine="436"/>
        <w:spacing w:after="0" w:line="267"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Endorsement</w:t>
      </w:r>
      <w:r>
        <w:rPr>
          <w:rFonts w:ascii="Times New Roman" w:cs="Times New Roman" w:eastAsia="Times New Roman" w:hAnsi="Times New Roman"/>
          <w:sz w:val="18"/>
          <w:szCs w:val="18"/>
          <w:color w:val="auto"/>
        </w:rPr>
        <w:t>. Any Notes surrendered for exchange shall, unless the Common Shares issuable on exchange are to be issued in the same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registration of such Notes, be duly endorsed by, or be accompanied by instruments of transfer in form satisfactory to the Company duly executed by, the Holder or its duly authorized attorney.</w:t>
      </w:r>
    </w:p>
    <w:p>
      <w:pPr>
        <w:spacing w:after="0" w:line="173" w:lineRule="exact"/>
        <w:rPr>
          <w:rFonts w:ascii="Times New Roman" w:cs="Times New Roman" w:eastAsia="Times New Roman" w:hAnsi="Times New Roman"/>
          <w:sz w:val="18"/>
          <w:szCs w:val="18"/>
          <w:color w:val="auto"/>
        </w:rPr>
      </w:pPr>
    </w:p>
    <w:p>
      <w:pPr>
        <w:ind w:right="180" w:firstLine="436"/>
        <w:spacing w:after="0" w:line="267"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If any Notes in a denomination greater than $1,000 shall be surrendered for partial exchange, the Company shall execute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shall authenticate and deliver to the Holder of the Notes so surrendered, without charge, new Notes in authorized denominations in an aggregate principal amount equal to the unexchanged portion of the surrendered Notes.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5" w:name="page66"/>
    <w:bookmarkEnd w:id="65"/>
    <w:p>
      <w:pPr>
        <w:ind w:right="120" w:firstLine="436"/>
        <w:spacing w:after="0" w:line="267"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Notes</w:t>
      </w:r>
      <w:r>
        <w:rPr>
          <w:rFonts w:ascii="Times New Roman" w:cs="Times New Roman" w:eastAsia="Times New Roman" w:hAnsi="Times New Roman"/>
          <w:sz w:val="18"/>
          <w:szCs w:val="18"/>
          <w:color w:val="auto"/>
        </w:rPr>
        <w:t>. Upon the exchange of a beneficial interest in Global Notes, the Exchange Agent shall make a notation in its records as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the principal amount represented thereby. The Company shall notify the Trustee in writing of any exchanges of Notes effected through any Exchange Agent other than the Trustee.</w:t>
      </w:r>
    </w:p>
    <w:p>
      <w:pPr>
        <w:spacing w:after="0" w:line="173" w:lineRule="exact"/>
        <w:rPr>
          <w:rFonts w:ascii="Times New Roman" w:cs="Times New Roman" w:eastAsia="Times New Roman" w:hAnsi="Times New Roman"/>
          <w:sz w:val="18"/>
          <w:szCs w:val="18"/>
          <w:color w:val="auto"/>
        </w:rPr>
      </w:pPr>
    </w:p>
    <w:p>
      <w:pPr>
        <w:ind w:right="120" w:firstLine="436"/>
        <w:spacing w:after="0" w:line="253"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Due Upon Exchange</w:t>
      </w:r>
      <w:r>
        <w:rPr>
          <w:rFonts w:ascii="Times New Roman" w:cs="Times New Roman" w:eastAsia="Times New Roman" w:hAnsi="Times New Roman"/>
          <w:sz w:val="18"/>
          <w:szCs w:val="18"/>
          <w:color w:val="auto"/>
        </w:rPr>
        <w:t>. If a Holder exchanges a Note after the Close of Business on a Regular Record Date but prior to the Open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on the Interest Payment Date corresponding to such Regular Record Date, such Holder must accompany such Note with an amount of cash equal to the amount of interest that will be payable on such Note on the corresponding Interest Payment Date (regardless of whether the exchanging Holder was the Holder of record on the corresponding Regular Record Date); provided, however, that a Holder need not make such payment (1) if the Exchange Date follows the Regular Record Date immediately preceding the Maturity Date; (2) if the Company has specified a Redemption Date that is after a Regular Record Date and on or prior to the corresponding Interest Payment Date; (3) if the Company has specified a Fundamental Change Purchase Date that is after a Regular Record Date and on or prior to the corresponding Interest Payment Date; or (4) to the extent of any overdue interest, if any overdue interest exists at the time of exchange with respect to such Note. Therefore, for the avoidance of doubt, all record Holders of Notes on the Regular Record Date immediately preceding the Maturity Date, and any Redemption Date or Fundamental Change Purchase Date described in the preceding sentence will receive the full interest payment due on the Maturity Date or other applicable Interest Payment Date regardless of whether their Notes have been exchanged following such Regular Record Date.</w:t>
      </w:r>
    </w:p>
    <w:p>
      <w:pPr>
        <w:spacing w:after="0" w:line="191" w:lineRule="exact"/>
        <w:rPr>
          <w:rFonts w:ascii="Times New Roman" w:cs="Times New Roman" w:eastAsia="Times New Roman" w:hAnsi="Times New Roman"/>
          <w:sz w:val="18"/>
          <w:szCs w:val="18"/>
          <w:color w:val="auto"/>
        </w:rPr>
      </w:pPr>
    </w:p>
    <w:p>
      <w:pPr>
        <w:jc w:val="both"/>
        <w:ind w:right="60" w:firstLine="436"/>
        <w:spacing w:after="0" w:line="26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 Due upon Exchange</w:t>
      </w:r>
      <w:r>
        <w:rPr>
          <w:rFonts w:ascii="Times New Roman" w:cs="Times New Roman" w:eastAsia="Times New Roman" w:hAnsi="Times New Roman"/>
          <w:sz w:val="18"/>
          <w:szCs w:val="18"/>
          <w:color w:val="auto"/>
        </w:rPr>
        <w:t>. If a Holder exchanges a Note, the Company will pay any documentary, stamp or similar issue or transfer tax due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issue of any Common Shares upon the exchange, unless the tax is due because the Holder requests that any shares be issued in a name other than the Holder’s name, in which case the Holder will pay that tax.</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b w:val="1"/>
          <w:bCs w:val="1"/>
          <w:i w:val="1"/>
          <w:iCs w:val="1"/>
          <w:color w:val="auto"/>
        </w:rPr>
        <w:t>Settlement Upon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9" w:lineRule="auto"/>
        <w:tabs>
          <w:tab w:leader="none" w:pos="68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this </w:t>
      </w:r>
      <w:r>
        <w:rPr>
          <w:rFonts w:ascii="Times New Roman" w:cs="Times New Roman" w:eastAsia="Times New Roman" w:hAnsi="Times New Roman"/>
          <w:sz w:val="17"/>
          <w:szCs w:val="17"/>
          <w:u w:val="single" w:color="auto"/>
          <w:color w:val="auto"/>
        </w:rPr>
        <w:t>Section 14.03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14.06(b)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14.07(a)</w:t>
      </w:r>
      <w:r>
        <w:rPr>
          <w:rFonts w:ascii="Times New Roman" w:cs="Times New Roman" w:eastAsia="Times New Roman" w:hAnsi="Times New Roman"/>
          <w:sz w:val="17"/>
          <w:szCs w:val="17"/>
          <w:color w:val="auto"/>
        </w:rPr>
        <w:t>, upon exchange of any Note, on the second Trading Day immediately following the last Trading Day of the relevant Cash Settlement Averaging Period, the Company shall satisfy its Exchange Obligation by paying or delivering, as the case may be, to the exchanging Holder, in respect of each $1,000 principal amount of Notes being exchanged, a “</w:t>
      </w:r>
      <w:r>
        <w:rPr>
          <w:rFonts w:ascii="Times New Roman" w:cs="Times New Roman" w:eastAsia="Times New Roman" w:hAnsi="Times New Roman"/>
          <w:sz w:val="17"/>
          <w:szCs w:val="17"/>
          <w:b w:val="1"/>
          <w:bCs w:val="1"/>
          <w:color w:val="auto"/>
        </w:rPr>
        <w:t>Settlement Amount</w:t>
      </w:r>
      <w:r>
        <w:rPr>
          <w:rFonts w:ascii="Times New Roman" w:cs="Times New Roman" w:eastAsia="Times New Roman" w:hAnsi="Times New Roman"/>
          <w:sz w:val="17"/>
          <w:szCs w:val="17"/>
          <w:color w:val="auto"/>
        </w:rPr>
        <w:t>” equal to the sum of the Daily Settlement Amounts for each of the 40 consecutive Trading Days during the relevant Cash Settlement Averaging Period for such Note, together with cash, if applicable, in lieu of delivering any fractional Common Share in accordance with subsection (b) of this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14.03.</w:t>
      </w:r>
    </w:p>
    <w:p>
      <w:pPr>
        <w:spacing w:after="0" w:line="206" w:lineRule="exact"/>
        <w:rPr>
          <w:rFonts w:ascii="Times New Roman" w:cs="Times New Roman" w:eastAsia="Times New Roman" w:hAnsi="Times New Roman"/>
          <w:sz w:val="17"/>
          <w:szCs w:val="17"/>
          <w:color w:val="auto"/>
        </w:rPr>
      </w:pPr>
    </w:p>
    <w:p>
      <w:pPr>
        <w:ind w:left="440" w:right="180" w:firstLine="419"/>
        <w:spacing w:after="0" w:line="312" w:lineRule="auto"/>
        <w:tabs>
          <w:tab w:leader="none" w:pos="111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exchanges for which the relevant Exchange Date occurs after the issuance by the Company of a Redemption Notice but prior to the related Redemption Date, and all exchanges on or after October 15, 2028 shall be settled using the same forms and amounts of consideration.</w:t>
      </w:r>
    </w:p>
    <w:p>
      <w:pPr>
        <w:spacing w:after="0" w:line="139" w:lineRule="exact"/>
        <w:rPr>
          <w:rFonts w:ascii="Times New Roman" w:cs="Times New Roman" w:eastAsia="Times New Roman" w:hAnsi="Times New Roman"/>
          <w:sz w:val="17"/>
          <w:szCs w:val="17"/>
          <w:color w:val="auto"/>
        </w:rPr>
      </w:pPr>
    </w:p>
    <w:p>
      <w:pPr>
        <w:ind w:left="440" w:right="140" w:firstLine="419"/>
        <w:spacing w:after="0" w:line="261" w:lineRule="auto"/>
        <w:tabs>
          <w:tab w:leader="none" w:pos="11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exchanges for which the relevant Exchange Date occurs after the issuance by the Company of a Redemption Notice but prior to the related Redemption Date or which occurs on or after October 15, 2028, the Company shall use the same forms and amounts of consideration for all exchanges with the same Exchange Date, but the Company shall not have any obligation to use the same forms and amounts of consideration with respect to exchanges with different Exchange Dates.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68" w:right="439" w:bottom="1440" w:gutter="0" w:footer="0" w:header="0"/>
        </w:sectPr>
      </w:pPr>
    </w:p>
    <w:bookmarkStart w:id="66" w:name="page67"/>
    <w:bookmarkEnd w:id="66"/>
    <w:p>
      <w:pPr>
        <w:ind w:left="440" w:firstLine="419"/>
        <w:spacing w:after="0" w:line="253" w:lineRule="auto"/>
        <w:tabs>
          <w:tab w:leader="none" w:pos="11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respect of any Exchange Date (or any exchanges for which the relevant Exchange Date occurs after the issuance by the Company of a Redemption Notice but prior to the related Redemption Date or which occurs on or after October 15, 2028), the Company elects to settle all or a portion of its Exchange Obligation in excess of the principal portion of the Notes being exchanged in cash in respect of such Exchange Date (or such period, as the case may be), the Company shall inform exchanging Holders through (and upon a written request to) the Trustee of such election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no later than the close of business on the Trading Day immediately following the relevant Exchange Date (or, in the case of (A) any exchanges of Notes for which the relevant Exchange Date occurs after the issuance by the Company of a Redemption Notice but prior to the related Redemption Date, in the related Redemption Notice or (B) in the case of any exchanges of Notes for which the relevant Exchange Date occurs on or after October 15, 2028, no later than October 15, 2028) and the Company shall indicate in such Settlement Notice the percentage of the Exchange Obligation in excess of the principal portion of the Notes being exchanged that shall be paid in cash (the “</w:t>
      </w:r>
      <w:r>
        <w:rPr>
          <w:rFonts w:ascii="Times New Roman" w:cs="Times New Roman" w:eastAsia="Times New Roman" w:hAnsi="Times New Roman"/>
          <w:sz w:val="18"/>
          <w:szCs w:val="18"/>
          <w:b w:val="1"/>
          <w:bCs w:val="1"/>
          <w:color w:val="auto"/>
        </w:rPr>
        <w:t>Cash Percentage</w:t>
      </w:r>
      <w:r>
        <w:rPr>
          <w:rFonts w:ascii="Times New Roman" w:cs="Times New Roman" w:eastAsia="Times New Roman" w:hAnsi="Times New Roman"/>
          <w:sz w:val="18"/>
          <w:szCs w:val="18"/>
          <w:color w:val="auto"/>
        </w:rPr>
        <w:t>”). If the Company does not elect a Cash Percentage prior to the deadline set forth in the immediately preceding sentence, the Company shall no longer have the right to elect a Cash Percentage with respect to any exchange on such Exchange Date or during such period, and the Company shall be deemed to have elected a Cash Percentage of 0% with respect to such exchange. In no event shall the Company’s failure to make a timely election of the Cash Percentage constitute a Default under this Indenture.</w:t>
      </w:r>
    </w:p>
    <w:p>
      <w:pPr>
        <w:spacing w:after="0" w:line="18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the Daily Net Settlement Amounts (if applicable) and the Daily Exchange Values shall be determined by the Company promptly following the last day of the Cash Settlement Averaging Period. Promptly after such determination of the Daily Settlement Amounts, the Daily Net Settlement Amounts (if applicable) and the Daily Exchange Values and the amount of cash payable in lieu of delivering any fractional Common Share, the Company shall notify the Trustee and the Exchange Agent (if other than the Trustee) in writing of the Daily Settlement Amounts, the Daily Net Settlement Amounts (if applicable) and the Daily Exchange Values and the amount of cash payable in lieu of delivering any fractional Common Shares. The Trustee and the Exchange Agent (if other than the Trustee) shall have no responsibility for any such determination.</w:t>
      </w:r>
    </w:p>
    <w:p>
      <w:pPr>
        <w:spacing w:after="0" w:line="186" w:lineRule="exact"/>
        <w:rPr>
          <w:rFonts w:ascii="Times New Roman" w:cs="Times New Roman" w:eastAsia="Times New Roman" w:hAnsi="Times New Roman"/>
          <w:sz w:val="18"/>
          <w:szCs w:val="18"/>
          <w:color w:val="auto"/>
        </w:rPr>
      </w:pPr>
    </w:p>
    <w:p>
      <w:pPr>
        <w:ind w:right="100" w:firstLine="436"/>
        <w:spacing w:after="0" w:line="257"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The Company shall not issue any fractional Common Share upon exchange of the Notes and shall instead pay cash in lieu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fractional Common Share issuable upon exchange in an amount based on the Daily VWAP on the last Trading Day of the relevant Cash Settlement Averaging Period. For each Note surrendered for exchange, if the Company has elected (or is deemed to elect) to deliver Common Shares in respect of some or all of the Net Shares, the full number of shares that shall be issued upon exchange thereof shall be computed on the basis of the aggregate Daily Settlement Amounts for the relevant Cash Settlement Averaging Period and, if applicable, any fractional share remaining after such computation shall be paid in cash.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7" w:name="page68"/>
    <w:bookmarkEnd w:id="67"/>
    <w:p>
      <w:pPr>
        <w:ind w:right="60" w:firstLine="436"/>
        <w:spacing w:after="0" w:line="261"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Whenever an Exchange Date occurs with respect to a Note, the Exchange Agent will, as promptly as possible, and in no event later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the Business Day immediately following such Exchange Date, deliver to the Company and the Trustee, if it is not then the Exchange Agent, notice that an Exchange Date has occurred, which notice will state such Exchange Date, the principal amount of Notes exchanged on such Exchange Date and the names of the Holders that exchanged Notes on such Exchange Date.</w:t>
      </w:r>
    </w:p>
    <w:p>
      <w:pPr>
        <w:spacing w:after="0" w:line="17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b w:val="1"/>
          <w:bCs w:val="1"/>
          <w:i w:val="1"/>
          <w:iCs w:val="1"/>
          <w:color w:val="auto"/>
        </w:rPr>
        <w:t>Adjustment of Exchange Rate</w:t>
      </w:r>
      <w:r>
        <w:rPr>
          <w:rFonts w:ascii="Times New Roman" w:cs="Times New Roman" w:eastAsia="Times New Roman" w:hAnsi="Times New Roman"/>
          <w:sz w:val="18"/>
          <w:szCs w:val="18"/>
          <w:color w:val="auto"/>
        </w:rPr>
        <w:t xml:space="preserve">. The Exchange Rate will be adjusted as described in this </w:t>
      </w:r>
      <w:r>
        <w:rPr>
          <w:rFonts w:ascii="Times New Roman" w:cs="Times New Roman" w:eastAsia="Times New Roman" w:hAnsi="Times New Roman"/>
          <w:sz w:val="18"/>
          <w:szCs w:val="18"/>
          <w:u w:val="single" w:color="auto"/>
          <w:color w:val="auto"/>
        </w:rPr>
        <w:t>Section 14.04</w:t>
      </w:r>
      <w:r>
        <w:rPr>
          <w:rFonts w:ascii="Times New Roman" w:cs="Times New Roman" w:eastAsia="Times New Roman" w:hAnsi="Times New Roman"/>
          <w:sz w:val="18"/>
          <w:szCs w:val="18"/>
          <w:color w:val="auto"/>
        </w:rPr>
        <w:t>, except that the Company shall not make any adjustment to the Exchange Rate if Holders participate (other than in the case of a share split or share combination), at the same time and upon the same terms as holders of the Common Shares and as a result of holding the Notes, in any of the transactions described below without having to exchange their Notes, as if they held a number of Common Shares equal to the applicable Exchange Rate, multiplied by the principal amount (expressed in thousands) of Notes held by such Holder.</w:t>
      </w:r>
    </w:p>
    <w:p>
      <w:pPr>
        <w:spacing w:after="0" w:line="183" w:lineRule="exact"/>
        <w:rPr>
          <w:sz w:val="20"/>
          <w:szCs w:val="20"/>
          <w:color w:val="auto"/>
        </w:rPr>
      </w:pPr>
    </w:p>
    <w:p>
      <w:pPr>
        <w:ind w:firstLine="436"/>
        <w:spacing w:after="0" w:line="282"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REIT exclusively issues Common Shares as a dividend or distribution on all or substantially all Common Shares, or if the REIT effects a share split or share combination, the Exchange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131445</wp:posOffset>
            </wp:positionV>
            <wp:extent cx="985520" cy="342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855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960"/>
          </w:cols>
          <w:pgMar w:left="440" w:top="268" w:right="49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2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Exchange Rate in effect immediately prior to the Open of Business on the Ex-Dividend Date of such dividend or distribution, or immediately prior to the Open of Business on the effective date of such share split or combination, as applicable;</w:t>
      </w:r>
    </w:p>
    <w:p>
      <w:pPr>
        <w:spacing w:after="0" w:line="54" w:lineRule="exact"/>
        <w:rPr>
          <w:sz w:val="20"/>
          <w:szCs w:val="20"/>
          <w:color w:val="auto"/>
        </w:rPr>
      </w:pPr>
    </w:p>
    <w:p>
      <w:pPr>
        <w:sectPr>
          <w:pgSz w:w="11900" w:h="16838" w:orient="portrait"/>
          <w:cols w:equalWidth="0" w:num="2">
            <w:col w:w="300" w:space="360"/>
            <w:col w:w="10300"/>
          </w:cols>
          <w:pgMar w:left="440" w:top="268"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Exchange Rate in effect immediately after the Open of Business on such Ex-Dividend Date or such effective date, as applicable;</w:t>
      </w:r>
    </w:p>
    <w:p>
      <w:pPr>
        <w:spacing w:after="0" w:line="117" w:lineRule="exact"/>
        <w:rPr>
          <w:sz w:val="20"/>
          <w:szCs w:val="20"/>
          <w:color w:val="auto"/>
        </w:rPr>
      </w:pPr>
    </w:p>
    <w:p>
      <w:pPr>
        <w:sectPr>
          <w:pgSz w:w="11900" w:h="16838" w:orient="portrait"/>
          <w:cols w:equalWidth="0" w:num="2">
            <w:col w:w="300" w:space="140"/>
            <w:col w:w="10520"/>
          </w:cols>
          <w:pgMar w:left="440" w:top="268"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2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Common Shares outstanding immediately prior to the Open of Business on such Ex-Dividend Date or such effective date, as applicable, before giving effect to such dividend, distribution, share split or share combination, as applicable; and</w:t>
      </w:r>
    </w:p>
    <w:p>
      <w:pPr>
        <w:spacing w:after="0" w:line="54" w:lineRule="exact"/>
        <w:rPr>
          <w:sz w:val="20"/>
          <w:szCs w:val="20"/>
          <w:color w:val="auto"/>
        </w:rPr>
      </w:pPr>
    </w:p>
    <w:p>
      <w:pPr>
        <w:sectPr>
          <w:pgSz w:w="11900" w:h="16838" w:orient="portrait"/>
          <w:cols w:equalWidth="0" w:num="2">
            <w:col w:w="300" w:space="360"/>
            <w:col w:w="10300"/>
          </w:cols>
          <w:pgMar w:left="440" w:top="268"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ind w:right="12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Common Shares outstanding immediately after giving effect to such dividend, distribution, share split or share combination, as applicable.</w:t>
      </w:r>
    </w:p>
    <w:p>
      <w:pPr>
        <w:spacing w:after="0" w:line="162" w:lineRule="exact"/>
        <w:rPr>
          <w:sz w:val="20"/>
          <w:szCs w:val="20"/>
          <w:color w:val="auto"/>
        </w:rPr>
      </w:pPr>
    </w:p>
    <w:p>
      <w:pPr>
        <w:sectPr>
          <w:pgSz w:w="11900" w:h="16838" w:orient="portrait"/>
          <w:cols w:equalWidth="0" w:num="2">
            <w:col w:w="300" w:space="360"/>
            <w:col w:w="10300"/>
          </w:cols>
          <w:pgMar w:left="440" w:top="268" w:right="499" w:bottom="1440" w:gutter="0" w:footer="0" w:header="0"/>
          <w:type w:val="continuous"/>
        </w:sect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u w:val="single" w:color="auto"/>
          <w:color w:val="auto"/>
        </w:rPr>
        <w:t>Section 14.04(a)</w:t>
      </w:r>
      <w:r>
        <w:rPr>
          <w:rFonts w:ascii="Times New Roman" w:cs="Times New Roman" w:eastAsia="Times New Roman" w:hAnsi="Times New Roman"/>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u w:val="single" w:color="auto"/>
          <w:color w:val="auto"/>
        </w:rPr>
        <w:t>Section 14.04(a)</w:t>
      </w:r>
      <w:r>
        <w:rPr>
          <w:rFonts w:ascii="Times New Roman" w:cs="Times New Roman" w:eastAsia="Times New Roman" w:hAnsi="Times New Roman"/>
          <w:sz w:val="18"/>
          <w:szCs w:val="18"/>
          <w:color w:val="auto"/>
        </w:rPr>
        <w:t xml:space="preserve"> is declared but not so paid or made, the Exchange Rate shall be immediately readjusted, effective as of the date the Board of Trustees determines not to pay such dividend or distribution to the Exchange Rate that would then be in effect if such dividend or distribution had not been declared.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68" w:right="499" w:bottom="1440" w:gutter="0" w:footer="0" w:header="0"/>
          <w:type w:val="continuous"/>
        </w:sectPr>
      </w:pPr>
    </w:p>
    <w:bookmarkStart w:id="68" w:name="page69"/>
    <w:bookmarkEnd w:id="68"/>
    <w:p>
      <w:pPr>
        <w:ind w:left="4" w:firstLine="436"/>
        <w:spacing w:after="0" w:line="258" w:lineRule="auto"/>
        <w:tabs>
          <w:tab w:leader="none" w:pos="6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REIT issues to all or substantially all holders of the Common Shares any rights, options or warrants (other than rights issued or otherwise distributed pursuant to a stockholder rights plan, as to which the provisions set forth in Section 14.04(c) shall apply) entitling them, for a period of not more than 45 calendar days after the date of such issuance, to subscribe for or purchase Common Shares, at a price per share that is less than the average of the Last Reported Sale Prices of the Common Shares for the 10 consecutive Trading Day-period ending on, and including, the Trading Day immediately preceding the date of announcement of such issuance, the Exchange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4328160</wp:posOffset>
            </wp:positionH>
            <wp:positionV relativeFrom="paragraph">
              <wp:posOffset>-445770</wp:posOffset>
            </wp:positionV>
            <wp:extent cx="412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2115" cy="825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145415</wp:posOffset>
            </wp:positionV>
            <wp:extent cx="1534160" cy="368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41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where,</w:t>
            </w:r>
          </w:p>
        </w:tc>
        <w:tc>
          <w:tcPr>
            <w:tcW w:w="20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47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26"/>
                <w:szCs w:val="26"/>
                <w:color w:val="auto"/>
                <w:vertAlign w:val="subscript"/>
              </w:rPr>
              <w:t>0</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the Exchange Rate in effect immediately prior to the Open of Business on the Ex-Dividend Date for such issuance;</w:t>
            </w: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26"/>
                <w:szCs w:val="26"/>
                <w:color w:val="auto"/>
                <w:vertAlign w:val="sub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Exchange Rate in effect immediately after the Open of Business on such Ex-Dividend Date;</w:t>
            </w: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Common Shares outstanding immediately prior to the Open of Business on such Ex-Dividend Date;</w:t>
            </w:r>
          </w:p>
        </w:tc>
      </w:tr>
    </w:tbl>
    <w:p>
      <w:pPr>
        <w:spacing w:after="0" w:line="15" w:lineRule="exact"/>
        <w:rPr>
          <w:sz w:val="20"/>
          <w:szCs w:val="20"/>
          <w:color w:val="auto"/>
        </w:rPr>
      </w:pPr>
    </w:p>
    <w:p>
      <w:pPr>
        <w:ind w:left="544" w:hanging="544"/>
        <w:spacing w:after="0"/>
        <w:tabs>
          <w:tab w:leader="none" w:pos="5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Common Shares issuable pursuant to such rights, options or warrants; and</w:t>
      </w:r>
    </w:p>
    <w:p>
      <w:pPr>
        <w:spacing w:after="0" w:line="117" w:lineRule="exact"/>
        <w:rPr>
          <w:sz w:val="20"/>
          <w:szCs w:val="20"/>
          <w:color w:val="auto"/>
        </w:rPr>
      </w:pPr>
    </w:p>
    <w:p>
      <w:pPr>
        <w:ind w:left="764" w:right="120" w:hanging="764"/>
        <w:spacing w:after="0" w:line="266" w:lineRule="auto"/>
        <w:tabs>
          <w:tab w:leader="none" w:pos="5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Common Shares equal to the aggregate price payable to exercise such rights, options or warrants divided by the average of the Last Reported Sale Prices of the Common Shares over the 10 consecutive Trading Day-period ending on, and including, the Trading Day immediately preceding the date of announcement of the issuance of such rights, options or warrants.</w:t>
      </w:r>
    </w:p>
    <w:p>
      <w:pPr>
        <w:spacing w:after="0" w:line="176"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increase made under this </w:t>
      </w:r>
      <w:r>
        <w:rPr>
          <w:rFonts w:ascii="Times New Roman" w:cs="Times New Roman" w:eastAsia="Times New Roman" w:hAnsi="Times New Roman"/>
          <w:sz w:val="18"/>
          <w:szCs w:val="18"/>
          <w:u w:val="single" w:color="auto"/>
          <w:color w:val="auto"/>
        </w:rPr>
        <w:t>Section 14.04(b)</w:t>
      </w:r>
      <w:r>
        <w:rPr>
          <w:rFonts w:ascii="Times New Roman" w:cs="Times New Roman" w:eastAsia="Times New Roman" w:hAnsi="Times New Roman"/>
          <w:sz w:val="18"/>
          <w:szCs w:val="18"/>
          <w:color w:val="auto"/>
        </w:rPr>
        <w:t xml:space="preserve"> will be made successively whenever any such rights, options or warrants are issued and shall become effective immediately after the Open of Business on the Ex-Dividend Date for such issuance. To the extent that such rights, options or warrants are not exercised prior to their expiration or Common Shares are not delivered upon the expiration of such rights, options or warrants, the Exchange Rate shall be readjusted to the Exchange Rate that would then be in effect had the increase with respect to the issuance of such rights, options or warrants been made on the basis of delivery of only the number of Common Shares actually delivered. If such rights, options or warrants are not so issued, or if such rights, options or warrants are not exercised prior to their expiration, the Exchange Rate shall be decreased to be the Exchange Rate that would then be in effect if such Record Date for such issuance had not occurred.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4"/>
          </w:cols>
          <w:pgMar w:left="436" w:top="270" w:right="439" w:bottom="1440" w:gutter="0" w:footer="0" w:header="0"/>
        </w:sectPr>
      </w:pPr>
    </w:p>
    <w:bookmarkStart w:id="69" w:name="page70"/>
    <w:bookmarkEnd w:id="69"/>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14.04(b)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14.01(b)(4)(A)</w:t>
      </w:r>
      <w:r>
        <w:rPr>
          <w:rFonts w:ascii="Times New Roman" w:cs="Times New Roman" w:eastAsia="Times New Roman" w:hAnsi="Times New Roman"/>
          <w:sz w:val="18"/>
          <w:szCs w:val="18"/>
          <w:color w:val="auto"/>
        </w:rPr>
        <w:t>, in determining whether any rights, options or warrants entitle the holders of the Common Shares to subscribe for or purchase Common Shares at a price per share less than such average of the Last Reported Sale Prices of the Common Shares for the 10 consecutive Trading Day-period ending on the Trading Day immediately preceding the date of announcement for such issuance, and in determining the aggregate offering price of such Common Shares, there shall be taken into account any consideration received by the REIT for such rights, options or warrants and any amount payable on exercise or conversion thereof, the value of such consideration, if other than cash, to be determined by the Board of Trustees.</w:t>
      </w:r>
    </w:p>
    <w:p>
      <w:pPr>
        <w:spacing w:after="0" w:line="187" w:lineRule="exact"/>
        <w:rPr>
          <w:sz w:val="20"/>
          <w:szCs w:val="20"/>
          <w:color w:val="auto"/>
        </w:rPr>
      </w:pPr>
    </w:p>
    <w:p>
      <w:pPr>
        <w:ind w:right="120" w:firstLine="436"/>
        <w:spacing w:after="0" w:line="254"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REIT distributes shares of its Capital Stock, evidences of its indebtedness, other assets or property of the REIT or rights, options or warrants to acquire its Capital Stock or other securities, to all or substantially all holders of the Common Shares, excluding: (1) dividends or distributions, rights, options or warrants as to which an adjustment was effected pursuant to </w:t>
      </w:r>
      <w:r>
        <w:rPr>
          <w:rFonts w:ascii="Times New Roman" w:cs="Times New Roman" w:eastAsia="Times New Roman" w:hAnsi="Times New Roman"/>
          <w:sz w:val="18"/>
          <w:szCs w:val="18"/>
          <w:u w:val="single" w:color="auto"/>
          <w:color w:val="auto"/>
        </w:rPr>
        <w:t>Section 14.04(a)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14.04(b)</w:t>
      </w:r>
      <w:r>
        <w:rPr>
          <w:rFonts w:ascii="Times New Roman" w:cs="Times New Roman" w:eastAsia="Times New Roman" w:hAnsi="Times New Roman"/>
          <w:sz w:val="18"/>
          <w:szCs w:val="18"/>
          <w:color w:val="auto"/>
        </w:rPr>
        <w:t xml:space="preserve">; (2) dividends or distributions paid exclusively in cash as to which an adjustment was effected pursuant to </w:t>
      </w:r>
      <w:r>
        <w:rPr>
          <w:rFonts w:ascii="Times New Roman" w:cs="Times New Roman" w:eastAsia="Times New Roman" w:hAnsi="Times New Roman"/>
          <w:sz w:val="18"/>
          <w:szCs w:val="18"/>
          <w:u w:val="single" w:color="auto"/>
          <w:color w:val="auto"/>
        </w:rPr>
        <w:t>Section 14.04(d)</w:t>
      </w:r>
      <w:r>
        <w:rPr>
          <w:rFonts w:ascii="Times New Roman" w:cs="Times New Roman" w:eastAsia="Times New Roman" w:hAnsi="Times New Roman"/>
          <w:sz w:val="18"/>
          <w:szCs w:val="18"/>
          <w:color w:val="auto"/>
        </w:rPr>
        <w:t xml:space="preserve">; (3) Spin-Offs as to which the provisions set forth below in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shall apply; (4) rights issued or otherwise distributed pursuant to a stockholder rights plan, except to the extent provided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xml:space="preserve">; (5) a distribution solely pursuant to a tender offer or exchange offer for Common Shares, as to which the provisions of Section 14.04(e) will apply; and (6) a distribution solely pursuant to a Merger Event, as to which the provisions of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xml:space="preserve"> will apply, then the Exchange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-166370</wp:posOffset>
            </wp:positionV>
            <wp:extent cx="412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2115" cy="825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150495</wp:posOffset>
            </wp:positionV>
            <wp:extent cx="1337310" cy="377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373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960"/>
          </w:cols>
          <w:pgMar w:left="440" w:top="270" w:right="49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Exchange Rate in effect immediately prior to the Open of Business on the Ex-Dividend Date for such distribution;</w:t>
      </w:r>
    </w:p>
    <w:p>
      <w:pPr>
        <w:spacing w:after="0" w:line="117" w:lineRule="exact"/>
        <w:rPr>
          <w:sz w:val="20"/>
          <w:szCs w:val="20"/>
          <w:color w:val="auto"/>
        </w:rPr>
      </w:pPr>
    </w:p>
    <w:p>
      <w:pPr>
        <w:sectPr>
          <w:pgSz w:w="11900" w:h="16838" w:orient="portrait"/>
          <w:cols w:equalWidth="0" w:num="2">
            <w:col w:w="300" w:space="180"/>
            <w:col w:w="104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Exchange Rate in effect immediately after the Open of Business on such Ex-Dividend Date;</w:t>
      </w:r>
    </w:p>
    <w:p>
      <w:pPr>
        <w:spacing w:after="0" w:line="117" w:lineRule="exact"/>
        <w:rPr>
          <w:sz w:val="20"/>
          <w:szCs w:val="20"/>
          <w:color w:val="auto"/>
        </w:rPr>
      </w:pPr>
    </w:p>
    <w:p>
      <w:pPr>
        <w:sectPr>
          <w:pgSz w:w="11900" w:h="16838" w:orient="portrait"/>
          <w:cols w:equalWidth="0" w:num="2">
            <w:col w:w="300" w:space="180"/>
            <w:col w:w="104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ind w:right="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Common Share over the 10 consecutive Trading Day-period ending on, and including, the Trading Day immediately preceding the Ex-Dividend Date for such distribution; and</w:t>
      </w:r>
    </w:p>
    <w:p>
      <w:pPr>
        <w:spacing w:after="0" w:line="54" w:lineRule="exact"/>
        <w:rPr>
          <w:sz w:val="20"/>
          <w:szCs w:val="20"/>
          <w:color w:val="auto"/>
        </w:rPr>
      </w:pPr>
    </w:p>
    <w:p>
      <w:pPr>
        <w:sectPr>
          <w:pgSz w:w="11900" w:h="16838" w:orient="portrait"/>
          <w:cols w:equalWidth="0" w:num="2">
            <w:col w:w="260" w:space="440"/>
            <w:col w:w="102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FMV =</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the fair market value (as determined by the Board of Trustees in good faith) of the shares of the REIT’s Capital Stock, evidences of the REIT’s indebtedness, other assets, or property of the REIT or rights, options or warrants to acquire the REIT’s Capital Stock or other securities distributed with respect to each outstanding Common Share on the Ex-Dividend Date for such distribution.</w:t>
      </w:r>
    </w:p>
    <w:p>
      <w:pPr>
        <w:spacing w:after="0" w:line="176" w:lineRule="exact"/>
        <w:rPr>
          <w:sz w:val="20"/>
          <w:szCs w:val="20"/>
          <w:color w:val="auto"/>
        </w:rPr>
      </w:pPr>
    </w:p>
    <w:p>
      <w:pPr>
        <w:sectPr>
          <w:pgSz w:w="11900" w:h="16838" w:orient="portrait"/>
          <w:cols w:equalWidth="0" w:num="2">
            <w:col w:w="580" w:space="120"/>
            <w:col w:w="10260"/>
          </w:cols>
          <w:pgMar w:left="440" w:top="270"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If “FMV” (as defined above) is equal to or greater than the “SP</w:t>
      </w:r>
      <w:r>
        <w:rPr>
          <w:rFonts w:ascii="Times New Roman" w:cs="Times New Roman" w:eastAsia="Times New Roman" w:hAnsi="Times New Roman"/>
          <w:sz w:val="12"/>
          <w:szCs w:val="12"/>
          <w:color w:val="auto"/>
        </w:rPr>
        <w:t>0</w:t>
      </w:r>
      <w:r>
        <w:rPr>
          <w:rFonts w:ascii="Times New Roman" w:cs="Times New Roman" w:eastAsia="Times New Roman" w:hAnsi="Times New Roman"/>
          <w:sz w:val="17"/>
          <w:szCs w:val="17"/>
          <w:color w:val="auto"/>
        </w:rPr>
        <w:t>” (as defined above), in lieu of the foregoing increase, each Holder of Notes shall</w:t>
      </w:r>
    </w:p>
    <w:p>
      <w:pPr>
        <w:sectPr>
          <w:pgSz w:w="11900" w:h="16838" w:orient="portrait"/>
          <w:cols w:equalWidth="0" w:num="1">
            <w:col w:w="10960"/>
          </w:cols>
          <w:pgMar w:left="440" w:top="270" w:right="499" w:bottom="1440" w:gutter="0" w:footer="0" w:header="0"/>
          <w:type w:val="continuous"/>
        </w:sectPr>
      </w:pPr>
    </w:p>
    <w:p>
      <w:pPr>
        <w:spacing w:after="0" w:line="5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receive, in respect of each $1,000 principal amount of Notes it holds, at the same time and upon the same terms as holders of the Common Shares, the amount and kind of the REIT’s Capital Stock, evidences of the REIT’s indebtedness, other assets or property of the REIT or rights, options or warrants to acquire the REIT’s Capital Stock or other securities that such Holder would have received as if such Holder owned a number of Common Shares equal to the Exchange Rate in effect on the Ex-Dividend Date for the distribution.</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type w:val="continuous"/>
        </w:sectPr>
      </w:pPr>
    </w:p>
    <w:bookmarkStart w:id="70" w:name="page71"/>
    <w:bookmarkEnd w:id="70"/>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increase made under the portion of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above will become effective immediately after the Open of Business on the Ex-Dividend Date for such distribution. If such distribution is not so paid or made, the Exchange Rate shall be decreased to be the Exchange Rate that would then be in effect if such dividend or distribution had not been declared.</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 adjustment pursuant to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where there has been a payment of a dividend or other distribution on the Common Shares of shares of Capital Stock of any class or series, or similar equity interest, of or relating to a Subsidiary of the REIT or other business unit of the REIT, and such Capital Stock or similar equity interest is listed or quoted (or will be listed or quoted upon the consummation of the distribution) on a United States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Exchange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142875</wp:posOffset>
            </wp:positionV>
            <wp:extent cx="1431290" cy="360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000"/>
          </w:cols>
          <w:pgMar w:left="440" w:top="270" w:right="45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Exchange Rate in effect immediately prior to the Open of Business on the Ex-Dividend Date for such Spin-Off;</w:t>
      </w:r>
    </w:p>
    <w:p>
      <w:pPr>
        <w:spacing w:after="0" w:line="117" w:lineRule="exact"/>
        <w:rPr>
          <w:sz w:val="20"/>
          <w:szCs w:val="20"/>
          <w:color w:val="auto"/>
        </w:rPr>
      </w:pPr>
    </w:p>
    <w:p>
      <w:pPr>
        <w:sectPr>
          <w:pgSz w:w="11900" w:h="16838" w:orient="portrait"/>
          <w:cols w:equalWidth="0" w:num="2">
            <w:col w:w="300" w:space="260"/>
            <w:col w:w="104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Exchange Rate in effect immediately after the Open of Business on the Ex-Dividend Date for such Spin-Off;</w:t>
      </w:r>
    </w:p>
    <w:p>
      <w:pPr>
        <w:spacing w:after="0" w:line="117" w:lineRule="exact"/>
        <w:rPr>
          <w:sz w:val="20"/>
          <w:szCs w:val="20"/>
          <w:color w:val="auto"/>
        </w:rPr>
      </w:pPr>
    </w:p>
    <w:p>
      <w:pPr>
        <w:sectPr>
          <w:pgSz w:w="11900" w:h="16838" w:orient="portrait"/>
          <w:cols w:equalWidth="0" w:num="2">
            <w:col w:w="300" w:space="260"/>
            <w:col w:w="104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20" w:hanging="19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Capital Stock or similar equity interest distributed to holders of Common Shares applicable to one Common Share over the first 10 consecutive Trading Day-period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sectPr>
          <w:pgSz w:w="11900" w:h="16838" w:orient="portrait"/>
          <w:cols w:equalWidth="0" w:num="2">
            <w:col w:w="460" w:space="300"/>
            <w:col w:w="102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average of the Last Reported Sale Prices of the Common Shares over the Valuation Period.</w:t>
      </w:r>
    </w:p>
    <w:p>
      <w:pPr>
        <w:spacing w:after="0" w:line="200" w:lineRule="exact"/>
        <w:rPr>
          <w:sz w:val="20"/>
          <w:szCs w:val="20"/>
          <w:color w:val="auto"/>
        </w:rPr>
      </w:pPr>
    </w:p>
    <w:p>
      <w:pPr>
        <w:sectPr>
          <w:pgSz w:w="11900" w:h="16838" w:orient="portrait"/>
          <w:cols w:equalWidth="0" w:num="2">
            <w:col w:w="320" w:space="240"/>
            <w:col w:w="10440"/>
          </w:cols>
          <w:pgMar w:left="440" w:top="270" w:right="459" w:bottom="1440" w:gutter="0" w:footer="0" w:header="0"/>
          <w:type w:val="continuous"/>
        </w:sectPr>
      </w:pPr>
    </w:p>
    <w:p>
      <w:pPr>
        <w:spacing w:after="0" w:line="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adjustment in the Exchange Rate made under the preceding paragraph of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will be made immediately after the Open of Business on the day after the last day of the Valuation Period, but will be given effect as of the Open of Business on the Ex-Dividend Date of the Spin-Off. If the Ex-Dividend Date for the Spin-Off is less than 10 Trading Days prior to, and including, the end of the Cash Settlement Averaging Period in respect of any exchange, references within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to 10 Trading Days shall be deemed replaced, for purposes of calculating the affected Daily Exchange Values in respect of that exchange, with such lesser number of Trading Days as have elapsed from, and including, the Ex-Dividend Date for the Spin-Off to, and including, the last Trading Day of such Cash Settlement Averaging Period. For purposes of determining the applicable Exchange Rate, in respect of any exchange during the 10 Trading Days commencing on the Ex-Dividend Date for any Spin-Off, references within the portion of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related to “Spin-Offs” to 10 Trading Days shall be deemed replaced with such lesser number of Trading Days as have elapsed from, and including, the Ex-Dividend Date for such Spin-Off to, and including, the relevant Exchange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type w:val="continuous"/>
        </w:sectPr>
      </w:pPr>
    </w:p>
    <w:bookmarkStart w:id="71" w:name="page72"/>
    <w:bookmarkEnd w:id="71"/>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7"/>
          <w:szCs w:val="17"/>
          <w:u w:val="single" w:color="auto"/>
          <w:color w:val="auto"/>
        </w:rPr>
        <w:t>Section 14.10</w:t>
      </w:r>
      <w:r>
        <w:rPr>
          <w:rFonts w:ascii="Times New Roman" w:cs="Times New Roman" w:eastAsia="Times New Roman" w:hAnsi="Times New Roman"/>
          <w:sz w:val="17"/>
          <w:szCs w:val="17"/>
          <w:color w:val="auto"/>
        </w:rPr>
        <w:t xml:space="preserve">, for the purposes of this </w:t>
      </w:r>
      <w:r>
        <w:rPr>
          <w:rFonts w:ascii="Times New Roman" w:cs="Times New Roman" w:eastAsia="Times New Roman" w:hAnsi="Times New Roman"/>
          <w:sz w:val="17"/>
          <w:szCs w:val="17"/>
          <w:u w:val="single" w:color="auto"/>
          <w:color w:val="auto"/>
        </w:rPr>
        <w:t>Section 14.04(c)</w:t>
      </w:r>
      <w:r>
        <w:rPr>
          <w:rFonts w:ascii="Times New Roman" w:cs="Times New Roman" w:eastAsia="Times New Roman" w:hAnsi="Times New Roman"/>
          <w:sz w:val="17"/>
          <w:szCs w:val="17"/>
          <w:color w:val="auto"/>
        </w:rPr>
        <w:t>, rights, options or warrants distributed by the REIT to all holders of Common Shares entitling them to subscribe for or purchase shares of the REIT’s Capital Stock (either initially or under certain circumstances), which rights, options or warrants, until the occurrence of a specified event or events (a “</w:t>
      </w:r>
      <w:r>
        <w:rPr>
          <w:rFonts w:ascii="Times New Roman" w:cs="Times New Roman" w:eastAsia="Times New Roman" w:hAnsi="Times New Roman"/>
          <w:sz w:val="17"/>
          <w:szCs w:val="17"/>
          <w:b w:val="1"/>
          <w:bCs w:val="1"/>
          <w:color w:val="auto"/>
        </w:rPr>
        <w:t>Trigger Event</w:t>
      </w:r>
      <w:r>
        <w:rPr>
          <w:rFonts w:ascii="Times New Roman" w:cs="Times New Roman" w:eastAsia="Times New Roman" w:hAnsi="Times New Roman"/>
          <w:sz w:val="17"/>
          <w:szCs w:val="17"/>
          <w:color w:val="auto"/>
        </w:rPr>
        <w:t>”): (1) are deemed to be transferred with such Common Shares;</w:t>
      </w:r>
    </w:p>
    <w:p>
      <w:pPr>
        <w:spacing w:after="0" w:line="2" w:lineRule="exact"/>
        <w:rPr>
          <w:sz w:val="20"/>
          <w:szCs w:val="20"/>
          <w:color w:val="auto"/>
        </w:rPr>
      </w:pPr>
    </w:p>
    <w:p>
      <w:pPr>
        <w:ind w:left="4" w:right="20" w:hanging="4"/>
        <w:spacing w:after="0" w:line="251"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not exercisable; and (3) are also issued in respect of future issuances of Common Shares, shall be deemed not to have been distributed for purposes of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(and no adjustment to the Exchange Rate under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will be required) until the occurrence of the earliest Trigger Event, whereupon such rights, options or warrants shall be deemed to have been distributed and an appropriate adjustment (if any is required) to the Exchange Rate shall be made under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If any such right, option or warrant, distributed prior to the Issue Date is subject to events, upon the occurrence of which such right, option or warrant becomes exercisable to purchase different securities, evidences of indebtedness or other assets, then the date of the occurrence of any and each such event shall be deemed to be the date of distribution and Ex-Dividend Date of such deemed distribution (in which case the original right, option or warrant shall be deemed to terminate and expire on such date without exercise by any of the holders).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Exchange Rate under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was made, (1) in the case of any such rights, options or warrants which shall all have been redeemed or purchased without exercise by any holders thereof, upon such final redemption or purchase (x) the Exchange Rate shall be readjusted as if such rights, options or warrants had not been issued and (y) the Exchange Rate shall then again be readjusted to give effect to such distribution, deemed distribution or Trigger Event, as the case may be, as though it were a cash distribution, equal to the per share redemption or purchase price received by holders of Common Shares with respect to such rights, options or warrants (assuming each such holder had retained such rights, options or warrants), made to all holders of Common Shares as of the date of such redemption or purchase, and (2) in the case of such rights, options or warrants which shall have expired or been terminated without exercise by any holders thereof, the Exchange Rate shall be readjusted as if such rights and warrants had not been issued.</w:t>
      </w:r>
    </w:p>
    <w:p>
      <w:pPr>
        <w:spacing w:after="0" w:line="190"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14.04(a)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14.04(b)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if any dividend or distribution to which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applies includes one or both of:</w:t>
      </w:r>
    </w:p>
    <w:p>
      <w:pPr>
        <w:spacing w:after="0" w:line="158" w:lineRule="exact"/>
        <w:rPr>
          <w:sz w:val="20"/>
          <w:szCs w:val="20"/>
          <w:color w:val="auto"/>
        </w:rPr>
      </w:pPr>
    </w:p>
    <w:p>
      <w:pPr>
        <w:ind w:left="744" w:hanging="304"/>
        <w:spacing w:after="0"/>
        <w:tabs>
          <w:tab w:leader="none" w:pos="7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dividend or distribution of Common Shares to which </w:t>
      </w:r>
      <w:r>
        <w:rPr>
          <w:rFonts w:ascii="Times New Roman" w:cs="Times New Roman" w:eastAsia="Times New Roman" w:hAnsi="Times New Roman"/>
          <w:sz w:val="18"/>
          <w:szCs w:val="18"/>
          <w:u w:val="single" w:color="auto"/>
          <w:color w:val="auto"/>
        </w:rPr>
        <w:t>Section 14.04(a)</w:t>
      </w:r>
      <w:r>
        <w:rPr>
          <w:rFonts w:ascii="Times New Roman" w:cs="Times New Roman" w:eastAsia="Times New Roman" w:hAnsi="Times New Roman"/>
          <w:sz w:val="18"/>
          <w:szCs w:val="18"/>
          <w:color w:val="auto"/>
        </w:rPr>
        <w:t xml:space="preserve"> also applies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4" w:right="220" w:firstLine="436"/>
        <w:spacing w:after="0" w:line="259" w:lineRule="auto"/>
        <w:tabs>
          <w:tab w:leader="none" w:pos="7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dividend or distribution of rights, options or warrants to which </w:t>
      </w:r>
      <w:r>
        <w:rPr>
          <w:rFonts w:ascii="Times New Roman" w:cs="Times New Roman" w:eastAsia="Times New Roman" w:hAnsi="Times New Roman"/>
          <w:sz w:val="18"/>
          <w:szCs w:val="18"/>
          <w:u w:val="single" w:color="auto"/>
          <w:color w:val="auto"/>
        </w:rPr>
        <w:t>Section 14.04(b)</w:t>
      </w:r>
      <w:r>
        <w:rPr>
          <w:rFonts w:ascii="Times New Roman" w:cs="Times New Roman" w:eastAsia="Times New Roman" w:hAnsi="Times New Roman"/>
          <w:sz w:val="18"/>
          <w:szCs w:val="18"/>
          <w:color w:val="auto"/>
        </w:rPr>
        <w:t xml:space="preserve"> also applies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xml:space="preserve">”), then (i) such dividend or distribution, other than the Clause A Distribution and the Clause B Distribution, shall be deemed to be a dividend or distribution to which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applies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xml:space="preserve">”) and any Exchange Rate adjustment required to be made under this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with respect to such Clause C Distribution shall be made, (ii) the Clause B Distribution, if any, shall be deemed to immediately follow the Clause C Distribution and any Exchange Rate adjustment required by </w:t>
      </w:r>
      <w:r>
        <w:rPr>
          <w:rFonts w:ascii="Times New Roman" w:cs="Times New Roman" w:eastAsia="Times New Roman" w:hAnsi="Times New Roman"/>
          <w:sz w:val="18"/>
          <w:szCs w:val="18"/>
          <w:u w:val="single" w:color="auto"/>
          <w:color w:val="auto"/>
        </w:rPr>
        <w:t>Section 14.04(b)</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72" w:name="page73"/>
    <w:bookmarkEnd w:id="7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thereto shall then be made, except that, if determined by the Company, (A) the “Ex-Dividend Date” of the Clause B Distribution and the Clause A Distribution, if any, shall be deemed to be the Ex-Dividend Date of the Clause C Distribution and (B) any Common Shares included in the Clause A Distribution or the Clause B Distribution shall not be deemed to be “outstanding immediately prior to the Open of Business on such Ex-Dividend Date” within the meaning of </w:t>
      </w:r>
      <w:r>
        <w:rPr>
          <w:rFonts w:ascii="Times New Roman" w:cs="Times New Roman" w:eastAsia="Times New Roman" w:hAnsi="Times New Roman"/>
          <w:sz w:val="18"/>
          <w:szCs w:val="18"/>
          <w:u w:val="single" w:color="auto"/>
          <w:color w:val="auto"/>
        </w:rPr>
        <w:t>Section 14.04(b)</w:t>
      </w:r>
      <w:r>
        <w:rPr>
          <w:rFonts w:ascii="Times New Roman" w:cs="Times New Roman" w:eastAsia="Times New Roman" w:hAnsi="Times New Roman"/>
          <w:sz w:val="18"/>
          <w:szCs w:val="18"/>
          <w:color w:val="auto"/>
        </w:rPr>
        <w:t xml:space="preserve">, and (iii) the Clause A Distribution, if any, shall be deemed to immediately follow the Clause C Distribution or the Clause B Distribution, as the case may be, except that, if determined by the Company, (A) the “Ex-Dividend Date” of the Clause A Distribution and the Clause B Distribution, if any, shall be deemed to be the Ex-Dividend Date of the Clause C Distribution, and (B) any Common Shares included in the Clause A distribution shall not be deemed to be “outstanding immediately prior to the Open of Business on such Ex-Dividend Date or such effective date” within the meaning of </w:t>
      </w:r>
      <w:r>
        <w:rPr>
          <w:rFonts w:ascii="Times New Roman" w:cs="Times New Roman" w:eastAsia="Times New Roman" w:hAnsi="Times New Roman"/>
          <w:sz w:val="18"/>
          <w:szCs w:val="18"/>
          <w:u w:val="single" w:color="auto"/>
          <w:color w:val="auto"/>
        </w:rPr>
        <w:t>Section 14.04(a)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40" w:firstLine="436"/>
        <w:spacing w:after="0" w:line="312" w:lineRule="auto"/>
        <w:tabs>
          <w:tab w:leader="none" w:pos="69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cash dividend or distribution is made to all or substantially all holders of the Common Shares, other than a regular, quarterly cash dividend that does not exceed $1.09 per share (the “</w:t>
      </w:r>
      <w:r>
        <w:rPr>
          <w:rFonts w:ascii="Times New Roman" w:cs="Times New Roman" w:eastAsia="Times New Roman" w:hAnsi="Times New Roman"/>
          <w:sz w:val="17"/>
          <w:szCs w:val="17"/>
          <w:b w:val="1"/>
          <w:bCs w:val="1"/>
          <w:color w:val="auto"/>
        </w:rPr>
        <w:t>Initial Dividend Threshold</w:t>
      </w:r>
      <w:r>
        <w:rPr>
          <w:rFonts w:ascii="Times New Roman" w:cs="Times New Roman" w:eastAsia="Times New Roman" w:hAnsi="Times New Roman"/>
          <w:sz w:val="17"/>
          <w:szCs w:val="17"/>
          <w:color w:val="auto"/>
        </w:rPr>
        <w:t>”), the Exchange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117475</wp:posOffset>
            </wp:positionV>
            <wp:extent cx="1337310" cy="3689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373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where,</w:t>
            </w:r>
          </w:p>
        </w:tc>
        <w:tc>
          <w:tcPr>
            <w:tcW w:w="200" w:type="dxa"/>
            <w:vAlign w:val="bottom"/>
          </w:tcPr>
          <w:p>
            <w:pPr>
              <w:spacing w:after="0"/>
              <w:rPr>
                <w:sz w:val="20"/>
                <w:szCs w:val="20"/>
                <w:color w:val="auto"/>
              </w:rPr>
            </w:pPr>
          </w:p>
        </w:tc>
        <w:tc>
          <w:tcPr>
            <w:tcW w:w="10060" w:type="dxa"/>
            <w:vAlign w:val="bottom"/>
          </w:tcPr>
          <w:p>
            <w:pPr>
              <w:spacing w:after="0"/>
              <w:rPr>
                <w:sz w:val="20"/>
                <w:szCs w:val="20"/>
                <w:color w:val="auto"/>
              </w:rPr>
            </w:pPr>
          </w:p>
        </w:tc>
      </w:tr>
      <w:tr>
        <w:trPr>
          <w:trHeight w:val="47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26"/>
                <w:szCs w:val="26"/>
                <w:color w:val="auto"/>
                <w:vertAlign w:val="subscript"/>
              </w:rPr>
              <w:t>0</w:t>
            </w:r>
          </w:p>
        </w:tc>
        <w:tc>
          <w:tcPr>
            <w:tcW w:w="10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the Exchange Rate in effect immediately prior to the Open of Business on the Ex-Dividend Date for such dividend or distribution;</w:t>
            </w:r>
          </w:p>
        </w:tc>
      </w:tr>
      <w:tr>
        <w:trPr>
          <w:trHeight w:val="35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26"/>
                <w:szCs w:val="26"/>
                <w:color w:val="auto"/>
                <w:vertAlign w:val="sub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Exchange Rate in effect immediately after the Open of Business on the Ex-Dividend Date for such dividend or distribution;</w:t>
            </w:r>
          </w:p>
        </w:tc>
      </w:tr>
      <w:tr>
        <w:trPr>
          <w:trHeight w:val="262"/>
        </w:trPr>
        <w:tc>
          <w:tcPr>
            <w:tcW w:w="500" w:type="dxa"/>
            <w:vAlign w:val="bottom"/>
          </w:tcPr>
          <w:p>
            <w:pPr>
              <w:spacing w:after="0" w:line="262" w:lineRule="exact"/>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Last Reported Sale Price of the Common Shares on the Trading Day immediately preceding the Ex-Dividend Date for such dividend or</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w:t>
            </w:r>
          </w:p>
        </w:tc>
      </w:tr>
    </w:tbl>
    <w:p>
      <w:pPr>
        <w:spacing w:after="0" w:line="90" w:lineRule="exact"/>
        <w:rPr>
          <w:sz w:val="20"/>
          <w:szCs w:val="20"/>
          <w:color w:val="auto"/>
        </w:rPr>
      </w:pPr>
    </w:p>
    <w:p>
      <w:pPr>
        <w:ind w:left="764" w:right="500" w:hanging="764"/>
        <w:spacing w:after="0" w:line="282" w:lineRule="auto"/>
        <w:tabs>
          <w:tab w:leader="none" w:pos="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Initial Dividend Threshold; provided that if the dividend or distribution is not a regular quarterly cash dividend, the Initial Dividend Threshold will be deemed to be zero; and</w:t>
      </w:r>
    </w:p>
    <w:p>
      <w:pPr>
        <w:spacing w:after="0" w:line="54" w:lineRule="exact"/>
        <w:rPr>
          <w:sz w:val="20"/>
          <w:szCs w:val="20"/>
          <w:color w:val="auto"/>
        </w:rPr>
      </w:pPr>
    </w:p>
    <w:p>
      <w:pPr>
        <w:ind w:left="544" w:hanging="544"/>
        <w:spacing w:after="0"/>
        <w:tabs>
          <w:tab w:leader="none" w:pos="5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that the REIT distributes to holders of the Common Shares.</w:t>
      </w:r>
    </w:p>
    <w:p>
      <w:pPr>
        <w:spacing w:after="0" w:line="118" w:lineRule="exact"/>
        <w:rPr>
          <w:sz w:val="20"/>
          <w:szCs w:val="20"/>
          <w:color w:val="auto"/>
        </w:rPr>
      </w:pPr>
    </w:p>
    <w:p>
      <w:pPr>
        <w:ind w:left="4" w:right="40" w:firstLine="440"/>
        <w:spacing w:after="0" w:line="263" w:lineRule="auto"/>
        <w:rPr>
          <w:sz w:val="20"/>
          <w:szCs w:val="20"/>
          <w:color w:val="auto"/>
        </w:rPr>
      </w:pPr>
      <w:r>
        <w:rPr>
          <w:rFonts w:ascii="Times New Roman" w:cs="Times New Roman" w:eastAsia="Times New Roman" w:hAnsi="Times New Roman"/>
          <w:sz w:val="18"/>
          <w:szCs w:val="18"/>
          <w:color w:val="auto"/>
        </w:rPr>
        <w:t>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shall receive, for each $1,000 principal amount of Notes it holds, at the same time and upon the same terms as holders of the Common Shares, the amount of cash that such Holder would have received if such Holder had owned a number of Common Shares of equal to the Exchange Rate in effect on the Ex-Dividend Date for such cash dividend or distribution.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73" w:name="page74"/>
    <w:bookmarkEnd w:id="73"/>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Initial Dividend Threshold shall be subject to adjustment in a manner inversely proportional to adjustments to the Exchange Rate; provided that no adjustment shall be made to the Initial Dividend Threshold for any adjustment to the Exchange Rate pursuant to this Section 14.04(d).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-61595</wp:posOffset>
            </wp:positionV>
            <wp:extent cx="4191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9100" cy="8255"/>
                    </a:xfrm>
                    <a:prstGeom prst="rect">
                      <a:avLst/>
                    </a:prstGeom>
                    <a:noFill/>
                  </pic:spPr>
                </pic:pic>
              </a:graphicData>
            </a:graphic>
          </wp:anchor>
        </w:drawing>
      </w:r>
    </w:p>
    <w:p>
      <w:pPr>
        <w:spacing w:after="0" w:line="12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 increase made pursuant to this </w:t>
      </w:r>
      <w:r>
        <w:rPr>
          <w:rFonts w:ascii="Times New Roman" w:cs="Times New Roman" w:eastAsia="Times New Roman" w:hAnsi="Times New Roman"/>
          <w:sz w:val="18"/>
          <w:szCs w:val="18"/>
          <w:u w:val="single" w:color="auto"/>
          <w:color w:val="auto"/>
        </w:rPr>
        <w:t>Section 14.04(d)</w:t>
      </w:r>
      <w:r>
        <w:rPr>
          <w:rFonts w:ascii="Times New Roman" w:cs="Times New Roman" w:eastAsia="Times New Roman" w:hAnsi="Times New Roman"/>
          <w:sz w:val="18"/>
          <w:szCs w:val="18"/>
          <w:color w:val="auto"/>
        </w:rPr>
        <w:t xml:space="preserve"> shall become effective immediately after the Open of Business on the Ex-Dividend Date for such dividend or distribution. If such dividend or distribution is not so paid, the Exchange Rate shall be decreased, effective as of the date the Board of Trustees determines not to make or pay such dividend or distribution, to the Exchange Rate that would then be in effect if such dividend or distribution had not been declared.</w:t>
      </w:r>
    </w:p>
    <w:p>
      <w:pPr>
        <w:spacing w:after="0" w:line="180" w:lineRule="exact"/>
        <w:rPr>
          <w:sz w:val="20"/>
          <w:szCs w:val="20"/>
          <w:color w:val="auto"/>
        </w:rPr>
      </w:pPr>
    </w:p>
    <w:p>
      <w:pPr>
        <w:ind w:firstLine="436"/>
        <w:spacing w:after="0" w:line="256"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REIT or any of its Subsidiaries makes a payment in respect of a tender offer or exchange offer for the Common Shares that is subject to the then-applicable tender offer rules under the Exchange Act (other than an odd-lot tender offer that satisfies the requirements of Rule 13e-4(h)(5) under the Exchange Act, or any successor rule), to the extent that the cash and value of any other consideration included in the payment per Common Share (as determined by the Board of Trustees) exceeds the Last Reported Sale Price of the Common Shares on the Trading Day next succeeding the last date on which tenders or exchanges may be made pursuant to such tender or exchange offer (the “</w:t>
      </w:r>
      <w:r>
        <w:rPr>
          <w:rFonts w:ascii="Times New Roman" w:cs="Times New Roman" w:eastAsia="Times New Roman" w:hAnsi="Times New Roman"/>
          <w:sz w:val="18"/>
          <w:szCs w:val="18"/>
          <w:b w:val="1"/>
          <w:bCs w:val="1"/>
          <w:color w:val="auto"/>
        </w:rPr>
        <w:t>Offer Expiration Date</w:t>
      </w:r>
      <w:r>
        <w:rPr>
          <w:rFonts w:ascii="Times New Roman" w:cs="Times New Roman" w:eastAsia="Times New Roman" w:hAnsi="Times New Roman"/>
          <w:sz w:val="18"/>
          <w:szCs w:val="18"/>
          <w:color w:val="auto"/>
        </w:rPr>
        <w:t>”), the Exchange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147955</wp:posOffset>
            </wp:positionV>
            <wp:extent cx="1791335" cy="360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913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10280" w:type="dxa"/>
            <w:vAlign w:val="bottom"/>
          </w:tcPr>
          <w:p>
            <w:pPr>
              <w:spacing w:after="0"/>
              <w:rPr>
                <w:sz w:val="20"/>
                <w:szCs w:val="20"/>
                <w:color w:val="auto"/>
              </w:rPr>
            </w:pPr>
          </w:p>
        </w:tc>
      </w:tr>
      <w:tr>
        <w:trPr>
          <w:trHeight w:val="47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26"/>
                <w:szCs w:val="26"/>
                <w:color w:val="auto"/>
                <w:vertAlign w:val="subscript"/>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Exchange Rate in effect immediately prior to the Close of Business on the Offer Expiration Date;</w:t>
            </w:r>
          </w:p>
        </w:tc>
      </w:tr>
      <w:tr>
        <w:trPr>
          <w:trHeight w:val="35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ER</w:t>
            </w:r>
            <w:r>
              <w:rPr>
                <w:rFonts w:ascii="Times New Roman" w:cs="Times New Roman" w:eastAsia="Times New Roman" w:hAnsi="Times New Roman"/>
                <w:sz w:val="26"/>
                <w:szCs w:val="26"/>
                <w:color w:val="auto"/>
                <w:vertAlign w:val="subscript"/>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Exchange Rate in effect immediately after the Close of Business on the Offer Expiration Date;</w:t>
            </w:r>
          </w:p>
        </w:tc>
      </w:tr>
      <w:tr>
        <w:trPr>
          <w:trHeight w:val="26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aggregate value of all cash and any other consideration (as determined by the Board of Trustees) paid or payable for Common Shares</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purchased in such tender offer or exchange offer;</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number of Common Shares outstanding immediately prior to the expiration time of the tender or exchange offer on the Offer Expiration</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(prior to giving effect to the purchase of all shares accepted for purchase or exchange in such tender offer or exchange offer);</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Common Shares outstanding immediately after the expiration time of the tender or exchange offer on the Offer Expiration Date</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(after giving effect to the purchase of all shares accepted for purchase or exchange in such tender or exchange offer); and</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Shares over the 10 consecutive Trading Day-period commencing on, and</w:t>
            </w:r>
          </w:p>
        </w:tc>
      </w:tr>
      <w:tr>
        <w:trPr>
          <w:trHeight w:val="234"/>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including, the Trading Day next succeeding the Offer Expiration Date.</w:t>
            </w:r>
          </w:p>
        </w:tc>
      </w:tr>
      <w:tr>
        <w:trPr>
          <w:trHeight w:val="364"/>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61</w:t>
            </w:r>
          </w:p>
        </w:tc>
      </w:tr>
    </w:tbl>
    <w:p>
      <w:pPr>
        <w:sectPr>
          <w:pgSz w:w="11900" w:h="16838" w:orient="portrait"/>
          <w:cols w:equalWidth="0" w:num="1">
            <w:col w:w="11000"/>
          </w:cols>
          <w:pgMar w:left="440" w:top="270" w:right="459" w:bottom="1440" w:gutter="0" w:footer="0" w:header="0"/>
        </w:sectPr>
      </w:pPr>
    </w:p>
    <w:bookmarkStart w:id="74" w:name="page75"/>
    <w:bookmarkEnd w:id="74"/>
    <w:p>
      <w:pPr>
        <w:ind w:right="2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adjustment to the applicable Exchange Rate under the preceding paragraph of this </w:t>
      </w:r>
      <w:r>
        <w:rPr>
          <w:rFonts w:ascii="Times New Roman" w:cs="Times New Roman" w:eastAsia="Times New Roman" w:hAnsi="Times New Roman"/>
          <w:sz w:val="18"/>
          <w:szCs w:val="18"/>
          <w:u w:val="single" w:color="auto"/>
          <w:color w:val="auto"/>
        </w:rPr>
        <w:t>Section 14.04(e)</w:t>
      </w:r>
      <w:r>
        <w:rPr>
          <w:rFonts w:ascii="Times New Roman" w:cs="Times New Roman" w:eastAsia="Times New Roman" w:hAnsi="Times New Roman"/>
          <w:sz w:val="18"/>
          <w:szCs w:val="18"/>
          <w:color w:val="auto"/>
        </w:rPr>
        <w:t xml:space="preserve"> will be given effect at the Open of Business on the Trading Day next succeeding the Offer Expiration Date. If the Trading Day next succeeding the Offer Expiration Date is less than 10 Trading Days prior to, and including, the end of the Cash Settlement Averaging Period in respect of any exchange, references within</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14.04(e)</w:t>
      </w:r>
      <w:r>
        <w:rPr>
          <w:rFonts w:ascii="Times New Roman" w:cs="Times New Roman" w:eastAsia="Times New Roman" w:hAnsi="Times New Roman"/>
          <w:sz w:val="18"/>
          <w:szCs w:val="18"/>
          <w:color w:val="auto"/>
        </w:rPr>
        <w:t xml:space="preserve"> to 10 Trading Days shall be deemed replaced, for purposes of calculating the affected Daily Exchange Values in respect of that exchange, with such lesser number of Trading Days as have elapsed from, and including, the Trading Day next succeeding the Offer Expiration Date to, and including, the last Trading Day of such Cash Settlement Averaging Period. For purposes of determining the applicable Exchange Rate, in respect of any exchange during the 10 Trading Days commencing on the Trading Day next succeeding the Offer Expiration Date, references within</w:t>
      </w:r>
    </w:p>
    <w:p>
      <w:pPr>
        <w:spacing w:after="0" w:line="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14.04(e)</w:t>
      </w:r>
      <w:r>
        <w:rPr>
          <w:rFonts w:ascii="Times New Roman" w:cs="Times New Roman" w:eastAsia="Times New Roman" w:hAnsi="Times New Roman"/>
          <w:sz w:val="18"/>
          <w:szCs w:val="18"/>
          <w:color w:val="auto"/>
        </w:rPr>
        <w:t xml:space="preserve"> to 10 Trading Days shall be deemed replaced with such lesser number of Trading Days as have elapsed from, and including, the Trading Day next succeeding the Offer Expiration Date to, and including, the relevant Exchange Date.</w:t>
      </w:r>
    </w:p>
    <w:p>
      <w:pPr>
        <w:spacing w:after="0" w:line="181" w:lineRule="exact"/>
        <w:rPr>
          <w:sz w:val="20"/>
          <w:szCs w:val="20"/>
          <w:color w:val="auto"/>
        </w:rPr>
      </w:pPr>
    </w:p>
    <w:p>
      <w:pPr>
        <w:ind w:right="20" w:firstLine="436"/>
        <w:spacing w:after="0" w:line="258" w:lineRule="auto"/>
        <w:tabs>
          <w:tab w:leader="none" w:pos="6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stated herein, the Company shall not adjust the Exchange Rate for the issuance of Common Shares or any securities convertible into or exchangeable for Common Shares or the right to purchase Common Shares or such convertible or exchangeable securities. If, however, the application of the foregoing formulas would result in a decrease in the Exchange Rate, except to the extent of any readjustment to the Exchange Rate, no adjustment to the Exchange Rate shall be made (other than as a result of a reverse share split, share combination or readjustment). Notwithstanding anything to the contrary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the Exchange Rate shall not be adjusted:</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0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account of stock repurchases that are not tender offers referred to in </w:t>
      </w:r>
      <w:r>
        <w:rPr>
          <w:rFonts w:ascii="Times New Roman" w:cs="Times New Roman" w:eastAsia="Times New Roman" w:hAnsi="Times New Roman"/>
          <w:sz w:val="18"/>
          <w:szCs w:val="18"/>
          <w:u w:val="single" w:color="auto"/>
          <w:color w:val="auto"/>
        </w:rPr>
        <w:t>Section 14.04(e)</w:t>
      </w:r>
      <w:r>
        <w:rPr>
          <w:rFonts w:ascii="Times New Roman" w:cs="Times New Roman" w:eastAsia="Times New Roman" w:hAnsi="Times New Roman"/>
          <w:sz w:val="18"/>
          <w:szCs w:val="18"/>
          <w:color w:val="auto"/>
        </w:rPr>
        <w:t>, including structured or derivative transactions, or transactions pursuant to a stock repurchase program approved by the Board of Trustees or otherwise;</w:t>
      </w:r>
    </w:p>
    <w:p>
      <w:pPr>
        <w:spacing w:after="0" w:line="161" w:lineRule="exact"/>
        <w:rPr>
          <w:rFonts w:ascii="Times New Roman" w:cs="Times New Roman" w:eastAsia="Times New Roman" w:hAnsi="Times New Roman"/>
          <w:sz w:val="18"/>
          <w:szCs w:val="18"/>
          <w:color w:val="auto"/>
        </w:rPr>
      </w:pPr>
    </w:p>
    <w:p>
      <w:pPr>
        <w:ind w:right="540" w:firstLine="987"/>
        <w:spacing w:after="0" w:line="282" w:lineRule="auto"/>
        <w:tabs>
          <w:tab w:leader="none" w:pos="12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third party tender offer by any party other than a tender offer by the REIT or one or more of its Subsidiaries as described in paragraph (5) above;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0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pursuant to any present or future plan providing for the reinvestment of dividends or interest payable on the REIT’s securities and the investment of additional optional amounts in Common Shares under any plan;</w:t>
      </w:r>
    </w:p>
    <w:p>
      <w:pPr>
        <w:spacing w:after="0" w:line="161" w:lineRule="exact"/>
        <w:rPr>
          <w:rFonts w:ascii="Times New Roman" w:cs="Times New Roman" w:eastAsia="Times New Roman" w:hAnsi="Times New Roman"/>
          <w:sz w:val="18"/>
          <w:szCs w:val="18"/>
          <w:color w:val="auto"/>
        </w:rPr>
      </w:pPr>
    </w:p>
    <w:p>
      <w:pPr>
        <w:ind w:right="320" w:firstLine="987"/>
        <w:spacing w:after="0" w:line="282" w:lineRule="auto"/>
        <w:tabs>
          <w:tab w:leader="none" w:pos="129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or options or rights to purchase those shares pursuant to any present or future employee, director or consultant benefit plan, program or agreement of or assumed by the REIT or any of its Subsidiaries;</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pursuant to any option, warrant, right or exercisable, exchangeable or convertible security not described in the preceding clause (iii) and outstanding as of the date the Notes were first issued;</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in the par value of the Common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75" w:name="page76"/>
    <w:bookmarkEnd w:id="75"/>
    <w:p>
      <w:pPr>
        <w:ind w:left="1340" w:hanging="353"/>
        <w:spacing w:after="0"/>
        <w:tabs>
          <w:tab w:leader="none" w:pos="1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accrued and unpaid interest on the Notes, if any; or</w:t>
      </w:r>
    </w:p>
    <w:p>
      <w:pPr>
        <w:spacing w:after="0" w:line="225"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event otherwise requiring an adjustment under this Indenture if such event is not consummated.</w:t>
      </w:r>
    </w:p>
    <w:p>
      <w:pPr>
        <w:spacing w:after="0" w:line="225"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calculations and other determinations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shall be made by the Company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14.04</w:t>
      </w:r>
      <w:r>
        <w:rPr>
          <w:rFonts w:ascii="Times New Roman" w:cs="Times New Roman" w:eastAsia="Times New Roman" w:hAnsi="Times New Roman"/>
          <w:sz w:val="18"/>
          <w:szCs w:val="18"/>
          <w:color w:val="auto"/>
        </w:rPr>
        <w:t>, the number of Common Shares at any time outstanding shall not include Common Shares held in the treasury of the REIT or the Company so long as the REIT or the Company, as the case may be, does not pay any dividend or make any distribution on the Common Shares held in the treasury of the REIT or the Company, as the case may be, but shall include Common Shares issuable in respect of scrip certificates issued in lieu of fractions of Common Shares.</w:t>
      </w:r>
    </w:p>
    <w:p>
      <w:pPr>
        <w:spacing w:after="0" w:line="179" w:lineRule="exact"/>
        <w:rPr>
          <w:rFonts w:ascii="Times New Roman" w:cs="Times New Roman" w:eastAsia="Times New Roman" w:hAnsi="Times New Roman"/>
          <w:sz w:val="18"/>
          <w:szCs w:val="18"/>
          <w:color w:val="auto"/>
        </w:rPr>
      </w:pPr>
    </w:p>
    <w:p>
      <w:pPr>
        <w:ind w:right="20" w:firstLine="436"/>
        <w:spacing w:after="0" w:line="258"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Exchange Rate is adjusted as herein provided, the Company shall promptly file with the Trustee (and the Exchange Agent if not the Trustee) an Officer’s Certificate setting forth the Exchange Rate after such adjustment and setting forth a brief statement of the facts requiring such adjustment. Unless and until a Responsible Officer of the Trustee shall have received such Officer’s Certificate, the Trustee shall not be deemed to have knowledge of any adjustment of the Exchange Rate and may assume without inquiry that the last Exchange Rate of which it has knowledge is still in effect.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b w:val="1"/>
          <w:bCs w:val="1"/>
          <w:i w:val="1"/>
          <w:iCs w:val="1"/>
          <w:color w:val="auto"/>
        </w:rPr>
        <w:t>Discretionary and Voluntary Adjustments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36"/>
        <w:spacing w:after="0" w:line="258"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Adjustments</w:t>
      </w:r>
      <w:r>
        <w:rPr>
          <w:rFonts w:ascii="Times New Roman" w:cs="Times New Roman" w:eastAsia="Times New Roman" w:hAnsi="Times New Roman"/>
          <w:sz w:val="18"/>
          <w:szCs w:val="18"/>
          <w:color w:val="auto"/>
        </w:rPr>
        <w:t>. Whenever any provision of this Indenture requires the Company to calculate the Last Reported Sale Prices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Daily VWAPs or any function thereof over a span of multiple days (including during a Cash Settlement Averaging Period), the Company will make appropriate adjustments to each to account for any adjustment to the Exchange Rate that becomes effective, or any event requiring an adjustment to the Exchange Rate where the effective date, ex-dividend date or expiration date of the event occurs, at any time during the period when the Last Reported Sale Prices or the Daily VWAPs or functions thereof are to be calculated.</w:t>
      </w:r>
    </w:p>
    <w:p>
      <w:pPr>
        <w:spacing w:after="0" w:line="183"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Adjustments</w:t>
      </w:r>
      <w:r>
        <w:rPr>
          <w:rFonts w:ascii="Times New Roman" w:cs="Times New Roman" w:eastAsia="Times New Roman" w:hAnsi="Times New Roman"/>
          <w:sz w:val="18"/>
          <w:szCs w:val="18"/>
          <w:color w:val="auto"/>
        </w:rPr>
        <w:t>. To the extent permitted by applicable law and subject to the listing standards of The New York Stock Exchange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REIT is then listed on The New York Stock Exchange), the Company is permitted to increase the Exchange Rate of the Notes by any amount for a period of at least 20 Business Days if the Board of Trustees determines that such increase would be in the Company’s best interest. Subject to the listing standards of The New York Stock Exchange (if the REIT is then listed on The New York Stock Exchange), the Company may also (but is not required to) increase the Exchange Rate to avoid or diminish income tax to holders of Common Shares or rights to purchase Common Shares in connection with a dividend or distribution of shares (or rights to acquire shares) or similar event.</w:t>
      </w:r>
    </w:p>
    <w:p>
      <w:pPr>
        <w:spacing w:after="0" w:line="180"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b w:val="1"/>
          <w:bCs w:val="1"/>
          <w:i w:val="1"/>
          <w:iCs w:val="1"/>
          <w:color w:val="auto"/>
        </w:rPr>
        <w:t>Increased Exchange Rate Applicable to Certain Notes Surrendered in Connection with Make-Whole Fundamental Changes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Notices of Redemption</w:t>
      </w:r>
      <w:r>
        <w:rPr>
          <w:rFonts w:ascii="Times New Roman" w:cs="Times New Roman" w:eastAsia="Times New Roman" w:hAnsi="Times New Roman"/>
          <w:sz w:val="18"/>
          <w:szCs w:val="18"/>
          <w:color w:val="auto"/>
        </w:rPr>
        <w:t>. (a) If (1) an event occurs that (i) is a Fundamental Change (determined after giving effect to any exceptions or exclusions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definition) or (ii) would be a Fundamental Change, but for the proviso set forth in clause (2) of the definition thereof (any such event, a “</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40"/>
          </w:cols>
          <w:pgMar w:left="440" w:top="270"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(2) the Company gives a Redemption Notice with respect to any or all of the Notes as provided for in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and, in each case, a Holder elects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its Notes in connection with such Make-Whole Fundamental Change or Redemption Notice, as the case may be, the Company shall,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circumstances, increase the Exchange Rate for the Notes so surrendered for exchange by a number of additional Common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as set forth in this </w:t>
      </w:r>
      <w:r>
        <w:rPr>
          <w:rFonts w:ascii="Times New Roman" w:cs="Times New Roman" w:eastAsia="Times New Roman" w:hAnsi="Times New Roman"/>
          <w:sz w:val="18"/>
          <w:szCs w:val="18"/>
          <w:u w:val="single" w:color="auto"/>
          <w:color w:val="auto"/>
        </w:rPr>
        <w:t>Section 14.06</w:t>
      </w:r>
      <w:r>
        <w:rPr>
          <w:rFonts w:ascii="Times New Roman" w:cs="Times New Roman" w:eastAsia="Times New Roman" w:hAnsi="Times New Roman"/>
          <w:sz w:val="18"/>
          <w:szCs w:val="18"/>
          <w:color w:val="auto"/>
        </w:rPr>
        <w:t>. An exchange of Notes shall be deemed for these purposes to be “in connection with” a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Fundamental Change if the relevant Exchange Date occurs during the period from, and including, the Effective Date of the Make-Whole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up to, and including, the Close of Business on the Business Day immediately prior to the related Fundamental Change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or, if such Make-Whole Fundamental Change is not also a Fundamental Change, the 35th Business Day immediately following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An exchange of Notes will be deemed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purposes to be “in connection with” a Redemption Notice if the relevant Exchange Date occurs from, and including, the date of the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until the Close of Business on the Scheduled Trading Day immediately preceding the Redemption Date.</w:t>
      </w:r>
    </w:p>
    <w:p>
      <w:pPr>
        <w:spacing w:after="0" w:line="207" w:lineRule="exact"/>
        <w:rPr>
          <w:sz w:val="20"/>
          <w:szCs w:val="20"/>
          <w:color w:val="auto"/>
        </w:rPr>
      </w:pPr>
    </w:p>
    <w:p>
      <w:pPr>
        <w:ind w:firstLine="436"/>
        <w:spacing w:after="0" w:line="254"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exchange in connection with a Make-Whole Fundamental Change or a Redemption Notice, the Company shall fulfill its Exchange Obligation in accordance with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provided, however, that if, at the effective time of a Make-Whole Fundamental Change described in clause (2) of the definition of Fundamental Change, the Reference Property following such Make-Whole Fundamental Change is composed entirely of cash, for any exchange of Notes following the Effective Date of such Make-Whole Fundamental Change, the Settlement Amount shall be calculated based solely on the Share Price for the transaction and shall be deemed to be an amount of cash per $1,000 principal amount of exchanged Notes equal to the Exchange Rate (including any adjustment for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Share Price. In such event, the Exchange Obligation shall be paid to Holders in cash on the second Trading Day following the Exchange Date. The Company shall notify the Holders of Notes of the Effective Date of any Make-Whole Fundamental Change and issue a press release announcing such Effective Date no later than five Business Days after such Effective Date.</w:t>
      </w:r>
    </w:p>
    <w:p>
      <w:pPr>
        <w:spacing w:after="0" w:line="188"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Shares, if any, by which the Exchange Rate will be increased for a Holder that exchanges its Notes in connection with a Make-Whole Fundamental Change or a Redemption Notice shall be determined by reference to the table below, based on the date on which the Make-Whole Fundamental Change occurs or becomes effective or the date of the Redemption Notice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(the “</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paid (or deemed to be paid) per Common Share in the Make-Whole Fundamental Change or determined with respect to the Redemption Notice, as the case may be. If the holders of the Common Shares receive in exchange for their Common Shares only cash in a Make-Whole Fundamental Change described in clause (2) of the definition of Fundamental Change, the Share Price will be the cash amount paid per Common Share. Otherwise, the Share Price will be the average of the Last Reported Sale Prices of the Common Shares over the ten consecutive Trading Day-period ending on, and including, the Trading Day immediately preceding the Effective Date of the Make-Whole Fundamental Change or the Redemption Notice, as the case may be. In the event an exchange in connection with a Redemption Notice would also be deemed to be in connection with a Make-Whole Fundamental Change, a Holder of the Notes to be exchanged shall be entitled to a single increase to the Exchange Rate with respect to the first to occur of (i) the applicable date of the Redemption Notice or (ii) the Effective Date of the applicable Make-Whole Fundamental Change, and the later event will be deemed not to have occurred for purposes of such exchanged Notes.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7" w:name="page78"/>
    <w:bookmarkEnd w:id="77"/>
    <w:p>
      <w:pPr>
        <w:ind w:right="40" w:firstLine="436"/>
        <w:spacing w:after="0" w:line="258"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Share Prices set forth in the column headings of the table below shall be adjusted as of any date on which the Exchange Rate of the Notes is otherwise required to be adjusted. The adjusted Share Prices shall equal the Share Prices applicable immediately prior to such adjustment,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a fraction, the numerator of which is the Exchange Rate immediately prior to such adjustment giving rise to the Share Price adjustment and the denominator of which is the Exchange Rate as so adjusted. The number of Additional Shares set forth in such table shall be adjusted in the same manner and at the same time as the Exchange Rate is required to be adjusted as set forth in </w:t>
      </w:r>
      <w:r>
        <w:rPr>
          <w:rFonts w:ascii="Times New Roman" w:cs="Times New Roman" w:eastAsia="Times New Roman" w:hAnsi="Times New Roman"/>
          <w:sz w:val="18"/>
          <w:szCs w:val="18"/>
          <w:u w:val="single" w:color="auto"/>
          <w:color w:val="auto"/>
        </w:rPr>
        <w:t>Section 14.04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20" w:firstLine="436"/>
        <w:spacing w:after="0" w:line="282"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table sets forth the number of Additional Shares by which the Exchange Rate shall be increased per $1,000 principal amount of Notes pursuant to this </w:t>
      </w:r>
      <w:r>
        <w:rPr>
          <w:rFonts w:ascii="Times New Roman" w:cs="Times New Roman" w:eastAsia="Times New Roman" w:hAnsi="Times New Roman"/>
          <w:sz w:val="18"/>
          <w:szCs w:val="18"/>
          <w:u w:val="single" w:color="auto"/>
          <w:color w:val="auto"/>
        </w:rPr>
        <w:t>Section 14.06</w:t>
      </w:r>
      <w:r>
        <w:rPr>
          <w:rFonts w:ascii="Times New Roman" w:cs="Times New Roman" w:eastAsia="Times New Roman" w:hAnsi="Times New Roman"/>
          <w:sz w:val="18"/>
          <w:szCs w:val="18"/>
          <w:color w:val="auto"/>
        </w:rPr>
        <w:t xml:space="preserve"> for each Share Price and Effective Date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Share price</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0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102.33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115.00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122.80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140.00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159.63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180.00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200.00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225.00</w:t>
            </w:r>
          </w:p>
        </w:tc>
        <w:tc>
          <w:tcPr>
            <w:tcW w:w="6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January 11, 2024</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0.7595</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0.3750</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0.1460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0.0793</w:t>
            </w: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0.0382</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0.0026</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6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1.2325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1.0234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0.7595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0.3750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0.1433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0.0770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0.0372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0.0026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January 15, 2026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1.6287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1.2325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1.0234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0.7454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0.3361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0.1132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0.0552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0.0229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0.0005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0.9633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0.6618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0.2612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0.0688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0.0265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0.0072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January 15, 2028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1.6287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0.8312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0.5134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0.1448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0.0188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0.0027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0.9473</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0.5521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exact Share Prices and Effective Dates may not be set forth in the table above, in which case:</w:t>
      </w:r>
    </w:p>
    <w:p>
      <w:pPr>
        <w:spacing w:after="0" w:line="225" w:lineRule="exact"/>
        <w:rPr>
          <w:sz w:val="20"/>
          <w:szCs w:val="20"/>
          <w:color w:val="auto"/>
        </w:rPr>
      </w:pPr>
    </w:p>
    <w:p>
      <w:pPr>
        <w:ind w:right="80" w:firstLine="987"/>
        <w:spacing w:after="0" w:line="261" w:lineRule="auto"/>
        <w:tabs>
          <w:tab w:leader="none" w:pos="12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between two Share Prices in the table or the Effective Date is between two Effective Dates in the table, the number of Additional Shares by which the Exchange Rate will be increased shall be determined by a straight-line interpolation between the number of Additional Shares set forth for the next higher and next lower Share Prices and the earlier and later Effective Dates, as applicable, based on a 365-day year.</w:t>
      </w:r>
    </w:p>
    <w:p>
      <w:pPr>
        <w:spacing w:after="0" w:line="179" w:lineRule="exact"/>
        <w:rPr>
          <w:rFonts w:ascii="Times New Roman" w:cs="Times New Roman" w:eastAsia="Times New Roman" w:hAnsi="Times New Roman"/>
          <w:sz w:val="18"/>
          <w:szCs w:val="18"/>
          <w:color w:val="auto"/>
        </w:rPr>
      </w:pPr>
    </w:p>
    <w:p>
      <w:pPr>
        <w:ind w:right="540" w:firstLine="987"/>
        <w:spacing w:after="0" w:line="282" w:lineRule="auto"/>
        <w:tabs>
          <w:tab w:leader="none" w:pos="12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Share Price is greater than $225.00 per share (subject to adjustment in the same manner as the Share Prices set forth in the column headings of the table above pursuant to </w:t>
      </w:r>
      <w:r>
        <w:rPr>
          <w:rFonts w:ascii="Times New Roman" w:cs="Times New Roman" w:eastAsia="Times New Roman" w:hAnsi="Times New Roman"/>
          <w:sz w:val="18"/>
          <w:szCs w:val="18"/>
          <w:u w:val="single" w:color="auto"/>
          <w:color w:val="auto"/>
        </w:rPr>
        <w:t>Section 14.06(d)</w:t>
      </w:r>
      <w:r>
        <w:rPr>
          <w:rFonts w:ascii="Times New Roman" w:cs="Times New Roman" w:eastAsia="Times New Roman" w:hAnsi="Times New Roman"/>
          <w:sz w:val="18"/>
          <w:szCs w:val="18"/>
          <w:color w:val="auto"/>
        </w:rPr>
        <w:t xml:space="preserve"> hereof), no Additional Shares shall be added to the Exchange Rate.</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3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Share Price is less than $102.33 per share (subject to adjustments in the same manner as the Share Prices set forth in the column headings of the table above pursuant to </w:t>
      </w:r>
      <w:r>
        <w:rPr>
          <w:rFonts w:ascii="Times New Roman" w:cs="Times New Roman" w:eastAsia="Times New Roman" w:hAnsi="Times New Roman"/>
          <w:sz w:val="18"/>
          <w:szCs w:val="18"/>
          <w:u w:val="single" w:color="auto"/>
          <w:color w:val="auto"/>
        </w:rPr>
        <w:t>Section 14.06(d)</w:t>
      </w:r>
      <w:r>
        <w:rPr>
          <w:rFonts w:ascii="Times New Roman" w:cs="Times New Roman" w:eastAsia="Times New Roman" w:hAnsi="Times New Roman"/>
          <w:sz w:val="18"/>
          <w:szCs w:val="18"/>
          <w:color w:val="auto"/>
        </w:rPr>
        <w:t xml:space="preserve"> hereof), no Additional Shares shall be added to the Exchange Rate.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8" w:name="page79"/>
    <w:bookmarkEnd w:id="78"/>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in no event will the Exchange Rate exceed 9.7723 Common Shares per $1,000 principal amount of Notes, subject to adjustments in the same manner as the Exchange Rate is required to be adjusted as set forth in </w:t>
      </w:r>
      <w:r>
        <w:rPr>
          <w:rFonts w:ascii="Times New Roman" w:cs="Times New Roman" w:eastAsia="Times New Roman" w:hAnsi="Times New Roman"/>
          <w:sz w:val="18"/>
          <w:szCs w:val="18"/>
          <w:u w:val="single" w:color="auto"/>
          <w:color w:val="auto"/>
        </w:rPr>
        <w:t>Section 14.04</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b w:val="1"/>
          <w:bCs w:val="1"/>
          <w:i w:val="1"/>
          <w:iCs w:val="1"/>
          <w:color w:val="auto"/>
        </w:rPr>
        <w:t>Effect of Recapitalizations, Reclassifications and Changes of the Common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80" w:hanging="244"/>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right="280" w:firstLine="987"/>
        <w:spacing w:after="0" w:line="266" w:lineRule="auto"/>
        <w:tabs>
          <w:tab w:leader="none" w:pos="12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recapitalization, reclassification or change of the Common Shares (other than a change in par value, or from par value to no par value, or from no par value to par value, or as a result of a split, subdivision or combination for which an adjustment was made pursuant to </w:t>
      </w:r>
      <w:r>
        <w:rPr>
          <w:rFonts w:ascii="Times New Roman" w:cs="Times New Roman" w:eastAsia="Times New Roman" w:hAnsi="Times New Roman"/>
          <w:sz w:val="18"/>
          <w:szCs w:val="18"/>
          <w:u w:val="single" w:color="auto"/>
          <w:color w:val="auto"/>
        </w:rPr>
        <w:t>Section 14.04(a)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or combination involving the Company or the REIT;</w:t>
      </w:r>
    </w:p>
    <w:p>
      <w:pPr>
        <w:spacing w:after="0" w:line="225" w:lineRule="exact"/>
        <w:rPr>
          <w:rFonts w:ascii="Times New Roman" w:cs="Times New Roman" w:eastAsia="Times New Roman" w:hAnsi="Times New Roman"/>
          <w:sz w:val="18"/>
          <w:szCs w:val="18"/>
          <w:color w:val="auto"/>
        </w:rPr>
      </w:pPr>
    </w:p>
    <w:p>
      <w:pPr>
        <w:ind w:right="880" w:firstLine="987"/>
        <w:spacing w:after="0" w:line="282" w:lineRule="auto"/>
        <w:tabs>
          <w:tab w:leader="none" w:pos="13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or the REIT and its Subsidiaries substantially as an entirety; or</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each case, as a result of which the Common Shares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and any such stock, other securities, other property or assets (including cash or any combination thereof),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Common Share is entitled to receive) then at and after the effective time of such Merger Event, the right to exchange each $1,000 principal amount of Notes based on a number of Common Shares equal to the applicable Exchange Rate will, without the consent of the Holders, be changed into a right to exchange each $1,000 principal amount of Notes based on a number of Units of Reference Property equal to the applicable Exchange Rate and, prior to or at the effective time of such Merger Event, the Company, the REIT or the successor or purchasing person, as the case may be, shall execute with the Trustee a supplemental indenture providing for such change in the right to exchange each $1,000 principal amount of Notes. However, at and after the effective time of such Merger Event:</w:t>
      </w:r>
    </w:p>
    <w:p>
      <w:pPr>
        <w:spacing w:after="0" w:line="188" w:lineRule="exact"/>
        <w:rPr>
          <w:sz w:val="20"/>
          <w:szCs w:val="20"/>
          <w:color w:val="auto"/>
        </w:rPr>
      </w:pPr>
    </w:p>
    <w:p>
      <w:pPr>
        <w:ind w:left="1160" w:hanging="301"/>
        <w:spacing w:after="0"/>
        <w:tabs>
          <w:tab w:leader="none" w:pos="1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amount payable in cash upon exchange of the Notes in accordance with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shall continue to be payable in cash,</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Common Shares that the Company would have been required to deliver upon exchange of the Notes in accordance with </w:t>
      </w:r>
      <w:r>
        <w:rPr>
          <w:rFonts w:ascii="Times New Roman" w:cs="Times New Roman" w:eastAsia="Times New Roman" w:hAnsi="Times New Roman"/>
          <w:sz w:val="18"/>
          <w:szCs w:val="18"/>
          <w:u w:val="single" w:color="auto"/>
          <w:color w:val="auto"/>
        </w:rPr>
        <w:t>Section 14.03</w:t>
      </w:r>
    </w:p>
    <w:p>
      <w:pPr>
        <w:spacing w:after="0" w:line="9" w:lineRule="exact"/>
        <w:rPr>
          <w:rFonts w:ascii="Times New Roman" w:cs="Times New Roman" w:eastAsia="Times New Roman" w:hAnsi="Times New Roman"/>
          <w:sz w:val="18"/>
          <w:szCs w:val="18"/>
          <w:color w:val="auto"/>
        </w:rPr>
      </w:pPr>
    </w:p>
    <w:p>
      <w:pPr>
        <w:ind w:left="44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instead be deliverable in the type and amount of Reference Property that a holder of that number of Common Shares would have received in such Merger Event and (iii) the Daily VWAP shall be calculated based on the value of a Unit of Reference Property that a holder of one Common Share would have received in such Merger Event; provided, however, that if the holders of Common Shares receive only cash in such Merger Event, then for all exchanges that occur after the effective date of such Merger Event (x) the consideration due upon exchange of each $1,000 principal aggregate amount of Notes shall be solely cash in an amount equal to the Exchange Rate in effect on the Exchange Date (as may be increased by any Additional Shares pursuant to Section 14.06), multiplied by the Share Price in such Merger Event and (y) settlement will occur on the second Trading Day immediately following the Exchange Date;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70" w:right="499" w:bottom="1440" w:gutter="0" w:footer="0" w:header="0"/>
        </w:sectPr>
      </w:pPr>
    </w:p>
    <w:bookmarkStart w:id="79" w:name="page80"/>
    <w:bookmarkEnd w:id="79"/>
    <w:p>
      <w:pPr>
        <w:ind w:left="444" w:firstLine="419"/>
        <w:spacing w:after="0" w:line="282" w:lineRule="auto"/>
        <w:tabs>
          <w:tab w:leader="none" w:pos="11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continue to have the right to determine the form of consideration to be paid and, if applicable, delivered, in respect of its Exchange Obligation upon exchange of Notes in accordance with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20" w:firstLine="991"/>
        <w:spacing w:after="0" w:line="277" w:lineRule="auto"/>
        <w:rPr>
          <w:sz w:val="20"/>
          <w:szCs w:val="20"/>
          <w:color w:val="auto"/>
        </w:rPr>
      </w:pPr>
      <w:r>
        <w:rPr>
          <w:rFonts w:ascii="Times New Roman" w:cs="Times New Roman" w:eastAsia="Times New Roman" w:hAnsi="Times New Roman"/>
          <w:sz w:val="17"/>
          <w:szCs w:val="17"/>
          <w:color w:val="auto"/>
        </w:rPr>
        <w:t>If the Merger Event causes the Common Shares to be converted into, or exchanged for, the right to receive more than a single type of consideration (determined based in part upon any form of shareholder election), the amount and type of Reference Property that a holder of Common Shares would have been entitled to receive in such Merger Event (and for which the Notes will be exchangeable) will be deemed to be the weighted average of the types and amounts of consideration actually received by the holders of the Common Shares. The Company shall notify, in writing, the Holders, the Trustee and the Exchange Agent (if other than the Trustee) of the weighted average as soon as practicable after such determination is made.</w:t>
      </w:r>
    </w:p>
    <w:p>
      <w:pPr>
        <w:spacing w:after="0" w:line="168"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not become a party to any Merger Event unless its terms are consistent with this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xml:space="preserve">. Such supplemental indenture described in the second immediately preceding paragraph shall provide for adjustments which shall be as nearly equivalent to the adjustments provided for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in the judgment of the Board of Trustees or the board of directors of the successor person. If, in the case of any such Merger Event, the Reference Property receivable thereupon by a holder of Common Shares includes shares of stock, securities or other property or assets (including cash or any combination thereof) of a person other than the successor or purchasing person, as the case may be, in such Merger Event, then such supplemental indenture shall also be executed by such other person.</w:t>
      </w:r>
    </w:p>
    <w:p>
      <w:pPr>
        <w:spacing w:after="0" w:line="187" w:lineRule="exact"/>
        <w:rPr>
          <w:sz w:val="20"/>
          <w:szCs w:val="20"/>
          <w:color w:val="auto"/>
        </w:rPr>
      </w:pPr>
    </w:p>
    <w:p>
      <w:pPr>
        <w:ind w:left="4" w:right="40" w:firstLine="436"/>
        <w:spacing w:after="0" w:line="261" w:lineRule="auto"/>
        <w:tabs>
          <w:tab w:leader="none" w:pos="6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cause notice of the execution of such supplemental indenture to be mailed to each Holder, at the address of such Holder as it appears on the register of the Notes maintained by the Note Registrar, within 20 days after execution thereof. Failure to deliver such notice shall not affect the legality or validity of such supplemental indenture. The above provisions of this </w:t>
      </w:r>
      <w:r>
        <w:rPr>
          <w:rFonts w:ascii="Times New Roman" w:cs="Times New Roman" w:eastAsia="Times New Roman" w:hAnsi="Times New Roman"/>
          <w:sz w:val="18"/>
          <w:szCs w:val="18"/>
          <w:u w:val="single" w:color="auto"/>
          <w:color w:val="auto"/>
        </w:rPr>
        <w:t>Section 14.07</w:t>
      </w:r>
      <w:r>
        <w:rPr>
          <w:rFonts w:ascii="Times New Roman" w:cs="Times New Roman" w:eastAsia="Times New Roman" w:hAnsi="Times New Roman"/>
          <w:sz w:val="18"/>
          <w:szCs w:val="18"/>
          <w:color w:val="auto"/>
        </w:rPr>
        <w:t xml:space="preserve"> shall similarly apply to successive Merger Events.</w:t>
      </w:r>
    </w:p>
    <w:p>
      <w:pPr>
        <w:spacing w:after="0" w:line="179"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8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become exchangeable into Reference Property, the Company shall notify the Trustee and issue a press release containing the relevant information, disclose the relevant information in a Current Report on Form 8-K or post such information on the Company’s website.</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Merger Event, the Initial Dividend Threshold will subject to adjustment as described in clause (1), clause (2) or clause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as the case may be.</w:t>
      </w:r>
    </w:p>
    <w:p>
      <w:pPr>
        <w:spacing w:after="0" w:line="202" w:lineRule="exact"/>
        <w:rPr>
          <w:rFonts w:ascii="Times New Roman" w:cs="Times New Roman" w:eastAsia="Times New Roman" w:hAnsi="Times New Roman"/>
          <w:sz w:val="18"/>
          <w:szCs w:val="18"/>
          <w:color w:val="auto"/>
        </w:rPr>
      </w:pPr>
    </w:p>
    <w:p>
      <w:pPr>
        <w:jc w:val="both"/>
        <w:ind w:left="444" w:right="20" w:firstLine="419"/>
        <w:spacing w:after="0" w:line="262" w:lineRule="auto"/>
        <w:tabs>
          <w:tab w:leader="none" w:pos="1122"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Event in which the Reference Property is composed entirely of shares of common stock (the “</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Initial Dividend Threshold at and after the effective time of such Merger Event will be equal to (x) the Initial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Threshold immediately prior to the effective time of such Merger Event, divided by (y) the number of shares of Merger Event Common Stock that a holder of one Common Share would receive in such Merger Event (such quotient rounded down to nearest cent).</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4"/>
          </w:cols>
          <w:pgMar w:left="436" w:top="270" w:right="479" w:bottom="1440" w:gutter="0" w:footer="0" w:header="0"/>
        </w:sectPr>
      </w:pPr>
    </w:p>
    <w:bookmarkStart w:id="80" w:name="page81"/>
    <w:bookmarkEnd w:id="80"/>
    <w:p>
      <w:pPr>
        <w:ind w:left="440" w:right="20" w:firstLine="419"/>
        <w:spacing w:after="0" w:line="261" w:lineRule="auto"/>
        <w:tabs>
          <w:tab w:leader="none" w:pos="111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Merger Event in which the Reference Property is composed in part of shares of Merger Event Common Stock, the Initial Dividend Threshold at and after the effective time of such Merger Event will be equal to (x) the Initial Dividend Threshold immediately prior to the effective time of such Merger Event, multiplied by (y) the Valuation Percentage for such Merger Event (such quotient rounded down to the nearest cent).</w:t>
      </w:r>
    </w:p>
    <w:p>
      <w:pPr>
        <w:spacing w:after="0" w:line="179"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Event in which the Reference Property is composed entirely of consideration other than shares of common stock, the Initial Dividend Threshold at and after the effective time of such Merger Event will be equal to zero.</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subsection (d) of this Section 14.07,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left="440" w:right="20" w:firstLine="419"/>
        <w:spacing w:after="0" w:line="262" w:lineRule="auto"/>
        <w:tabs>
          <w:tab w:leader="none" w:pos="111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Valuation Percentage</w:t>
      </w:r>
      <w:r>
        <w:rPr>
          <w:rFonts w:ascii="Times New Roman" w:cs="Times New Roman" w:eastAsia="Times New Roman" w:hAnsi="Times New Roman"/>
          <w:sz w:val="18"/>
          <w:szCs w:val="18"/>
          <w:color w:val="auto"/>
        </w:rPr>
        <w:t>” for any Merger Event shall be equal to (x) the arithmetic average of the Last Reported Sale Prices of one share of such Merger Event Common Stock over the relevant Merger Event Valuation Period (determined as if references to “Common Shares” in the definition of “Last Reported Sale Price” were references to the “Merger Event Common Stock” for such Merger Event), divided by (y) the arithmetic average of the Last Reported Sale Prices of one Common Share over the relevant Merger Event Valuation Period.</w:t>
      </w:r>
    </w:p>
    <w:p>
      <w:pPr>
        <w:spacing w:after="0" w:line="176" w:lineRule="exact"/>
        <w:rPr>
          <w:rFonts w:ascii="Times New Roman" w:cs="Times New Roman" w:eastAsia="Times New Roman" w:hAnsi="Times New Roman"/>
          <w:sz w:val="18"/>
          <w:szCs w:val="18"/>
          <w:color w:val="auto"/>
        </w:rPr>
      </w:pPr>
    </w:p>
    <w:p>
      <w:pPr>
        <w:ind w:left="440" w:right="160" w:firstLine="419"/>
        <w:spacing w:after="0" w:line="286" w:lineRule="auto"/>
        <w:tabs>
          <w:tab w:leader="none" w:pos="111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Merger Event Valuation Period</w:t>
      </w:r>
      <w:r>
        <w:rPr>
          <w:rFonts w:ascii="Times New Roman" w:cs="Times New Roman" w:eastAsia="Times New Roman" w:hAnsi="Times New Roman"/>
          <w:sz w:val="18"/>
          <w:szCs w:val="18"/>
          <w:color w:val="auto"/>
        </w:rPr>
        <w:t>” for any Merger Event means the five consecutive Trading Day period immediately preceding, but excluding, the effective date for such Merger Event.</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b w:val="1"/>
          <w:bCs w:val="1"/>
          <w:i w:val="1"/>
          <w:iCs w:val="1"/>
          <w:color w:val="auto"/>
        </w:rPr>
        <w:t>Certain Covenants</w:t>
      </w:r>
      <w:r>
        <w:rPr>
          <w:rFonts w:ascii="Times New Roman" w:cs="Times New Roman" w:eastAsia="Times New Roman" w:hAnsi="Times New Roman"/>
          <w:sz w:val="18"/>
          <w:szCs w:val="18"/>
          <w:color w:val="auto"/>
        </w:rPr>
        <w:t>. (a) The REIT covenants that all Common Shares that may be issued upon exchange of Notes shall be newly issued shares or treasury shares, shall be duly authorized, validly issued, fully paid and non-assessable and shall be free from preemptive rights and free from any tax, lien or charge (other than those created by the Holder or due to a change in registered owner).</w:t>
      </w:r>
    </w:p>
    <w:p>
      <w:pPr>
        <w:spacing w:after="0" w:line="175" w:lineRule="exact"/>
        <w:rPr>
          <w:sz w:val="20"/>
          <w:szCs w:val="20"/>
          <w:color w:val="auto"/>
        </w:rPr>
      </w:pPr>
    </w:p>
    <w:p>
      <w:pPr>
        <w:ind w:right="180" w:firstLine="436"/>
        <w:spacing w:after="0" w:line="266"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covenants that, if any Common Shares to be provided for the purpose of exchange of Notes hereunder require registration with or approval of any governmental authority under any federal or state law before such Common Shares may be validly issued upon exchange, the REIT will, to the extent then permitted by the rules and interpretations of the Commission, secure such registration or approval, as the case may be.</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further covenants that it shall list or cause to have quoted any Common Shares to be issued upon exchange of the Notes on each national securities exchange or over-the-counter or other domestic market on which the Common Shares are then listed or quoted.</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satisfy its obligations under this Indenture, the REIT will reserve out of its authorized but unissued Common Shares a sufficient number of Common Shares to permit the exchange of the Notes.</w:t>
      </w:r>
    </w:p>
    <w:p>
      <w:pPr>
        <w:spacing w:after="0" w:line="161"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shall provide, free from preemptive rights, out of its authorized but unissued shares or shares held in treasury, sufficient Common Shares to provide for exchange of the Notes from time to time as such Notes are presented for exchange (assuming that at the time of computation of such number of shares, all such Notes would be exchanged by a single Holder).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70" w:right="499" w:bottom="1440" w:gutter="0" w:footer="0" w:header="0"/>
        </w:sectPr>
      </w:pPr>
    </w:p>
    <w:bookmarkStart w:id="81" w:name="page82"/>
    <w:bookmarkEnd w:id="8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14.09. </w:t>
      </w:r>
      <w:r>
        <w:rPr>
          <w:rFonts w:ascii="Times New Roman" w:cs="Times New Roman" w:eastAsia="Times New Roman" w:hAnsi="Times New Roman"/>
          <w:sz w:val="18"/>
          <w:szCs w:val="18"/>
          <w:b w:val="1"/>
          <w:bCs w:val="1"/>
          <w:i w:val="1"/>
          <w:iCs w:val="1"/>
          <w:color w:val="auto"/>
        </w:rPr>
        <w:t>Responsibility of Trustee</w:t>
      </w:r>
      <w:r>
        <w:rPr>
          <w:rFonts w:ascii="Times New Roman" w:cs="Times New Roman" w:eastAsia="Times New Roman" w:hAnsi="Times New Roman"/>
          <w:sz w:val="18"/>
          <w:szCs w:val="18"/>
          <w:color w:val="auto"/>
        </w:rPr>
        <w:t xml:space="preserve">. The Trustee and any Exchange Agent shall not at any time be under any duty or responsibility to any Holder of Notes to determine or calculate the Exchange Rate, to determine whether any facts exist which may require any adjustment of the Exchange Rate, to confirm the accuracy of any such adjustment when made or the appropriateness of the method employed, or herein or in any supplemental indenture provided to be employed, in making the same or to make any determinations with respect to the ownership limit in the REIT’s Amended and Restated Bylaws. The Trustee and any other Exchange Agent shall not be accountable with respect to the validity or value (or the kind or amount) of any Common Shares or of any other securities or property that may at any time be issued or delivered upon the exchange of any Notes; and the Trustee and the Exchange Agent make no representations with respect thereto. Neither the Trustee nor any Exchange Agent shall be responsible for any failure of the Company to issue, transfer or deliver any Common Shares or share certificates or other securities or property or cash upon the surrender of any Notes for the purpose of exchange or to comply with any of the duties, responsibilities or covenants of the Company contained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The rights, privileges, protections, immunities and benefits given to the Trustee, including without limitation its right to be compensated, reimbursed, and indemnified, are extended to, and shall be enforceable by, the Trustee in each of its capacities hereunder, including its capacity as Exchange Agent.</w:t>
      </w:r>
    </w:p>
    <w:p>
      <w:pPr>
        <w:spacing w:after="0" w:line="182" w:lineRule="exact"/>
        <w:rPr>
          <w:sz w:val="20"/>
          <w:szCs w:val="20"/>
          <w:color w:val="auto"/>
        </w:rPr>
      </w:pPr>
    </w:p>
    <w:p>
      <w:pPr>
        <w:ind w:right="1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Section 14.10. </w:t>
      </w:r>
      <w:r>
        <w:rPr>
          <w:rFonts w:ascii="Times New Roman" w:cs="Times New Roman" w:eastAsia="Times New Roman" w:hAnsi="Times New Roman"/>
          <w:sz w:val="17"/>
          <w:szCs w:val="17"/>
          <w:b w:val="1"/>
          <w:bCs w:val="1"/>
          <w:i w:val="1"/>
          <w:iCs w:val="1"/>
          <w:color w:val="auto"/>
        </w:rPr>
        <w:t>Stockholder Rights Plan</w:t>
      </w:r>
      <w:r>
        <w:rPr>
          <w:rFonts w:ascii="Times New Roman" w:cs="Times New Roman" w:eastAsia="Times New Roman" w:hAnsi="Times New Roman"/>
          <w:sz w:val="17"/>
          <w:szCs w:val="17"/>
          <w:color w:val="auto"/>
        </w:rPr>
        <w:t xml:space="preserve">. Whenever a Holder exchanges a Note, to the extent that the REIT has a rights plan in effect, the Holder exchanging such Note will receive, in addition to any Common Shares otherwise received in connection with such exchange, the rights under the rights plan unless the rights have separated from the Common Shares, in which case, and only in such case, the Exchange Rate will be adjusted at the time of separation as if the REIT distributed to all holders of the Common Shares, shares of Capital Stock, evidences of indebtedness, assets, property, rights, options or warrants as described in </w:t>
      </w:r>
      <w:r>
        <w:rPr>
          <w:rFonts w:ascii="Times New Roman" w:cs="Times New Roman" w:eastAsia="Times New Roman" w:hAnsi="Times New Roman"/>
          <w:sz w:val="17"/>
          <w:szCs w:val="17"/>
          <w:u w:val="single" w:color="auto"/>
          <w:color w:val="auto"/>
        </w:rPr>
        <w:t>Section 14.04(c)</w:t>
      </w:r>
      <w:r>
        <w:rPr>
          <w:rFonts w:ascii="Times New Roman" w:cs="Times New Roman" w:eastAsia="Times New Roman" w:hAnsi="Times New Roman"/>
          <w:sz w:val="17"/>
          <w:szCs w:val="17"/>
          <w:color w:val="auto"/>
        </w:rPr>
        <w:t>, subject to readjustment in the event of the expiration, termination or redemption of such rights.</w:t>
      </w:r>
    </w:p>
    <w:p>
      <w:pPr>
        <w:spacing w:after="0" w:line="164"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b w:val="1"/>
          <w:bCs w:val="1"/>
          <w:i w:val="1"/>
          <w:iCs w:val="1"/>
          <w:color w:val="auto"/>
        </w:rPr>
        <w:t>Deferral of Adjustments</w:t>
      </w:r>
      <w:r>
        <w:rPr>
          <w:rFonts w:ascii="Times New Roman" w:cs="Times New Roman" w:eastAsia="Times New Roman" w:hAnsi="Times New Roman"/>
          <w:sz w:val="18"/>
          <w:szCs w:val="18"/>
          <w:color w:val="auto"/>
        </w:rPr>
        <w:t xml:space="preserve">. Notwithstanding anything to the contrary herein, except on and after the first trading day of any Cash Settlement Averaging Period with respect to a Note and on or prior to the last Trading Day of such Cash Settlement Averaging Period, the Company will not be required to adjust the Exchange Rate unless such adjustment would require an increase or decrease of at least one percent; provided, however, that any such minor adjustments that are not required to be made will be carried forward and taken into account in any subsequent adjustment, and provided, further, that any such adjustment of less than one percent that has not been made shall be made upon the occurrence of (i) the Effective Date for any Make-Whole Fundamental Change; (ii) the Company’s giving of a Redemption Notice pursuant to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and (iii) each Trading Day of the Cash Settlement Averaging Period for any Notes that are exchanged.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66" w:right="439" w:bottom="1440" w:gutter="0" w:footer="0" w:header="0"/>
        </w:sectPr>
      </w:pPr>
    </w:p>
    <w:bookmarkStart w:id="82" w:name="page83"/>
    <w:bookmarkEnd w:id="82"/>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14.12. </w:t>
      </w:r>
      <w:r>
        <w:rPr>
          <w:rFonts w:ascii="Times New Roman" w:cs="Times New Roman" w:eastAsia="Times New Roman" w:hAnsi="Times New Roman"/>
          <w:sz w:val="18"/>
          <w:szCs w:val="18"/>
          <w:b w:val="1"/>
          <w:bCs w:val="1"/>
          <w:i w:val="1"/>
          <w:iCs w:val="1"/>
          <w:color w:val="auto"/>
        </w:rPr>
        <w:t>Notice to Holders</w:t>
      </w:r>
      <w:r>
        <w:rPr>
          <w:rFonts w:ascii="Times New Roman" w:cs="Times New Roman" w:eastAsia="Times New Roman" w:hAnsi="Times New Roman"/>
          <w:sz w:val="18"/>
          <w:szCs w:val="18"/>
          <w:color w:val="auto"/>
        </w:rPr>
        <w:t>. The Company shall deliver notices of the events specified below at the times specified below and containing the information specified below unless, in each case, (i) pursuant to the Indenture, the Company is already required to deliver notice of such event containing at least the information specified below at an earlier time or, (ii) the Company, at the time it is required to deliver a notice, does not have knowledge of all of the information required to be included in such notice, in which case, the Company shall (A) deliver notice at such time containing only the information that it has knowledge of at such time (if it has knowledge of any such information at such time), and (B) promptly upon obtaining knowledge of any such information not already included in a notice delivered by the Company, deliver notice to each Holder containing such information. In each case, the failure by the Company to give such notice, or any defect therein, shall not affect the legality or validity of such event.</w:t>
      </w:r>
    </w:p>
    <w:p>
      <w:pPr>
        <w:spacing w:after="0" w:line="185" w:lineRule="exact"/>
        <w:rPr>
          <w:sz w:val="20"/>
          <w:szCs w:val="20"/>
          <w:color w:val="auto"/>
        </w:rPr>
      </w:pPr>
    </w:p>
    <w:p>
      <w:pPr>
        <w:ind w:right="120" w:firstLine="987"/>
        <w:spacing w:after="0" w:line="254" w:lineRule="auto"/>
        <w:tabs>
          <w:tab w:leader="none" w:pos="12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Distributions, and Dividends and Distributions</w:t>
      </w:r>
      <w:r>
        <w:rPr>
          <w:rFonts w:ascii="Times New Roman" w:cs="Times New Roman" w:eastAsia="Times New Roman" w:hAnsi="Times New Roman"/>
          <w:sz w:val="18"/>
          <w:szCs w:val="18"/>
          <w:color w:val="auto"/>
        </w:rPr>
        <w:t>. If the Company or the REIT: (A) announces any issuance of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options or warrants that would require an adjustment in the Exchange Rate pursuant to </w:t>
      </w:r>
      <w:r>
        <w:rPr>
          <w:rFonts w:ascii="Times New Roman" w:cs="Times New Roman" w:eastAsia="Times New Roman" w:hAnsi="Times New Roman"/>
          <w:sz w:val="18"/>
          <w:szCs w:val="18"/>
          <w:u w:val="single" w:color="auto"/>
          <w:color w:val="auto"/>
        </w:rPr>
        <w:t>Section 14.04(b)</w:t>
      </w:r>
      <w:r>
        <w:rPr>
          <w:rFonts w:ascii="Times New Roman" w:cs="Times New Roman" w:eastAsia="Times New Roman" w:hAnsi="Times New Roman"/>
          <w:sz w:val="18"/>
          <w:szCs w:val="18"/>
          <w:color w:val="auto"/>
        </w:rPr>
        <w:t xml:space="preserve">; (B) authorizes any distribution that would require an adjustment in the Exchange Rate pursuant to </w:t>
      </w:r>
      <w:r>
        <w:rPr>
          <w:rFonts w:ascii="Times New Roman" w:cs="Times New Roman" w:eastAsia="Times New Roman" w:hAnsi="Times New Roman"/>
          <w:sz w:val="18"/>
          <w:szCs w:val="18"/>
          <w:u w:val="single" w:color="auto"/>
          <w:color w:val="auto"/>
        </w:rPr>
        <w:t>Section 14.04(c)</w:t>
      </w:r>
      <w:r>
        <w:rPr>
          <w:rFonts w:ascii="Times New Roman" w:cs="Times New Roman" w:eastAsia="Times New Roman" w:hAnsi="Times New Roman"/>
          <w:sz w:val="18"/>
          <w:szCs w:val="18"/>
          <w:color w:val="auto"/>
        </w:rPr>
        <w:t xml:space="preserve"> hereof (including any separation of rights from the Common Shares described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xml:space="preserve">); or (C) announces any dividend or distribution that would require an adjustment in the Exchange Rate pursuant to </w:t>
      </w:r>
      <w:r>
        <w:rPr>
          <w:rFonts w:ascii="Times New Roman" w:cs="Times New Roman" w:eastAsia="Times New Roman" w:hAnsi="Times New Roman"/>
          <w:sz w:val="18"/>
          <w:szCs w:val="18"/>
          <w:u w:val="single" w:color="auto"/>
          <w:color w:val="auto"/>
        </w:rPr>
        <w:t>Section 14.04(d)</w:t>
      </w:r>
      <w:r>
        <w:rPr>
          <w:rFonts w:ascii="Times New Roman" w:cs="Times New Roman" w:eastAsia="Times New Roman" w:hAnsi="Times New Roman"/>
          <w:sz w:val="18"/>
          <w:szCs w:val="18"/>
          <w:color w:val="auto"/>
        </w:rPr>
        <w:t>, then the Company shall deliver to the Holders, as promptly as possible, but in any event at least 15 calendar days prior to the applicable Ex-Dividend Date, notice describing such issuance, distribution, dividend or distribution, as the case may be, and stating the expected Ex-Dividend Date and Record Date for such issuance, distribution, dividend or distribution, as the case may be. In addition, the Company shall deliver to the Holders notice if the consideration included in such issuance, distribution, dividend or distribution, or the Ex-Dividend Date or Record Date of such issuance, distribution, dividend or distribution, as the case may be, changes.</w:t>
      </w:r>
    </w:p>
    <w:p>
      <w:pPr>
        <w:spacing w:after="0" w:line="188" w:lineRule="exact"/>
        <w:rPr>
          <w:rFonts w:ascii="Times New Roman" w:cs="Times New Roman" w:eastAsia="Times New Roman" w:hAnsi="Times New Roman"/>
          <w:sz w:val="18"/>
          <w:szCs w:val="18"/>
          <w:color w:val="auto"/>
        </w:rPr>
      </w:pPr>
    </w:p>
    <w:p>
      <w:pPr>
        <w:ind w:firstLine="987"/>
        <w:spacing w:after="0" w:line="267" w:lineRule="auto"/>
        <w:tabs>
          <w:tab w:leader="none" w:pos="12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Increases</w:t>
      </w:r>
      <w:r>
        <w:rPr>
          <w:rFonts w:ascii="Times New Roman" w:cs="Times New Roman" w:eastAsia="Times New Roman" w:hAnsi="Times New Roman"/>
          <w:sz w:val="18"/>
          <w:szCs w:val="18"/>
          <w:color w:val="auto"/>
        </w:rPr>
        <w:t>. If the Company increases the Exchange Rate pursuant to Section 14.05(b), the Company shall deliver notice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at least 15 calendar days prior to the date on which such increase will become effective, which notice shall state the date on which such increased will become effective and the amount by which the Exchange Rate will be increased.</w:t>
      </w:r>
    </w:p>
    <w:p>
      <w:pPr>
        <w:spacing w:after="0" w:line="173" w:lineRule="exact"/>
        <w:rPr>
          <w:rFonts w:ascii="Times New Roman" w:cs="Times New Roman" w:eastAsia="Times New Roman" w:hAnsi="Times New Roman"/>
          <w:sz w:val="18"/>
          <w:szCs w:val="18"/>
          <w:color w:val="auto"/>
        </w:rPr>
      </w:pPr>
    </w:p>
    <w:p>
      <w:pPr>
        <w:ind w:right="20" w:firstLine="987"/>
        <w:spacing w:after="0" w:line="272" w:lineRule="auto"/>
        <w:tabs>
          <w:tab w:leader="none" w:pos="1306"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Dissolutions, Liquidations and Winding-Ups</w:t>
      </w:r>
      <w:r>
        <w:rPr>
          <w:rFonts w:ascii="Times New Roman" w:cs="Times New Roman" w:eastAsia="Times New Roman" w:hAnsi="Times New Roman"/>
          <w:sz w:val="17"/>
          <w:szCs w:val="17"/>
          <w:color w:val="auto"/>
        </w:rPr>
        <w:t>. If there is a voluntary or involuntary dissolution, liquidation or winding-up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the REIT, the Company shall deliver notice to the Holders as promptly as possible, but in any event at least 15 calendar days prior to the earlier of (i) the date on which such dissolution, liquidation or winding-up, as the case may be, is expected to become effective or occur, and (ii) the date as of which it is expected that holders of Common Shares of record shall be entitled to exchange their Common Shares for securities or other property deliverable upon such dissolution, liquidation or winding-up, as the case may be, which notice shall state the expected effective date and Record Date for such event, as applicable, and the amount and kind of property that a holder of one Common Share is expected to be entitled, or may elect, to receive in such event. The Company shall deliver an additional notice to holders, as promptly as practicable, whenever the expected effective date or Record Date, as applicable, or the amount and kind of property that a holder of one Common Share is expected to be entitled to receive in such event, changes.</w:t>
      </w:r>
    </w:p>
    <w:p>
      <w:pPr>
        <w:spacing w:after="0" w:line="171" w:lineRule="exact"/>
        <w:rPr>
          <w:rFonts w:ascii="Times New Roman" w:cs="Times New Roman" w:eastAsia="Times New Roman" w:hAnsi="Times New Roman"/>
          <w:sz w:val="17"/>
          <w:szCs w:val="17"/>
          <w:color w:val="auto"/>
        </w:rPr>
      </w:pPr>
    </w:p>
    <w:p>
      <w:pPr>
        <w:ind w:right="20" w:firstLine="436"/>
        <w:spacing w:after="0" w:line="258"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After Certain Actions and Events</w:t>
      </w:r>
      <w:r>
        <w:rPr>
          <w:rFonts w:ascii="Times New Roman" w:cs="Times New Roman" w:eastAsia="Times New Roman" w:hAnsi="Times New Roman"/>
          <w:sz w:val="18"/>
          <w:szCs w:val="18"/>
          <w:color w:val="auto"/>
        </w:rPr>
        <w:t>. Whenever an adjustment to the Exchange Rate becomes effective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14.05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14.06</w:t>
      </w:r>
      <w:r>
        <w:rPr>
          <w:rFonts w:ascii="Times New Roman" w:cs="Times New Roman" w:eastAsia="Times New Roman" w:hAnsi="Times New Roman"/>
          <w:sz w:val="18"/>
          <w:szCs w:val="18"/>
          <w:color w:val="auto"/>
        </w:rPr>
        <w:t xml:space="preserve"> hereof, the Company will (i) file with the Trustee an Officer’s Certificate stating that such adjustment has become effective, the Exchange Rate, and the manner in which the adjustment was computed and (ii) deliver notice to the Holders stating that such adjustment has become effective and the Exchange Rate or exchange privilege as adjusted. Failure to give any such notice, or any defect therein, shall not affect the validity of any such adjustment.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66"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14.13. Exchange in Lieu of Exchange.</w:t>
      </w:r>
    </w:p>
    <w:p>
      <w:pPr>
        <w:spacing w:after="0" w:line="221" w:lineRule="exact"/>
        <w:rPr>
          <w:sz w:val="20"/>
          <w:szCs w:val="20"/>
          <w:color w:val="auto"/>
        </w:rPr>
      </w:pPr>
    </w:p>
    <w:p>
      <w:pPr>
        <w:ind w:firstLine="436"/>
        <w:spacing w:after="0" w:line="254" w:lineRule="auto"/>
        <w:tabs>
          <w:tab w:leader="none" w:pos="6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exchange,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Exchange Agent to deliver, on or prior to the Trading Day immediately following the Exchange Date, such Notes to one or more financial institutions designated by the Company (each,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exchange. In order to accept any Notes surrendered for exchange, the Designated Financial Institution(s) must agree to timely pay and deliver, as the case may be, in exchange for such Notes, cash up to the aggregate principal amount of such Notes and cash, Common Shares or combination thereof, at the Company’s election, in respect of the remainder, if any, of the Exchange Obligation in excess of the aggregate principal amount of such Notes that would otherwise be due upon exchange pursuant to Section 14.03 or such other amount agreed to by the Holder and the Designated Financial Institution(s) (the “</w:t>
      </w:r>
      <w:r>
        <w:rPr>
          <w:rFonts w:ascii="Times New Roman" w:cs="Times New Roman" w:eastAsia="Times New Roman" w:hAnsi="Times New Roman"/>
          <w:sz w:val="18"/>
          <w:szCs w:val="18"/>
          <w:b w:val="1"/>
          <w:bCs w:val="1"/>
          <w:color w:val="auto"/>
        </w:rPr>
        <w:t>Exchange Consideration</w:t>
      </w:r>
      <w:r>
        <w:rPr>
          <w:rFonts w:ascii="Times New Roman" w:cs="Times New Roman" w:eastAsia="Times New Roman" w:hAnsi="Times New Roman"/>
          <w:sz w:val="18"/>
          <w:szCs w:val="18"/>
          <w:color w:val="auto"/>
        </w:rPr>
        <w:t>”). If the Company makes an Exchange Election, the Company shall, by the close of business on the Trading Day following the relevant Exchange Date, notify in writing the Trustee, the Exchange Agent (if other than the Trustee) and the Holder surrendering Notes for exchange that the Company has made the Exchange Election, and the Company shall promptly notify the Designated Financial Institution(s) of the relevant deadline for delivery of the Exchange Consideration and the applicable Cash Percentage.</w:t>
      </w:r>
    </w:p>
    <w:p>
      <w:pPr>
        <w:spacing w:after="0" w:line="186"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of the Depositary. If the Designated Financial Institution(s) agree(s) to accept any Notes for exchange but does not timely pay and deliver, as the case may be, the related Exchange Consideration, or if such Designated Financial Institution(s) does not accept the Notes for exchange, the Company shall pay and deliver, as the case may be, the relevant Exchange Consideration, as, and at the time, required pursuant to this Indenture as if the Company had not made the Exchange Election.</w:t>
      </w:r>
    </w:p>
    <w:p>
      <w:pPr>
        <w:spacing w:after="0" w:line="183"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does not require such Designated Financial Institution(s) to accept any Notes.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REPURCHASE OF NOTES AT OPTION OF HOLDERS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15.01. [</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color w:val="auto"/>
        </w:rPr>
        <w:t xml:space="preserve">Section 15.02. </w:t>
      </w:r>
      <w:r>
        <w:rPr>
          <w:rFonts w:ascii="Times New Roman" w:cs="Times New Roman" w:eastAsia="Times New Roman" w:hAnsi="Times New Roman"/>
          <w:sz w:val="17"/>
          <w:szCs w:val="17"/>
          <w:b w:val="1"/>
          <w:bCs w:val="1"/>
          <w:i w:val="1"/>
          <w:iCs w:val="1"/>
          <w:color w:val="auto"/>
        </w:rPr>
        <w:t>Purchase at Option of Holders Upon a Fundamental Change</w:t>
      </w:r>
      <w:r>
        <w:rPr>
          <w:rFonts w:ascii="Times New Roman" w:cs="Times New Roman" w:eastAsia="Times New Roman" w:hAnsi="Times New Roman"/>
          <w:sz w:val="17"/>
          <w:szCs w:val="17"/>
          <w:color w:val="auto"/>
        </w:rPr>
        <w:t>. (a) If a Fundamental Change occurs at any time, then each Holder shall have the right, at such Holder’s option, to require the Company to purchase for cash all of such Holder’s Notes, or any portion thereof such that the remaining principal amount of each Note that is not purchased in full equals $1,000 or an integral multiple of $1,000 in excess thereof, on a date (the “Fundamental Change Purchase Date”) specified by the Company that is not less than 20 calendar days or more than 35 calendar days following the date on which the Company delivers the Fundamental Change Company Notice, at a cash purchase price equal to 100% of the principal amount thereof, plus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4" w:name="page85"/>
    <w:bookmarkEnd w:id="8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accrued and unpaid interest thereon, if any, to, but excluding, the Fundamental Change Purchase Date (the “Fundamental Change Purchase Price”); provided, however, that if the Company purchases a Note on a Fundamental Change Purchase Date that is after a Regular Record Date and on or prior to the Interest Payment Date corresponding to such Regular Record Date, the Company shall instead pay such accrued and unpaid interest on such Note on the Interest Payment Date to the Holder of record of such Note as of such Regular Record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Purchases of Notes under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shall be made, at the option of the Holder thereof, upon: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if the Notes to be purchased are Physical Notes, delivery to the Paying Agent by the Holder of a duly completed notice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Purchase Notice</w:t>
      </w:r>
      <w:r>
        <w:rPr>
          <w:rFonts w:ascii="Times New Roman" w:cs="Times New Roman" w:eastAsia="Times New Roman" w:hAnsi="Times New Roman"/>
          <w:sz w:val="18"/>
          <w:szCs w:val="18"/>
          <w:color w:val="auto"/>
        </w:rPr>
        <w:t xml:space="preserve">”) in the form set forth in Attachment 2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endorsed for transfer, on or before the Close of Business on the Business Day immediately preceding the Fundamental Change Purchase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extensions to comply with applicable law (the “</w:t>
      </w:r>
      <w:r>
        <w:rPr>
          <w:rFonts w:ascii="Times New Roman" w:cs="Times New Roman" w:eastAsia="Times New Roman" w:hAnsi="Times New Roman"/>
          <w:sz w:val="18"/>
          <w:szCs w:val="18"/>
          <w:b w:val="1"/>
          <w:bCs w:val="1"/>
          <w:color w:val="auto"/>
        </w:rPr>
        <w:t>Fundamental Change Expiration Time</w:t>
      </w: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jc w:val="both"/>
        <w:ind w:right="580" w:firstLine="987"/>
        <w:spacing w:after="0" w:line="266" w:lineRule="auto"/>
        <w:tabs>
          <w:tab w:leader="none" w:pos="1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to be purchased are Global Notes, delivery of the Notes, by book-entry transfer, in compliance with the Applicable Procedures and the satisfaction of any other requirements of the Depositary in connection with tendering beneficial interests in a Global Note for purchase, by the Fundamental Change Expiration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Fundamental Change Purchase Notice in respect of any Notes to be purchased shall state:</w:t>
      </w:r>
    </w:p>
    <w:p>
      <w:pPr>
        <w:spacing w:after="0" w:line="225" w:lineRule="exact"/>
        <w:rPr>
          <w:sz w:val="20"/>
          <w:szCs w:val="20"/>
          <w:color w:val="auto"/>
        </w:rPr>
      </w:pPr>
    </w:p>
    <w:p>
      <w:pPr>
        <w:ind w:left="1200" w:hanging="213"/>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certificated, the certificate numbers of such Notes;</w:t>
      </w:r>
    </w:p>
    <w:p>
      <w:pPr>
        <w:spacing w:after="0" w:line="225" w:lineRule="exact"/>
        <w:rPr>
          <w:rFonts w:ascii="Times New Roman" w:cs="Times New Roman" w:eastAsia="Times New Roman" w:hAnsi="Times New Roman"/>
          <w:sz w:val="18"/>
          <w:szCs w:val="18"/>
          <w:color w:val="auto"/>
        </w:rPr>
      </w:pPr>
    </w:p>
    <w:p>
      <w:pPr>
        <w:ind w:right="340" w:firstLine="987"/>
        <w:spacing w:after="0" w:line="282" w:lineRule="auto"/>
        <w:tabs>
          <w:tab w:leader="none" w:pos="12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such Notes, which must be such that the principal amount that is not to be purchased of each Note that is not to be purchased in full equals $1,000 or an integral multiple of $1,000 in excess thereof; and</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Notes are to be purchased by the Company pursuant to the applicable provisions of the Notes and this Indenture.</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any Holder delivering to the Paying Agent the Fundamental Change Purchase Notice contemplated by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shall have the right to withdraw, in whole or in part, such Fundamental Change Purchase Notice at any time prior to the Fundamental Change Expiration Time by delivery of a written notice of withdrawal to the Paying Agent in accordance with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Purchase Notice or written notice of withdrawal thereof.</w:t>
      </w:r>
    </w:p>
    <w:p>
      <w:pPr>
        <w:spacing w:after="0" w:line="162" w:lineRule="exact"/>
        <w:rPr>
          <w:sz w:val="20"/>
          <w:szCs w:val="20"/>
          <w:color w:val="auto"/>
        </w:rPr>
      </w:pPr>
    </w:p>
    <w:p>
      <w:pPr>
        <w:ind w:right="140" w:firstLine="436"/>
        <w:spacing w:after="0" w:line="261"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calendar day after the occurrence of a Fundamental Change, the Company shall provide to all Holders of the Notes, the Trustee, the Exchange Agent and the Paying Agent (in the case of any Exchange Agent or Paying Agent other than the Trustee) a notice (the “</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of the occurrence of such Fundamental Change and of the purchase right at the option of the Holders arising as a result thereof. Such notice shall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5" w:name="page86"/>
    <w:bookmarkEnd w:id="85"/>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sent by first class mail or, in the case of any Global Notes, in accordance with the procedures of the Depositary for providing notices. Simultaneously with providing such Fundamental Change Company Notice, the Company shall publish a press release containing this information or publish this information on the Company’s website or through such other public medium as the Company may use at that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Fundamental Change Company Notice shall specify:</w:t>
      </w:r>
    </w:p>
    <w:p>
      <w:pPr>
        <w:spacing w:after="0" w:line="225" w:lineRule="exact"/>
        <w:rPr>
          <w:sz w:val="20"/>
          <w:szCs w:val="20"/>
          <w:color w:val="auto"/>
        </w:rPr>
      </w:pPr>
    </w:p>
    <w:p>
      <w:pPr>
        <w:ind w:left="1200" w:hanging="213"/>
        <w:spacing w:after="0"/>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Fundamental Change;</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last date on which a Holder of Notes may exercise the purchase right pursuant to this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Purchase Price;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Purchase Date;</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Exchange Agent, if applicable;</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Exchange Rate and any adjustments to the applicable Exchange Rate;</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3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Purchase Notice has been delivered by a Holder may be exchanged only if the Holder withdraws the Fundamental Change Purchase Notice in accordance with this Indenture;</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Holder shall have the right to withdraw any Notes surrendered for purchase prior to the Fundamental Change Expiration Time;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purchase their Notes.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 failure of the Company to give the foregoing notices and no defect therein shall limit the purchase rights of the Holders of Notes or affect the validity of the proceedings for the purchase of the Notes pursuant to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Company shall not be required to deliver a Fundamental Change Company Notice or to purchase any Notes upon the occurrence of a Fundamental Change if the Company has delivered a Redemption Notice for all of the Notes in accordance with </w:t>
      </w:r>
      <w:r>
        <w:rPr>
          <w:rFonts w:ascii="Times New Roman" w:cs="Times New Roman" w:eastAsia="Times New Roman" w:hAnsi="Times New Roman"/>
          <w:sz w:val="18"/>
          <w:szCs w:val="18"/>
          <w:u w:val="single" w:color="auto"/>
          <w:color w:val="auto"/>
        </w:rPr>
        <w:t>Section 16.02</w:t>
      </w:r>
      <w:r>
        <w:rPr>
          <w:rFonts w:ascii="Times New Roman" w:cs="Times New Roman" w:eastAsia="Times New Roman" w:hAnsi="Times New Roman"/>
          <w:sz w:val="18"/>
          <w:szCs w:val="18"/>
          <w:color w:val="auto"/>
        </w:rPr>
        <w:t>, unless and until there is a default in the payment of the Redemption Price.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6" w:name="page87"/>
    <w:bookmarkEnd w:id="86"/>
    <w:p>
      <w:pPr>
        <w:ind w:right="40" w:firstLine="436"/>
        <w:spacing w:after="0" w:line="254"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there shall be no purchase of any Notes pursuant to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if the principal amount of the Notes has been accelerated, and such acceleration has not been rescinded, on or prior to the Fundamental Change Purchase Date (except in the case of an acceleration resulting from a Default by the Company in the payment of the Fundamental Change 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Purchase Price with respect to such Notes) and shall deem to be cancelled any instructions for book-entry transfer of the Notes in compliance with the procedures of the Depositary, in which case, upon such return or cancellation, as the case may be, the Fundamental Change Purchase Notice with respect thereto shall be deemed to have been withdrawn.</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b w:val="1"/>
          <w:bCs w:val="1"/>
          <w:i w:val="1"/>
          <w:iCs w:val="1"/>
          <w:color w:val="auto"/>
        </w:rPr>
        <w:t>Effect of Fundamental Change Purchase Notice</w:t>
      </w:r>
      <w:r>
        <w:rPr>
          <w:rFonts w:ascii="Times New Roman" w:cs="Times New Roman" w:eastAsia="Times New Roman" w:hAnsi="Times New Roman"/>
          <w:sz w:val="18"/>
          <w:szCs w:val="18"/>
          <w:color w:val="auto"/>
        </w:rPr>
        <w:t xml:space="preserve">. Upon receipt by the Paying Agent of a Fundamental Change Purchase Notice specified in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the Holder of the Note in respect of which such Fundamental Change Purchase Notice was given shall (unless such Fundamental Change Purchase Notice is withdrawn in accordance with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 xml:space="preserve">) thereafter be entitled to receive solely the Fundamental Change Purchase Price in cash with respect to such Note (and any previously accrued and unpaid interest on such Note). Such Fundamental Change Purchase Price shall be paid to such Holder, subject to receipt of funds by the Paying Agent, on the later of (x) the applicable Fundamental Change Purchase Date (provided the conditions in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have been satisfied) and (y) the time of delivery or book-entry transfer of such Note to the Paying Agent by the Holder thereof in the manner required by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subject in each case to extensions to comply with applicable law.</w:t>
      </w:r>
    </w:p>
    <w:p>
      <w:pPr>
        <w:spacing w:after="0" w:line="183"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b w:val="1"/>
          <w:bCs w:val="1"/>
          <w:i w:val="1"/>
          <w:iCs w:val="1"/>
          <w:color w:val="auto"/>
        </w:rPr>
        <w:t>Withdrawal of Fundamental Change Purchase Notice</w:t>
      </w:r>
      <w:r>
        <w:rPr>
          <w:rFonts w:ascii="Times New Roman" w:cs="Times New Roman" w:eastAsia="Times New Roman" w:hAnsi="Times New Roman"/>
          <w:sz w:val="18"/>
          <w:szCs w:val="18"/>
          <w:color w:val="auto"/>
        </w:rPr>
        <w:t>. A Fundamental Change Purchase Notice may be withdrawn (in whole or in part) by means of a written notice of withdrawal delivered to the Paying Agent in accordance with the Fundamental Change Company Notice at any time prior to the Fundamental Change Expiration Time, specifying:</w:t>
      </w:r>
    </w:p>
    <w:p>
      <w:pPr>
        <w:spacing w:after="0" w:line="175" w:lineRule="exact"/>
        <w:rPr>
          <w:sz w:val="20"/>
          <w:szCs w:val="20"/>
          <w:color w:val="auto"/>
        </w:rPr>
      </w:pPr>
    </w:p>
    <w:p>
      <w:pPr>
        <w:ind w:left="700" w:hanging="264"/>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Notes have been issued, the certificate numbers of the withdrawn Notes; and</w:t>
      </w:r>
    </w:p>
    <w:p>
      <w:pPr>
        <w:spacing w:after="0" w:line="225"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each Note that remains subject to the Fundamental Change Purchase Notice, which must be such that the principal amount not to be purchased equals $1,000 or an integral multiple of $1,000 in excess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if the Notes are Global Notes, the notice must comply with Applicable Procedures.</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Paying Agent will promptly return to the respective Holders thereof any Physical Notes with respect to which a Fundamental Change Purchase Notice has been withdrawn in compliance with the provisions of this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b w:val="1"/>
          <w:bCs w:val="1"/>
          <w:i w:val="1"/>
          <w:iCs w:val="1"/>
          <w:color w:val="auto"/>
        </w:rPr>
        <w:t>Deposit of Fundamental Change Purchase Price</w:t>
      </w:r>
      <w:r>
        <w:rPr>
          <w:rFonts w:ascii="Times New Roman" w:cs="Times New Roman" w:eastAsia="Times New Roman" w:hAnsi="Times New Roman"/>
          <w:sz w:val="18"/>
          <w:szCs w:val="18"/>
          <w:color w:val="auto"/>
        </w:rPr>
        <w:t>. Prior to 11:00 a.m., New York City time, on the Fundamental Change Purchase Date, the Company shall deposit with the Paying Agent (or, if the Company or a Subsidiary or an Affiliate of either of them is acting as the Paying Agent, shall segregate and hold in trust as provided herein) an amount of money (in immediately available funds if deposited on such Business Day) sufficient to pay the Fundamental</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0"/>
          </w:cols>
          <w:pgMar w:left="440" w:top="270" w:right="499" w:bottom="1440" w:gutter="0" w:footer="0" w:header="0"/>
        </w:sectPr>
      </w:pPr>
    </w:p>
    <w:bookmarkStart w:id="87" w:name="page88"/>
    <w:bookmarkEnd w:id="87"/>
    <w:p>
      <w:pPr>
        <w:ind w:left="4"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Purchase Price of all the Notes or portions thereof that are to be purchased as of the Fundamental Change Purchase Date. If the Paying Agent holds cash sufficient to pay the Fundamental Change Purchase Price of the Notes that have been properly surrendered for purchase and not validly withdrawn and for which a Fundamental Change Purchase Notice has been tendered and not withdrawn in accordance with this Indenture on the Fundamental Change Purchase Date, then as of such Fundamental Change Purchase Date, (a) such Notes will cease to be outstanding and interest will cease to accrue thereon (whether or not book-entry transfer of such Notes is made or whether or not such Notes have been delivered to the Paying Agent) and (b) all other rights of the Holders in respect thereof will terminate (other than the right to receive the Fundamental Change Purchase Price and previously accrued and unpaid interest thereon upon delivery or book-entry transfer of such Notes).</w:t>
      </w:r>
    </w:p>
    <w:p>
      <w:pPr>
        <w:spacing w:after="0" w:line="18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b w:val="1"/>
          <w:bCs w:val="1"/>
          <w:i w:val="1"/>
          <w:iCs w:val="1"/>
          <w:color w:val="auto"/>
        </w:rPr>
        <w:t>Notes Purchased in Whole or in Part</w:t>
      </w:r>
      <w:r>
        <w:rPr>
          <w:rFonts w:ascii="Times New Roman" w:cs="Times New Roman" w:eastAsia="Times New Roman" w:hAnsi="Times New Roman"/>
          <w:sz w:val="18"/>
          <w:szCs w:val="18"/>
          <w:color w:val="auto"/>
        </w:rPr>
        <w:t>. Any Note that is to be purchased, whether in whole or in part, shall be surrendered at the office of the Paying Agent (with, if the Company or the Trustee so requires in the case of Physical Notes,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any authorized denomination as requested by such Holder in aggregate principal amount equal to, and in exchange for, the portion of the principal amount of the Note so surrendered that is not purchased.</w:t>
      </w:r>
    </w:p>
    <w:p>
      <w:pPr>
        <w:spacing w:after="0" w:line="182"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15.07. </w:t>
      </w:r>
      <w:r>
        <w:rPr>
          <w:rFonts w:ascii="Times New Roman" w:cs="Times New Roman" w:eastAsia="Times New Roman" w:hAnsi="Times New Roman"/>
          <w:sz w:val="17"/>
          <w:szCs w:val="17"/>
          <w:b w:val="1"/>
          <w:bCs w:val="1"/>
          <w:i w:val="1"/>
          <w:iCs w:val="1"/>
          <w:color w:val="auto"/>
        </w:rPr>
        <w:t>Covenant to Comply with Applicable Laws Upon Purchase of Notes</w:t>
      </w:r>
      <w:r>
        <w:rPr>
          <w:rFonts w:ascii="Times New Roman" w:cs="Times New Roman" w:eastAsia="Times New Roman" w:hAnsi="Times New Roman"/>
          <w:sz w:val="17"/>
          <w:szCs w:val="17"/>
          <w:color w:val="auto"/>
        </w:rPr>
        <w:t xml:space="preserve">. In connection with any offer to purchase Notes under </w:t>
      </w:r>
      <w:r>
        <w:rPr>
          <w:rFonts w:ascii="Times New Roman" w:cs="Times New Roman" w:eastAsia="Times New Roman" w:hAnsi="Times New Roman"/>
          <w:sz w:val="17"/>
          <w:szCs w:val="17"/>
          <w:u w:val="single" w:color="auto"/>
          <w:color w:val="auto"/>
        </w:rPr>
        <w:t>Section 15.02</w:t>
      </w:r>
      <w:r>
        <w:rPr>
          <w:rFonts w:ascii="Times New Roman" w:cs="Times New Roman" w:eastAsia="Times New Roman" w:hAnsi="Times New Roman"/>
          <w:sz w:val="17"/>
          <w:szCs w:val="17"/>
          <w:color w:val="auto"/>
        </w:rPr>
        <w:t>, the Company shall, in each case if required by law, (i) comply with Rule 13e-4, Rule 14e-1 and any other tender offer and other applicable rules under the Exchange Act that may then be applicable, (ii) file a Schedule TO or any other required schedule under the Exchange Act and</w:t>
      </w:r>
    </w:p>
    <w:p>
      <w:pPr>
        <w:spacing w:after="0" w:line="1" w:lineRule="exact"/>
        <w:rPr>
          <w:sz w:val="20"/>
          <w:szCs w:val="20"/>
          <w:color w:val="auto"/>
        </w:rPr>
      </w:pPr>
    </w:p>
    <w:p>
      <w:pPr>
        <w:ind w:left="4" w:hanging="4"/>
        <w:spacing w:after="0" w:line="252" w:lineRule="auto"/>
        <w:tabs>
          <w:tab w:leader="none" w:pos="3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comply with all U.S. federal and state securities laws applicable to the Company in connection with such purchase offer, in each case, so as to permit the rights and obligations under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to be exercised in the time and in the manner specified in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To the extent that the provisions of any securities laws or regulations enacted or adopted after the date on which the Notes are first issued conflict with the provisions of this Indenture relating to the obligations of the Company to purchase the Notes upon a Fundamental Change, the Company will comply with the applicable securities laws and regulations and will not be deemed to have breached its obligations under such provisions of this Indenture by virtue of such conflict. In such event, the Company shall deliver to the Trustee an Opinion of Counsel to the effect that the purchase of the Notes complies with applicable securities laws and regulations.</w:t>
      </w:r>
    </w:p>
    <w:p>
      <w:pPr>
        <w:spacing w:after="0" w:line="184"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15.08. </w:t>
      </w:r>
      <w:r>
        <w:rPr>
          <w:rFonts w:ascii="Times New Roman" w:cs="Times New Roman" w:eastAsia="Times New Roman" w:hAnsi="Times New Roman"/>
          <w:sz w:val="18"/>
          <w:szCs w:val="18"/>
          <w:b w:val="1"/>
          <w:bCs w:val="1"/>
          <w:i w:val="1"/>
          <w:iCs w:val="1"/>
          <w:color w:val="auto"/>
        </w:rPr>
        <w:t>Repayment to the Company</w:t>
      </w:r>
      <w:r>
        <w:rPr>
          <w:rFonts w:ascii="Times New Roman" w:cs="Times New Roman" w:eastAsia="Times New Roman" w:hAnsi="Times New Roman"/>
          <w:sz w:val="18"/>
          <w:szCs w:val="18"/>
          <w:color w:val="auto"/>
        </w:rPr>
        <w:t xml:space="preserve">. To the extent that the aggregate amount of cash deposited by the Company pursuant to </w:t>
      </w:r>
      <w:r>
        <w:rPr>
          <w:rFonts w:ascii="Times New Roman" w:cs="Times New Roman" w:eastAsia="Times New Roman" w:hAnsi="Times New Roman"/>
          <w:sz w:val="18"/>
          <w:szCs w:val="18"/>
          <w:u w:val="single" w:color="auto"/>
          <w:color w:val="auto"/>
        </w:rPr>
        <w:t>Section 15.05</w:t>
      </w:r>
      <w:r>
        <w:rPr>
          <w:rFonts w:ascii="Times New Roman" w:cs="Times New Roman" w:eastAsia="Times New Roman" w:hAnsi="Times New Roman"/>
          <w:sz w:val="18"/>
          <w:szCs w:val="18"/>
          <w:color w:val="auto"/>
        </w:rPr>
        <w:t xml:space="preserve"> exceeds the aggregate Fundamental Change Purchase Price of the Notes or portions thereof that the Company is obligated to purchase as of the Fundamental Change Purchase Date, then, following the Fundamental Change Purchase Date, the Paying Agent shall promptly return any such excess to the Company.</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88" w:name="page89"/>
    <w:bookmarkEnd w:id="88"/>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15.09. </w:t>
      </w:r>
      <w:r>
        <w:rPr>
          <w:rFonts w:ascii="Times New Roman" w:cs="Times New Roman" w:eastAsia="Times New Roman" w:hAnsi="Times New Roman"/>
          <w:sz w:val="18"/>
          <w:szCs w:val="18"/>
          <w:b w:val="1"/>
          <w:bCs w:val="1"/>
          <w:i w:val="1"/>
          <w:iCs w:val="1"/>
          <w:color w:val="auto"/>
        </w:rPr>
        <w:t>Purchase by Third Party</w:t>
      </w:r>
      <w:r>
        <w:rPr>
          <w:rFonts w:ascii="Times New Roman" w:cs="Times New Roman" w:eastAsia="Times New Roman" w:hAnsi="Times New Roman"/>
          <w:sz w:val="18"/>
          <w:szCs w:val="18"/>
          <w:color w:val="auto"/>
        </w:rPr>
        <w:t>. Notwithstanding anything to the contrary, we will be deemed to satisfy our obligations to repurchase notes pursuant to the provisions set forth in this Article 15 if (i) one or more third parties conduct the repurchase offer and repurchase tendered notes in a manner that would have satisfied the obligations of the Company to do the same if conducted directly by the Company and otherwise in the manner set forth in this Article 15; and (ii) a Holder or an owner of a beneficial interest in the Notes would not receive a lesser amount (as a result of taxes, additional expenses or for any other reason) than such Holder or beneficial owner would have received had the Company repurchased the notes.</w:t>
      </w:r>
    </w:p>
    <w:p>
      <w:pPr>
        <w:spacing w:after="0" w:line="179"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15.10. </w:t>
      </w:r>
      <w:r>
        <w:rPr>
          <w:rFonts w:ascii="Times New Roman" w:cs="Times New Roman" w:eastAsia="Times New Roman" w:hAnsi="Times New Roman"/>
          <w:sz w:val="18"/>
          <w:szCs w:val="18"/>
          <w:b w:val="1"/>
          <w:bCs w:val="1"/>
          <w:i w:val="1"/>
          <w:iCs w:val="1"/>
          <w:color w:val="auto"/>
        </w:rPr>
        <w:t>Exempted Fundamental Change</w:t>
      </w:r>
      <w:r>
        <w:rPr>
          <w:rFonts w:ascii="Times New Roman" w:cs="Times New Roman" w:eastAsia="Times New Roman" w:hAnsi="Times New Roman"/>
          <w:sz w:val="18"/>
          <w:szCs w:val="18"/>
          <w:color w:val="auto"/>
        </w:rPr>
        <w:t>. Notwithstanding anything to the contrary in this Article 15 or otherwise, the Company shall not be required to provide a Fundamental Change Company Notice, or offer to repurchase or repurchase any Notes in accordance with the provisions of this Article 15 in connection with a Merger Event that constitutes a Fundamental Change pursuant to clause (2) of the definition thereof (regardless of whether such Merger Event also constitutes a Fundamental Change pursuant to any other clause of such definition), if:</w:t>
      </w:r>
    </w:p>
    <w:p>
      <w:pPr>
        <w:spacing w:after="0" w:line="72" w:lineRule="exact"/>
        <w:rPr>
          <w:sz w:val="20"/>
          <w:szCs w:val="20"/>
          <w:color w:val="auto"/>
        </w:rPr>
      </w:pPr>
    </w:p>
    <w:p>
      <w:pPr>
        <w:ind w:left="1080" w:hanging="221"/>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Property for such Merger Event is composed solely of cash in U.S. dollars;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such Fundamental Change, the Notes have become exchangeable (in accordance with the provisions of </w:t>
      </w:r>
      <w:r>
        <w:rPr>
          <w:rFonts w:ascii="Times New Roman" w:cs="Times New Roman" w:eastAsia="Times New Roman" w:hAnsi="Times New Roman"/>
          <w:sz w:val="18"/>
          <w:szCs w:val="18"/>
          <w:u w:val="single" w:color="auto"/>
          <w:color w:val="auto"/>
        </w:rPr>
        <w:t>Sections 14.06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14.07</w:t>
      </w:r>
      <w:r>
        <w:rPr>
          <w:rFonts w:ascii="Times New Roman" w:cs="Times New Roman" w:eastAsia="Times New Roman" w:hAnsi="Times New Roman"/>
          <w:sz w:val="18"/>
          <w:szCs w:val="18"/>
          <w:color w:val="auto"/>
        </w:rPr>
        <w:t xml:space="preserve"> and, if prior to July 15, 2028, </w:t>
      </w:r>
      <w:r>
        <w:rPr>
          <w:rFonts w:ascii="Times New Roman" w:cs="Times New Roman" w:eastAsia="Times New Roman" w:hAnsi="Times New Roman"/>
          <w:sz w:val="18"/>
          <w:szCs w:val="18"/>
          <w:u w:val="single" w:color="auto"/>
          <w:color w:val="auto"/>
        </w:rPr>
        <w:t>Section 14.01(b)(5</w:t>
      </w:r>
      <w:r>
        <w:rPr>
          <w:rFonts w:ascii="Times New Roman" w:cs="Times New Roman" w:eastAsia="Times New Roman" w:hAnsi="Times New Roman"/>
          <w:sz w:val="18"/>
          <w:szCs w:val="18"/>
          <w:color w:val="auto"/>
        </w:rPr>
        <w:t>)) into consideration that is composed solely of U.S. dollars in an amount per $1,000 principal amount of notes that equals or exceeds the Fundamental Change Purchase Price per $1,000 principal amount of notes (calculated assuming that such Fundamental Change Purchase Price includes accrued and unpaid interest to, but excluding, the latest possible Fundamental Change Purchase Date for such Fundamental Change); and</w:t>
      </w:r>
    </w:p>
    <w:p>
      <w:pPr>
        <w:spacing w:after="0" w:line="75"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notice to Holders relating to such Fundamental Change in accordance with the provisions set forth in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14.01(b)(5)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14.06</w:t>
      </w:r>
      <w:r>
        <w:rPr>
          <w:rFonts w:ascii="Times New Roman" w:cs="Times New Roman" w:eastAsia="Times New Roman" w:hAnsi="Times New Roman"/>
          <w:sz w:val="18"/>
          <w:szCs w:val="18"/>
          <w:color w:val="auto"/>
        </w:rPr>
        <w:t xml:space="preserve"> and includes in such notice the amount of the cash consideration due to a Holder upon an exchange of</w:t>
      </w:r>
    </w:p>
    <w:p>
      <w:pPr>
        <w:spacing w:after="0" w:line="9" w:lineRule="exact"/>
        <w:rPr>
          <w:sz w:val="20"/>
          <w:szCs w:val="20"/>
          <w:color w:val="auto"/>
        </w:rPr>
      </w:pPr>
    </w:p>
    <w:p>
      <w:pPr>
        <w:jc w:val="both"/>
        <w:ind w:left="440" w:right="100"/>
        <w:spacing w:after="0" w:line="290" w:lineRule="auto"/>
        <w:rPr>
          <w:sz w:val="20"/>
          <w:szCs w:val="20"/>
          <w:color w:val="auto"/>
        </w:rPr>
      </w:pPr>
      <w:r>
        <w:rPr>
          <w:rFonts w:ascii="Times New Roman" w:cs="Times New Roman" w:eastAsia="Times New Roman" w:hAnsi="Times New Roman"/>
          <w:sz w:val="17"/>
          <w:szCs w:val="17"/>
          <w:color w:val="auto"/>
        </w:rPr>
        <w:t>$1,000 principal amount of Notes and a statement that it will not offer to repurchase the Notes in accordance with the provisions of Article 15 of the Indenture because such Fundamental Change is an “Exempted Fundamental Change” in accordance with the provisions of this Section 15.10.</w:t>
      </w:r>
    </w:p>
    <w:p>
      <w:pPr>
        <w:spacing w:after="0" w:line="15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For purposes of the foregoing, an “</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is any Fundamental Change that meets the requirements of this Section 15.10 and, in respect of which the Company is otherwise exempt from the provisions of this Article 15.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color w:val="auto"/>
        </w:rPr>
        <w:t xml:space="preserve">. The Notes shall not be redeemable by the Company prior to January 20, 2027. On or after January 20, 2027, the Company may redeem (an “Optional Redemption”) for cash all or a portion of the Notes, at the Redemption Price, if the Last Reported Sale Price of the Common Shares has been at least 130% of the Exchange Price then in effect for at least 20 Trading Days (whether or not consecutive) during any 30 consecutive Trading Day-period (including the last Trading Day of such period) ending on, and including, the Trading Day immediately preceding the date on which the Company provides the Redemption Notice in accordance with </w:t>
      </w:r>
      <w:r>
        <w:rPr>
          <w:rFonts w:ascii="Times New Roman" w:cs="Times New Roman" w:eastAsia="Times New Roman" w:hAnsi="Times New Roman"/>
          <w:sz w:val="18"/>
          <w:szCs w:val="18"/>
          <w:u w:val="single" w:color="auto"/>
          <w:color w:val="auto"/>
        </w:rPr>
        <w:t>Section 16.02</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66" w:right="459" w:bottom="1440" w:gutter="0" w:footer="0" w:header="0"/>
        </w:sectPr>
      </w:pPr>
    </w:p>
    <w:bookmarkStart w:id="89" w:name="page90"/>
    <w:bookmarkEnd w:id="8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16.02. </w:t>
      </w:r>
      <w:r>
        <w:rPr>
          <w:rFonts w:ascii="Times New Roman" w:cs="Times New Roman" w:eastAsia="Times New Roman" w:hAnsi="Times New Roman"/>
          <w:sz w:val="18"/>
          <w:szCs w:val="18"/>
          <w:b w:val="1"/>
          <w:bCs w:val="1"/>
          <w:i w:val="1"/>
          <w:iCs w:val="1"/>
          <w:color w:val="auto"/>
        </w:rPr>
        <w:t>Notice of Optional Redemption; Selection of Notes</w:t>
      </w:r>
      <w:r>
        <w:rPr>
          <w:rFonts w:ascii="Times New Roman" w:cs="Times New Roman" w:eastAsia="Times New Roman" w:hAnsi="Times New Roman"/>
          <w:sz w:val="18"/>
          <w:szCs w:val="18"/>
          <w:color w:val="auto"/>
        </w:rPr>
        <w:t xml:space="preserve">. (a) In case the Company exercises its Optional Redemption right to redeem all or, as the case may be, any part of the Notes pursuant to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it shall fix a date for redemption (each, a “Redemption Date”) and it or, at its written request received by the Trustee not less than 50 Scheduled Trading Days prior to the Redemption Date (or such shorter period of time as may be acceptable to the Trustee), the Trustee, in the name of and at the expense of the Company, shall give or cause to be given a written notice of such Optional Redemption (a “Redemption Notice”) not less than 45 nor more than 60 Scheduled Trading Days prior to the Redemption Date mailed by first class mail, postage prepaid or, in the case of any Global Notes, in accordance with the procedures of the Depositary for providing notices, to each Holder of Notes so to be redeemed as a whole or in part at its last address as the same appears on the Note Register; provided, however, that, if the Company shall give such notice, it shall also give written notice of the Redemption Date to the Trustee. Simultaneously with providing such notice, the Company shall publish, or cause to be published, a notice containing this information on its website or through such other public medium as the Company may use at that time. The Redemption Date must be a Business Day and may not fall on or after the date that is the 41st Scheduled Trading Day immediately preceding the Maturity Date. At the Company’s request, a Redemption Notice shall be given by the Trustee, in the name and at the expense of the Company, with the notice information required under </w:t>
      </w:r>
      <w:r>
        <w:rPr>
          <w:rFonts w:ascii="Times New Roman" w:cs="Times New Roman" w:eastAsia="Times New Roman" w:hAnsi="Times New Roman"/>
          <w:sz w:val="18"/>
          <w:szCs w:val="18"/>
          <w:u w:val="single" w:color="auto"/>
          <w:color w:val="auto"/>
        </w:rPr>
        <w:t>Section 16.02(c)</w:t>
      </w:r>
      <w:r>
        <w:rPr>
          <w:rFonts w:ascii="Times New Roman" w:cs="Times New Roman" w:eastAsia="Times New Roman" w:hAnsi="Times New Roman"/>
          <w:sz w:val="18"/>
          <w:szCs w:val="18"/>
          <w:color w:val="auto"/>
        </w:rPr>
        <w:t xml:space="preserve"> delivered to the Trustee at least two Business Days before such notice is to be given to the Holders (unless a shorter period shall be acceptable to the Trustee). The election of the Company to redeem any Notes pursuant to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shall be evidenced by a Board Resolution. The Company shall not less than 45 days prior to the Redemption Date fixed by the Company (unless a shorter notice period shall be satisfactory to the Trustee), notify the Trustee in writing of such Redemption Date and of the principal amount of Notes to be redeemed. The Company shall furnish the Trustee with an Officer’s Certificate evidencing compliance with the conditions to such redemption no later than the date the Redemption Notice is given pursuant to this </w:t>
      </w:r>
      <w:r>
        <w:rPr>
          <w:rFonts w:ascii="Times New Roman" w:cs="Times New Roman" w:eastAsia="Times New Roman" w:hAnsi="Times New Roman"/>
          <w:sz w:val="18"/>
          <w:szCs w:val="18"/>
          <w:u w:val="single" w:color="auto"/>
          <w:color w:val="auto"/>
        </w:rPr>
        <w:t>Section 16.02</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120" w:firstLine="436"/>
        <w:spacing w:after="0" w:line="266"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Notice, if mailed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Notice shall specify:</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right="280" w:firstLine="987"/>
        <w:spacing w:after="0" w:line="282" w:lineRule="auto"/>
        <w:tabs>
          <w:tab w:leader="none" w:pos="130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the Redemption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66" w:right="459" w:bottom="1440" w:gutter="0" w:footer="0" w:header="0"/>
        </w:sectPr>
      </w:pPr>
    </w:p>
    <w:bookmarkStart w:id="90" w:name="page91"/>
    <w:bookmarkEnd w:id="90"/>
    <w:p>
      <w:pPr>
        <w:ind w:left="1300" w:hanging="313"/>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may surrender their Notes for exchange at any time prior to 5:00 p.m., New York City time, on the Business Day immediately preceding the Redemption Date unless the Company fails to pay the Redemption Price (in which case a Holder may exchange such Notes until the Redemption Price has been duly paid or duly provided for);</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 exchanging Holder must follow to exchange its Notes;</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Exchange Rate and, if applicable, the number of Additional Shares added to the Exchange Rate in accordance with </w:t>
      </w:r>
      <w:r>
        <w:rPr>
          <w:rFonts w:ascii="Times New Roman" w:cs="Times New Roman" w:eastAsia="Times New Roman" w:hAnsi="Times New Roman"/>
          <w:sz w:val="17"/>
          <w:szCs w:val="17"/>
          <w:u w:val="single" w:color="auto"/>
          <w:color w:val="auto"/>
        </w:rPr>
        <w:t>Section 14.06</w:t>
      </w:r>
      <w:r>
        <w:rPr>
          <w:rFonts w:ascii="Times New Roman" w:cs="Times New Roman" w:eastAsia="Times New Roman" w:hAnsi="Times New Roman"/>
          <w:sz w:val="17"/>
          <w:szCs w:val="17"/>
          <w:color w:val="auto"/>
        </w:rPr>
        <w:t>;</w:t>
      </w:r>
    </w:p>
    <w:p>
      <w:pPr>
        <w:spacing w:after="0" w:line="236" w:lineRule="exact"/>
        <w:rPr>
          <w:rFonts w:ascii="Times New Roman" w:cs="Times New Roman" w:eastAsia="Times New Roman" w:hAnsi="Times New Roman"/>
          <w:sz w:val="17"/>
          <w:szCs w:val="17"/>
          <w:color w:val="auto"/>
        </w:rPr>
      </w:pPr>
    </w:p>
    <w:p>
      <w:pPr>
        <w:ind w:right="100" w:firstLine="987"/>
        <w:spacing w:after="0" w:line="282" w:lineRule="auto"/>
        <w:tabs>
          <w:tab w:leader="none" w:pos="13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elects to settle all or a portion of its Exchange Obligation in excess of the principal portion of the Notes to be exchanged in connection with the related Redemption Notice in cash, and, if applicable, the related Cash Percentage;</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Redemption Notice shall be irrevocable.</w:t>
      </w:r>
    </w:p>
    <w:p>
      <w:pPr>
        <w:spacing w:after="0" w:line="225" w:lineRule="exact"/>
        <w:rPr>
          <w:sz w:val="20"/>
          <w:szCs w:val="20"/>
          <w:color w:val="auto"/>
        </w:rPr>
      </w:pPr>
    </w:p>
    <w:p>
      <w:pPr>
        <w:ind w:firstLine="436"/>
        <w:spacing w:after="0" w:line="261"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redeems fewer than all of the outstanding Notes, the Notes to be redeemed shall be selected (in principal amounts of $1,000 or integral multiples of $1,000 in excess thereof) in accordance with Applicable Procedures, or, in the case of Physical Notes, on a pro rata basis. If any Note selected for partial redemption is submitted for exchange in part after such selection, the portion of the Note submitted for exchange shall be deemed (so far as may be possible) to be the portion selected for redemption.</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b w:val="1"/>
          <w:bCs w:val="1"/>
          <w:i w:val="1"/>
          <w:iCs w:val="1"/>
          <w:color w:val="auto"/>
        </w:rPr>
        <w:t>Payment of Notes Called for Redemption</w:t>
      </w:r>
      <w:r>
        <w:rPr>
          <w:rFonts w:ascii="Times New Roman" w:cs="Times New Roman" w:eastAsia="Times New Roman" w:hAnsi="Times New Roman"/>
          <w:sz w:val="18"/>
          <w:szCs w:val="18"/>
          <w:color w:val="auto"/>
        </w:rPr>
        <w:t xml:space="preserve">. (a) If any Redemption Notice has been given in respect of the Notes in accordance with </w:t>
      </w:r>
      <w:r>
        <w:rPr>
          <w:rFonts w:ascii="Times New Roman" w:cs="Times New Roman" w:eastAsia="Times New Roman" w:hAnsi="Times New Roman"/>
          <w:sz w:val="18"/>
          <w:szCs w:val="18"/>
          <w:u w:val="single" w:color="auto"/>
          <w:color w:val="auto"/>
        </w:rPr>
        <w:t>Section 16.02</w:t>
      </w:r>
      <w:r>
        <w:rPr>
          <w:rFonts w:ascii="Times New Roman" w:cs="Times New Roman" w:eastAsia="Times New Roman" w:hAnsi="Times New Roman"/>
          <w:sz w:val="18"/>
          <w:szCs w:val="18"/>
          <w:color w:val="auto"/>
        </w:rPr>
        <w:t>,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 The Trustee shall not be responsible for calculating the Redemption Price.</w:t>
      </w:r>
    </w:p>
    <w:p>
      <w:pPr>
        <w:spacing w:after="0" w:line="180" w:lineRule="exact"/>
        <w:rPr>
          <w:sz w:val="20"/>
          <w:szCs w:val="20"/>
          <w:color w:val="auto"/>
        </w:rPr>
      </w:pPr>
    </w:p>
    <w:p>
      <w:pPr>
        <w:ind w:right="160" w:firstLine="436"/>
        <w:spacing w:after="0" w:line="261"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11:00 a.m., New York City time, on the Redemption Date, the Company shall deposit with the Paying Agent or, if the Company or a Subsidiary of the Company is acting as the Paying Agent, shall segregate and hold in trust as provided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promptly after the later 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70" w:right="499" w:bottom="1440" w:gutter="0" w:footer="0" w:header="0"/>
        </w:sectPr>
      </w:pPr>
    </w:p>
    <w:bookmarkStart w:id="91" w:name="page92"/>
    <w:bookmarkEnd w:id="91"/>
    <w:p>
      <w:pPr>
        <w:ind w:left="1200" w:hanging="213"/>
        <w:spacing w:after="0"/>
        <w:tabs>
          <w:tab w:leader="none" w:pos="12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Redemption Date for such Notes; and</w:t>
      </w:r>
    </w:p>
    <w:p>
      <w:pPr>
        <w:spacing w:after="0" w:line="225" w:lineRule="exact"/>
        <w:rPr>
          <w:rFonts w:ascii="Times New Roman" w:cs="Times New Roman" w:eastAsia="Times New Roman" w:hAnsi="Times New Roman"/>
          <w:sz w:val="18"/>
          <w:szCs w:val="18"/>
          <w:color w:val="auto"/>
        </w:rPr>
      </w:pPr>
    </w:p>
    <w:p>
      <w:pPr>
        <w:ind w:right="260" w:firstLine="987"/>
        <w:spacing w:after="0" w:line="282" w:lineRule="auto"/>
        <w:tabs>
          <w:tab w:leader="none" w:pos="125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of presentation of such Note to the Trustee (or other Paying Agent appointed by the Company) by the Holder thereof in the manner required by this </w:t>
      </w:r>
      <w:r>
        <w:rPr>
          <w:rFonts w:ascii="Times New Roman" w:cs="Times New Roman" w:eastAsia="Times New Roman" w:hAnsi="Times New Roman"/>
          <w:sz w:val="18"/>
          <w:szCs w:val="18"/>
          <w:u w:val="single" w:color="auto"/>
          <w:color w:val="auto"/>
        </w:rPr>
        <w:t>Section 16.03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500" w:firstLine="436"/>
        <w:spacing w:after="0" w:line="266"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a Note that is to be redeemed in part only pursuant to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the Company shall execute and the Trustee shall authenticate and deliver to the Holder a new Note in an authorized denomination equal in principal amount to the unredeemed portion of the Note surrendered, without payment of any service charge.</w:t>
      </w:r>
    </w:p>
    <w:p>
      <w:pPr>
        <w:spacing w:after="0" w:line="172"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b w:val="1"/>
          <w:bCs w:val="1"/>
          <w:i w:val="1"/>
          <w:iCs w:val="1"/>
          <w:color w:val="auto"/>
        </w:rPr>
        <w:t>Restrictions on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b w:val="1"/>
          <w:bCs w:val="1"/>
          <w:i w:val="1"/>
          <w:iCs w:val="1"/>
          <w:color w:val="auto"/>
        </w:rPr>
        <w:t>No Sinking Fund</w:t>
      </w:r>
      <w:r>
        <w:rPr>
          <w:rFonts w:ascii="Times New Roman" w:cs="Times New Roman" w:eastAsia="Times New Roman" w:hAnsi="Times New Roman"/>
          <w:sz w:val="18"/>
          <w:szCs w:val="18"/>
          <w:color w:val="auto"/>
        </w:rPr>
        <w:t>. The Notes will not have the benefit of a sinking fund.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3"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b w:val="1"/>
          <w:bCs w:val="1"/>
          <w:i w:val="1"/>
          <w:iCs w:val="1"/>
          <w:color w:val="auto"/>
        </w:rPr>
        <w:t>Provisions Binding on the Company’s and the REIT’s Successors</w:t>
      </w:r>
      <w:r>
        <w:rPr>
          <w:rFonts w:ascii="Times New Roman" w:cs="Times New Roman" w:eastAsia="Times New Roman" w:hAnsi="Times New Roman"/>
          <w:sz w:val="18"/>
          <w:szCs w:val="18"/>
          <w:color w:val="auto"/>
        </w:rPr>
        <w:t>. All the covenants, stipulations, promises and agreements of the Company and the REIT contained in this Indenture shall bind their respective successors and assigns whether so expressed or not.</w:t>
      </w:r>
    </w:p>
    <w:p>
      <w:pPr>
        <w:spacing w:after="0" w:line="15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b w:val="1"/>
          <w:bCs w:val="1"/>
          <w:i w:val="1"/>
          <w:iCs w:val="1"/>
          <w:color w:val="auto"/>
        </w:rPr>
        <w:t>Official Acts by Successor Entity</w:t>
      </w:r>
      <w:r>
        <w:rPr>
          <w:rFonts w:ascii="Times New Roman" w:cs="Times New Roman" w:eastAsia="Times New Roman" w:hAnsi="Times New Roman"/>
          <w:sz w:val="18"/>
          <w:szCs w:val="18"/>
          <w:color w:val="auto"/>
        </w:rPr>
        <w:t>. Any act or proceeding by any provision of this Indenture authorized or required to be done or performed by any board, committee or Officer of the Company or REIT shall and may be done and performed with like force and effect by the like board, committee or officer of any corporation or other entity that shall at the time be the lawful sole successor of the Company or the REIT.</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b w:val="1"/>
          <w:bCs w:val="1"/>
          <w:i w:val="1"/>
          <w:iCs w:val="1"/>
          <w:color w:val="auto"/>
        </w:rPr>
        <w:t>Addresses for Notices, Demands, etc</w:t>
      </w:r>
      <w:r>
        <w:rPr>
          <w:rFonts w:ascii="Times New Roman" w:cs="Times New Roman" w:eastAsia="Times New Roman" w:hAnsi="Times New Roman"/>
          <w:sz w:val="18"/>
          <w:szCs w:val="18"/>
          <w:color w:val="auto"/>
        </w:rPr>
        <w:t>. Any notice or demand that by any provision of this Indenture is required or permitted to be given or served by the Trustee or by the Holders on the Company shall be in writing and shall be deemed to have been sufficiently given or made, for all purposes if given or served by facsimile, electronic transmission or by being deposited postage prepaid by registered or certified mail in a post office letter box or by overnight courier addressed (until another address is filed by the Company with the Trustee), to c/o Federal Realty Investment Trust, 909 Ross Avenue, Suite 200, North Bethesda, Maryland 20852, Attention: Legal Department. Any notice, direction, request or demand hereunder to or upon the Trustee shall be deemed to have been sufficiently given or made, for all purposes, if given or served by being deposited postage prepaid by registered or certified mail in a post office letter box or by overnight courier addressed to the Corporate Trust Office.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sent to a Holder shall be mailed to it by first class mail, postage prepaid, overnight courier or, in the case of a securities depositary, by electronic transmission, at its address as it appears on the Note Register and shall be sufficiently given to it if so mailed within the time prescribed.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2" w:name="page93"/>
    <w:bookmarkEnd w:id="92"/>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given pursuant to this Indenture delivered using Electronic Means; provided, however, that the Issuer and/or the REIT, as applicable, shall provide to the Trustee an incumbency certificate listing officers with the authority to provide such Instructions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Issuer and/or the REIT, as applicable, whenever a person is to be added or deleted from the listing. If the Issuer and/or the REIT, as applicable, elects to give the Trustee e-Instructions using Electronic Means and the Trustee in its discretion elects to act upon such Instructions, the Trustee’s understanding of such Instructions shall be deemed controlling. The Issuer and the REIT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Issuer and the REIT shall be responsible for ensuring that only Authorized Officers transmit such Instructions to the Trustee and that the Issuer, the REIT and all Authorized Officers are solely responsible to safeguard the use and confidentiality of applicable user and authorization codes, passwords and/or authentication keys upon receipt by the Issuer and/or the REIT,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Issuer and the REIT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and/or the REIT,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76"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b w:val="1"/>
          <w:bCs w:val="1"/>
          <w:i w:val="1"/>
          <w:iCs w:val="1"/>
          <w:color w:val="auto"/>
        </w:rPr>
        <w:t>Governing Law; Jurisdiction</w:t>
      </w:r>
      <w:r>
        <w:rPr>
          <w:rFonts w:ascii="Times New Roman" w:cs="Times New Roman" w:eastAsia="Times New Roman" w:hAnsi="Times New Roman"/>
          <w:sz w:val="18"/>
          <w:szCs w:val="18"/>
          <w:color w:val="auto"/>
        </w:rPr>
        <w:t>. THIS INDENTURE AND EACH NOTE, AND ANY CLAIM, CONTROVERSY OR DISPUTE ARISING UNDER OR RELATED TO THIS INDENTURE OR EACH NOTE, SHALL BE GOVERNED BY, AND CONSTRUED IN ACCORDANCE WITH, THE INTERNAL LAWS OF THE STATE OF NEW YORK (WITHOUT REGARD TO THE CONFLICTS OF LAWS PROVISIONS THEREOF).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3" w:name="page94"/>
    <w:bookmarkEnd w:id="9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in personam, generally and unconditionally with respect to any action, suit or proceeding for itself in respect of its properties, assets and revenues.</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or the Notes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79"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b w:val="1"/>
          <w:bCs w:val="1"/>
          <w:i w:val="1"/>
          <w:iCs w:val="1"/>
          <w:color w:val="auto"/>
        </w:rPr>
        <w:t>Evidence of Compliance with Conditions Precedent; Certificates and Opinions of Counsel to Trustee</w:t>
      </w:r>
      <w:r>
        <w:rPr>
          <w:rFonts w:ascii="Times New Roman" w:cs="Times New Roman" w:eastAsia="Times New Roman" w:hAnsi="Times New Roman"/>
          <w:sz w:val="18"/>
          <w:szCs w:val="18"/>
          <w:color w:val="auto"/>
        </w:rPr>
        <w:t>.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and that all conditions precedent provided for in this Indenture relating to the proposed action have been complied with; provided, however, that such Opinion of Counsel shall not be required in connection with the initial issuance of the Notes hereunder.</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Officer’s Certificate provided for, by or on behalf of the Company in this Indenture and delivered to the Trustee with respect to compliance with this Indenture (other than the Officer’s Certificates provided for in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shall include: (a) a statement that the person signing such certificate is familiar with the requested action and this Indenture and has read such condition or covenant herein relating thereto;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whether or not such condition or covenant has been complied with; and (d) a statement as to whether or not, in the judgment of such person, such action is permitted by this Indenture and such condition or covenant has been complied with.</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17.05</w:t>
      </w:r>
      <w:r>
        <w:rPr>
          <w:rFonts w:ascii="Times New Roman" w:cs="Times New Roman" w:eastAsia="Times New Roman" w:hAnsi="Times New Roman"/>
          <w:sz w:val="18"/>
          <w:szCs w:val="18"/>
          <w:color w:val="auto"/>
        </w:rPr>
        <w:t>,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4" w:name="page95"/>
    <w:bookmarkEnd w:id="94"/>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17.06. </w:t>
      </w:r>
      <w:r>
        <w:rPr>
          <w:rFonts w:ascii="Times New Roman" w:cs="Times New Roman" w:eastAsia="Times New Roman" w:hAnsi="Times New Roman"/>
          <w:sz w:val="18"/>
          <w:szCs w:val="18"/>
          <w:b w:val="1"/>
          <w:bCs w:val="1"/>
          <w:i w:val="1"/>
          <w:iCs w:val="1"/>
          <w:color w:val="auto"/>
        </w:rPr>
        <w:t>Legal Holidays</w:t>
      </w:r>
      <w:r>
        <w:rPr>
          <w:rFonts w:ascii="Times New Roman" w:cs="Times New Roman" w:eastAsia="Times New Roman" w:hAnsi="Times New Roman"/>
          <w:sz w:val="18"/>
          <w:szCs w:val="18"/>
          <w:color w:val="auto"/>
        </w:rPr>
        <w:t>. In any case where any Interest Payment Date, Fundamental Change Purchase Date or Maturity Date is not a Business Day, then any action to be taken on such date need not be taken on such date, but may be taken on the following Business Day with the same force and effect as if taken on such date, and no interest shall accrue in respect of the delay.</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b w:val="1"/>
          <w:bCs w:val="1"/>
          <w:i w:val="1"/>
          <w:iCs w:val="1"/>
          <w:color w:val="auto"/>
        </w:rPr>
        <w:t>No Security Interest Created</w:t>
      </w:r>
      <w:r>
        <w:rPr>
          <w:rFonts w:ascii="Times New Roman" w:cs="Times New Roman" w:eastAsia="Times New Roman" w:hAnsi="Times New Roman"/>
          <w:sz w:val="18"/>
          <w:szCs w:val="18"/>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5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b w:val="1"/>
          <w:bCs w:val="1"/>
          <w:i w:val="1"/>
          <w:iCs w:val="1"/>
          <w:color w:val="auto"/>
        </w:rPr>
        <w:t>Benefits of Indenture</w:t>
      </w:r>
      <w:r>
        <w:rPr>
          <w:rFonts w:ascii="Times New Roman" w:cs="Times New Roman" w:eastAsia="Times New Roman" w:hAnsi="Times New Roman"/>
          <w:sz w:val="18"/>
          <w:szCs w:val="18"/>
          <w:color w:val="auto"/>
        </w:rPr>
        <w:t>. Nothing in this Indenture or in the Notes, expressed or implied, shall give to any Person, other than the Holders, the parties hereto, any Paying Agent, any Exchange Agent, any authenticating agent, any Note Registrar and their successors hereunder, any benefit or any legal or equitable right, remedy or claim under this Indenture.</w:t>
      </w:r>
    </w:p>
    <w:p>
      <w:pPr>
        <w:spacing w:after="0" w:line="171"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b w:val="1"/>
          <w:bCs w:val="1"/>
          <w:i w:val="1"/>
          <w:iCs w:val="1"/>
          <w:color w:val="auto"/>
        </w:rPr>
        <w:t>Table of Contents, Headings, Etc</w:t>
      </w:r>
      <w:r>
        <w:rPr>
          <w:rFonts w:ascii="Times New Roman" w:cs="Times New Roman" w:eastAsia="Times New Roman" w:hAnsi="Times New Roman"/>
          <w:sz w:val="18"/>
          <w:szCs w:val="18"/>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15.05</w:t>
      </w:r>
      <w:r>
        <w:rPr>
          <w:rFonts w:ascii="Times New Roman" w:cs="Times New Roman" w:eastAsia="Times New Roman" w:hAnsi="Times New Roman"/>
          <w:sz w:val="18"/>
          <w:szCs w:val="18"/>
          <w:color w:val="auto"/>
        </w:rPr>
        <w:t xml:space="preserve">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the corporate trust business of any authenticating agent, shall be the successor of the authenticating agent hereunder, if such successor entity or other entity is otherwise eligible under this </w:t>
      </w:r>
      <w:r>
        <w:rPr>
          <w:rFonts w:ascii="Times New Roman" w:cs="Times New Roman" w:eastAsia="Times New Roman" w:hAnsi="Times New Roman"/>
          <w:sz w:val="18"/>
          <w:szCs w:val="18"/>
          <w:u w:val="single" w:color="auto"/>
          <w:color w:val="auto"/>
        </w:rPr>
        <w:t>Section 17.10</w:t>
      </w:r>
      <w:r>
        <w:rPr>
          <w:rFonts w:ascii="Times New Roman" w:cs="Times New Roman" w:eastAsia="Times New Roman" w:hAnsi="Times New Roman"/>
          <w:sz w:val="18"/>
          <w:szCs w:val="18"/>
          <w:color w:val="auto"/>
        </w:rPr>
        <w:t>, without the execution or filing of any paper or any further act on the part of the parties hereto or the authenticating agent or such successor entity or other entity.</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w:t>
      </w:r>
      <w:r>
        <w:rPr>
          <w:rFonts w:ascii="Times New Roman" w:cs="Times New Roman" w:eastAsia="Times New Roman" w:hAnsi="Times New Roman"/>
          <w:sz w:val="18"/>
          <w:szCs w:val="18"/>
          <w:u w:val="single" w:color="auto"/>
          <w:color w:val="auto"/>
        </w:rPr>
        <w:t>Section 17.10</w:t>
      </w:r>
      <w:r>
        <w:rPr>
          <w:rFonts w:ascii="Times New Roman" w:cs="Times New Roman" w:eastAsia="Times New Roman" w:hAnsi="Times New Roman"/>
          <w:sz w:val="18"/>
          <w:szCs w:val="18"/>
          <w:color w:val="auto"/>
        </w:rPr>
        <w:t>, the Trustee may promptly appoint a successor authenticating agent, shall give written notice of such appointment to the Company and shall mail notice of such appointment to all Holders as the names and addresses of such Holders appear on the Note Register.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66" w:right="479" w:bottom="1440" w:gutter="0" w:footer="0" w:header="0"/>
        </w:sectPr>
      </w:pPr>
    </w:p>
    <w:bookmarkStart w:id="95" w:name="page96"/>
    <w:bookmarkEnd w:id="95"/>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agrees to pay to the authenticating agent from time to time reasonable compensation for its services although the Company may terminate the authenticating agent, if it determines such agent’s fees to be unreasonable. The Company agrees to indemnify the authenticating agent as provided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17.10</w:t>
      </w:r>
      <w:r>
        <w:rPr>
          <w:rFonts w:ascii="Times New Roman" w:cs="Times New Roman" w:eastAsia="Times New Roman" w:hAnsi="Times New Roman"/>
          <w:sz w:val="18"/>
          <w:szCs w:val="18"/>
          <w:color w:val="auto"/>
        </w:rPr>
        <w:t xml:space="preserve"> shall be applicable to any authenticating agent.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an authenticating agent is appointed pursuant to this </w:t>
      </w:r>
      <w:r>
        <w:rPr>
          <w:rFonts w:ascii="Times New Roman" w:cs="Times New Roman" w:eastAsia="Times New Roman" w:hAnsi="Times New Roman"/>
          <w:sz w:val="18"/>
          <w:szCs w:val="18"/>
          <w:u w:val="single" w:color="auto"/>
          <w:color w:val="auto"/>
        </w:rPr>
        <w:t>Section 17.10</w:t>
      </w:r>
      <w:r>
        <w:rPr>
          <w:rFonts w:ascii="Times New Roman" w:cs="Times New Roman" w:eastAsia="Times New Roman" w:hAnsi="Times New Roman"/>
          <w:sz w:val="18"/>
          <w:szCs w:val="18"/>
          <w:color w:val="auto"/>
        </w:rPr>
        <w:t>,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3995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 in the within-named Indenture.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b w:val="1"/>
          <w:bCs w:val="1"/>
          <w:i w:val="1"/>
          <w:iCs w:val="1"/>
          <w:color w:val="auto"/>
        </w:rPr>
        <w:t>Execution in Counterparts</w:t>
      </w:r>
      <w:r>
        <w:rPr>
          <w:rFonts w:ascii="Times New Roman" w:cs="Times New Roman" w:eastAsia="Times New Roman" w:hAnsi="Times New Roman"/>
          <w:sz w:val="18"/>
          <w:szCs w:val="18"/>
          <w:color w:val="auto"/>
        </w:rPr>
        <w:t>.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executed or transmitted by facsimile, PDF or other electronic means shall be deemed to be their original signatures for all purposes. This Indenture, the Notes and any other document delivered in connection or pursuant to this Indenture or the issuance and delivery of the Notes may be signed by or on behalf of the signing party by manual, facsimile, PDF or electronic signature. Any electronic signature shall be of the same legal effect, validity or enforceability as a manually executed signature, to the extent and as provided for in any applicable law, including the Federal Electronic Signatures in Global and National Commerce Act, the New York State Electronic Signature and Records Act or any other similar state laws based on the Uniform Electronic Transactions Act.</w:t>
      </w:r>
    </w:p>
    <w:p>
      <w:pPr>
        <w:spacing w:after="0" w:line="188"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EACH OF THE COMPANY, THE HOLDERS BY ACCEPTANCE OF THE NOTES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6" w:name="page97"/>
    <w:bookmarkEnd w:id="96"/>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17.14.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pandemics,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79" w:lineRule="exact"/>
        <w:rPr>
          <w:sz w:val="20"/>
          <w:szCs w:val="20"/>
          <w:color w:val="auto"/>
        </w:rPr>
      </w:pPr>
    </w:p>
    <w:p>
      <w:pPr>
        <w:ind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17.15. </w:t>
      </w:r>
      <w:r>
        <w:rPr>
          <w:rFonts w:ascii="Times New Roman" w:cs="Times New Roman" w:eastAsia="Times New Roman" w:hAnsi="Times New Roman"/>
          <w:sz w:val="17"/>
          <w:szCs w:val="17"/>
          <w:b w:val="1"/>
          <w:bCs w:val="1"/>
          <w:i w:val="1"/>
          <w:iCs w:val="1"/>
          <w:color w:val="auto"/>
        </w:rPr>
        <w:t>Calculations</w:t>
      </w:r>
      <w:r>
        <w:rPr>
          <w:rFonts w:ascii="Times New Roman" w:cs="Times New Roman" w:eastAsia="Times New Roman" w:hAnsi="Times New Roman"/>
          <w:sz w:val="17"/>
          <w:szCs w:val="17"/>
          <w:color w:val="auto"/>
        </w:rPr>
        <w:t>. Except as otherwise expressly provided herein, the Company shall be responsible for making all calculations called for under the Notes. These calculations include, but are not limited to, determinations of the Last Reported Sale Prices of the Common Shares, accrued interest payable on the Notes and the Exchange Rate of the Notes. The Company shall make all these calculations in good faith and, absent manifest error, the Company’s calculations shall be final and binding on Holders of Notes. The Company shall provide a schedule of its calculations to each of the Trustee and the Exchange Agent, and each of the Trustee and Exchange Agent is entitled to rely conclusively upon the accuracy of the Company’s calculations without independent verification. The Trustee will forward the Company’s calculations to any Holder of Notes upon the written request of that Holder. Neither the Trustee nor the Exchange Agent shall be responsible for making any calculations under the Notes or under this Indenture, and neither shall have any duty to monitor the price of the Common Shares or otherwise be charged with knowledge of when the Notes are exchangeable.</w:t>
      </w:r>
    </w:p>
    <w:p>
      <w:pPr>
        <w:spacing w:after="0" w:line="17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b w:val="1"/>
          <w:bCs w:val="1"/>
          <w:i w:val="1"/>
          <w:iCs w:val="1"/>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9"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17.17. </w:t>
      </w:r>
      <w:r>
        <w:rPr>
          <w:rFonts w:ascii="Times New Roman" w:cs="Times New Roman" w:eastAsia="Times New Roman" w:hAnsi="Times New Roman"/>
          <w:sz w:val="18"/>
          <w:szCs w:val="18"/>
          <w:b w:val="1"/>
          <w:bCs w:val="1"/>
          <w:i w:val="1"/>
          <w:iCs w:val="1"/>
          <w:color w:val="auto"/>
        </w:rPr>
        <w:t>Tax Information and Withholding</w:t>
      </w:r>
      <w:r>
        <w:rPr>
          <w:rFonts w:ascii="Times New Roman" w:cs="Times New Roman" w:eastAsia="Times New Roman" w:hAnsi="Times New Roman"/>
          <w:sz w:val="18"/>
          <w:szCs w:val="18"/>
          <w:color w:val="auto"/>
        </w:rPr>
        <w:t>. In order to comply with applicable tax laws, rules and regulations (inclusive of directives, guidelines and interpretations promulgated by competent authorities) in effect from time to time (“Applicable Law”),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and (ii) that the Trustee shall be entitled to make any withholding or deduction from payments under the Indenture to the extent necessary to comply with Applicable Law for which the Trustee shall not have any liability.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66" w:right="45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17.18. Economic Sanctions.</w:t>
      </w:r>
    </w:p>
    <w:p>
      <w:pPr>
        <w:spacing w:after="0" w:line="225" w:lineRule="exact"/>
        <w:rPr>
          <w:sz w:val="20"/>
          <w:szCs w:val="20"/>
          <w:color w:val="auto"/>
        </w:rPr>
      </w:pPr>
    </w:p>
    <w:p>
      <w:pPr>
        <w:jc w:val="both"/>
        <w:ind w:right="300" w:firstLine="436"/>
        <w:spacing w:after="0" w:line="261"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 and the REIT represents that neither it nor, to the knowledge of the Issuer or the REIT,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 and the REIT covenants that it will not directly or indirectly use any payments made pursuant to this Indenture, (i) to fund or facilitate any activities of or business with any person who, at the time of such funding or facilitation, is the subject or target of Sanctions, or (ii) to fund or facilitate any activities of or business with any country or territory that is the target or subject of Sanctions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FEDERAL REALTY OP LP, as Issuer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Executive Vice President-Chief Financial Officer</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and Treasurer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FEDERAL REALTY INVESTMENT TRUST, as REIT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Executive Vice President-Chief Financial Officer</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and Treasurer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Allison Lancaster-Poole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Allison Lancaster-Poole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10500"/>
          </w:cols>
          <w:pgMar w:left="880" w:top="270" w:right="519" w:bottom="1440" w:gutter="0" w:footer="0" w:header="0"/>
        </w:sectPr>
      </w:pPr>
    </w:p>
    <w:bookmarkStart w:id="99" w:name="page100"/>
    <w:bookmarkEnd w:id="9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THIS SECURITY HAS NOT BEEN REGISTERED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ACCORDINGLY, MAY NOT BE OFFERED OR SOLD EXCEPT AS SET FORTH IN THE FOLLOWING SENTENCE.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HEREOF, THE HOLDER AGREES THAT IT WILL NOT RESELL OR OTHERWISE TRANSFER THE SECURITY EVIDENCED HEREBY, EXCEPT (A) TO FEDERAL REALTY OP LP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FEDERAL REALTY INVESTMENT TRUST (THE “</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OR A SUBSIDIARY THEREOF; OR (B)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 A - 1</w:t>
      </w:r>
    </w:p>
    <w:p>
      <w:pPr>
        <w:sectPr>
          <w:pgSz w:w="11900" w:h="16838" w:orient="portrait"/>
          <w:cols w:equalWidth="0" w:num="1">
            <w:col w:w="10920"/>
          </w:cols>
          <w:pgMar w:left="440" w:top="266" w:right="5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OP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3.25% Exchangeable Senior Notes due 2029</w:t>
      </w:r>
    </w:p>
    <w:p>
      <w:pPr>
        <w:spacing w:after="0" w:line="252" w:lineRule="exact"/>
        <w:rPr>
          <w:sz w:val="20"/>
          <w:szCs w:val="20"/>
          <w:color w:val="auto"/>
        </w:rPr>
      </w:pPr>
    </w:p>
    <w:p>
      <w:pPr>
        <w:spacing w:after="0"/>
        <w:tabs>
          <w:tab w:leader="none" w:pos="9380" w:val="left"/>
        </w:tabs>
        <w:rPr>
          <w:sz w:val="20"/>
          <w:szCs w:val="20"/>
          <w:color w:val="auto"/>
        </w:rPr>
      </w:pPr>
      <w:r>
        <w:rPr>
          <w:rFonts w:ascii="Times New Roman" w:cs="Times New Roman" w:eastAsia="Times New Roman" w:hAnsi="Times New Roman"/>
          <w:sz w:val="18"/>
          <w:szCs w:val="18"/>
          <w:color w:val="auto"/>
        </w:rPr>
        <w:t>No. R-1</w:t>
      </w:r>
      <w:r>
        <w:rPr>
          <w:sz w:val="20"/>
          <w:szCs w:val="20"/>
          <w:color w:val="auto"/>
        </w:rPr>
        <w:tab/>
      </w:r>
      <w:r>
        <w:rPr>
          <w:rFonts w:ascii="Times New Roman" w:cs="Times New Roman" w:eastAsia="Times New Roman" w:hAnsi="Times New Roman"/>
          <w:sz w:val="18"/>
          <w:szCs w:val="18"/>
          <w:color w:val="auto"/>
        </w:rPr>
        <w:t>Initially $485,000,000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313747 BD8</w:t>
      </w:r>
    </w:p>
    <w:p>
      <w:pPr>
        <w:spacing w:after="0" w:line="113"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Federal Realty OP LP, a Delaware limited partnership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entity or other entity under the Indenture referred to on the reverse hereof), for value received hereby promises to pay to CEDE &amp; CO., or registered assigns, the principal sum as set forth in the “Schedule of Exchanges of Notes” attached hereto of $485,000,000, which amount, taken together with the principal amounts of all other outstanding Notes, shall not, unless permitted by the Indenture, exceed $485,000,000 in aggregate principal amount at any time, in accordance with the rules and procedures of the Depositary, on January 11, 2024, and interest thereon as set forth below.</w:t>
      </w:r>
    </w:p>
    <w:p>
      <w:pPr>
        <w:spacing w:after="0" w:line="183"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Note shall bear interest at the rate of 3.25% per year from January 11, 2024, or from the most recent date to which interest had been paid or provided for to, but excluding, the next scheduled Interest Payment Date until January 15, 2029. Interest is payable semi-annually in arrears on each January 15 and July 15, commencing on July 15, 2024, to Holders of record at the Close of Business on the preceding January 1 and July 1 (whether or not such day is a Business Day), respectively. Additional Interest will be payable as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of the within-mentioned Indenture and the Registration Rights Agreement, and any reference to interest on, or in respect of, any Note therein shall be deemed to include Additional Interest if, in such context, Additional Interest is, was or would be payable pursuant to any of such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the Registration Rights Agreement, and any express mention of the payment of Additional Interest in any provision therein shall not be construed as excluding Additional Interest in those provisions thereof where such express mention is not made.</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of the Indenture.</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pay or shall cause the Paying Agent to pay the principal of and interest on this Note, if and so long as such Note is a Global Note, in immediately available funds to the Depositary or its nominee, as the case may be, as the registered Holder of such Note.</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Company shall pay the principal of any Notes (other than Notes that are Global Notes) at the office or agency designated by the Company for that purpose. The Company has initially designated the Corporate Trust Office of the Trustee as its Paying Agent and Note Registrar in respect of the Notes as a place where Notes may be presented for payment or for registration of transfer and exchange.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 - 2</w:t>
      </w:r>
    </w:p>
    <w:p>
      <w:pPr>
        <w:sectPr>
          <w:pgSz w:w="11900" w:h="16838" w:orient="portrait"/>
          <w:cols w:equalWidth="0" w:num="1">
            <w:col w:w="11020"/>
          </w:cols>
          <w:pgMar w:left="440" w:top="270" w:right="439" w:bottom="1440" w:gutter="0" w:footer="0" w:header="0"/>
        </w:sectPr>
      </w:pPr>
    </w:p>
    <w:bookmarkStart w:id="101" w:name="page102"/>
    <w:bookmarkEnd w:id="101"/>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made to the further provisions of this Note set forth on the reverse hereof, including, without limitation, provisions giving the Holder of this Note the right to exchange this Note for cash and, if applicable, Common Shares, if any,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or the Indenture, shall be governed by and construed in accordance with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or electronically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 - 3</w:t>
      </w:r>
    </w:p>
    <w:p>
      <w:pPr>
        <w:sectPr>
          <w:pgSz w:w="11900" w:h="16838" w:orient="portrait"/>
          <w:cols w:equalWidth="0" w:num="1">
            <w:col w:w="10980"/>
          </w:cols>
          <w:pgMar w:left="440" w:top="270"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FEDERAL REALTY OP LP</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Ex A - 4</w:t>
      </w:r>
    </w:p>
    <w:p>
      <w:pPr>
        <w:sectPr>
          <w:pgSz w:w="11900" w:h="16838" w:orient="portrait"/>
          <w:cols w:equalWidth="0" w:num="1">
            <w:col w:w="9579"/>
          </w:cols>
          <w:pgMar w:left="880" w:top="270"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certifies that this is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described in the within-named Indenture.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8"/>
          <w:szCs w:val="18"/>
          <w:color w:val="auto"/>
        </w:rPr>
        <w:t>Ex A - 5</w:t>
      </w:r>
    </w:p>
    <w:p>
      <w:pPr>
        <w:sectPr>
          <w:pgSz w:w="11900" w:h="16838" w:orient="portrait"/>
          <w:cols w:equalWidth="0" w:num="1">
            <w:col w:w="10019"/>
          </w:cols>
          <w:pgMar w:left="440" w:top="270"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NOTE]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3.25% Exchangeable Senior Notes due 2029</w:t>
      </w:r>
    </w:p>
    <w:p>
      <w:pPr>
        <w:spacing w:after="0" w:line="20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3.25% Exchangeable Senior Notes due 2029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$485,000,000 all issued or to be issued under and pursuant to an Indenture dated as of January 11, 2024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Company, the REIT and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the REIT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Purchase Price on the Fundamental Change 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the REIT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or deliver, as the case may be, the principal (including the Redemption Price and the Fundamental Change Purchase Price, if applicable) of, accrued and unpaid interest on, and the consideration due upon exchange of, this Note at the place, at the respective times, at the rate and in the lawful money herein prescribed.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 - 6</w:t>
      </w:r>
    </w:p>
    <w:p>
      <w:pPr>
        <w:sectPr>
          <w:pgSz w:w="11900" w:h="16838" w:orient="portrait"/>
          <w:cols w:equalWidth="0" w:num="1">
            <w:col w:w="11000"/>
          </w:cols>
          <w:pgMar w:left="440" w:top="266" w:right="459" w:bottom="1440" w:gutter="0" w:footer="0" w:header="0"/>
        </w:sectPr>
      </w:pPr>
    </w:p>
    <w:bookmarkStart w:id="105" w:name="page106"/>
    <w:bookmarkEnd w:id="105"/>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are issuable in registered form without coupons in minimum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shall be redeemable at the Company’s option in accordance with the terms and conditions specified in the Indenture.</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Purchase Date at a price equal to the Fundamental Change Purchase Price.</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exchange any Notes or portion thereof that is $1,000 or an integral multiple thereof, for cash and, if applicable, Common Shares, if any, together with cash in lieu thereof in respect of any fractional shares, at the Exchange Rate specified in the Indenture, as adjusted from time to time as provided in the Indenture.</w:t>
      </w:r>
    </w:p>
    <w:p>
      <w:pPr>
        <w:spacing w:after="0" w:line="183"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rights provided to Holders of Notes under the Indenture, Holders shall have all the rights set forth in the Registration Rights Agreement dated as of January 11, 2024, among the Company, the REIT and the Initial Purchasers named therein.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 A - 7</w:t>
      </w:r>
    </w:p>
    <w:p>
      <w:pPr>
        <w:sectPr>
          <w:pgSz w:w="11900" w:h="16838" w:orient="portrait"/>
          <w:cols w:equalWidth="0" w:num="1">
            <w:col w:w="10940"/>
          </w:cols>
          <w:pgMar w:left="440" w:top="270" w:right="519" w:bottom="1440" w:gutter="0" w:footer="0" w:header="0"/>
        </w:sectPr>
      </w:pPr>
    </w:p>
    <w:bookmarkStart w:id="106" w:name="page107"/>
    <w:bookmarkEnd w:id="10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ind w:left="440" w:right="4760" w:hanging="439"/>
        <w:spacing w:after="0" w:line="488" w:lineRule="auto"/>
        <w:rPr>
          <w:sz w:val="20"/>
          <w:szCs w:val="20"/>
          <w:color w:val="auto"/>
        </w:rPr>
      </w:pPr>
      <w:r>
        <w:rPr>
          <w:rFonts w:ascii="Times New Roman" w:cs="Times New Roman" w:eastAsia="Times New Roman" w:hAnsi="Times New Roman"/>
          <w:sz w:val="17"/>
          <w:szCs w:val="17"/>
          <w:color w:val="auto"/>
        </w:rPr>
        <w:t>JT TEN = joint tenants with right of survivorship and not as tenants in common Additional abbreviations may also be used though not in the above list.</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 A - 8</w:t>
      </w:r>
    </w:p>
    <w:p>
      <w:pPr>
        <w:sectPr>
          <w:pgSz w:w="11900" w:h="16838" w:orient="portrait"/>
          <w:cols w:equalWidth="0" w:num="1">
            <w:col w:w="10480"/>
          </w:cols>
          <w:pgMar w:left="440" w:top="266" w:right="97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EXCHANGES OF NOTES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3.25% Exchangeable Senior Notes due 2029</w:t>
      </w:r>
    </w:p>
    <w:p>
      <w:pPr>
        <w:spacing w:after="0" w:line="20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initial principal amount of this Global Note is FOUR HUNDRED EIGHTY FIVE MILLION DOLLARS ($485,000,000). The following increases or decreases in this Global Note have been made: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w:t>
            </w:r>
          </w:p>
        </w:tc>
        <w:tc>
          <w:tcPr>
            <w:tcW w:w="12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 of this</w:t>
            </w: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3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Global Note</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Date of</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3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9"/>
        </w:trPr>
        <w:tc>
          <w:tcPr>
            <w:tcW w:w="2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 of this</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 of this</w:t>
            </w:r>
          </w:p>
        </w:tc>
        <w:tc>
          <w:tcPr>
            <w:tcW w:w="3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exchange</w:t>
            </w: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3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304"/>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 - 9</w:t>
      </w:r>
    </w:p>
    <w:p>
      <w:pPr>
        <w:sectPr>
          <w:pgSz w:w="11900" w:h="16838" w:orient="portrait"/>
          <w:cols w:equalWidth="0" w:num="1">
            <w:col w:w="11020"/>
          </w:cols>
          <w:pgMar w:left="440" w:top="266" w:right="4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NOTICE OF EXCHANGE]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FEDERAL REALTY OP 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 as Exchange Agent</w:t>
      </w:r>
    </w:p>
    <w:p>
      <w:pPr>
        <w:spacing w:after="0" w:line="9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undersigned registered owner of this Note hereby exercises the option to exchange this Note, or the portion hereof (that is $1,000 principal amount or an integral multiple thereof) below designated, for cash and, if applicable, Common Shares, if any, in accordance with the terms of the Indenture referred to in this Note, and directs that any cash payable and any Common Shares issuable and deliverable upon such exchange, together with any cash for any fractional share, and any Notes representing any unexchanged principal amount hereof, be issued and delivered to the registered Holder hereof unless a different name has been indicated below. If any Common Shares or any portion of this Note not exchanged are to be issued in the name of a Person other than the undersigned, the undersigned will pay all documentary, stamp or similar issue or transfer taxes, if any, in accordance with </w:t>
      </w:r>
      <w:r>
        <w:rPr>
          <w:rFonts w:ascii="Times New Roman" w:cs="Times New Roman" w:eastAsia="Times New Roman" w:hAnsi="Times New Roman"/>
          <w:sz w:val="18"/>
          <w:szCs w:val="18"/>
          <w:u w:val="single" w:color="auto"/>
          <w:color w:val="auto"/>
        </w:rPr>
        <w:t>Section 14.02(i)</w:t>
      </w:r>
      <w:r>
        <w:rPr>
          <w:rFonts w:ascii="Times New Roman" w:cs="Times New Roman" w:eastAsia="Times New Roman" w:hAnsi="Times New Roman"/>
          <w:sz w:val="18"/>
          <w:szCs w:val="18"/>
          <w:color w:val="auto"/>
        </w:rPr>
        <w:t xml:space="preserve"> of the Indenture. Any amount required to be paid to the undersigned on account of interest accompanies this Note. Capitalized terms used herein but not defined shall have the meanings ascribed to such terms in the Indenture.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308610</wp:posOffset>
            </wp:positionV>
            <wp:extent cx="32829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-7620</wp:posOffset>
            </wp:positionV>
            <wp:extent cx="26847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847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30276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276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 Institution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 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 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are to be issued, or 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 - 10</w:t>
      </w:r>
    </w:p>
    <w:p>
      <w:pPr>
        <w:sectPr>
          <w:pgSz w:w="11900" w:h="16838" w:orient="portrait"/>
          <w:cols w:equalWidth="0" w:num="1">
            <w:col w:w="11000"/>
          </w:cols>
          <w:pgMar w:left="440" w:top="266"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Fill in for registration of shares if to be issued, and Notes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 Please print name and address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exchanged (if less than all):</w:t>
      </w:r>
    </w:p>
    <w:p>
      <w:pPr>
        <w:spacing w:after="0" w:line="27"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280035</wp:posOffset>
            </wp:positionV>
            <wp:extent cx="27946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 A - 11</w:t>
      </w:r>
    </w:p>
    <w:p>
      <w:pPr>
        <w:sectPr>
          <w:pgSz w:w="11900" w:h="16838" w:orient="portrait"/>
          <w:cols w:equalWidth="0" w:num="1">
            <w:col w:w="10820"/>
          </w:cols>
          <w:pgMar w:left="440" w:top="270" w:right="6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FUNDAMENTAL CHANGE PURCHASE NOTICE]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FEDERAL REALTY OP 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9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Federal Realty OP LP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as to the occurrence of a Fundamental Change with respect to the Company and specifying the Fundamental Change Purchase Date and requests and instructs the Company to pay to the registered holder hereof in accordance with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of the Indenture referred to in this Note (1) the entire principal amount of this Note, or the portion thereof (that is $1,000 principal amount or an integral multiple thereof) below designated, and (2) if such Fundamental Change Purchase Date does not fall during the period after a Regular Record Date and on or prior to the corresponding Interest Payment Date, accrued and unpaid interest, if any, thereon to, but excluding, such Fundamental Change Purchase Date. Capitalized terms used herein but not defined shall have the meanings ascribed to such terms in the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21996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300355</wp:posOffset>
            </wp:positionV>
            <wp:extent cx="2794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to be repaid (if less than all):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 - 12</w:t>
      </w:r>
    </w:p>
    <w:p>
      <w:pPr>
        <w:sectPr>
          <w:pgSz w:w="11900" w:h="16838" w:orient="portrait"/>
          <w:cols w:equalWidth="0" w:num="1">
            <w:col w:w="10980"/>
          </w:cols>
          <w:pgMar w:left="440" w:top="266" w:right="479" w:bottom="1440" w:gutter="0" w:footer="0" w:header="0"/>
        </w:sectPr>
      </w:pPr>
    </w:p>
    <w:bookmarkStart w:id="111" w:name="page112"/>
    <w:bookmarkEnd w:id="111"/>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[FORM OF ASSIGNMENT AND TRANSFER]</w:t>
      </w:r>
    </w:p>
    <w:p>
      <w:pPr>
        <w:spacing w:after="0" w:line="22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any transfer of the within Note, the undersigned confirms that such Note is being transferred:</w:t>
      </w:r>
    </w:p>
    <w:p>
      <w:pPr>
        <w:spacing w:after="0" w:line="117" w:lineRule="exact"/>
        <w:rPr>
          <w:sz w:val="20"/>
          <w:szCs w:val="20"/>
          <w:color w:val="auto"/>
        </w:rPr>
      </w:pPr>
    </w:p>
    <w:p>
      <w:pPr>
        <w:ind w:left="204" w:hanging="204"/>
        <w:spacing w:after="0"/>
        <w:tabs>
          <w:tab w:leader="none" w:pos="204"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Federal Realty Investment Trust, Federal Realty OP LP or any subsidiary thereof; or</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144A under the Securities Act of 1933, as amended.</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Ex A - 13</w:t>
      </w:r>
    </w:p>
    <w:p>
      <w:pPr>
        <w:sectPr>
          <w:pgSz w:w="11900" w:h="16838" w:orient="portrait"/>
          <w:cols w:equalWidth="0" w:num="1">
            <w:col w:w="10904"/>
          </w:cols>
          <w:pgMar w:left="436" w:top="266" w:right="5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 A - 14</w:t>
      </w:r>
    </w:p>
    <w:p>
      <w:pPr>
        <w:sectPr>
          <w:pgSz w:w="11900" w:h="16838" w:orient="portrait"/>
          <w:cols w:equalWidth="0" w:num="1">
            <w:col w:w="10880"/>
          </w:cols>
          <w:pgMar w:left="440" w:top="270" w:right="57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Maryland real estate investment trust)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$485,000,000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(including the Additional Notes (as defined in the Purchase Agreement))</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3.25% Exchangeable Senior Notes due 2029</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January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real estate investment trust)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3.25% Exchangeable Senior Notes due 2029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Initial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Federal Realty OP LP, a Delaware limited partnership (the “</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proposes to issue and sell to certain purchasers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for whom J.P. Morgan Securities LLC, BofA Securities, Inc. and Wells Fargo Securities, LLC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are acting as the representatives, its 3.25% Exchangeable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upon the terms set forth in the Purchase Agreement by and among the Operating Partnership, Federal Realty Investment Trust, a Maryland real estate investment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Representatives, dated as of January 8, 2024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relating to the initial placement (the “</w:t>
      </w:r>
      <w:r>
        <w:rPr>
          <w:rFonts w:ascii="Times New Roman" w:cs="Times New Roman" w:eastAsia="Times New Roman" w:hAnsi="Times New Roman"/>
          <w:sz w:val="18"/>
          <w:szCs w:val="18"/>
          <w:u w:val="single" w:color="auto"/>
          <w:color w:val="auto"/>
        </w:rPr>
        <w:t>Initial Placement</w:t>
      </w:r>
      <w:r>
        <w:rPr>
          <w:rFonts w:ascii="Times New Roman" w:cs="Times New Roman" w:eastAsia="Times New Roman" w:hAnsi="Times New Roman"/>
          <w:sz w:val="18"/>
          <w:szCs w:val="18"/>
          <w:color w:val="auto"/>
        </w:rPr>
        <w:t>”) of the Notes. In certain circumstances, the Notes will be exchangeable for common shares of beneficial interest of the Company, par value $.01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in accordance with the terms of the Notes and the Indenture (as defined below). To induce the Representatives to enter into the Purchase Agreement and to induce the Initial Purchasers to satisfy their obligations thereunder, the holders of the Notes will have the benefit of this registration rights agreement by and among the Operating Partnership, the Company and the Representatives whereby the Company agrees with you for your benefit and the benefit of the holders from time to time of the Notes (including the Initial Purchasers)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as follows:</w:t>
      </w:r>
    </w:p>
    <w:p>
      <w:pPr>
        <w:sectPr>
          <w:pgSz w:w="11900" w:h="16838" w:orient="portrait"/>
          <w:cols w:equalWidth="0" w:num="1">
            <w:col w:w="11020"/>
          </w:cols>
          <w:pgMar w:left="440" w:top="270" w:right="439" w:bottom="1440" w:gutter="0" w:footer="0" w:header="0"/>
        </w:sectPr>
      </w:pPr>
    </w:p>
    <w:bookmarkStart w:id="115" w:name="page116"/>
    <w:bookmarkEnd w:id="115"/>
    <w:p>
      <w:pPr>
        <w:ind w:right="20" w:firstLine="436"/>
        <w:spacing w:after="0" w:line="282" w:lineRule="auto"/>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r>
        <w:rPr>
          <w:rFonts w:ascii="Times New Roman" w:cs="Times New Roman" w:eastAsia="Times New Roman" w:hAnsi="Times New Roman"/>
          <w:sz w:val="18"/>
          <w:szCs w:val="18"/>
          <w:color w:val="auto"/>
        </w:rPr>
        <w:t>. Capitalized terms used herein without definition shall have their respective meanings set forth in the Purchase Agreement. As used in this Agreement, the following capitalized defined terms shall have the following meanings: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specified in Rule 405 under the Act and the terms “controlling” and “controlled” shall have meanings correlative thereto.</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shall mean a Registration Statement filed by a Well-Known Seasoned Issuer which shall become effective upon filing thereof pursuant to General Instruction I.D. of Form S-3.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Broker-Dealer</w:t>
      </w:r>
      <w:r>
        <w:rPr>
          <w:rFonts w:ascii="Times New Roman" w:cs="Times New Roman" w:eastAsia="Times New Roman" w:hAnsi="Times New Roman"/>
          <w:sz w:val="18"/>
          <w:szCs w:val="18"/>
          <w:color w:val="auto"/>
        </w:rPr>
        <w:t>” shall mean any broker or dealer registered as such under the Exchange Act.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of the first issuance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Deferral Period</w:t>
      </w:r>
      <w:r>
        <w:rPr>
          <w:rFonts w:ascii="Times New Roman" w:cs="Times New Roman" w:eastAsia="Times New Roman" w:hAnsi="Times New Roman"/>
          <w:sz w:val="18"/>
          <w:szCs w:val="18"/>
          <w:color w:val="auto"/>
        </w:rPr>
        <w:t xml:space="preserve">” shall have the meaning indicated in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Memorandum</w:t>
      </w:r>
      <w:r>
        <w:rPr>
          <w:rFonts w:ascii="Times New Roman" w:cs="Times New Roman" w:eastAsia="Times New Roman" w:hAnsi="Times New Roman"/>
          <w:sz w:val="18"/>
          <w:szCs w:val="18"/>
          <w:color w:val="auto"/>
        </w:rPr>
        <w:t>” shall mean the final offering memorandum, dated January 8, 2024, relating to the Notes, including any and all annexes thereto and any information incorporated by reference therein as of such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mean the Financial Industry Regulatory Authority or any successor agency thereto.</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shall mean each offer to sell or solicitation of an offer to buy the Notes that would constitute a “free writing prospectus” as defined in Rule 405 under the Act, prepared by or on behalf of the Company or the Operating Partnership or used or referred to by the Company or the Operating Partnership in connection with the sale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shall mean the Indenture relating to the Notes, dated the date hereof, by and among the Operating Partnership, as issuer, the Company and U.S. Bank Trust Company, National Association, as trustee, as the same may be amended from time to time in accordance with the terms thereof.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Placement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16" w:name="page117"/>
    <w:bookmarkEnd w:id="11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shall mean, on any date, Holders of a majority of the Common Shares registered under a Shelf Registration Statement.</w:t>
      </w:r>
    </w:p>
    <w:p>
      <w:pPr>
        <w:spacing w:after="0" w:line="225"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Underwriters</w:t>
      </w:r>
      <w:r>
        <w:rPr>
          <w:rFonts w:ascii="Times New Roman" w:cs="Times New Roman" w:eastAsia="Times New Roman" w:hAnsi="Times New Roman"/>
          <w:sz w:val="18"/>
          <w:szCs w:val="18"/>
          <w:color w:val="auto"/>
        </w:rPr>
        <w:t xml:space="preserve">” shall mean the investment banker or investment bankers and manager or managers that administer an underwritten offering, if any, conducted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and Questionnaire</w:t>
      </w:r>
      <w:r>
        <w:rPr>
          <w:rFonts w:ascii="Times New Roman" w:cs="Times New Roman" w:eastAsia="Times New Roman" w:hAnsi="Times New Roman"/>
          <w:sz w:val="18"/>
          <w:szCs w:val="18"/>
          <w:color w:val="auto"/>
        </w:rPr>
        <w:t>” shall mean a written notice delivered to the Company substantially in the form attached as Annex A to the Final Memorandum.</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Holder</w:t>
      </w:r>
      <w:r>
        <w:rPr>
          <w:rFonts w:ascii="Times New Roman" w:cs="Times New Roman" w:eastAsia="Times New Roman" w:hAnsi="Times New Roman"/>
          <w:sz w:val="18"/>
          <w:szCs w:val="18"/>
          <w:color w:val="auto"/>
        </w:rPr>
        <w:t>” shall mean, on any date, any Holder of Registrable Securities that has delivered a properly completed Notice and Questionnaire to the Company on or prior to such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a prospectus included in a Shelf Registration Statement (including, without limitation, a prospectus that discloses information previously omitted from a prospectus filed as part of an effective registration statement in reliance upon Rule 430A or Rule 430B under the Act), as amended or supplemented by any prospectus supplement, including a prospectus supplement for a “shelf” takedown, with respect to the terms of the offering of any portion of the Common Shares covered by a Shelf Registration Statement, and all amendments and supplements thereto, including any and all exhibits thereto and any information incorporated by reference therein.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shall mean the Common Shares initially issuable in exchange for the Notes initially sold to the Initial Purchasers pursuant to the Purchase Agreement other than those that have (i) been registered under a Shelf Registration Statement and disposed of in accordance therewith,</w:t>
      </w:r>
    </w:p>
    <w:p>
      <w:pPr>
        <w:spacing w:after="0" w:line="1" w:lineRule="exact"/>
        <w:rPr>
          <w:sz w:val="20"/>
          <w:szCs w:val="20"/>
          <w:color w:val="auto"/>
        </w:rPr>
      </w:pPr>
    </w:p>
    <w:p>
      <w:pPr>
        <w:ind w:left="4" w:right="340" w:hanging="4"/>
        <w:spacing w:after="0" w:line="265" w:lineRule="auto"/>
        <w:tabs>
          <w:tab w:leader="none" w:pos="26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eligible to be sold without restriction as contemplated by Rule 144 under the Act or any successor rule or regulation thereto that may be adopted by the Commission, (iii) ceased to be outstanding, whether as a result of redemption, repurchase, cancellation, exchange or otherwise, or</w:t>
      </w:r>
    </w:p>
    <w:p>
      <w:pPr>
        <w:ind w:left="304" w:hanging="304"/>
        <w:spacing w:after="0"/>
        <w:tabs>
          <w:tab w:leader="none" w:pos="3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sold to the public pursuant to Rule 144 under the Act.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Default Damages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shall mean a “shelf” registration statement, including a “universal shelf” registration statement, of the Company pursuant to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which covers some or all of the Common Shares, including by “shelf takedown” using a prospectus supplement or otherwise,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 For the avoidance of doubt, if at any time from the date hereof through the end of the Shelf Registration Period, the Company is not eligible to use Form S-3 or Form S-3ASR or any successor form thereto, all references to Shelf Registration Statement in this Agreement shall be read to include a registration statement on Form S-11, or if the Company is no longer a real estate investment trust at such time, Form S-1, or any successor form thereto.</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17" w:name="page118"/>
    <w:bookmarkEnd w:id="11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any underwriter of Common Shares in connection with an offering thereof under a Shelf Registration Statement.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shall have the meaning set forth in Rule 405 under the Act.</w:t>
      </w:r>
    </w:p>
    <w:p>
      <w:pPr>
        <w:spacing w:after="0" w:line="225" w:lineRule="exact"/>
        <w:rPr>
          <w:sz w:val="20"/>
          <w:szCs w:val="20"/>
          <w:color w:val="auto"/>
        </w:rPr>
      </w:pPr>
    </w:p>
    <w:p>
      <w:pPr>
        <w:ind w:left="944" w:hanging="173"/>
        <w:spacing w:after="0"/>
        <w:tabs>
          <w:tab w:leader="none" w:pos="9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4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 or before the 90th day following the Closing Date, (i) file with the Commission a Shelf Registration Statement (which shall be, if the Company is then a Well-Known Seasoned Issuer, an Automatic Shelf Registration Statement) and/or (ii) file one or more prospectus supplements to an effective Shelf Registration Statement of the Company, providing for the registration of, and the sale on a continuous or delayed basis by the Holders of, all of the Registrable Securities, from time to time in accordance with the methods of distribution elected by such Holders, pursuant to Rule 415 under the Act or any similar rule that may be adopted by the Commission.</w:t>
      </w:r>
    </w:p>
    <w:p>
      <w:pPr>
        <w:spacing w:after="0" w:line="183"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5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Shelf Registration Statement filed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is not an Automatic Shelf Registration Statement, the Company shall use its commercially reasonable efforts to cause the Shelf Registration Statement to become or be declared effective under the Act no later than 180 days after the Closing Date.</w:t>
      </w:r>
    </w:p>
    <w:p>
      <w:pPr>
        <w:spacing w:after="0" w:line="175" w:lineRule="exact"/>
        <w:rPr>
          <w:rFonts w:ascii="Times New Roman" w:cs="Times New Roman" w:eastAsia="Times New Roman" w:hAnsi="Times New Roman"/>
          <w:sz w:val="18"/>
          <w:szCs w:val="18"/>
          <w:color w:val="auto"/>
        </w:rPr>
      </w:pPr>
    </w:p>
    <w:p>
      <w:pPr>
        <w:ind w:left="4" w:right="80" w:firstLine="987"/>
        <w:spacing w:after="0" w:line="252" w:lineRule="auto"/>
        <w:tabs>
          <w:tab w:leader="none" w:pos="124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keep any Shelf Registration Statement continuously effective, supplemented and amended as required by the Act (including by way of preparing and filing with the Commission within the time limits required by Rule 415 under the Act or any successor rule thereto a new Shelf Registration Statement, and, if necessary, filing a new prospectus supplement pursuant to such new Shelf Registration Statement, in order to cover any Registrable Securities previously registered on a Shelf Registration Statement that may no longer be used for sales of such Registrable Securities, and the Company shall use its commercially reasonable efforts to cause such new Shelf Registration Statement to be declared effective by the Commission as soon as practicable thereafter), in order to permit the Prospectus forming part thereof to be usable by Holders for a period (the “</w:t>
      </w:r>
      <w:r>
        <w:rPr>
          <w:rFonts w:ascii="Times New Roman" w:cs="Times New Roman" w:eastAsia="Times New Roman" w:hAnsi="Times New Roman"/>
          <w:sz w:val="18"/>
          <w:szCs w:val="18"/>
          <w:u w:val="single" w:color="auto"/>
          <w:color w:val="auto"/>
        </w:rPr>
        <w:t>Shelf Registration Period</w:t>
      </w:r>
      <w:r>
        <w:rPr>
          <w:rFonts w:ascii="Times New Roman" w:cs="Times New Roman" w:eastAsia="Times New Roman" w:hAnsi="Times New Roman"/>
          <w:sz w:val="18"/>
          <w:szCs w:val="18"/>
          <w:color w:val="auto"/>
        </w:rPr>
        <w:t>”) from the date such Shelf Registration Statement is declared effective by the Commission (or becomes effective in the case of an Automatic Shelf Registration Statement) or, in the case of a “universal” Shelf Registration Statement, the first date a prospectus supplement covering Registrable Securities is filed under such Shelf Registration Statement until the earlier of</w:t>
      </w:r>
    </w:p>
    <w:p>
      <w:pPr>
        <w:spacing w:after="0" w:line="6" w:lineRule="exact"/>
        <w:rPr>
          <w:rFonts w:ascii="Times New Roman" w:cs="Times New Roman" w:eastAsia="Times New Roman" w:hAnsi="Times New Roman"/>
          <w:sz w:val="18"/>
          <w:szCs w:val="18"/>
          <w:color w:val="auto"/>
        </w:rPr>
      </w:pPr>
    </w:p>
    <w:p>
      <w:pPr>
        <w:ind w:left="4" w:hanging="4"/>
        <w:spacing w:after="0" w:line="250" w:lineRule="auto"/>
        <w:tabs>
          <w:tab w:leader="none" w:pos="2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30th trading day immediately following the maturity date of the Notes (subject to extension for any suspension of the effectiveness of the Shelf Registration Statement during such 30 trading day period immediately following the maturity date by the length of such suspension) and (ii) the date upon which there are no Notes or Registrable Securities outstanding. The Company shall be deemed not to have used its commercially reasonable efforts to keep a Shelf Registration Statement effective during the Shelf Registration Period if it voluntarily takes any action that would result in Holders of Registrable Securities not being able to offer and sell such Common Shares at any time during the Shelf Registration Period, unless such action is</w:t>
      </w:r>
    </w:p>
    <w:p>
      <w:pPr>
        <w:spacing w:after="0" w:line="1" w:lineRule="exact"/>
        <w:rPr>
          <w:rFonts w:ascii="Times New Roman" w:cs="Times New Roman" w:eastAsia="Times New Roman" w:hAnsi="Times New Roman"/>
          <w:sz w:val="18"/>
          <w:szCs w:val="18"/>
          <w:color w:val="auto"/>
        </w:rPr>
      </w:pPr>
    </w:p>
    <w:p>
      <w:pPr>
        <w:ind w:left="4" w:right="380" w:hanging="4"/>
        <w:spacing w:after="0" w:line="260"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by applicable law or otherwise undertaken by the Company in good faith and for valid business reasons (not including avoidance of the Company’s obligations hereunder), including the acquisition or divestiture of assets, and (y) permitted by </w:t>
      </w:r>
      <w:r>
        <w:rPr>
          <w:rFonts w:ascii="Times New Roman" w:cs="Times New Roman" w:eastAsia="Times New Roman" w:hAnsi="Times New Roman"/>
          <w:sz w:val="18"/>
          <w:szCs w:val="18"/>
          <w:u w:val="single" w:color="auto"/>
          <w:color w:val="auto"/>
        </w:rPr>
        <w:t>Section 3(i)</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18" w:name="page119"/>
    <w:bookmarkEnd w:id="118"/>
    <w:p>
      <w:pPr>
        <w:ind w:left="4" w:right="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hereof. None of the Company, the Operating Partnership or any of their respective securityholders (other than Holders of Registrable Securities) shall have the right to include any securities of the Company or the Operating Partnership in any Shelf Registration Statement or, in the case of a “universal” Shelf Registration Statement, in any prospectus supplement for a “shelf takedown” registering Registrable Securities, other than Registrable Securities.</w:t>
      </w:r>
    </w:p>
    <w:p>
      <w:pPr>
        <w:spacing w:after="0" w:line="158" w:lineRule="exact"/>
        <w:rPr>
          <w:sz w:val="20"/>
          <w:szCs w:val="20"/>
          <w:color w:val="auto"/>
        </w:rPr>
      </w:pPr>
    </w:p>
    <w:p>
      <w:pPr>
        <w:ind w:left="4" w:right="180" w:firstLine="987"/>
        <w:spacing w:after="0" w:line="258" w:lineRule="auto"/>
        <w:tabs>
          <w:tab w:leader="none" w:pos="12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a Shelf Registration Statement and the related Prospectus and any amendment or supplement thereto, as of the effective date of the Shelf Registration Statement or such amendment or supplement, (i) to comply in all material respects with the applicable requirements of the Act; and (ii) not to contain any untrue statement of a material fact or omit to state a material fact required to be stated therein or necessary in order to make the statements therein (in the case of the Prospectus,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left="4" w:firstLine="987"/>
        <w:spacing w:after="0" w:line="237" w:lineRule="auto"/>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notice to each Holder at least twenty (20) Business Days prior to the anticipated effective date of the initial Shelf Registration Statement filed pursuant hereto (such effective date shall also include the date of filing the initial prospectus supplement for a “shelf takedown” of Registrable Securities). Each Holder agrees to deliver a Notice and Questionnaire and such other information as the Company may reasonably request in writing, if any, to the Company at least ten (10) Business Days prior to the anticipated effective date of such Shelf Registration Statement as announced in such notice from the Company. If a Holder does not timely complete and deliver a Notice and Questionnaire or provide the other information the Company may reasonably request in writing, that Holder will not be named as a selling securityholder in the Prospectus and will not be permitted to sell its Registrable Securities under such Shelf Registration Statement. From and after the effective date of such Shelf Registration Statement, the Company shall use commercially reasonable efforts,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of each month to (i) file with the Commission a post-effective amendment to such Shelf Registration Statement or to prepare and, if permitted or required by applicable law, to file a supplement, including any prospectus supplement for a “shelf takedown,” to the related Prospectus or an amendment or supplement to any document incorporated therein by reference or file any other required document so that each Holder that delivered a Notice and Questionnaire prior to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the prior month is named as a selling securityholder in such Shelf Registration Statement and the related Prospectus, and so that such Holder is permitted to deliver such Prospectus to purchasers of the Registrable Securities in accordance with applicable law and, if the Company shall file a post-effective amendment to such Shelf Registration Statement, use its commercially reasonable efforts to cause such post-effective amendment to be declared effective under the Act as promptly as is practicable; (ii) provide such Holder, upon request, copies of any documents filed pursuant to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hereof; and</w:t>
      </w:r>
    </w:p>
    <w:p>
      <w:pPr>
        <w:spacing w:after="0" w:line="10" w:lineRule="exact"/>
        <w:rPr>
          <w:rFonts w:ascii="Times New Roman" w:cs="Times New Roman" w:eastAsia="Times New Roman" w:hAnsi="Times New Roman"/>
          <w:sz w:val="18"/>
          <w:szCs w:val="18"/>
          <w:color w:val="auto"/>
        </w:rPr>
      </w:pPr>
    </w:p>
    <w:p>
      <w:pPr>
        <w:ind w:left="4" w:right="60" w:hanging="4"/>
        <w:spacing w:after="0" w:line="252" w:lineRule="auto"/>
        <w:tabs>
          <w:tab w:leader="none" w:pos="3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such Holder as promptly as practicable after the effectiveness under the Act of any post-effective amendment filed or the filing of any supplement, including any prospectus supplement for a “shelf takedown,” to the related Prospectus, pursuant to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hereof; provided, that if such Notice and Questionnaire is delivered during a Deferral Period, the Company shall so inform the Holder delivering such Notice and Questionnaire and shall take the actions set forth in clauses (i), (ii) and (iii) above upon expiration of the Deferral Period in accordance with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hereof. Notwithstanding anything contained herein to the contrary, the Company shall be under no obligation to name any Holder that is not a Notice Holder as a selling securityholder in a Shelf Registration Statement or related Prospectus; provided, however, that any Holder that becomes a Notice Holder pursuant to the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19" w:name="page120"/>
    <w:bookmarkEnd w:id="11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(whether or not such Holder was a Notice Holder at the effective date of such Shelf Registration Statement) shall be named as a selling securityholder in such Shelf Registration Statement or related Prospectus in accordance with the requirements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Notwithstanding the foregoing, if (A) the Notes are called for redemption and the then prevailing market price of the Common Shares is above the Exchange Price (as defined in the Indenture) or (B) the Notes are exchanged as provided for in Article 14 of the Indenture, then the Company shall use commercially reasonable efforts to file a post-effective amendment or supplement, including any prospectus supplement for a “shelf takedown,” to the related Prospectus within five (5) Business Days of the Redemption Date (as defined in the Indenture), as applicable, naming as a selling securityholder therein all Notice Holders that have completed and delivered a Notice and Questionnaire and provided the other information reasonably requested in writing by the Company, in each case on or before such Redemption Date, as applicable.</w:t>
      </w:r>
    </w:p>
    <w:p>
      <w:pPr>
        <w:spacing w:after="0" w:line="192" w:lineRule="exact"/>
        <w:rPr>
          <w:sz w:val="20"/>
          <w:szCs w:val="20"/>
          <w:color w:val="auto"/>
        </w:rPr>
      </w:pPr>
    </w:p>
    <w:p>
      <w:pPr>
        <w:ind w:left="620" w:hanging="184"/>
        <w:spacing w:after="0"/>
        <w:tabs>
          <w:tab w:leader="none" w:pos="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The following provisions shall apply in connection with any Shelf Registration Statement.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w:t>
      </w:r>
    </w:p>
    <w:p>
      <w:pPr>
        <w:spacing w:after="0" w:line="225" w:lineRule="exact"/>
        <w:rPr>
          <w:rFonts w:ascii="Times New Roman" w:cs="Times New Roman" w:eastAsia="Times New Roman" w:hAnsi="Times New Roman"/>
          <w:sz w:val="18"/>
          <w:szCs w:val="18"/>
          <w:color w:val="auto"/>
        </w:rPr>
      </w:pPr>
    </w:p>
    <w:p>
      <w:pPr>
        <w:ind w:firstLine="1428"/>
        <w:spacing w:after="0" w:line="258" w:lineRule="auto"/>
        <w:tabs>
          <w:tab w:leader="none" w:pos="164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to each of the Representatives and to counsel for the Notice Holders (as appointed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not less than five (5) Business Days prior to the filing thereof with the Commission, a copy of the Shelf Registration Statement and each amendment thereto and each amendment or supplement, including any prospectus supplement for a “shelf takedown,” if any, to the Prospectus included therein (but not including documents incorporated by reference therein after the initial filing) and shall use its commercially reasonable efforts to reflect in each such document, when so filed with the Commission, such comments as the Representatives reasonably propose; and</w:t>
      </w:r>
    </w:p>
    <w:p>
      <w:pPr>
        <w:spacing w:after="0" w:line="183" w:lineRule="exact"/>
        <w:rPr>
          <w:rFonts w:ascii="Times New Roman" w:cs="Times New Roman" w:eastAsia="Times New Roman" w:hAnsi="Times New Roman"/>
          <w:sz w:val="18"/>
          <w:szCs w:val="18"/>
          <w:color w:val="auto"/>
        </w:rPr>
      </w:pPr>
    </w:p>
    <w:p>
      <w:pPr>
        <w:ind w:right="120" w:firstLine="1428"/>
        <w:spacing w:after="0" w:line="312" w:lineRule="auto"/>
        <w:tabs>
          <w:tab w:leader="none" w:pos="1697" w:val="left"/>
        </w:tabs>
        <w:numPr>
          <w:ilvl w:val="2"/>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information regarding the Notice Holders and the lawful methods of distribution they have elected for their Registrable Securities provided to the Company in Notices and Questionnaires as necessary to permit such distribution by the methods specified therein.</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w:t>
      </w:r>
    </w:p>
    <w:p>
      <w:pPr>
        <w:spacing w:after="0" w:line="225" w:lineRule="exact"/>
        <w:rPr>
          <w:rFonts w:ascii="Times New Roman" w:cs="Times New Roman" w:eastAsia="Times New Roman" w:hAnsi="Times New Roman"/>
          <w:sz w:val="18"/>
          <w:szCs w:val="18"/>
          <w:color w:val="auto"/>
        </w:rPr>
      </w:pPr>
    </w:p>
    <w:p>
      <w:pPr>
        <w:ind w:right="360" w:firstLine="1428"/>
        <w:spacing w:after="0" w:line="282" w:lineRule="auto"/>
        <w:tabs>
          <w:tab w:leader="none" w:pos="164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and any amendment thereto and any Prospectus, including any prospectus supplement for a “shelf takedown,” forming part thereof and any amendment or supplement thereto complies in all material respects with the Act; and</w:t>
      </w:r>
    </w:p>
    <w:p>
      <w:pPr>
        <w:spacing w:after="0" w:line="161" w:lineRule="exact"/>
        <w:rPr>
          <w:rFonts w:ascii="Times New Roman" w:cs="Times New Roman" w:eastAsia="Times New Roman" w:hAnsi="Times New Roman"/>
          <w:sz w:val="18"/>
          <w:szCs w:val="18"/>
          <w:color w:val="auto"/>
        </w:rPr>
      </w:pPr>
    </w:p>
    <w:p>
      <w:pPr>
        <w:ind w:firstLine="1428"/>
        <w:spacing w:after="0" w:line="282" w:lineRule="auto"/>
        <w:tabs>
          <w:tab w:leader="none" w:pos="169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3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advise the Representatives, the Notice Holders and any Underwriter that has provided in writing to the Company a telephone or facsimile number and address for notices, and confirm such advice in writing (which notice pursuant to clauses (ii) through (v) hereof shall be accompanied by an instruction to suspend the use of the Prospectus until the Company shall have remedied the basis for such suspension):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20" w:name="page121"/>
    <w:bookmarkEnd w:id="120"/>
    <w:p>
      <w:pPr>
        <w:ind w:left="-40" w:right="460" w:firstLine="1428"/>
        <w:spacing w:after="0" w:line="282" w:lineRule="auto"/>
        <w:tabs>
          <w:tab w:leader="none" w:pos="160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the Shelf Registration Statement and any amendment thereto has been filed with the Commission and when the Shelf Registration Statement or any post-effective amendment thereto has become effective;</w:t>
      </w:r>
    </w:p>
    <w:p>
      <w:pPr>
        <w:spacing w:after="0" w:line="161" w:lineRule="exact"/>
        <w:rPr>
          <w:rFonts w:ascii="Times New Roman" w:cs="Times New Roman" w:eastAsia="Times New Roman" w:hAnsi="Times New Roman"/>
          <w:sz w:val="18"/>
          <w:szCs w:val="18"/>
          <w:color w:val="auto"/>
        </w:rPr>
      </w:pPr>
    </w:p>
    <w:p>
      <w:pPr>
        <w:ind w:left="-40" w:right="400" w:firstLine="1428"/>
        <w:spacing w:after="0" w:line="282" w:lineRule="auto"/>
        <w:tabs>
          <w:tab w:leader="none" w:pos="165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any amendment or supplement to the Shelf Registration Statement or the Prospectus, including any prospectus supplement for a “shelf takedown,” or for additional information;</w:t>
      </w:r>
    </w:p>
    <w:p>
      <w:pPr>
        <w:spacing w:after="0" w:line="161" w:lineRule="exact"/>
        <w:rPr>
          <w:rFonts w:ascii="Times New Roman" w:cs="Times New Roman" w:eastAsia="Times New Roman" w:hAnsi="Times New Roman"/>
          <w:sz w:val="18"/>
          <w:szCs w:val="18"/>
          <w:color w:val="auto"/>
        </w:rPr>
      </w:pPr>
    </w:p>
    <w:p>
      <w:pPr>
        <w:ind w:left="-40" w:right="120" w:firstLine="1428"/>
        <w:spacing w:after="0" w:line="266" w:lineRule="auto"/>
        <w:tabs>
          <w:tab w:leader="none" w:pos="170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Shelf Registration Statement or the institution or threatening of any proceeding for that purpose or any other lapse in the effectiveness of the Shelf Registration Statement during the Shelf Registration Period;</w:t>
      </w:r>
    </w:p>
    <w:p>
      <w:pPr>
        <w:spacing w:after="0" w:line="175" w:lineRule="exact"/>
        <w:rPr>
          <w:rFonts w:ascii="Times New Roman" w:cs="Times New Roman" w:eastAsia="Times New Roman" w:hAnsi="Times New Roman"/>
          <w:sz w:val="18"/>
          <w:szCs w:val="18"/>
          <w:color w:val="auto"/>
        </w:rPr>
      </w:pPr>
    </w:p>
    <w:p>
      <w:pPr>
        <w:ind w:left="-40" w:right="360" w:firstLine="1428"/>
        <w:spacing w:after="0" w:line="282" w:lineRule="auto"/>
        <w:tabs>
          <w:tab w:leader="none" w:pos="169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of the Common Shares included therein for sale in any jurisdiction or the institution or threatening of any proceeding for such purpose; and</w:t>
      </w:r>
    </w:p>
    <w:p>
      <w:pPr>
        <w:spacing w:after="0" w:line="161" w:lineRule="exact"/>
        <w:rPr>
          <w:rFonts w:ascii="Times New Roman" w:cs="Times New Roman" w:eastAsia="Times New Roman" w:hAnsi="Times New Roman"/>
          <w:sz w:val="18"/>
          <w:szCs w:val="18"/>
          <w:color w:val="auto"/>
        </w:rPr>
      </w:pPr>
    </w:p>
    <w:p>
      <w:pPr>
        <w:ind w:left="-40" w:firstLine="1428"/>
        <w:spacing w:after="0" w:line="266" w:lineRule="auto"/>
        <w:tabs>
          <w:tab w:leader="none" w:pos="164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happening of any event that requires any change in the Shelf Registration Statement or the Prospectus so that, as of such date, they (A) do not contain any untrue statement of a material fact and (B) do not omit to state a material fact required to be stated therein or necessary to make the statements therein (in the case of the Prospectus,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ind w:left="-40" w:right="280" w:firstLine="987"/>
        <w:spacing w:after="0" w:line="261"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prevent the issuance of any order suspending the effectiveness of the Shelf Registration Statement or the qualification of the securities therein for sale in any jurisdiction and, if issued, to obtain as soon as possible the withdrawal thereof. The Company shall undertake additional reasonable actions as required to permit unrestricted resales of the Common Shares in accordance with the terms and conditions of this Agreement.</w:t>
      </w:r>
    </w:p>
    <w:p>
      <w:pPr>
        <w:spacing w:after="0" w:line="179" w:lineRule="exact"/>
        <w:rPr>
          <w:rFonts w:ascii="Times New Roman" w:cs="Times New Roman" w:eastAsia="Times New Roman" w:hAnsi="Times New Roman"/>
          <w:sz w:val="18"/>
          <w:szCs w:val="18"/>
          <w:color w:val="auto"/>
        </w:rPr>
      </w:pPr>
    </w:p>
    <w:p>
      <w:pPr>
        <w:ind w:left="-40" w:right="120" w:firstLine="987"/>
        <w:spacing w:after="0" w:line="266" w:lineRule="auto"/>
        <w:tabs>
          <w:tab w:leader="none" w:pos="11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the Company shall furnish to each Notice Holder, without charge, at least one copy of the Shelf Registration Statement and any post-effective amendment thereto, including all material incorporated therein by reference, and, if a Notice Holder so requests in writing, all exhibits thereto (including exhibits incorporated by reference therein).</w:t>
      </w:r>
    </w:p>
    <w:p>
      <w:pPr>
        <w:spacing w:after="0" w:line="175" w:lineRule="exact"/>
        <w:rPr>
          <w:rFonts w:ascii="Times New Roman" w:cs="Times New Roman" w:eastAsia="Times New Roman" w:hAnsi="Times New Roman"/>
          <w:sz w:val="18"/>
          <w:szCs w:val="18"/>
          <w:color w:val="auto"/>
        </w:rPr>
      </w:pPr>
    </w:p>
    <w:p>
      <w:pPr>
        <w:ind w:left="-40" w:firstLine="987"/>
        <w:spacing w:after="0" w:line="258" w:lineRule="auto"/>
        <w:tabs>
          <w:tab w:leader="none" w:pos="11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Shelf Registration Period, the Company shall promptly deliver to each Initial Purchaser, each Notice Holder, and any sales or placement agents or Underwriters acting on their behalf, without charge, as many copies of the Prospectus (including the preliminary Prospectus, if any) included in the Shelf Registration Statement and any amendment or supplement, including any prospectus supplement for a “shelf takedown,” thereto as any such person may reasonably request. The Company consents to the use of the Prospectus or any amendment or supplement, including any prospectus supplement for a “shelf takedown,” thereto by each of the foregoing in connection with the offering and sale of the Common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70" w:right="499" w:bottom="1440" w:gutter="0" w:footer="0" w:header="0"/>
        </w:sectPr>
      </w:pPr>
    </w:p>
    <w:bookmarkStart w:id="121" w:name="page122"/>
    <w:bookmarkEnd w:id="121"/>
    <w:p>
      <w:pPr>
        <w:ind w:right="120" w:firstLine="987"/>
        <w:spacing w:after="0" w:line="256"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any offering of Common Shares pursuant to the Shelf Registration Statement, the Company shall (i) use commercially reasonable efforts to arrange for the qualification of the Common Shares for sale under the laws of such jurisdictions as any Notice Holder shall reasonably request and shall maintain such qualification in effect so long as required, and (ii) cooperate with the Holders in connection with any filings required to be made with FINRA; provided, that in no event shall the Company be obligated to qualify to do business in any jurisdiction where it is not then so qualified or to take any action that would subject it to service of process in suits, other than those arising out of the Initial Placement or any offering pursuant to the Shelf Registration Statement, in any jurisdiction where it is not then so subject.</w:t>
      </w:r>
    </w:p>
    <w:p>
      <w:pPr>
        <w:spacing w:after="0" w:line="187"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event contemplated by </w:t>
      </w:r>
      <w:r>
        <w:rPr>
          <w:rFonts w:ascii="Times New Roman" w:cs="Times New Roman" w:eastAsia="Times New Roman" w:hAnsi="Times New Roman"/>
          <w:sz w:val="18"/>
          <w:szCs w:val="18"/>
          <w:u w:val="single" w:color="auto"/>
          <w:color w:val="auto"/>
        </w:rPr>
        <w:t>Section 3(c)(ii)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3(c)(v)</w:t>
      </w:r>
      <w:r>
        <w:rPr>
          <w:rFonts w:ascii="Times New Roman" w:cs="Times New Roman" w:eastAsia="Times New Roman" w:hAnsi="Times New Roman"/>
          <w:sz w:val="18"/>
          <w:szCs w:val="18"/>
          <w:color w:val="auto"/>
        </w:rPr>
        <w:t xml:space="preserve"> hereof, the Company shall promptly (or within the time period provided for by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hereof, if applicable) prepare a post-effective amendment to the Shelf Registration Statement or an amendment or supplement, including any prospectus supplement for a “shelf takedown,” to the related Prospectus or file any other required document to remedy the basis for any suspension of the Shelf Registration Statement and so that, as thereafter delivered to Initial Purchasers of the securities included therein, the Prospectus will not include an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or existence of any pending corporate development, public filing with the Commission or any other material event that, in the reasonable judgment of the Company, makes it appropriate to suspend the availability of the Shelf Registration Statement and the related Prospectus, including any prospectus supplement for a “shelf takedown,” the Company shall give notice (without notice of the nature or details of such events) to the Notice Holders that the availability of the Shelf Registration Statement is suspended and, upon actual receipt of any such notice, each Notice Holder agrees (i) not to sell any Registrable Securities pursuant to the Shelf Registration Statement until such Notice Holder’s receipt of copies of the supplemented or amended Prospectus, including a prospectus supplement for a “shelf takedown,” provided for in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hereof, or until it is advised in writing by the Company that the Prospectus may be used, and has received copies of any additional or supplemental filings that are incorporated or deemed incorporated by reference in such Prospectus and (ii) to hold any such suspension notice in confidence. The period during which the availability of the Shelf Registration Statement and any Prospectus is suspended pursuant to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Deferral Period</w:t>
      </w:r>
      <w:r>
        <w:rPr>
          <w:rFonts w:ascii="Times New Roman" w:cs="Times New Roman" w:eastAsia="Times New Roman" w:hAnsi="Times New Roman"/>
          <w:sz w:val="18"/>
          <w:szCs w:val="18"/>
          <w:color w:val="auto"/>
        </w:rPr>
        <w:t>”) shall not exceed 45 days in any 90-day period or 90 days in any 360-day period; provided, that, if the event triggering the Deferral Period relates to a proposed or pending material business transaction, the disclosure of which the board of trustees of the Company determines in good faith would be reasonably likely to impede the ability to consummate the transaction or would otherwise be seriously detrimental to the Company and its subsidiaries taken a whole, the Company may extend the Deferral Period from 45 days to 60 days in any 90-day period or from 90 days to 120 days in any 360-day period.</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all applicable rules and regulations of the Commission and shall make generally available to its securityholders an earnings statement satisfying the provisions of Section 11(a) of, and Rule 158 under, the Act as soon as practicable after the effective date of the Shelf Registration Statement (such effective date shall include the date of filing a prospectus supplement for a “shelf takedown” of Registrable Securities to an effective Shelf Registration Statement) and in any event no later than 45 days after the end of a 12-month period (or 90 days, if such period is a fiscal year) beginning with the first month of the Company’s first fiscal quarter commencing after the such effective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2" w:name="page123"/>
    <w:bookmarkEnd w:id="122"/>
    <w:p>
      <w:pPr>
        <w:ind w:firstLine="987"/>
        <w:spacing w:after="0" w:line="258"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require each Holder of Common Shares to be sold pursuant to the Shelf Registration Statement to furnish to the Company such information regarding the Holder and the distribution of such Common Shares as the Company may from time to time reasonably require for inclusion in the Shelf Registration Statement. The Company may exclude from the Shelf Registration Statement (including a prospectus supplement for a “shelf takedown” pursuant thereto) the Common Shares of any Holder that unreasonably fails to furnish such information within ten (10) Business Days after receiving such request.</w:t>
      </w:r>
    </w:p>
    <w:p>
      <w:pPr>
        <w:spacing w:after="0" w:line="183"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0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the Company shall enter into customary agreements (including, if requested, an underwriting agreement in customary form) and take all other appropriate actions in order to expedite or facilitate the registration or the disposition of the Common Shares, and in connection therewith, if an underwriting agreement is entered into, cause the same to contain customary indemnification provisions and procedures.</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underwritten offering consented to by the Company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the Company shall:</w:t>
      </w:r>
    </w:p>
    <w:p>
      <w:pPr>
        <w:spacing w:after="0" w:line="225" w:lineRule="exact"/>
        <w:rPr>
          <w:rFonts w:ascii="Times New Roman" w:cs="Times New Roman" w:eastAsia="Times New Roman" w:hAnsi="Times New Roman"/>
          <w:sz w:val="18"/>
          <w:szCs w:val="18"/>
          <w:color w:val="auto"/>
        </w:rPr>
      </w:pPr>
    </w:p>
    <w:p>
      <w:pPr>
        <w:ind w:right="120" w:firstLine="1428"/>
        <w:spacing w:after="0" w:line="266" w:lineRule="auto"/>
        <w:tabs>
          <w:tab w:leader="none" w:pos="164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reasonably available for inspection by the Holders of Common Shares to be registered thereunder, any Underwriter participating in any disposition pursuant to the Shelf Registration Statement, and any attorney, accountant or other agent retained by the Holders or any such Underwriter all relevant financial and other records and pertinent corporate documents of the Company and its subsidiaries;</w:t>
      </w:r>
    </w:p>
    <w:p>
      <w:pPr>
        <w:spacing w:after="0" w:line="175" w:lineRule="exact"/>
        <w:rPr>
          <w:rFonts w:ascii="Times New Roman" w:cs="Times New Roman" w:eastAsia="Times New Roman" w:hAnsi="Times New Roman"/>
          <w:sz w:val="18"/>
          <w:szCs w:val="18"/>
          <w:color w:val="auto"/>
        </w:rPr>
      </w:pPr>
    </w:p>
    <w:p>
      <w:pPr>
        <w:ind w:right="80" w:firstLine="1428"/>
        <w:spacing w:after="0" w:line="266" w:lineRule="auto"/>
        <w:tabs>
          <w:tab w:leader="none" w:pos="169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Company’s officers, trustees, employees, accountants and auditors to supply all relevant information reasonably requested by the Holders or any such Underwriter, attorney, accountant or agent in connection with the Shelf Registration Statement as is customary for similar due diligence examinations;</w:t>
      </w:r>
    </w:p>
    <w:p>
      <w:pPr>
        <w:spacing w:after="0" w:line="175" w:lineRule="exact"/>
        <w:rPr>
          <w:rFonts w:ascii="Times New Roman" w:cs="Times New Roman" w:eastAsia="Times New Roman" w:hAnsi="Times New Roman"/>
          <w:sz w:val="18"/>
          <w:szCs w:val="18"/>
          <w:color w:val="auto"/>
        </w:rPr>
      </w:pPr>
    </w:p>
    <w:p>
      <w:pPr>
        <w:ind w:right="100" w:firstLine="1428"/>
        <w:spacing w:after="0" w:line="266" w:lineRule="auto"/>
        <w:tabs>
          <w:tab w:leader="none" w:pos="174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representations and warranties to the Holders of Common Shares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175" w:lineRule="exact"/>
        <w:rPr>
          <w:rFonts w:ascii="Times New Roman" w:cs="Times New Roman" w:eastAsia="Times New Roman" w:hAnsi="Times New Roman"/>
          <w:sz w:val="18"/>
          <w:szCs w:val="18"/>
          <w:color w:val="auto"/>
        </w:rPr>
      </w:pPr>
    </w:p>
    <w:p>
      <w:pPr>
        <w:ind w:right="360" w:firstLine="1428"/>
        <w:spacing w:after="0" w:line="261" w:lineRule="auto"/>
        <w:tabs>
          <w:tab w:leader="none" w:pos="173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opinions of counsel to the Company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w:t>
      </w:r>
    </w:p>
    <w:p>
      <w:pPr>
        <w:spacing w:after="0" w:line="179"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“comfort” letters and updates thereof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Shelf Registration Statement), addressed to each selling Holder of Common Shares registered thereunder and the Underwriters, if any, in customary form and covering matters of the type customarily covered in “comfort” letters in connection with primary underwritten offerings;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23" w:name="page124"/>
    <w:bookmarkEnd w:id="123"/>
    <w:p>
      <w:pPr>
        <w:ind w:right="60" w:firstLine="1428"/>
        <w:spacing w:after="0" w:line="266" w:lineRule="auto"/>
        <w:tabs>
          <w:tab w:leader="none" w:pos="17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 such documents and certificates as may be reasonably requested by the Majority Holders or the Managing Underwriters, if any, including those to evidence compliance with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hereof and with any customary conditions contained in the underwriting agreement or other agreement entered into by the Company.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The actions set forth in clauses (iii) through (vi) of this </w:t>
      </w:r>
      <w:r>
        <w:rPr>
          <w:rFonts w:ascii="Times New Roman" w:cs="Times New Roman" w:eastAsia="Times New Roman" w:hAnsi="Times New Roman"/>
          <w:sz w:val="18"/>
          <w:szCs w:val="18"/>
          <w:u w:val="single" w:color="auto"/>
          <w:color w:val="auto"/>
        </w:rPr>
        <w:t>Section 3(m)</w:t>
      </w:r>
      <w:r>
        <w:rPr>
          <w:rFonts w:ascii="Times New Roman" w:cs="Times New Roman" w:eastAsia="Times New Roman" w:hAnsi="Times New Roman"/>
          <w:sz w:val="18"/>
          <w:szCs w:val="18"/>
          <w:color w:val="auto"/>
        </w:rPr>
        <w:t xml:space="preserve"> shall be performed in connection with any underwriting or similar agreement as and to the extent required thereunder.</w:t>
      </w:r>
    </w:p>
    <w:p>
      <w:pPr>
        <w:spacing w:after="0" w:line="162" w:lineRule="exact"/>
        <w:rPr>
          <w:sz w:val="20"/>
          <w:szCs w:val="20"/>
          <w:color w:val="auto"/>
        </w:rPr>
      </w:pPr>
    </w:p>
    <w:p>
      <w:pPr>
        <w:ind w:right="80" w:firstLine="987"/>
        <w:spacing w:after="0" w:line="261" w:lineRule="auto"/>
        <w:tabs>
          <w:tab w:leader="none" w:pos="12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Broker-Dealer shall underwrite any Common Shares or participate in a public offering (within the meaning of the rules of FINRA) as a member of an underwriting syndicate or selling group, whether as a Holder of such Common Shares or as an Underwriter, a placement or sales agent or a broker or dealer in respect thereof, or otherwise, the Company shall assist such Broker-Dealer in complying with the applicable rules and regulations of FINRA.</w:t>
      </w:r>
    </w:p>
    <w:p>
      <w:pPr>
        <w:spacing w:after="0" w:line="179"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take all other steps necessary to effect the registration under the Act of the Registrable Securities.</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expenses incurred in connection with the performance of its obligations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shall reimburse the Holders for the reasonable fees and disbursements of one firm or counsel (which shall initially be Sidley Austin LLP, but which may be another nationally recognized law firm experienced in securities matters designated by the Majority Holders) to act as counsel for the Holders in connection therewith; provided, however, that such expenses shall not include, and the Company shall not have any obligation to pay any underwriting fees, discounts or commissions attributable to the sale of such Registrable Securities, or any fees and expenses of any Broker-Dealer or other financial intermediary engaged by any Holder.</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 (a) The Company and the Operating Partnership, jointly and severally, agree to indemnify and hold harmless each Holder of Common Shares covered by any Shelf Registration Statement, each Initial Purchaser, the affiliates (as such term is defined in Rule 501(b) under the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officers and directors of each such Holder or Initial Purchaser and each person, if any, who controls any such Holder or Initial Purchaser within the meaning of either Section 15 of the Act or Section 20 of the Exchange Act against any and all losses, claims, damages or liabilities to which they or any of them may become subject under the Act or otherwise, as incurred, insofar as such losses, claims, damages or liabilities (or actions or proceedings in respect thereof) arise out of or are based upon (a) any untrue statement or alleged untrue statement of any material fact contained or incorporated by reference in any Shelf Registration Statement as originally filed or in any amendment thereof, or in any preliminary Prospectus or Prospectus, any Free Writing Prospectus or any “issuer information” (as defined in Rule 433 of the Act) filed or required to be filed pursuant to Rule 433(d) under the Act, or in any amendment thereof or supplement thereto, or (b) the omission or the alleged omission to state therein a material fact necessary to make the statements therein, in the light of the circumstances under which they were made, not misleading, and agrees to reimburse each such indemnified party, as incurred, for any legal or other expenses reasonably incurred by it in connection with investigating or defending any such loss, claim, damage, liability, action or proceeding; provided, however, that the Company and the Operating Partnership will not be liable in any such case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24" w:name="page125"/>
    <w:bookmarkEnd w:id="12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extent that any such loss, claim, damage or liability arises out of or is based upon any such untrue statement or alleged untrue statement or omission or alleged omission made therein in reliance upon and in conformity with written information furnished to the Company or the Operating Partnership by or on behalf of the party (or its Affiliates, officers or directors) claiming indemnification expressly for use therein (such losses, claims, damages or liabilities described in this sentence, “Indemnifiable Losses”). This indemnity agreement shall be in addition to any liability that the Company and the Operating Partnership may otherwise have to the indemnified party.</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and the Operating Partnership also agree to indemnify as provided in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contribute as provided in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hereof to Losses of each Underwriter, if any, of Common Shares registered under any Shelf Registration Statement, its directors, officers, employees, Affiliates or agents and each person who controls such Underwriter on substantially the same basis as that of the indemnification of the Initial Purchasers and the selling Holders provided in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shall, if requested by any Holder, but subject to Section 6, enter into an underwriting agreement reflecting such agreement, as provided in </w:t>
      </w:r>
      <w:r>
        <w:rPr>
          <w:rFonts w:ascii="Times New Roman" w:cs="Times New Roman" w:eastAsia="Times New Roman" w:hAnsi="Times New Roman"/>
          <w:sz w:val="18"/>
          <w:szCs w:val="18"/>
          <w:u w:val="single" w:color="auto"/>
          <w:color w:val="auto"/>
        </w:rPr>
        <w:t>Section 3(l)</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ind w:right="40" w:firstLine="987"/>
        <w:spacing w:after="0" w:line="254"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securities covered by any Shelf Registration Statement (including each Initial Purchaser that is a Holder, in such capacity) severally and not jointly agrees to indemnify and hold harmless the Company and the Operating Partnership, each of its directors, each of its officers who signs such Shelf Registration Statement and each person who controls the Company or the Operating Partnership within the meaning of either the Act or the Exchange Act, to the same extent as the foregoing indemnity from the Company and the Operating Partnership to each such Holder, but only with reference to written information relating to such Holder furnished to the Company or the Operating Partnership by or on behalf of such Holder expressly for use in the documents referred to in the foregoing indemnity. This indemnity agreement shall be acknowledged by each Notice Holder that is not an Initial Purchaser in such Notice Holder’s Notice and Questionnaire and shall be in addition to any liability that any such Notice Holder may otherwise have to the Company or the Operating Partnership.</w:t>
      </w:r>
    </w:p>
    <w:p>
      <w:pPr>
        <w:spacing w:after="0" w:line="191" w:lineRule="exact"/>
        <w:rPr>
          <w:rFonts w:ascii="Times New Roman" w:cs="Times New Roman" w:eastAsia="Times New Roman" w:hAnsi="Times New Roman"/>
          <w:sz w:val="18"/>
          <w:szCs w:val="18"/>
          <w:color w:val="auto"/>
        </w:rPr>
      </w:pPr>
    </w:p>
    <w:p>
      <w:pPr>
        <w:ind w:right="60" w:firstLine="987"/>
        <w:spacing w:after="0" w:line="269" w:lineRule="auto"/>
        <w:tabs>
          <w:tab w:leader="none" w:pos="123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party under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or notice of the commencement of any action, such indemnified party will, if a claim in respect thereof is to be made against the indemnifying party under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notify the indemnifying party in writing of the commencement thereof; but the failure so to notify the indemnifying party (i) will not relieve it from liability under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hereof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hereof.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provided, however,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25" w:name="page126"/>
    <w:bookmarkEnd w:id="1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The indemnifying party shall indemnify and hold harmless the indemnified party from and against any and all losses, claims, damages, liabilities and judgments by reason of any settlement of any action effected (i) with its written consent, or (ii) without its written consent if the settlement is entered into more than twenty (20) Business Days after the indemnifying party received a request from the indemnified party for reimbursement for the fees and expenses of counsel (in any case where such fees and expenses are at the expense of the indemnifying party) and, prior to the date of such settlement, the indemnifying party has failed to comply with such reimbursement request. An indemnifying party will not, without the prior written consent of the indemnified party, settle or compromise or consent to the entry of any judgment with respect to any pending or threatened claim, action, suit or proceeding in respect of which indemnification or contribution may be sought hereunder (whether or not the indemnified party is an actual or potential parties to such claim or action) unless such settlement, compromise or consent (i) includes an unconditional release of such indemnified party from all liability arising out of such claim, action, suit or proceeding and (ii) does not include a statement as to or an admission of fault, culpability or a failure to act, by or on behalf of the indemnified party.</w:t>
      </w:r>
    </w:p>
    <w:p>
      <w:pPr>
        <w:spacing w:after="0" w:line="195" w:lineRule="exact"/>
        <w:rPr>
          <w:sz w:val="20"/>
          <w:szCs w:val="20"/>
          <w:color w:val="auto"/>
        </w:rPr>
      </w:pPr>
    </w:p>
    <w:p>
      <w:pPr>
        <w:ind w:right="20" w:firstLine="987"/>
        <w:spacing w:after="0" w:line="252" w:lineRule="auto"/>
        <w:tabs>
          <w:tab w:leader="none" w:pos="12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indemnity provided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is unavailable to or insufficient to hold harmless an indemnified party for Indemnifiable Losses for any reason, then each applicable indemnifying party shall have a joint and several obligation to contribute to the aggregate losses, claims, damages and liabilities (including legal or other expenses reasonably incurred in connection with investigating or defending loss, claim, liability, damage or action)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such indemnifying party may be subject in such proportion as is appropriate to reflect the relative benefits received by such indemnifying party, on the one hand, and such indemnified party, on the other hand, from the Initial Placement and the Shelf Registration Statement which resulted in such Losses; provided, however, that in no case shall any Initial Purchaser be responsible, in the aggregate, for any amount in excess of the commission applicable to the Notes, as set forth in the Final Memorandum, nor shall any Underwriter be responsible for any amount in excess of the underwriting discount or commission applicable to the securities purchased by such Underwriter under such Shelf Registration Statement which resulted in such Losses, nor shall any Holder be responsible, in the aggregate, for any amount in excess of the amount by which the total amount received by such Holder with respect to its sale of securities covered by such Registration Statement exceeds the sum of (i) the amount paid by such Holder for such securities plus (ii) the amount of any damages that such Holder has otherwise been required to pay by reason of an untrue or alleged untrue statement or omission or alleged omission of such Holder. If the allocation provided by the immediately preceding sentence is unavailable for any reason, the indemnifying party and the indemnified party shall contribute in such proportion as is appropriate to reflect not only such relative benefits but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26" w:name="page127"/>
    <w:bookmarkEnd w:id="12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also the relative fault of such indemnifying party, on the one hand, and such indemnified party, on the other hand, in connection with the statements or omissions which resulted in such Losses as well as any other relevant equitable considerations. Benefits received by the Company and the Operating Partnership shall be deemed to be equal to the total net proceeds from the Initial Placement (before deducting expenses) as set forth in the Final Memorandum. Benefits received by the Initial Purchasers shall be deemed to be equal to the total commissions as set forth in the Final Memorandum, and benefits received by any other Holders shall be deemed to be equal to the value of receiving Common Shares registered under the Act. Benefits received by any Underwriter shall be deemed to be equal to the total underwriting discounts and commissions, as set forth on the cover page of the Prospectus forming a part of the Shelf Registration Statement which resulted in such Losses. Relative fault shall be determined by reference to, among other things, whether any untrue or any alleged untrue statement of a material fact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contributions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each person who controls a Holder within the meaning of either the Act or the Exchange Act and each director, officer, employee and agent of such Holder shall have the same rights to contribution as such Holder, and each person who controls the Company or the Operating Partnership within the meaning of either the Act or the Exchange Act, each officer of the Company or the Operating Partnership who shall have signed the Shelf Registration Statement and each trustee or director of the Company or the Operating Partnership shall have the same rights to contribution as the Company and the Operating Partnership, subject in each case to the applicable terms and conditions of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right="480" w:firstLine="987"/>
        <w:spacing w:after="0" w:line="266" w:lineRule="auto"/>
        <w:tabs>
          <w:tab w:leader="none" w:pos="1233"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remain in full force and effect, regardless of any investigation made by or on behalf of any Holder or the Company or the Operating Partnership or any of the indemnified persons referred to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shall survive the sale by a Holder of securities covered by a Shelf Registration Statement.</w:t>
      </w:r>
    </w:p>
    <w:p>
      <w:pPr>
        <w:spacing w:after="0" w:line="175" w:lineRule="exact"/>
        <w:rPr>
          <w:rFonts w:ascii="Times New Roman" w:cs="Times New Roman" w:eastAsia="Times New Roman" w:hAnsi="Times New Roman"/>
          <w:sz w:val="18"/>
          <w:szCs w:val="18"/>
          <w:color w:val="auto"/>
        </w:rPr>
      </w:pPr>
    </w:p>
    <w:p>
      <w:pPr>
        <w:ind w:right="220" w:firstLine="436"/>
        <w:spacing w:after="0" w:line="282" w:lineRule="auto"/>
        <w:tabs>
          <w:tab w:leader="none" w:pos="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Registrations</w:t>
      </w:r>
      <w:r>
        <w:rPr>
          <w:rFonts w:ascii="Times New Roman" w:cs="Times New Roman" w:eastAsia="Times New Roman" w:hAnsi="Times New Roman"/>
          <w:sz w:val="18"/>
          <w:szCs w:val="18"/>
          <w:color w:val="auto"/>
        </w:rPr>
        <w:t>. (a) In no event will the method of distribution of Registrable Securities take the form of an underwritten offering without the prior written consent of the Company.</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Common Shares covered by a Shelf Registration Statement are to be sold in an underwritten offering, the Managing Underwriters shall be selected by the Company, subject to the prior written consent of the Majority Holders, which consent shall not be unreasonably withheld.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27" w:name="page128"/>
    <w:bookmarkEnd w:id="127"/>
    <w:p>
      <w:pPr>
        <w:ind w:left="4" w:right="100" w:firstLine="987"/>
        <w:spacing w:after="0" w:line="261" w:lineRule="auto"/>
        <w:tabs>
          <w:tab w:leader="none" w:pos="124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may participate in any underwritten offering pursuant to a Shelf Registration Statement unless such person (i) agrees to sell such person’s Common Shares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79"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Defaults</w:t>
      </w:r>
      <w:r>
        <w:rPr>
          <w:rFonts w:ascii="Times New Roman" w:cs="Times New Roman" w:eastAsia="Times New Roman" w:hAnsi="Times New Roman"/>
          <w:sz w:val="18"/>
          <w:szCs w:val="18"/>
          <w:color w:val="auto"/>
        </w:rPr>
        <w:t>. If any of the following events (each, a “</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shall occur, then the Company shall pay liquidated damages (the “</w:t>
      </w:r>
      <w:r>
        <w:rPr>
          <w:rFonts w:ascii="Times New Roman" w:cs="Times New Roman" w:eastAsia="Times New Roman" w:hAnsi="Times New Roman"/>
          <w:sz w:val="18"/>
          <w:szCs w:val="18"/>
          <w:u w:val="single" w:color="auto"/>
          <w:color w:val="auto"/>
        </w:rPr>
        <w:t>Registration Default Damages</w:t>
      </w:r>
      <w:r>
        <w:rPr>
          <w:rFonts w:ascii="Times New Roman" w:cs="Times New Roman" w:eastAsia="Times New Roman" w:hAnsi="Times New Roman"/>
          <w:sz w:val="18"/>
          <w:szCs w:val="18"/>
          <w:color w:val="auto"/>
        </w:rPr>
        <w:t>”) to the Holders as follows:</w:t>
      </w:r>
    </w:p>
    <w:p>
      <w:pPr>
        <w:spacing w:after="0" w:line="161"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Shelf Registration Statement (which shall be, if the Company is then a Well-Known Seasoned Issuer, an Automatic Shelf Registration Statement) or a prospectus supplement to an effective Shelf Registration Statement of the Company is not filed with the Commission on or prior to the 90th day following the Closing Date, then commencing on the 91st day after the Closing Date, Registration Default Damages shall accrue on the aggregate outstanding principal amount of the Notes, at a rate of 0.25% per annum for the first 90 days from and including such 91st day and 0.50% per annum thereafter; or</w:t>
      </w:r>
    </w:p>
    <w:p>
      <w:pPr>
        <w:spacing w:after="0" w:line="183"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Shelf Registration Statement is not declared effective by the Commission (or has not become effective in the case of an Automatic Shelf Registration Statement) on or prior to the 180th day following the Closing Date, then commencing on the 181st day after the Closing Date, Registration Default Damages shall accrue on the aggregate outstanding principal amount of the Notes, at a rate of 0.25% per annum for the first 90 days from and including such 181st day and 0.50% per annum thereafter; or</w:t>
      </w:r>
    </w:p>
    <w:p>
      <w:pPr>
        <w:spacing w:after="0" w:line="179"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Shelf Registration Statement has been declared or becomes effective but ceases to be effective or usable for the offer and sale of the Registrable Securities, other than in connection with (A) a Deferral Period or (B) as a result of a requirement to file a new Shelf Registration Statement, a post-effective amendment or supplement to the Prospectus to make changes to the information regarding selling securityholders or the plan of distribution provided for therein, at any time during the Shelf Registration Period and the Company does not cure the lapse of effectiveness or usability within ten (10) Business Days (or, if a Deferral Period is then in effect and subject to the 20 Business Day filing requirement and the proviso regarding the filing of post-effective amendments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with respect to any Notice and Questionnaire received during such period, within ten</w:t>
      </w:r>
    </w:p>
    <w:p>
      <w:pPr>
        <w:spacing w:after="0" w:line="5" w:lineRule="exact"/>
        <w:rPr>
          <w:rFonts w:ascii="Times New Roman" w:cs="Times New Roman" w:eastAsia="Times New Roman" w:hAnsi="Times New Roman"/>
          <w:sz w:val="18"/>
          <w:szCs w:val="18"/>
          <w:color w:val="auto"/>
        </w:rPr>
      </w:pPr>
    </w:p>
    <w:p>
      <w:pPr>
        <w:jc w:val="both"/>
        <w:ind w:left="4" w:right="260" w:hanging="4"/>
        <w:spacing w:after="0" w:line="255" w:lineRule="auto"/>
        <w:tabs>
          <w:tab w:leader="none" w:pos="34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the expiration of such Deferral Period or period permitted pursuant to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then Registration Default Damages shall accrue on the aggregate outstanding principal amount of the Notes at a rate of 0.25% per annum for the first 90 days from and including the day following such 10th Business Day and 0.50% per annum thereafter; or</w:t>
      </w:r>
    </w:p>
    <w:p>
      <w:pPr>
        <w:spacing w:after="0" w:line="185" w:lineRule="exact"/>
        <w:rPr>
          <w:rFonts w:ascii="Times New Roman" w:cs="Times New Roman" w:eastAsia="Times New Roman" w:hAnsi="Times New Roman"/>
          <w:sz w:val="18"/>
          <w:szCs w:val="18"/>
          <w:color w:val="auto"/>
        </w:rPr>
      </w:pPr>
    </w:p>
    <w:p>
      <w:pPr>
        <w:ind w:left="4" w:right="120" w:firstLine="987"/>
        <w:spacing w:after="0" w:line="274" w:lineRule="auto"/>
        <w:tabs>
          <w:tab w:leader="none" w:pos="1250" w:val="left"/>
        </w:tabs>
        <w:numPr>
          <w:ilvl w:val="2"/>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through its omission fails to name as a selling securityholder any Holder that had complied timely with its obligations hereunder in a manner to entitle such Holder to be so named in (i) a Shelf Registration Statement at the time it first became effective or (ii) any Prospectus, including a prospectus supplement for a “shelf takedown” pursuant thereto, at the later of time of filing thereof or the time the Shelf Registration Statement of which the Prospectus forms a part becomes effective then Registration Default Damages shall accrue, on the aggregate outstanding principal amount of the Notes held by such Holder, at a rate of 0.25% per annum for the first 90 days from and including the day following the effective date of such Shelf Registration Statement or the time of filing of such Prospectus, as the case may be, and 0.50% per annum thereafter; or</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28" w:name="page129"/>
    <w:bookmarkEnd w:id="128"/>
    <w:p>
      <w:pPr>
        <w:ind w:right="120" w:firstLine="987"/>
        <w:spacing w:after="0" w:line="261"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aggregate duration of Deferral Periods in any period exceeds the number of days permitted in respect of such period pursuant to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hereof, then commencing on the day the aggregate duration of Deferral Periods in any period exceeds the number of days permitted in respect of such period, Registration Default Damages shall accrue on the aggregate outstanding principal amount of the Notes at a rate of 0.25% per annum for the first 90 days from and including such date, and 0.50% per annum thereafter;</w:t>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Registration Default Damages described above shall accrue from and including the dates specified above and to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excluding the earlier of (A) (1) the filing of the Shelf Registration Statement or prospectus supplement (in the case of paragraph (a) above), (2) the effectiveness of the Shelf Registration Statement (in the case of paragraph (b) above), (3) such time as the Shelf Registration Statement which had ceased to remain effective or usable for resales again becomes effective and usable for resales (in the case of paragraph (c) above), (4) the time such Holder is permitted to sell its Registrable Securities pursuant to any Shelf Registration Statement and Prospectus in accordance with applicable law (in the case of paragraph (d) above) or (5) the termination of the Deferral Period that caused the limit on the aggregate duration of Deferral Periods in a period set forth in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hereof to be exceeded (in the case of paragraph (e) above) and (B) the date the related Shelf Registration Statement is no longer required to be kept effective pursuant to the terms of this Agreement.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 amounts of Registration Default Damages due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payable in cash on the next succeeding interest payment date to Holders entitled to receive such Registration Default Damages on the relevant record dates for the payment of interest. If any Note ceases to be outstanding during any period for which Registration Default Damages are accruing, the Company will prorate the Registration Default Damages payable with respect to such Note.</w:t>
      </w:r>
    </w:p>
    <w:p>
      <w:pPr>
        <w:spacing w:after="0" w:line="180"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Registration Default Damages rate on the Notes shall not exceed in the aggregate 0.50% per annum and shall not be payable under more than one clause above for any given period of time, except that if Registration Default Damages would be payable because of more than one Registration Default, but at a rate of 0.25% per annum under one Registration Default and at a rate of 0.50% per annum under the other, then the Registration Default Damages rate shall be the higher rate of 0.50% per annum. Other than the Company’s obligation to pay Registration Default Damages in accordance with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neither the Company nor the Operating Partnership will have any liability for damages with respect to a Registration Default.</w:t>
      </w:r>
    </w:p>
    <w:p>
      <w:pPr>
        <w:spacing w:after="0" w:line="16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provision in this Agreement, in no event shall Registration Default Damages accrue to holders of Common Shares issued upon exchange of Notes. In lieu thereof, the Exchange Rate (as defined in the Indenture) shall be increased by 3.00% for each $1,000 principal amount of Notes exchanged at a time when such Registration Default has occurred and is continuing; provided, however, that (i) the foregoing adjustment shall not be applied more than once to the same $1,000 principal amount of Notes and (ii) if a Registration Default occurs after a Holder has exchanged its Notes into Common Shares, such Holder shall not be entitled to any compensation with respect to such Common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29" w:name="page130"/>
    <w:bookmarkEnd w:id="129"/>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no event shall Registration Default Damages, together with Additional Interest (as defined in the Indenture) relating to the Operating Partnership’s failure to comply with its obligations as set forth in Section 4.06(b) of the Indenture, accrue on the Notes at a per annum rate, in the aggregate, in excess of 0.50% per annum, regardless of the number of events or circumstances giving rise to the requirement to pay such Registration Default Damages and Additional Interest.</w:t>
      </w:r>
    </w:p>
    <w:p>
      <w:pPr>
        <w:spacing w:after="0" w:line="180" w:lineRule="exact"/>
        <w:rPr>
          <w:sz w:val="20"/>
          <w:szCs w:val="20"/>
          <w:color w:val="auto"/>
        </w:rPr>
      </w:pPr>
    </w:p>
    <w:p>
      <w:pPr>
        <w:ind w:right="560" w:firstLine="436"/>
        <w:spacing w:after="0" w:line="282" w:lineRule="auto"/>
        <w:tabs>
          <w:tab w:leader="none" w:pos="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the Operating Partnership has entered into, and each agrees not to enter into, any agreement with respect to its securities that is inconsistent with the registration rights granted to the Holders herein.</w:t>
      </w:r>
    </w:p>
    <w:p>
      <w:pPr>
        <w:spacing w:after="0" w:line="161" w:lineRule="exact"/>
        <w:rPr>
          <w:rFonts w:ascii="Times New Roman" w:cs="Times New Roman" w:eastAsia="Times New Roman" w:hAnsi="Times New Roman"/>
          <w:sz w:val="18"/>
          <w:szCs w:val="18"/>
          <w:color w:val="auto"/>
        </w:rPr>
      </w:pPr>
    </w:p>
    <w:p>
      <w:pPr>
        <w:ind w:firstLine="436"/>
        <w:spacing w:after="0" w:line="271" w:lineRule="auto"/>
        <w:tabs>
          <w:tab w:leader="none" w:pos="6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144A and Rule 144</w:t>
      </w:r>
      <w:r>
        <w:rPr>
          <w:rFonts w:ascii="Times New Roman" w:cs="Times New Roman" w:eastAsia="Times New Roman" w:hAnsi="Times New Roman"/>
          <w:sz w:val="17"/>
          <w:szCs w:val="17"/>
          <w:color w:val="auto"/>
        </w:rPr>
        <w:t xml:space="preserve">. So long as any Registrable Securities remain outstanding, the Company shall use its commercially reasonable efforts to file the reports required to be filed by it under Rule 144A(d)(4) under the Act and the Exchange Act in a timely manner and, if at any time the Company is not required to file such reports, it will, upon the written request of any Holder of Registrable Securities, make publicly available other information so long as necessary to permit sales of such Holder’s Registrable Securities pursuant to Rules 144 and 144A of the Act. The Company covenants that it will take such further action as any Holder of Registrable Securities may reasonably request, all to the extent required from time to time to enable such Holder to sell Registrable Securities without registration under the Act within the limitation of the exemptions provided by Rules 144 and 144A (including, without limitation, the requirements of Rule 144A(d)(4)). Upon the written request of any Holder of Registrable Securities, the Company shall deliver to such Holder a written statement as to whether it has complied with such requirements. Notwithstanding the foregoing, nothing in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be deemed to require the Company or the Operating Partnership to register any of its securities pursuant to the Exchange Act.</w:t>
      </w:r>
    </w:p>
    <w:p>
      <w:pPr>
        <w:spacing w:after="0" w:line="173" w:lineRule="exact"/>
        <w:rPr>
          <w:rFonts w:ascii="Times New Roman" w:cs="Times New Roman" w:eastAsia="Times New Roman" w:hAnsi="Times New Roman"/>
          <w:sz w:val="17"/>
          <w:szCs w:val="17"/>
          <w:color w:val="auto"/>
        </w:rPr>
      </w:pPr>
    </w:p>
    <w:p>
      <w:pPr>
        <w:ind w:right="120" w:firstLine="436"/>
        <w:spacing w:after="0" w:line="266"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So long as any Registrable Securities are outstanding, the Company shall use its commercially reasonable efforts to maintain the approval of the Common Shares for listing on the New York Stock Exchange or such other exchange or trading market as the Common Shares are then listed.</w:t>
      </w:r>
    </w:p>
    <w:p>
      <w:pPr>
        <w:spacing w:after="0" w:line="175" w:lineRule="exact"/>
        <w:rPr>
          <w:rFonts w:ascii="Times New Roman" w:cs="Times New Roman" w:eastAsia="Times New Roman" w:hAnsi="Times New Roman"/>
          <w:sz w:val="18"/>
          <w:szCs w:val="18"/>
          <w:color w:val="auto"/>
        </w:rPr>
      </w:pPr>
    </w:p>
    <w:p>
      <w:pPr>
        <w:ind w:right="80" w:firstLine="436"/>
        <w:spacing w:after="0" w:line="254" w:lineRule="auto"/>
        <w:tabs>
          <w:tab w:leader="none" w:pos="70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may not be amended, qualified, modified or supplemented, and waivers or consents to departures from the provisions hereof may not be given, unless the Company has consented thereto and has obtained the written consent of the Majority Holders; provided, that, with respect to any matter that directly or indirectly affects the rights of any Initial Purchaser hereunder, the Company shall obtain the written consent of each such Initial Purchaser against which such amendment, qualification, supplement, waiver or consent is to be effective; provided, further, that no amendment, qualification, supplement, waiver or consent with respect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shall be effective as against any Holder of Registrable Securities unless consented to in writing by such Holder; and provided, further, that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not be amended, qualified, modified or supplemented, and waivers or consents to departures from the provisions hereof may not be given, unless the Company has consented thereto and has obtained the written consent of the Initial Purchasers and each Holder.</w:t>
      </w:r>
    </w:p>
    <w:p>
      <w:pPr>
        <w:spacing w:after="0" w:line="191"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or permitted hereunder shall be made in writing by hand-delivery, first-class mail, telex, telecopier or air courier guaranteeing overnight delivery: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30" w:name="page131"/>
    <w:bookmarkEnd w:id="130"/>
    <w:p>
      <w:pPr>
        <w:ind w:left="1240" w:hanging="253"/>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 Holder, at the most current address given by such holder to the Company in accordance with the provisions of the Notice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Questionnaire;</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Initial Purchasers or the Representatives, initially at the address or addresses set forth in the Purchase Agreement;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or the Operating Partnership, initially at its address set forth in the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when received.</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Initial Purchasers, the Company or the Operating Partnership by notice to the other parties may designate additional or different addresses for subsequent notices or communications.</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notices given to Holders (i) holding Notes in book-entry form may be given through the facilities of The Depository Trust Company or any successor depository and (ii) may be given by e-mail at the e-mail address provided by such Holder in accordance with the provisions of the Notice and Questionnaire.</w:t>
      </w:r>
    </w:p>
    <w:p>
      <w:pPr>
        <w:spacing w:after="0" w:line="176" w:lineRule="exact"/>
        <w:rPr>
          <w:sz w:val="20"/>
          <w:szCs w:val="20"/>
          <w:color w:val="auto"/>
        </w:rPr>
      </w:pPr>
    </w:p>
    <w:p>
      <w:pPr>
        <w:ind w:firstLine="436"/>
        <w:spacing w:after="0" w:line="261" w:lineRule="auto"/>
        <w:tabs>
          <w:tab w:leader="none" w:pos="7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Holder, in addition to being entitled to exercise all rights provided to it herein or in the Purchase Agreement or granted by law, including recovery of liquidated or other damages, will be entitled to specific performance of its rights under this Agreement. The Company and the Operating Partnership agree that monetary damages would not be adequate compensation for any loss incurred by reason of a breach by them of the provisions of this Agreement and hereby agree to waive in any action for specific performance the defense that a remedy at law would be adequate.</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Agreement shall inure to the benefit of and be binding upon the parties hereto, their respective successors and assigns, including, without the need for an express assignment or any consent by the Company or the Operating Partnership thereto, subsequent Holders of Registrable Securities, and the indemnified persons referred to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Company and the Operating Partnership hereby agree to extend the benefits of this Agreement to any Holder of Registrable Securities, and any such Holder may specifically enforce the provisions of this Agreement as if an original party hereto.</w:t>
      </w:r>
    </w:p>
    <w:p>
      <w:pPr>
        <w:spacing w:after="0" w:line="183" w:lineRule="exact"/>
        <w:rPr>
          <w:rFonts w:ascii="Times New Roman" w:cs="Times New Roman" w:eastAsia="Times New Roman" w:hAnsi="Times New Roman"/>
          <w:sz w:val="18"/>
          <w:szCs w:val="18"/>
          <w:color w:val="auto"/>
        </w:rPr>
      </w:pPr>
    </w:p>
    <w:p>
      <w:pPr>
        <w:ind w:right="280" w:firstLine="436"/>
        <w:spacing w:after="0" w:line="258" w:lineRule="auto"/>
        <w:tabs>
          <w:tab w:leader="none" w:pos="7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7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made and to be performed in the State of New York. The parties hereto each hereby waive any right to trial by jury in any action, proceeding or counterclaim arising out of or relating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31" w:name="page132"/>
    <w:bookmarkEnd w:id="131"/>
    <w:p>
      <w:pPr>
        <w:ind w:left="700" w:hanging="264"/>
        <w:spacing w:after="0"/>
        <w:tabs>
          <w:tab w:leader="none" w:pos="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QFC Stay Rider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Initial Purchasers that is a Covered Entity (as defined below)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Initial Purchasers that is a Covered Entity or a BHC Act Affiliate of such Initial Purchaser becomes subject to a proceeding under a U.S. Special Resolution Regime, Default Rights (as defined below) under this Agreement that may be exercised against such Initial Purchaser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Rights”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 w:lineRule="exact"/>
        <w:rPr>
          <w:sz w:val="20"/>
          <w:szCs w:val="20"/>
          <w:color w:val="auto"/>
        </w:rPr>
      </w:pPr>
    </w:p>
    <w:p>
      <w:pPr>
        <w:ind w:firstLine="436"/>
        <w:spacing w:after="0" w:line="253"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88" w:lineRule="exact"/>
        <w:rPr>
          <w:rFonts w:ascii="Times New Roman" w:cs="Times New Roman" w:eastAsia="Times New Roman" w:hAnsi="Times New Roman"/>
          <w:sz w:val="18"/>
          <w:szCs w:val="18"/>
          <w:color w:val="auto"/>
        </w:rPr>
      </w:pPr>
    </w:p>
    <w:p>
      <w:pPr>
        <w:ind w:right="360" w:firstLine="436"/>
        <w:spacing w:after="0" w:line="261"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Shares Held by the Company, etc</w:t>
      </w:r>
      <w:r>
        <w:rPr>
          <w:rFonts w:ascii="Times New Roman" w:cs="Times New Roman" w:eastAsia="Times New Roman" w:hAnsi="Times New Roman"/>
          <w:sz w:val="18"/>
          <w:szCs w:val="18"/>
          <w:color w:val="auto"/>
        </w:rPr>
        <w:t>. Whenever the consent or approval of Holders of a specified percentage of Common Shares is required hereunder, Common Shares held by the Company or its Affiliates (other than subsequent Holders of Common Shares if such subsequent Holders are deemed to be Affiliates solely by reason of their holdings of such Common Shares) shall not be counted in determining whether such consent or approval was given by the Holders of such required percentage.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8" w:right="479" w:bottom="1440" w:gutter="0" w:footer="0" w:header="0"/>
        </w:sectPr>
      </w:pPr>
    </w:p>
    <w:bookmarkStart w:id="132" w:name="page133"/>
    <w:bookmarkEnd w:id="132"/>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by and among the Company, the Operating Partnership and the several Initial Purchasers.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Executive Vice President-Chief Financial</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0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2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Executive Vice President-Chief Financial</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10940"/>
          </w:cols>
          <w:pgMar w:left="440" w:top="270"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 confirmed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/s/Gaurav 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425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Gaurav Maria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425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Hicham Hamdouch</w:t>
      </w:r>
    </w:p>
    <w:p>
      <w:pPr>
        <w:spacing w:after="0" w:line="27" w:lineRule="exact"/>
        <w:rPr>
          <w:sz w:val="20"/>
          <w:szCs w:val="20"/>
          <w:color w:val="auto"/>
        </w:rPr>
      </w:pPr>
    </w:p>
    <w:p>
      <w:pPr>
        <w:jc w:val="center"/>
        <w:ind w:right="705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425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Elizabeth Alvarez</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Initial Purchasers</w:t>
      </w:r>
    </w:p>
    <w:p>
      <w:pPr>
        <w:spacing w:after="0" w:line="22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10019"/>
          </w:cols>
          <w:pgMar w:left="440" w:top="270"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Bid Form 1/8/2024</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[Dealer’s 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[Dealer’s address]</w:t>
      </w:r>
      <w:r>
        <w:rPr>
          <w:rFonts w:ascii="Times New Roman" w:cs="Times New Roman" w:eastAsia="Times New Roman" w:hAnsi="Times New Roman"/>
          <w:sz w:val="26"/>
          <w:szCs w:val="26"/>
          <w:color w:val="auto"/>
          <w:vertAlign w:val="superscript"/>
        </w:rPr>
        <w:t>1</w:t>
      </w:r>
    </w:p>
    <w:p>
      <w:pPr>
        <w:spacing w:after="0" w:line="115" w:lineRule="exact"/>
        <w:rPr>
          <w:sz w:val="20"/>
          <w:szCs w:val="20"/>
          <w:color w:val="auto"/>
        </w:rPr>
      </w:pPr>
    </w:p>
    <w:p>
      <w:pPr>
        <w:ind w:left="9284"/>
        <w:spacing w:after="0"/>
        <w:rPr>
          <w:sz w:val="20"/>
          <w:szCs w:val="20"/>
          <w:color w:val="auto"/>
        </w:rPr>
      </w:pPr>
      <w:r>
        <w:rPr>
          <w:rFonts w:ascii="Times New Roman" w:cs="Times New Roman" w:eastAsia="Times New Roman" w:hAnsi="Times New Roman"/>
          <w:sz w:val="17"/>
          <w:szCs w:val="17"/>
          <w:color w:val="auto"/>
        </w:rPr>
        <w:t>[_____________], 2024</w:t>
      </w:r>
    </w:p>
    <w:p>
      <w:pPr>
        <w:spacing w:after="0" w:line="26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Federal Realty OP 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 Federal Realty Investment Trust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444"/>
        <w:spacing w:after="0"/>
        <w:tabs>
          <w:tab w:leader="none" w:pos="168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Daniel Guglielmone, Chief Financial Officer</w:t>
      </w:r>
    </w:p>
    <w:p>
      <w:pPr>
        <w:spacing w:after="0" w:line="9" w:lineRule="exact"/>
        <w:rPr>
          <w:sz w:val="20"/>
          <w:szCs w:val="20"/>
          <w:color w:val="auto"/>
        </w:rPr>
      </w:pPr>
    </w:p>
    <w:p>
      <w:pPr>
        <w:ind w:left="444"/>
        <w:spacing w:after="0"/>
        <w:tabs>
          <w:tab w:leader="none" w:pos="1704" w:val="left"/>
        </w:tabs>
        <w:rPr>
          <w:sz w:val="20"/>
          <w:szCs w:val="20"/>
          <w:color w:val="auto"/>
        </w:rPr>
      </w:pPr>
      <w:r>
        <w:rPr>
          <w:rFonts w:ascii="Times New Roman" w:cs="Times New Roman" w:eastAsia="Times New Roman" w:hAnsi="Times New Roman"/>
          <w:sz w:val="18"/>
          <w:szCs w:val="18"/>
          <w:color w:val="auto"/>
        </w:rPr>
        <w:t>Telephone No.:</w:t>
      </w:r>
      <w:r>
        <w:rPr>
          <w:sz w:val="20"/>
          <w:szCs w:val="20"/>
          <w:color w:val="auto"/>
        </w:rPr>
        <w:tab/>
      </w:r>
      <w:r>
        <w:rPr>
          <w:rFonts w:ascii="Times New Roman" w:cs="Times New Roman" w:eastAsia="Times New Roman" w:hAnsi="Times New Roman"/>
          <w:sz w:val="17"/>
          <w:szCs w:val="17"/>
          <w:color w:val="auto"/>
        </w:rPr>
        <w:t>301-998-8232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221" w:lineRule="exact"/>
        <w:rPr>
          <w:sz w:val="20"/>
          <w:szCs w:val="20"/>
          <w:color w:val="auto"/>
        </w:rPr>
      </w:pPr>
    </w:p>
    <w:p>
      <w:pPr>
        <w:ind w:left="4" w:right="440" w:firstLine="440"/>
        <w:spacing w:after="0" w:line="257"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among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Federal Realty OP LP, a Delaware limited partnership,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and Federal Realty Investment Trust, a Maryland real estate investment trust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Agreement evidence a complete binding agreement among Counterparty, Parent and Dealer as to the subject matter and terms of the Transaction to which this Confirmation relates, and shall supersede all prior or contemporaneous written or oral communications with respect thereto.</w:t>
      </w:r>
    </w:p>
    <w:p>
      <w:pPr>
        <w:spacing w:after="0" w:line="182" w:lineRule="exact"/>
        <w:rPr>
          <w:sz w:val="20"/>
          <w:szCs w:val="20"/>
          <w:color w:val="auto"/>
        </w:rPr>
      </w:pPr>
    </w:p>
    <w:p>
      <w:pPr>
        <w:ind w:left="4" w:right="20" w:firstLine="440"/>
        <w:spacing w:after="0" w:line="234"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8, 2024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[__]% Exchangeable Senior Notes due 2029 (as originally issued by Counterparty, the “</w:t>
      </w:r>
      <w:r>
        <w:rPr>
          <w:rFonts w:ascii="Times New Roman" w:cs="Times New Roman" w:eastAsia="Times New Roman" w:hAnsi="Times New Roman"/>
          <w:sz w:val="18"/>
          <w:szCs w:val="18"/>
          <w:b w:val="1"/>
          <w:bCs w:val="1"/>
          <w:color w:val="auto"/>
        </w:rPr>
        <w:t>Exchangeable Notes</w:t>
      </w:r>
      <w:r>
        <w:rPr>
          <w:rFonts w:ascii="Times New Roman" w:cs="Times New Roman" w:eastAsia="Times New Roman" w:hAnsi="Times New Roman"/>
          <w:sz w:val="18"/>
          <w:szCs w:val="18"/>
          <w:color w:val="auto"/>
        </w:rPr>
        <w:t>” and each USD 1,000 principal amount of Exchangeable Notes, an “</w:t>
      </w:r>
      <w:r>
        <w:rPr>
          <w:rFonts w:ascii="Times New Roman" w:cs="Times New Roman" w:eastAsia="Times New Roman" w:hAnsi="Times New Roman"/>
          <w:sz w:val="18"/>
          <w:szCs w:val="18"/>
          <w:b w:val="1"/>
          <w:bCs w:val="1"/>
          <w:color w:val="auto"/>
        </w:rPr>
        <w:t>Exchangeable Note</w:t>
      </w:r>
      <w:r>
        <w:rPr>
          <w:rFonts w:ascii="Times New Roman" w:cs="Times New Roman" w:eastAsia="Times New Roman" w:hAnsi="Times New Roman"/>
          <w:sz w:val="18"/>
          <w:szCs w:val="18"/>
          <w:color w:val="auto"/>
        </w:rPr>
        <w:t>”) issued by Counterparty in an aggregate initial principal amount of USD [400,000,000] (as increased by [up to]</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 aggregate principal amount of USD [60,000,000] [if and to the extent that]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[pursuant to the exercise by]</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Initial Purchasers (as defined below) [exercise]</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[of]</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their option to purchase additional Exchangeable Notes pursuant to the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January 8, 2024, among Counterparty, Parent and J.P. Morgan Securities LLC, BofA Securities, Inc. and Wells Fargo Securities, LLC,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pursuant to an Indenture [to be]</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dated January 11, 2024 between Counterparty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and cross-references used herein are based on the [draft of the Indenture last reviewed by Dealer as of the date of this Confirmation, and if any such section numbers or cross-references are changed in the Indenture as executed, the parties will amend this Confirmation in good faith to preserve the intent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715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3" w:lineRule="exact"/>
        <w:rPr>
          <w:sz w:val="20"/>
          <w:szCs w:val="20"/>
          <w:color w:val="auto"/>
        </w:rPr>
      </w:pPr>
    </w:p>
    <w:p>
      <w:pPr>
        <w:ind w:left="424" w:hanging="424"/>
        <w:spacing w:after="0"/>
        <w:tabs>
          <w:tab w:leader="none" w:pos="424" w:val="left"/>
        </w:tabs>
        <w:numPr>
          <w:ilvl w:val="0"/>
          <w:numId w:val="1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Dealer name, address and, if applicable, logo.</w:t>
      </w:r>
    </w:p>
    <w:p>
      <w:pPr>
        <w:ind w:left="424" w:hanging="424"/>
        <w:spacing w:after="0" w:line="180" w:lineRule="auto"/>
        <w:tabs>
          <w:tab w:leader="none" w:pos="424" w:val="left"/>
        </w:tabs>
        <w:numPr>
          <w:ilvl w:val="0"/>
          <w:numId w:val="1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1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1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Additional Call Option Confirmation.</w:t>
      </w:r>
    </w:p>
    <w:p>
      <w:pPr>
        <w:ind w:left="424" w:hanging="424"/>
        <w:spacing w:after="0" w:line="181" w:lineRule="auto"/>
        <w:tabs>
          <w:tab w:leader="none" w:pos="424" w:val="left"/>
        </w:tabs>
        <w:numPr>
          <w:ilvl w:val="0"/>
          <w:numId w:val="1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1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Additional Call Option Confirmation.</w:t>
      </w:r>
    </w:p>
    <w:p>
      <w:pPr>
        <w:ind w:left="424" w:hanging="424"/>
        <w:spacing w:after="0" w:line="180" w:lineRule="auto"/>
        <w:tabs>
          <w:tab w:leader="none" w:pos="424" w:val="left"/>
        </w:tabs>
        <w:numPr>
          <w:ilvl w:val="0"/>
          <w:numId w:val="1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if Indenture is not completed at the time of the Confirmation.</w:t>
      </w:r>
    </w:p>
    <w:p>
      <w:pPr>
        <w:sectPr>
          <w:pgSz w:w="11900" w:h="16838" w:orient="portrait"/>
          <w:cols w:equalWidth="0" w:num="1">
            <w:col w:w="11024"/>
          </w:cols>
          <w:pgMar w:left="436" w:top="117" w:right="439" w:bottom="1440" w:gutter="0" w:footer="0" w:header="0"/>
        </w:sectPr>
      </w:pPr>
    </w:p>
    <w:bookmarkStart w:id="135" w:name="page136"/>
    <w:bookmarkEnd w:id="135"/>
    <w:p>
      <w:pPr>
        <w:ind w:left="4"/>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[Indenture as executed]</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10.01(a) of the Indenture that, as determined by the Calculation Agent, conforms the Indenture to the description of Exchangeable Notes in the Offering Memorandum or (y) pursuant to Section 14.07 of the Indenture, subject, in the case of this clause (y), to the second paragraph under “Method of Adjustment” in Section 3 of this Confirmation), any such amendment or supplement will be disregarded for purposes of this Confirmation (other than as provided in Section 9(i)(iii) of this Confirmation) unless the parties agree otherwise in writing.</w:t>
      </w:r>
    </w:p>
    <w:p>
      <w:pPr>
        <w:spacing w:after="0" w:line="20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This Confirmation shall supplement, form a part of, and be subject to an agreement in the form of the 2002 ISDA Master Agreement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Counterparty and Parent had executed an agreement in such form on the Trade Date (but without any Schedule except for</w:t>
      </w:r>
    </w:p>
    <w:p>
      <w:pPr>
        <w:spacing w:after="0" w:line="9" w:lineRule="exact"/>
        <w:rPr>
          <w:sz w:val="20"/>
          <w:szCs w:val="20"/>
          <w:color w:val="auto"/>
        </w:rPr>
      </w:pPr>
    </w:p>
    <w:p>
      <w:pPr>
        <w:ind w:left="4" w:right="40" w:hanging="4"/>
        <w:spacing w:after="0" w:line="251" w:lineRule="auto"/>
        <w:tabs>
          <w:tab w:leader="none" w:pos="2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election of the laws of the State of New York as the governing law (without reference to choice of law doctrine other than Sections 5-1401 and 5-1402 of the General Obligations Law); (ii) the election of US Dollars as the Termination Currency; and (iii) the election that the “Cross Default” provisions of Section 5(a)(vi) of the Agreement shall apply solely to Dealer with a “Threshold Amount” of three percent of [Dealer’s][Dealer’s ultimate parent’s] shareholders’ equity as of the Trade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“Specified Indebtedness” shall not include obligations in respect of deposits received in the ordinary course of Dealer’s banking business, (B) the phrase “or becoming capable at such time of being declared” shall be deleted from clause (1) of such Section 5(a)(vi) and (C) the following sentence shall be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and/or Parent or any confirmation or other agreement between Dealer and Counterparty and/or Parent pursuant to which an ISDA Master Agreement is deemed to exist between Dealer and Counterparty and/or Parent, then notwithstanding anything to the contrary in such ISDA Master Agreement, such confirmation or agreement or any other agreement to which Dealer and Counterparty and/or Parent are parties, the Transaction shall not be considered a Transaction under, or otherwise governed by, such existing or deemed ISDA Master Agreement.</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The terms of the particular Transaction to which this Confirmation relates are as follows:</w:t>
      </w:r>
    </w:p>
    <w:p>
      <w:pPr>
        <w:spacing w:after="0" w:line="239" w:lineRule="exact"/>
        <w:rPr>
          <w:sz w:val="20"/>
          <w:szCs w:val="20"/>
          <w:color w:val="auto"/>
        </w:rPr>
      </w:pPr>
    </w:p>
    <w:tbl>
      <w:tblPr>
        <w:tblLayout w:type="fixed"/>
        <w:tblInd w:w="364"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w:t>
            </w:r>
          </w:p>
        </w:tc>
        <w:tc>
          <w:tcPr>
            <w:tcW w:w="7400" w:type="dxa"/>
            <w:vAlign w:val="bottom"/>
          </w:tcPr>
          <w:p>
            <w:pPr>
              <w:spacing w:after="0"/>
              <w:rPr>
                <w:sz w:val="18"/>
                <w:szCs w:val="18"/>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345"/>
        </w:trPr>
        <w:tc>
          <w:tcPr>
            <w:tcW w:w="3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Date:</w:t>
            </w:r>
          </w:p>
        </w:tc>
        <w:tc>
          <w:tcPr>
            <w:tcW w:w="74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[_______], 2024</w:t>
            </w:r>
          </w:p>
        </w:tc>
      </w:tr>
      <w:tr>
        <w:trPr>
          <w:trHeight w:val="306"/>
        </w:trPr>
        <w:tc>
          <w:tcPr>
            <w:tcW w:w="3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Effective Date:</w:t>
            </w:r>
          </w:p>
        </w:tc>
        <w:tc>
          <w:tcPr>
            <w:tcW w:w="74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The second Exchange Business Day immediately prior to the Premium Payment</w:t>
            </w:r>
          </w:p>
        </w:tc>
      </w:tr>
      <w:tr>
        <w:trPr>
          <w:trHeight w:val="234"/>
        </w:trPr>
        <w:tc>
          <w:tcPr>
            <w:tcW w:w="1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3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Style:</w:t>
            </w:r>
          </w:p>
        </w:tc>
        <w:tc>
          <w:tcPr>
            <w:tcW w:w="74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“Modified American”, as described under “Procedures for Exercise” below</w:t>
            </w:r>
          </w:p>
        </w:tc>
      </w:tr>
      <w:tr>
        <w:trPr>
          <w:trHeight w:val="324"/>
        </w:trPr>
        <w:tc>
          <w:tcPr>
            <w:tcW w:w="3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Type:</w:t>
            </w:r>
          </w:p>
        </w:tc>
        <w:tc>
          <w:tcPr>
            <w:tcW w:w="74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Call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1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in the Base Call Option Confirmation. Include in the Additional Call Option Confirmation if it is executed before closing of the base deal.</w:t>
      </w:r>
    </w:p>
    <w:p>
      <w:pPr>
        <w:spacing w:after="0" w:line="1" w:lineRule="exact"/>
        <w:rPr>
          <w:sz w:val="20"/>
          <w:szCs w:val="20"/>
          <w:color w:val="auto"/>
        </w:rPr>
      </w:pPr>
    </w:p>
    <w:p>
      <w:pPr>
        <w:jc w:val="center"/>
        <w:ind w:left="5464" w:right="20" w:hanging="5464"/>
        <w:spacing w:after="0" w:line="311" w:lineRule="auto"/>
        <w:tabs>
          <w:tab w:leader="none" w:pos="433" w:val="left"/>
        </w:tabs>
        <w:numPr>
          <w:ilvl w:val="0"/>
          <w:numId w:val="1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in the Additional Call Option Confirmation, but only if the Additional Call Option Confirmation is executed after closing of the base deal. 2</w:t>
      </w:r>
    </w:p>
    <w:p>
      <w:pPr>
        <w:sectPr>
          <w:pgSz w:w="11900" w:h="16838" w:orient="portrait"/>
          <w:cols w:equalWidth="0" w:num="1">
            <w:col w:w="10984"/>
          </w:cols>
          <w:pgMar w:left="436" w:top="270" w:right="479" w:bottom="1440" w:gutter="0" w:footer="0" w:header="0"/>
        </w:sectPr>
      </w:pPr>
    </w:p>
    <w:bookmarkStart w:id="136" w:name="page137"/>
    <w:bookmarkEnd w:id="136"/>
    <w:tbl>
      <w:tblPr>
        <w:tblLayout w:type="fixed"/>
        <w:tblInd w:w="364" w:type="dxa"/>
        <w:tblCellMar>
          <w:top w:w="0" w:type="dxa"/>
          <w:left w:w="0" w:type="dxa"/>
          <w:bottom w:w="0" w:type="dxa"/>
          <w:right w:w="0" w:type="dxa"/>
        </w:tblCellMar>
      </w:tblPr>
      <w:tr>
        <w:trPr>
          <w:trHeight w:val="23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Buyer:</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Counterparty</w:t>
            </w:r>
          </w:p>
        </w:tc>
      </w:tr>
      <w:tr>
        <w:trPr>
          <w:trHeight w:val="32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Seller:</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Dealer</w:t>
            </w:r>
          </w:p>
        </w:tc>
      </w:tr>
      <w:tr>
        <w:trPr>
          <w:trHeight w:val="306"/>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The common shares of beneficial interest of Parent, par value USD 0.01 per share</w:t>
            </w:r>
          </w:p>
        </w:tc>
      </w:tr>
      <w:tr>
        <w:trPr>
          <w:trHeight w:val="234"/>
        </w:trPr>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(Exchange symbol “FRT”).</w:t>
            </w:r>
          </w:p>
        </w:tc>
      </w:tr>
      <w:tr>
        <w:trPr>
          <w:trHeight w:val="306"/>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Options:</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[_______]</w:t>
            </w:r>
            <w:r>
              <w:rPr>
                <w:rFonts w:ascii="Times New Roman" w:cs="Times New Roman" w:eastAsia="Times New Roman" w:hAnsi="Times New Roman"/>
                <w:sz w:val="26"/>
                <w:szCs w:val="26"/>
                <w:color w:val="auto"/>
                <w:w w:val="98"/>
                <w:vertAlign w:val="superscript"/>
              </w:rPr>
              <w:t>10</w:t>
            </w:r>
            <w:r>
              <w:rPr>
                <w:rFonts w:ascii="Times New Roman" w:cs="Times New Roman" w:eastAsia="Times New Roman" w:hAnsi="Times New Roman"/>
                <w:sz w:val="18"/>
                <w:szCs w:val="18"/>
                <w:color w:val="auto"/>
                <w:w w:val="98"/>
              </w:rPr>
              <w:t>. For the avoidance of doubt, the Number of Options shall be reduced</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 any Options exercised by Counterparty. In no event will the Number of</w:t>
            </w:r>
          </w:p>
        </w:tc>
      </w:tr>
      <w:tr>
        <w:trPr>
          <w:trHeight w:val="234"/>
        </w:trPr>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Options be less than zero.</w:t>
            </w:r>
          </w:p>
        </w:tc>
      </w:tr>
      <w:tr>
        <w:trPr>
          <w:trHeight w:val="32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Applicable Percentage:</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[__]%</w:t>
            </w:r>
          </w:p>
        </w:tc>
      </w:tr>
      <w:tr>
        <w:trPr>
          <w:trHeight w:val="41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Entitlement:</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[______]</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w:t>
            </w:r>
          </w:p>
        </w:tc>
      </w:tr>
      <w:tr>
        <w:trPr>
          <w:trHeight w:val="23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Strike Price:</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USD [______]</w:t>
            </w:r>
          </w:p>
        </w:tc>
      </w:tr>
      <w:tr>
        <w:trPr>
          <w:trHeight w:val="32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 Price:</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USD [______]</w:t>
            </w:r>
          </w:p>
        </w:tc>
      </w:tr>
      <w:tr>
        <w:trPr>
          <w:trHeight w:val="32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USD [______]</w:t>
            </w:r>
          </w:p>
        </w:tc>
      </w:tr>
      <w:tr>
        <w:trPr>
          <w:trHeight w:val="41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 Payment Date:</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[______], 2024</w:t>
            </w:r>
            <w:r>
              <w:rPr>
                <w:rFonts w:ascii="Times New Roman" w:cs="Times New Roman" w:eastAsia="Times New Roman" w:hAnsi="Times New Roman"/>
                <w:sz w:val="26"/>
                <w:szCs w:val="26"/>
                <w:color w:val="auto"/>
                <w:vertAlign w:val="superscript"/>
              </w:rPr>
              <w:t>12</w:t>
            </w:r>
          </w:p>
        </w:tc>
      </w:tr>
      <w:tr>
        <w:trPr>
          <w:trHeight w:val="23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306"/>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Exchange(s):</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 Equity Definitions shall be</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amended to add the words “United States” before the word “exchange” in the</w:t>
            </w:r>
          </w:p>
        </w:tc>
      </w:tr>
      <w:tr>
        <w:trPr>
          <w:trHeight w:val="234"/>
        </w:trPr>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tenth line of such Section.</w:t>
            </w:r>
          </w:p>
        </w:tc>
      </w:tr>
      <w:tr>
        <w:trPr>
          <w:trHeight w:val="32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Excluded Provisions:</w:t>
            </w: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14.05(b) and Section 14.06 of the Indenture.</w:t>
            </w:r>
          </w:p>
        </w:tc>
      </w:tr>
      <w:tr>
        <w:trPr>
          <w:trHeight w:val="28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r>
              <w:rPr>
                <w:rFonts w:ascii="Times New Roman" w:cs="Times New Roman" w:eastAsia="Times New Roman" w:hAnsi="Times New Roman"/>
                <w:sz w:val="18"/>
                <w:szCs w:val="18"/>
                <w:color w:val="auto"/>
              </w:rPr>
              <w:t>.</w:t>
            </w:r>
          </w:p>
        </w:tc>
        <w:tc>
          <w:tcPr>
            <w:tcW w:w="7180" w:type="dxa"/>
            <w:vAlign w:val="bottom"/>
          </w:tcPr>
          <w:p>
            <w:pPr>
              <w:spacing w:after="0"/>
              <w:rPr>
                <w:sz w:val="24"/>
                <w:szCs w:val="24"/>
                <w:color w:val="auto"/>
              </w:rPr>
            </w:pPr>
          </w:p>
        </w:tc>
      </w:tr>
      <w:tr>
        <w:trPr>
          <w:trHeight w:val="326"/>
        </w:trPr>
        <w:tc>
          <w:tcPr>
            <w:tcW w:w="17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Exchange Date:</w:t>
            </w:r>
          </w:p>
        </w:tc>
        <w:tc>
          <w:tcPr>
            <w:tcW w:w="1700" w:type="dxa"/>
            <w:vAlign w:val="bottom"/>
          </w:tcPr>
          <w:p>
            <w:pPr>
              <w:spacing w:after="0"/>
              <w:rPr>
                <w:sz w:val="24"/>
                <w:szCs w:val="24"/>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With respect to any exchange of an Exchangeable Note (other than any exchange</w:t>
            </w:r>
          </w:p>
        </w:tc>
      </w:tr>
      <w:tr>
        <w:trPr>
          <w:trHeight w:val="212"/>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of Exchangeable Notes with an Exchange Date occurring prior to the Uniform</w:t>
            </w:r>
          </w:p>
        </w:tc>
      </w:tr>
      <w:tr>
        <w:trPr>
          <w:trHeight w:val="220"/>
        </w:trPr>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Exchangeability Deadline (any such exchange, an “</w:t>
            </w:r>
            <w:r>
              <w:rPr>
                <w:rFonts w:ascii="Times New Roman" w:cs="Times New Roman" w:eastAsia="Times New Roman" w:hAnsi="Times New Roman"/>
                <w:sz w:val="18"/>
                <w:szCs w:val="18"/>
                <w:b w:val="1"/>
                <w:bCs w:val="1"/>
                <w:color w:val="auto"/>
              </w:rPr>
              <w:t>Early Exchange</w:t>
            </w:r>
            <w:r>
              <w:rPr>
                <w:rFonts w:ascii="Times New Roman" w:cs="Times New Roman" w:eastAsia="Times New Roman" w:hAnsi="Times New Roman"/>
                <w:sz w:val="18"/>
                <w:szCs w:val="18"/>
                <w:color w:val="auto"/>
              </w:rPr>
              <w:t>”), to which</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provisions of Section 9(i)(i) of this Confirmation shall apply), the date on</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which the “Holder” (as such term is defined in the Indenture) of such</w:t>
            </w:r>
          </w:p>
        </w:tc>
      </w:tr>
      <w:tr>
        <w:trPr>
          <w:trHeight w:val="214"/>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Exchangeable Note satisfies all of the requirements for exchange thereof as set</w:t>
            </w:r>
          </w:p>
        </w:tc>
      </w:tr>
      <w:tr>
        <w:trPr>
          <w:trHeight w:val="218"/>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xml:space="preserve">forth in Section 14.02(d)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has not</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delivered to Dealer a related Notice of Exercise, then in no event shall an</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Exchange Date be deemed to occur hereunder (and no Option shall be exercised</w:t>
            </w:r>
          </w:p>
        </w:tc>
      </w:tr>
      <w:tr>
        <w:trPr>
          <w:trHeight w:val="234"/>
        </w:trPr>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or deemed to be exercised hereunder) with respect to any surrender of an</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240" w:hanging="424"/>
        <w:spacing w:after="0" w:line="220" w:lineRule="auto"/>
        <w:tabs>
          <w:tab w:leader="none" w:pos="424" w:val="left"/>
        </w:tabs>
        <w:numPr>
          <w:ilvl w:val="0"/>
          <w:numId w:val="1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Base Call Option Confirmation, this is equal to the number of Exchangeable Notes in principal amount of $1,000 initially issued on the closing date for the Exchangeable Notes. For the Additional Call Option Confirmation, this is equal to the number of additional Exchangeable Notes in principal amount of $1,000.</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1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the initial Exchange Rate for the Exchangeable Notes.</w:t>
      </w:r>
    </w:p>
    <w:p>
      <w:pPr>
        <w:spacing w:after="0" w:line="2" w:lineRule="exact"/>
        <w:rPr>
          <w:rFonts w:ascii="Times New Roman" w:cs="Times New Roman" w:eastAsia="Times New Roman" w:hAnsi="Times New Roman"/>
          <w:sz w:val="25"/>
          <w:szCs w:val="25"/>
          <w:color w:val="auto"/>
          <w:vertAlign w:val="superscript"/>
        </w:rPr>
      </w:pPr>
    </w:p>
    <w:p>
      <w:pPr>
        <w:ind w:left="424" w:right="280" w:hanging="424"/>
        <w:spacing w:after="0" w:line="199" w:lineRule="auto"/>
        <w:tabs>
          <w:tab w:leader="none" w:pos="424" w:val="left"/>
        </w:tabs>
        <w:numPr>
          <w:ilvl w:val="0"/>
          <w:numId w:val="1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the closing date for the Exchangeable Notes (for the base transaction) and then the closing date for the exercise of the greenshoe (for the additional transaction).</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Uniform Exchangeability Deadline:</w:t>
      </w:r>
    </w:p>
    <w:p>
      <w:pPr>
        <w:spacing w:after="0" w:line="11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Expiration Time:</w:t>
      </w:r>
    </w:p>
    <w:p>
      <w:pPr>
        <w:spacing w:after="0" w:line="11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Expiration Date:</w:t>
      </w:r>
    </w:p>
    <w:p>
      <w:pPr>
        <w:spacing w:after="0" w:line="11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Multiple Exercise:</w:t>
      </w:r>
    </w:p>
    <w:p>
      <w:pPr>
        <w:spacing w:after="0" w:line="11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1071880</wp:posOffset>
            </wp:positionV>
            <wp:extent cx="771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4" w:hanging="424"/>
        <w:spacing w:after="0"/>
        <w:tabs>
          <w:tab w:leader="none" w:pos="424" w:val="left"/>
        </w:tabs>
        <w:numPr>
          <w:ilvl w:val="0"/>
          <w:numId w:val="1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 for Additional Call Option Confirmation only.</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Exchangeable Note for exchange in respect of which Counterparty has elected to designate a financial institution for exchange in lieu of exchange of such Exchangeable Note pursuant to Section 14.13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-518795</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15, 2028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2029, subject to earlier exercise.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as described under “Automatic Exercise” below.</w:t>
      </w:r>
    </w:p>
    <w:p>
      <w:pPr>
        <w:spacing w:after="0" w:line="11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Notwithstanding Section 3.4 of the Equity Definitions, on each Exchange Date occurring on or after the Uniform Exchangeability Deadline, in respect of which a “Notice of Exchange” (as such term is defined in the Indenture) that is effective as to Counterparty has been delivered by the relevant exchanging “Holder” (as such term is defined in the Indenture), a number of Options equal to [(i)] the number of Exchangeable Notes in denominations of USD 1,000 as to which such Exchange Date has occurred [,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Options that are or are deemed to be automatically exercised on such Exchange Date under the Base Call Option Transaction Confirmation letter agreement dated [__], 2024 among Dealer, Counterparty and Parent (the “</w:t>
      </w:r>
      <w:r>
        <w:rPr>
          <w:rFonts w:ascii="Times New Roman" w:cs="Times New Roman" w:eastAsia="Times New Roman" w:hAnsi="Times New Roman"/>
          <w:sz w:val="18"/>
          <w:szCs w:val="18"/>
          <w:b w:val="1"/>
          <w:bCs w:val="1"/>
          <w:color w:val="auto"/>
        </w:rPr>
        <w:t>Base Call Option Confirmation</w:t>
      </w:r>
      <w:r>
        <w:rPr>
          <w:rFonts w:ascii="Times New Roman" w:cs="Times New Roman" w:eastAsia="Times New Roman" w:hAnsi="Times New Roman"/>
          <w:sz w:val="18"/>
          <w:szCs w:val="18"/>
          <w:color w:val="auto"/>
        </w:rPr>
        <w:t>”) (and for the purposes of determining whether any Options under this Confirmation or under the Base Call Option Confirmation will be automatically exercised hereunder or under the Base Call Option Confirmation, the Exchangeable Notes subject to exchange shall be allocated first to the Base Call Option Confirmation until all Options thereunder are exercised or terminated),]</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shall be deemed to be automatically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Options shall be exercised or deemed exercised only if Counterparty has provided a Notice of Exercise to Dealer in accordance with “Notice of Exercise” below.</w:t>
      </w:r>
    </w:p>
    <w:p>
      <w:pPr>
        <w:spacing w:after="0" w:line="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 exercised or deemed exercised hereunder exceed the Number of Options.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Equity Definitions or under “Automatic Exercise” above, in order to exercise any Options relating to Exchangeable Notes with an Exchange Date occurring on or after the Uniform Exchangeability Deadline, Counterparty must notify Dealer in writing before 5:00 p.m. (New York City time) on the Scheduled Valid Day immediately preceding the Expiration Date specifying the number of such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for such Options is not Net Share Settlement, Dealer shall have</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4364" w:space="720"/>
            <w:col w:w="5920"/>
          </w:cols>
          <w:pgMar w:left="436" w:top="270" w:right="4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0"/>
        </w:trPr>
        <w:tc>
          <w:tcPr>
            <w:tcW w:w="1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received a separate notice (the “</w:t>
            </w:r>
            <w:r>
              <w:rPr>
                <w:rFonts w:ascii="Times New Roman" w:cs="Times New Roman" w:eastAsia="Times New Roman" w:hAnsi="Times New Roman"/>
                <w:sz w:val="18"/>
                <w:szCs w:val="18"/>
                <w:b w:val="1"/>
                <w:bCs w:val="1"/>
                <w:color w:val="auto"/>
              </w:rPr>
              <w:t>Notice of Final Settlement Method</w:t>
            </w:r>
            <w:r>
              <w:rPr>
                <w:rFonts w:ascii="Times New Roman" w:cs="Times New Roman" w:eastAsia="Times New Roman" w:hAnsi="Times New Roman"/>
                <w:sz w:val="18"/>
                <w:szCs w:val="18"/>
                <w:color w:val="auto"/>
              </w:rPr>
              <w:t>”) in respect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 all such Exchangeable Notes before 5:00 p.m. (New York City time) on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Uniform Exchangeability Deadline specifying (1) the Relevant Settlement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Method for such Options, and (2) if the Relevant Settlement Method for such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Options is Combination Settlement, the percentage of the consideration due upon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exchange per Exchangeable Note in excess of the principal amount thereof that</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Counterparty has elected to pay to “Holders” (as such term is defined in the</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Indenture) of the related Exchangeable Notes in cash (the “</w:t>
            </w:r>
            <w:r>
              <w:rPr>
                <w:rFonts w:ascii="Times New Roman" w:cs="Times New Roman" w:eastAsia="Times New Roman" w:hAnsi="Times New Roman"/>
                <w:sz w:val="18"/>
                <w:szCs w:val="18"/>
                <w:b w:val="1"/>
                <w:bCs w:val="1"/>
                <w:color w:val="auto"/>
              </w:rPr>
              <w:t>Cash Percentage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Notwithstanding anything to the contrary herein, if Counterparty does not timely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deliver the Notice of Final Settlement Method, then the Notice of Final Settlement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Method shall be deemed timely given and the Relevant Settlement Method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specified therein shall be deemed to be Net Share Settlement. Counterparty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acknowledges its responsibilities under applicable securities laws, and in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particular Section 9 and Section 10(b) of the Exchange Act (as defined below)</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and the rules and regulations thereunder, in respect of any election (or any deemed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election) of a settlement method with respect to the Exchangeable Notes.</w:t>
            </w:r>
          </w:p>
        </w:tc>
        <w:tc>
          <w:tcPr>
            <w:tcW w:w="0" w:type="dxa"/>
            <w:vAlign w:val="bottom"/>
          </w:tcPr>
          <w:p>
            <w:pPr>
              <w:spacing w:after="0"/>
              <w:rPr>
                <w:sz w:val="1"/>
                <w:szCs w:val="1"/>
                <w:color w:val="auto"/>
              </w:rPr>
            </w:pPr>
          </w:p>
        </w:tc>
      </w:tr>
      <w:tr>
        <w:trPr>
          <w:trHeight w:val="306"/>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Time:</w:t>
            </w: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that if the principal trading session is extended, the Calculation Agent shall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determine the Valuation Time in its commercially reasonable discretion.</w:t>
            </w:r>
          </w:p>
        </w:tc>
        <w:tc>
          <w:tcPr>
            <w:tcW w:w="0" w:type="dxa"/>
            <w:vAlign w:val="bottom"/>
          </w:tcPr>
          <w:p>
            <w:pPr>
              <w:spacing w:after="0"/>
              <w:rPr>
                <w:sz w:val="1"/>
                <w:szCs w:val="1"/>
                <w:color w:val="auto"/>
              </w:rPr>
            </w:pPr>
          </w:p>
        </w:tc>
      </w:tr>
      <w:tr>
        <w:trPr>
          <w:trHeight w:val="324"/>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 Disruption Event:</w:t>
            </w: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 “Market Disruption Event” as defined in the Indenture.</w:t>
            </w:r>
          </w:p>
        </w:tc>
        <w:tc>
          <w:tcPr>
            <w:tcW w:w="0" w:type="dxa"/>
            <w:vAlign w:val="bottom"/>
          </w:tcPr>
          <w:p>
            <w:pPr>
              <w:spacing w:after="0"/>
              <w:rPr>
                <w:sz w:val="1"/>
                <w:szCs w:val="1"/>
                <w:color w:val="auto"/>
              </w:rPr>
            </w:pPr>
          </w:p>
        </w:tc>
      </w:tr>
      <w:tr>
        <w:trPr>
          <w:trHeight w:val="28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8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w:t>
            </w:r>
          </w:p>
        </w:tc>
        <w:tc>
          <w:tcPr>
            <w:tcW w:w="0" w:type="dxa"/>
            <w:vAlign w:val="bottom"/>
          </w:tcPr>
          <w:p>
            <w:pPr>
              <w:spacing w:after="0" w:line="20" w:lineRule="exact"/>
              <w:rPr>
                <w:sz w:val="1"/>
                <w:szCs w:val="1"/>
                <w:color w:val="auto"/>
              </w:rPr>
            </w:pPr>
          </w:p>
        </w:tc>
      </w:tr>
      <w:tr>
        <w:trPr>
          <w:trHeight w:val="326"/>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Method:</w:t>
            </w:r>
          </w:p>
        </w:tc>
        <w:tc>
          <w:tcPr>
            <w:tcW w:w="7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Method set forth below for such Option is not Net Share Settlement, then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Settlement Method for such Option shall be such Relevant Settlement Method,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but only if Counterparty shall have notified Dealer of the Relevant Settlement</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Method in the Notice of Final Settlement Method for such Option.</w:t>
            </w:r>
          </w:p>
        </w:tc>
        <w:tc>
          <w:tcPr>
            <w:tcW w:w="0" w:type="dxa"/>
            <w:vAlign w:val="bottom"/>
          </w:tcPr>
          <w:p>
            <w:pPr>
              <w:spacing w:after="0"/>
              <w:rPr>
                <w:sz w:val="1"/>
                <w:szCs w:val="1"/>
                <w:color w:val="auto"/>
              </w:rPr>
            </w:pPr>
          </w:p>
        </w:tc>
      </w:tr>
      <w:tr>
        <w:trPr>
          <w:trHeight w:val="324"/>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Relevant Settlement Method:</w:t>
            </w: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 respect of any Option:</w:t>
            </w:r>
          </w:p>
        </w:tc>
        <w:tc>
          <w:tcPr>
            <w:tcW w:w="0" w:type="dxa"/>
            <w:vAlign w:val="bottom"/>
          </w:tcPr>
          <w:p>
            <w:pPr>
              <w:spacing w:after="0"/>
              <w:rPr>
                <w:sz w:val="1"/>
                <w:szCs w:val="1"/>
                <w:color w:val="auto"/>
              </w:rPr>
            </w:pPr>
          </w:p>
        </w:tc>
      </w:tr>
      <w:tr>
        <w:trPr>
          <w:trHeight w:val="306"/>
        </w:trPr>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 if Counterparty has not elected to settle all or any portion of its exchange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obligations in respect of the related Exchangeable Note in excess of the principal</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amount thereof in cash either by specifying a Cash Percentage of 0% or not timely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specifying a Cash Percentage, in each case, pursuant to Section 14.03(a)(3) of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Indenture, then the Relevant Settlement Method for such Option shall be Net</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Share Settlement;</w:t>
            </w:r>
          </w:p>
        </w:tc>
        <w:tc>
          <w:tcPr>
            <w:tcW w:w="0" w:type="dxa"/>
            <w:vAlign w:val="bottom"/>
          </w:tcPr>
          <w:p>
            <w:pPr>
              <w:spacing w:after="0"/>
              <w:rPr>
                <w:sz w:val="1"/>
                <w:szCs w:val="1"/>
                <w:color w:val="auto"/>
              </w:rPr>
            </w:pPr>
          </w:p>
        </w:tc>
      </w:tr>
      <w:tr>
        <w:trPr>
          <w:trHeight w:val="306"/>
        </w:trPr>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(ii) if Counterparty has elected to settle its exchange obligations in respect of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related Exchangeable Note in excess of the principal amount thereof in a</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combination of cash and Shares by specifying a Cash Percentage less than 100%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but greater than 0% pursuant to Section 14.03(a)(3) of the Indenture, then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Relevant Settlement Method for such Option shall be Combination Settlement;</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60"/>
          </w:cols>
          <w:pgMar w:left="80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9" w:name="page140"/>
    <w:bookmarkEnd w:id="139"/>
    <w:p>
      <w:pPr>
        <w:ind w:left="472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if Counterparty has elected to settle its exchange obligations in respect of the related Exchangeable Note in excess of the principal amount thereof entirely in cash by specifying a Cash Percentage of 100% pursuant to Section 14.03(a)(3) of the Indenture, then the Relevant Settlement Method for such Option shall be Cash Settlement.</w:t>
      </w:r>
    </w:p>
    <w:p>
      <w:pPr>
        <w:sectPr>
          <w:pgSz w:w="11900" w:h="16838" w:orient="portrait"/>
          <w:cols w:equalWidth="0" w:num="1">
            <w:col w:w="10640"/>
          </w:cols>
          <w:pgMar w:left="800" w:top="270" w:right="45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Net Share Settlement is applicable to any Option exercised or deemed exercised hereunder, Dealer will deliver to Counterparty, on the relevant Settlement Date for each such Option,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the sum, for each Valid Day during the Settlement Averaging Period for each such Option, of (i) (a)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Net Share Settlement Amount for any Option exceed a number of Shares equal to the Applicable Limit for such Option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Applicable Limit Price on the Settlement Date for such Option.</w:t>
      </w:r>
    </w:p>
    <w:p>
      <w:pPr>
        <w:spacing w:after="0" w:line="86" w:lineRule="exact"/>
        <w:rPr>
          <w:sz w:val="20"/>
          <w:szCs w:val="20"/>
          <w:color w:val="auto"/>
        </w:rPr>
      </w:pPr>
    </w:p>
    <w:p>
      <w:pPr>
        <w:sectPr>
          <w:pgSz w:w="11900" w:h="16838" w:orient="portrait"/>
          <w:cols w:equalWidth="0" w:num="2">
            <w:col w:w="4000" w:space="720"/>
            <w:col w:w="5920"/>
          </w:cols>
          <w:pgMar w:left="800" w:top="270" w:right="459" w:bottom="1440" w:gutter="0" w:footer="0" w:header="0"/>
          <w:type w:val="continuous"/>
        </w:sectPr>
      </w:pPr>
    </w:p>
    <w:p>
      <w:pPr>
        <w:ind w:left="4720" w:right="4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Net Share Settlement Amount valued at the Relevant Price for the last Valid Day of the Settlement Averaging Period.</w:t>
      </w:r>
    </w:p>
    <w:p>
      <w:pPr>
        <w:sectPr>
          <w:pgSz w:w="11900" w:h="16838" w:orient="portrait"/>
          <w:cols w:equalWidth="0" w:num="1">
            <w:col w:w="10640"/>
          </w:cols>
          <w:pgMar w:left="800" w:top="270" w:right="4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64" w:lineRule="exact"/>
        <w:rPr>
          <w:sz w:val="20"/>
          <w:szCs w:val="20"/>
          <w:color w:val="auto"/>
        </w:rPr>
      </w:pPr>
    </w:p>
    <w:p>
      <w:pPr>
        <w:sectPr>
          <w:pgSz w:w="11900" w:h="16838" w:orient="portrait"/>
          <w:cols w:equalWidth="0" w:num="2">
            <w:col w:w="4000" w:space="720"/>
            <w:col w:w="5920"/>
          </w:cols>
          <w:pgMar w:left="800" w:top="270" w:right="459" w:bottom="1440" w:gutter="0" w:footer="0" w:header="0"/>
          <w:type w:val="continuous"/>
        </w:sectPr>
      </w:pP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right="20" w:hanging="9"/>
        <w:spacing w:after="0" w:line="255" w:lineRule="auto"/>
        <w:rPr>
          <w:sz w:val="20"/>
          <w:szCs w:val="20"/>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 Day during the Settlement Averaging Period for such Option, of (A) an amount (the “</w:t>
      </w:r>
      <w:r>
        <w:rPr>
          <w:rFonts w:ascii="Times New Roman" w:cs="Times New Roman" w:eastAsia="Times New Roman" w:hAnsi="Times New Roman"/>
          <w:sz w:val="18"/>
          <w:szCs w:val="18"/>
          <w:b w:val="1"/>
          <w:bCs w:val="1"/>
          <w:color w:val="auto"/>
        </w:rPr>
        <w:t>Daily Combination Settlement Cash Amount</w:t>
      </w:r>
      <w:r>
        <w:rPr>
          <w:rFonts w:ascii="Times New Roman" w:cs="Times New Roman" w:eastAsia="Times New Roman" w:hAnsi="Times New Roman"/>
          <w:sz w:val="18"/>
          <w:szCs w:val="18"/>
          <w:color w:val="auto"/>
        </w:rPr>
        <w:t xml:space="preserve">”) equal to the product of (1) the Cash Percentage and (2) the Daily Option Value,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(B) the number of Valid Days in the Settlement Averaging Period;</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the calculation in clause (A) above results in zero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number for any Valid Day, the Daily Combination Settlement Cash Amount for such Valid Day shall be deemed to be zero; and</w:t>
      </w:r>
    </w:p>
    <w:p>
      <w:pPr>
        <w:spacing w:after="0" w:line="77" w:lineRule="exact"/>
        <w:rPr>
          <w:sz w:val="20"/>
          <w:szCs w:val="20"/>
          <w:color w:val="auto"/>
        </w:rPr>
      </w:pPr>
    </w:p>
    <w:p>
      <w:pPr>
        <w:sectPr>
          <w:pgSz w:w="11900" w:h="16838" w:orient="portrait"/>
          <w:cols w:equalWidth="0" w:num="2">
            <w:col w:w="4920" w:space="160"/>
            <w:col w:w="5560"/>
          </w:cols>
          <w:pgMar w:left="800" w:top="270" w:right="459" w:bottom="1440" w:gutter="0" w:footer="0" w:header="0"/>
          <w:type w:val="continuous"/>
        </w:sectPr>
      </w:pPr>
    </w:p>
    <w:p>
      <w:pPr>
        <w:ind w:left="5080" w:right="100" w:hanging="359"/>
        <w:spacing w:after="0" w:line="282" w:lineRule="auto"/>
        <w:rPr>
          <w:sz w:val="20"/>
          <w:szCs w:val="20"/>
          <w:color w:val="auto"/>
        </w:rPr>
      </w:pPr>
      <w:r>
        <w:rPr>
          <w:rFonts w:ascii="Times New Roman" w:cs="Times New Roman" w:eastAsia="Times New Roman" w:hAnsi="Times New Roman"/>
          <w:sz w:val="17"/>
          <w:szCs w:val="17"/>
          <w:color w:val="auto"/>
        </w:rPr>
        <w:t>(ii)   Shares (the “</w:t>
      </w:r>
      <w:r>
        <w:rPr>
          <w:rFonts w:ascii="Times New Roman" w:cs="Times New Roman" w:eastAsia="Times New Roman" w:hAnsi="Times New Roman"/>
          <w:sz w:val="17"/>
          <w:szCs w:val="17"/>
          <w:b w:val="1"/>
          <w:bCs w:val="1"/>
          <w:color w:val="auto"/>
        </w:rPr>
        <w:t>Combination Settlement Share Amount</w:t>
      </w:r>
      <w:r>
        <w:rPr>
          <w:rFonts w:ascii="Times New Roman" w:cs="Times New Roman" w:eastAsia="Times New Roman" w:hAnsi="Times New Roman"/>
          <w:sz w:val="17"/>
          <w:szCs w:val="17"/>
          <w:color w:val="auto"/>
        </w:rPr>
        <w:t>”) equal to the sum, for each Valid Day during the Settlement Averaging Period for such Option, of a number of Shares for such Valid Day (the “</w:t>
      </w:r>
      <w:r>
        <w:rPr>
          <w:rFonts w:ascii="Times New Roman" w:cs="Times New Roman" w:eastAsia="Times New Roman" w:hAnsi="Times New Roman"/>
          <w:sz w:val="17"/>
          <w:szCs w:val="17"/>
          <w:b w:val="1"/>
          <w:bCs w:val="1"/>
          <w:color w:val="auto"/>
        </w:rPr>
        <w:t>Daily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Settlement Share Amount</w:t>
      </w:r>
      <w:r>
        <w:rPr>
          <w:rFonts w:ascii="Times New Roman" w:cs="Times New Roman" w:eastAsia="Times New Roman" w:hAnsi="Times New Roman"/>
          <w:sz w:val="17"/>
          <w:szCs w:val="17"/>
          <w:color w:val="auto"/>
        </w:rPr>
        <w:t>”) equal to (A) (1) the Daily Option Value</w:t>
      </w:r>
    </w:p>
    <w:p>
      <w:pPr>
        <w:spacing w:after="0" w:line="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40"/>
          </w:cols>
          <w:pgMar w:left="800" w:top="270" w:right="459" w:bottom="1440" w:gutter="0" w:footer="0" w:header="0"/>
          <w:type w:val="continuous"/>
        </w:sectPr>
      </w:pPr>
    </w:p>
    <w:bookmarkStart w:id="140" w:name="page141"/>
    <w:bookmarkEnd w:id="140"/>
    <w:p>
      <w:pPr>
        <w:ind w:left="43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such Valid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Daily Combination Settlement Cash Amount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(A)(1) above results in zero or a negative number for any Valid Day, the Daily Combination Settlement Share Amount for such Valid Day shall be deemed to be zero;</w:t>
      </w:r>
    </w:p>
    <w:p>
      <w:pPr>
        <w:spacing w:after="0" w:line="74" w:lineRule="exact"/>
        <w:rPr>
          <w:sz w:val="20"/>
          <w:szCs w:val="20"/>
          <w:color w:val="auto"/>
        </w:rPr>
      </w:pPr>
    </w:p>
    <w:p>
      <w:pPr>
        <w:ind w:left="436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the sum of (x) the Combination Settlement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for any Option and (y) the Combination Settlement Share Amount for such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exceed the Applicable Limit for such Option.</w:t>
      </w:r>
    </w:p>
    <w:p>
      <w:pPr>
        <w:spacing w:after="0" w:line="74" w:lineRule="exact"/>
        <w:rPr>
          <w:sz w:val="20"/>
          <w:szCs w:val="20"/>
          <w:color w:val="auto"/>
        </w:rPr>
      </w:pPr>
    </w:p>
    <w:p>
      <w:pPr>
        <w:ind w:left="436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ectPr>
          <w:pgSz w:w="11900" w:h="16838" w:orient="portrait"/>
          <w:cols w:equalWidth="0" w:num="1">
            <w:col w:w="10260"/>
          </w:cols>
          <w:pgMar w:left="1160" w:top="268" w:right="47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Cash Settlement is applicable to any Option exercised or deemed exercised hereunder, in lieu of Section 8.1 of the Equity Definitions, Dealer will pay to Counterparty, on the relevant Settlement 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xml:space="preserve">”) equal to the sum, for each Valid Day during the Settlement Averaging Period for such Option, of (i)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Cash Settlement Amount exceed the Applicable Limit for such Option.</w:t>
      </w:r>
    </w:p>
    <w:p>
      <w:pPr>
        <w:spacing w:after="0" w:line="84" w:lineRule="exact"/>
        <w:rPr>
          <w:sz w:val="20"/>
          <w:szCs w:val="20"/>
          <w:color w:val="auto"/>
        </w:rPr>
      </w:pPr>
    </w:p>
    <w:p>
      <w:pPr>
        <w:sectPr>
          <w:pgSz w:w="11900" w:h="16838" w:orient="portrait"/>
          <w:cols w:equalWidth="0" w:num="2">
            <w:col w:w="3640" w:space="720"/>
            <w:col w:w="5900"/>
          </w:cols>
          <w:pgMar w:left="116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Daily Option Value:</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For any Valid Day, an amount equal to (i) the Option Entitlement on such Valid Day,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the lesser of the Relevant Price on such Valid Day and the Cap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Strike 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77" w:lineRule="exact"/>
        <w:rPr>
          <w:sz w:val="20"/>
          <w:szCs w:val="20"/>
          <w:color w:val="auto"/>
        </w:rPr>
      </w:pPr>
    </w:p>
    <w:p>
      <w:pPr>
        <w:sectPr>
          <w:pgSz w:w="11900" w:h="16838" w:orient="portrait"/>
          <w:cols w:equalWidth="0" w:num="2">
            <w:col w:w="3640" w:space="720"/>
            <w:col w:w="5900"/>
          </w:cols>
          <w:pgMar w:left="1160" w:top="268"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Limit:</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For any Option, an amount of cash equal to the Applicable Percentage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excess of (i) the aggregate of (A) the amount of cash paid to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such term is defined in the Indenture) of the related Exchangeable Note upon exchange of such Exchangeable Note and (B) the number of Shares, if any, delivered to the “Holder” (as such term is defined in the Indenture) of the related Exchangeable Note upon exchange of such Exchangeable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over (ii) USD 1,000.</w:t>
      </w:r>
    </w:p>
    <w:p>
      <w:pPr>
        <w:spacing w:after="0" w:line="119" w:lineRule="exact"/>
        <w:rPr>
          <w:sz w:val="20"/>
          <w:szCs w:val="20"/>
          <w:color w:val="auto"/>
        </w:rPr>
      </w:pPr>
    </w:p>
    <w:p>
      <w:pPr>
        <w:sectPr>
          <w:pgSz w:w="11900" w:h="16838" w:orient="portrait"/>
          <w:cols w:equalWidth="0" w:num="2">
            <w:col w:w="3640" w:space="720"/>
            <w:col w:w="5900"/>
          </w:cols>
          <w:pgMar w:left="1160" w:top="268" w:right="47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260"/>
          </w:cols>
          <w:pgMar w:left="1160" w:top="268" w:right="47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color w:val="auto"/>
        </w:rPr>
        <w:t>Applicable Limit Price: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On any day, the opening price as displayed under the heading “Op” on Bloomberg page FRT &lt;equity&gt;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-391160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3640" w:space="720"/>
            <w:col w:w="5920"/>
          </w:cols>
          <w:pgMar w:left="116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Valid Day:</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A “Trading Day” for purposes of determining the amounts due upon exchange of the Exchangeable Notes as defined in the Indenture.</w:t>
      </w:r>
    </w:p>
    <w:p>
      <w:pPr>
        <w:spacing w:after="0" w:line="54"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Scheduled Valid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“Scheduled Trading Day” as defined in the Indenture.</w:t>
      </w:r>
    </w:p>
    <w:p>
      <w:pPr>
        <w:spacing w:after="0" w:line="129"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Any day other than a Saturday, a Sunday or a day on which banking institutions in New York, New York are authorized or required by law or executive order to close or to be closed.</w:t>
      </w:r>
    </w:p>
    <w:p>
      <w:pPr>
        <w:spacing w:after="0" w:line="68"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Relevant Price: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 “Bloomberg VWAP” on Bloomberg page FRT &lt;equity&gt; AQR (or its equivalent successor if such page is not available) in respect of the period from the scheduled open of trading on the Exchange to the Scheduled Closing Time of the Exchange on such Valid Day (or if such volume-weighted average price is unavailable, the market value of one Share on such Valid Day, as determined by the Calculation Agent in a commercially reasonable manner using, if practicable, a volume-weighted average method). The Relevant Price will be determined without regard to after-hours trading or any other trading outside of the regular trading session trading hours.</w:t>
      </w:r>
    </w:p>
    <w:p>
      <w:pPr>
        <w:spacing w:after="0" w:line="86"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Averaging Period:</w:t>
      </w:r>
    </w:p>
    <w:p>
      <w:pPr>
        <w:spacing w:after="0" w:line="20" w:lineRule="exact"/>
        <w:rPr>
          <w:sz w:val="20"/>
          <w:szCs w:val="20"/>
          <w:color w:val="auto"/>
        </w:rPr>
      </w:pPr>
      <w:r>
        <w:rPr>
          <w:sz w:val="20"/>
          <w:szCs w:val="20"/>
          <w:color w:val="auto"/>
        </w:rPr>
        <w:br w:type="column"/>
      </w:r>
    </w:p>
    <w:p>
      <w:pPr>
        <w:ind w:right="240"/>
        <w:spacing w:after="0" w:line="312" w:lineRule="auto"/>
        <w:rPr>
          <w:sz w:val="20"/>
          <w:szCs w:val="20"/>
          <w:color w:val="auto"/>
        </w:rPr>
      </w:pPr>
      <w:r>
        <w:rPr>
          <w:rFonts w:ascii="Times New Roman" w:cs="Times New Roman" w:eastAsia="Times New Roman" w:hAnsi="Times New Roman"/>
          <w:sz w:val="17"/>
          <w:szCs w:val="17"/>
          <w:color w:val="auto"/>
        </w:rPr>
        <w:t>For any Option, the 40 consecutive Valid Days commencing on, and including, the 41</w:t>
      </w:r>
      <w:r>
        <w:rPr>
          <w:rFonts w:ascii="Times New Roman" w:cs="Times New Roman" w:eastAsia="Times New Roman" w:hAnsi="Times New Roman"/>
          <w:sz w:val="12"/>
          <w:szCs w:val="12"/>
          <w:color w:val="auto"/>
        </w:rPr>
        <w:t>st</w:t>
      </w:r>
      <w:r>
        <w:rPr>
          <w:rFonts w:ascii="Times New Roman" w:cs="Times New Roman" w:eastAsia="Times New Roman" w:hAnsi="Times New Roman"/>
          <w:sz w:val="17"/>
          <w:szCs w:val="17"/>
          <w:color w:val="auto"/>
        </w:rPr>
        <w:t xml:space="preserve"> Scheduled Valid Day immediately prior to the Expiration Date.</w:t>
      </w:r>
    </w:p>
    <w:p>
      <w:pPr>
        <w:spacing w:after="0" w:line="32"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For any Option, the second Business Day immediately following the final Valid Day of the Settlement Averaging Period for such Option.</w:t>
      </w:r>
    </w:p>
    <w:p>
      <w:pPr>
        <w:spacing w:after="0" w:line="54"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provisions of Sections 9.1(c), 9.8, 9.9 and 9.11 of the Equity Definitions will be applicable, except that all references in such provisions to “Physical Settlement” or “Physically-settled” shall be read as references to “Share Settled”. “Share Settled” in relation to any Option means that Net Share Settlement or Combination Settlement is applicable to that Option.</w:t>
      </w:r>
    </w:p>
    <w:p>
      <w:pPr>
        <w:spacing w:after="0" w:line="75"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Representation and Agreement:</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 Section 9.11 thereof), the parties acknowledge that (i) any Shares delivered to Counterparty shall be, upon delivery, subject to restrictions and limitations arising from (x) Counterparty’s status as a subsidiary of the issuer of the Shares under applicable securities laws and (y) the Amended and Restated Declaration of Trust of Federal</w:t>
      </w:r>
    </w:p>
    <w:p>
      <w:pPr>
        <w:spacing w:after="0" w:line="120"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280"/>
          </w:cols>
          <w:pgMar w:left="1160" w:top="270" w:right="459" w:bottom="144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b w:val="1"/>
          <w:bCs w:val="1"/>
          <w:u w:val="single" w:color="auto"/>
          <w:color w:val="auto"/>
        </w:rPr>
        <w:t>Additional Terms applicable to the Transaction</w:t>
      </w:r>
      <w:r>
        <w:rPr>
          <w:rFonts w:ascii="Times New Roman" w:cs="Times New Roman" w:eastAsia="Times New Roman" w:hAnsi="Times New Roman"/>
          <w:sz w:val="17"/>
          <w:szCs w:val="17"/>
          <w:b w:val="1"/>
          <w:bCs w:val="1"/>
          <w:color w:val="auto"/>
        </w:rPr>
        <w:t>.</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Adjustments applicable to the Transaction:</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Realty Investment Trust, as amended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(ii) Dealer may deliver any Shares required to be delivered hereunder in certificated form in lieu of delivery through the Clearance System, (iii) any Shares delivered to Counterparty may be “restricted securities” (as defined in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(iv) the Representation and Agreement contained in Section 9.11 of the Equity Definitions shall be deemed modified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-1061085</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Notwithstanding Section 11.2(e) of the Equity Definitions, a “Potential Adjustment Event” means an occurrence of any event or condition, as set forth in any Dilution Adjustment Provision, that requires an adjustment under the Indenture to the “Exchange Rate” or the composition of a “Unit of Reference Property” or to any “Last Reported Sale Price”, “Daily VWAP,” “Daily Exchange Value,” “Daily Net Settlement Amount” or “Daily Settlement Amount” (as each such term is defined in the Indenture). For the avoidance of doubt, Dealer shall not have any delivery or payment obligation hereunder, and no adjustment shall be made to the terms of the Transaction, on account of (x) any distribution of cash, property or securities by Counterparty or Parent to holders of the Exchangeable Notes (upon exchange or otherwise) or (y) any other transaction in which holders of the Exchangeable Notes are entitled to participate, in each case, in lieu of an adjustment under the Indenture of the type referred to in the immediately preceding sentence (including, without limitation, pursuant to the second sentence of Section 14.04(c) of the Indenture or the second sentence of Section 14.04(d) of the Indenture).</w:t>
      </w:r>
    </w:p>
    <w:p>
      <w:pPr>
        <w:spacing w:after="0" w:line="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Calculation Agent Adjustment, which shall not have the meaning set forth in Section 11.2(c) of the Equity Definitions and instead shall mean that, upon any Potential Adjustment Event, the Calculation Agent shall make adjustments in a commercially reasonable manner to any one or more of the Strike Price, Number of Options, Option Entitlement and any other variable relevant to the exercise, settlement or payment for the Transaction that correspond to the adjustments to the Exchangeable Notes under the Indenture.</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 if the Calculation Agent in good faith disagrees with any adjustment to the Exchangeable Notes determined pursuant to the Indenture that involves an exercise of discretion by Counterparty or its or Parent’s board of directors (or equivalent governing</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4360" w:space="720"/>
            <w:col w:w="5920"/>
          </w:cols>
          <w:pgMar w:left="440" w:top="266" w:right="459" w:bottom="1440" w:gutter="0" w:footer="0" w:header="0"/>
        </w:sectPr>
      </w:pPr>
    </w:p>
    <w:bookmarkStart w:id="143" w:name="page144"/>
    <w:bookmarkEnd w:id="143"/>
    <w:p>
      <w:pPr>
        <w:ind w:left="40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body) (including, without limitation, pursuant to Section 14.05(a)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using, if applicable, the methodology set forth in the Indenture for any such adjustment, in good faith and in a commercially reasonable manner.</w:t>
      </w:r>
    </w:p>
    <w:p>
      <w:pPr>
        <w:spacing w:after="0" w:line="86" w:lineRule="exact"/>
        <w:rPr>
          <w:sz w:val="20"/>
          <w:szCs w:val="20"/>
          <w:color w:val="auto"/>
        </w:rPr>
      </w:pPr>
    </w:p>
    <w:p>
      <w:pPr>
        <w:ind w:left="4080" w:right="80"/>
        <w:spacing w:after="0" w:line="254" w:lineRule="auto"/>
        <w:rPr>
          <w:sz w:val="20"/>
          <w:szCs w:val="20"/>
          <w:color w:val="auto"/>
        </w:rPr>
      </w:pPr>
      <w:r>
        <w:rPr>
          <w:rFonts w:ascii="Times New Roman" w:cs="Times New Roman" w:eastAsia="Times New Roman" w:hAnsi="Times New Roman"/>
          <w:sz w:val="18"/>
          <w:szCs w:val="18"/>
          <w:color w:val="auto"/>
        </w:rPr>
        <w:t>Notwithstanding anything contained herein to the contrary, (i) in connection with any Potential Adjustment Event as a result of an event or condition set forth in Section 14.04(b) of the Indenture or Section 14.04(c) of the Indenture where, in either case, the period for determining “Y” (as such term is used in Section 14.04(b) of the Indenture) or “SP0” (as such term is used in</w:t>
      </w:r>
    </w:p>
    <w:p>
      <w:pPr>
        <w:spacing w:after="0" w:line="3" w:lineRule="exact"/>
        <w:rPr>
          <w:sz w:val="20"/>
          <w:szCs w:val="20"/>
          <w:color w:val="auto"/>
        </w:rPr>
      </w:pPr>
    </w:p>
    <w:p>
      <w:pPr>
        <w:ind w:left="4080" w:right="60"/>
        <w:spacing w:after="0" w:line="250" w:lineRule="auto"/>
        <w:rPr>
          <w:sz w:val="20"/>
          <w:szCs w:val="20"/>
          <w:color w:val="auto"/>
        </w:rPr>
      </w:pPr>
      <w:r>
        <w:rPr>
          <w:rFonts w:ascii="Times New Roman" w:cs="Times New Roman" w:eastAsia="Times New Roman" w:hAnsi="Times New Roman"/>
          <w:sz w:val="18"/>
          <w:szCs w:val="18"/>
          <w:color w:val="auto"/>
        </w:rPr>
        <w:t>Section 14.04(c) of the Indenture), as the case may be, begins before Parent has publicly announced the event or condition giving rise to such Potential Adjustment Event, then the Calculation Agent shall, acting in good faith and in a commercially reasonable manner, have the right to adjust any variable relevant to the exercise, settlement or payment for the Transaction as appropriate to reflect the commercially reasonable costs incurred by Dealer in connection with its hedging activities, with such adjustments to be made assuming that Dealer maintains commercially reasonable hedge positions, as a result of such event or condition not having been publicly announced prior to the beginning of such period and (ii) if any Potential Adjustment Event is declared and (a) the event or condition giving rise to such Potential Adjustment Event is subsequently amended, modified, cancelled or abandoned, (b) the “Exchange Rate” (as such term is defined in the Indenture) is otherwise not adjusted at the time or in the manner contemplated by the relevant Dilution Adjustment Provision based on such declaration or (c) the “Exchange Rate” (as such term is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Adjustment Event Change </w:t>
      </w:r>
      <w:r>
        <w:rPr>
          <w:rFonts w:ascii="Times New Roman" w:cs="Times New Roman" w:eastAsia="Times New Roman" w:hAnsi="Times New Roman"/>
          <w:sz w:val="18"/>
          <w:szCs w:val="18"/>
          <w:color w:val="auto"/>
        </w:rPr>
        <w:t>”) then, in each case, the Calculation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adjust any variable relevant to the exercise, settlement or payment for the Transaction as appropriate to reflect the costs (including, but not limited to, hedging mismatches and market losses) and expenses incurred by Dealer in connection with its commercially reasonable hedging activities as a result of such Potential Adjustment Event Change, with such adjustments to be made assuming that Dealer maintains commercially reasonable hedge positions.</w:t>
      </w:r>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00"/>
          </w:cols>
          <w:pgMar w:left="1440" w:top="270" w:right="459" w:bottom="1440" w:gutter="0" w:footer="0" w:header="0"/>
        </w:sectPr>
      </w:pPr>
    </w:p>
    <w:bookmarkStart w:id="144" w:name="page145"/>
    <w:bookmarkEnd w:id="144"/>
    <w:p>
      <w:pPr>
        <w:ind w:left="360"/>
        <w:spacing w:after="0"/>
        <w:rPr>
          <w:sz w:val="20"/>
          <w:szCs w:val="20"/>
          <w:color w:val="auto"/>
        </w:rPr>
      </w:pPr>
      <w:r>
        <w:rPr>
          <w:rFonts w:ascii="Times New Roman" w:cs="Times New Roman" w:eastAsia="Times New Roman" w:hAnsi="Times New Roman"/>
          <w:sz w:val="17"/>
          <w:szCs w:val="17"/>
          <w:color w:val="auto"/>
        </w:rPr>
        <w:t>Dilution Adjustment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Sections 14.04(a), (b), (c), (d) and (e) and Section 14.05(a)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-206375</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4000" w:space="720"/>
            <w:col w:w="5920"/>
          </w:cols>
          <w:pgMar w:left="80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Extraordinary Events applicable to the Transaction:</w:t>
      </w:r>
    </w:p>
    <w:p>
      <w:pPr>
        <w:sectPr>
          <w:pgSz w:w="11900" w:h="16838" w:orient="portrait"/>
          <w:cols w:equalWidth="0" w:num="1">
            <w:col w:w="10640"/>
          </w:cols>
          <w:pgMar w:left="800" w:top="270" w:right="459" w:bottom="1440" w:gutter="0" w:footer="0" w:header="0"/>
          <w:type w:val="continuous"/>
        </w:sectPr>
      </w:pP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Merger Events: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 means the occurrence of any event or condition set forth in the definition of “Merger Event” in Section 14.07(a) of the Indenture.</w:t>
      </w:r>
    </w:p>
    <w:p>
      <w:pPr>
        <w:spacing w:after="0" w:line="65" w:lineRule="exact"/>
        <w:rPr>
          <w:sz w:val="20"/>
          <w:szCs w:val="20"/>
          <w:color w:val="auto"/>
        </w:rPr>
      </w:pPr>
    </w:p>
    <w:p>
      <w:pPr>
        <w:sectPr>
          <w:pgSz w:w="11900" w:h="16838" w:orient="portrait"/>
          <w:cols w:equalWidth="0" w:num="2">
            <w:col w:w="4000" w:space="720"/>
            <w:col w:w="5920"/>
          </w:cols>
          <w:pgMar w:left="800" w:top="270" w:right="45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Tender Offers:</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“Tender Offer” shall not have the meaning set forth in Section 12.1(d) of the Equity Definitions and instead shall mean the occurrence of any event or condition set forth in Section 14.04(e) of the Indenture.</w:t>
      </w:r>
    </w:p>
    <w:p>
      <w:pPr>
        <w:spacing w:after="0" w:line="67" w:lineRule="exact"/>
        <w:rPr>
          <w:sz w:val="20"/>
          <w:szCs w:val="20"/>
          <w:color w:val="auto"/>
        </w:rPr>
      </w:pPr>
    </w:p>
    <w:p>
      <w:pPr>
        <w:sectPr>
          <w:pgSz w:w="11900" w:h="16838" w:orient="portrait"/>
          <w:cols w:equalWidth="0" w:num="2">
            <w:col w:w="4000" w:space="720"/>
            <w:col w:w="5920"/>
          </w:cols>
          <w:pgMar w:left="80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Consequences of Merger Events/ Tender Offers:</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adjustment shall be made without regard to any adjustment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“Exchange Rate” (as such term is defined in the Indenture) pursuant to any Excluded Provision;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then, in either case, Cancellation and Payment (Calculation Agent Determination) may apply at Dealer’s sole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Exchange.</w:t>
      </w:r>
    </w:p>
    <w:p>
      <w:pPr>
        <w:spacing w:after="0" w:line="80" w:lineRule="exact"/>
        <w:rPr>
          <w:sz w:val="20"/>
          <w:szCs w:val="20"/>
          <w:color w:val="auto"/>
        </w:rPr>
      </w:pPr>
    </w:p>
    <w:p>
      <w:pPr>
        <w:sectPr>
          <w:pgSz w:w="11900" w:h="16838" w:orient="portrait"/>
          <w:cols w:equalWidth="0" w:num="2">
            <w:col w:w="4000" w:space="720"/>
            <w:col w:w="5920"/>
          </w:cols>
          <w:pgMar w:left="80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Consequences of Announcement Events: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Modified Calculation Agent Adjustment as set forth in Section 12.3(d)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 Announcement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references in such Section 12.3(d) to “Tender Offer” shall be replaced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references to “Announcement Event” and references in such Section 12.3(d)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Offer Date” shall be replaced by references to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w:t>
      </w:r>
    </w:p>
    <w:p>
      <w:pPr>
        <w:spacing w:after="0" w:line="139" w:lineRule="exact"/>
        <w:rPr>
          <w:sz w:val="20"/>
          <w:szCs w:val="20"/>
          <w:color w:val="auto"/>
        </w:rPr>
      </w:pPr>
    </w:p>
    <w:p>
      <w:pPr>
        <w:sectPr>
          <w:pgSz w:w="11900" w:h="16838" w:orient="portrait"/>
          <w:cols w:equalWidth="0" w:num="2">
            <w:col w:w="4000" w:space="720"/>
            <w:col w:w="5920"/>
          </w:cols>
          <w:pgMar w:left="800" w:top="270" w:right="45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40"/>
          </w:cols>
          <w:pgMar w:left="800" w:top="270" w:right="459" w:bottom="1440" w:gutter="0" w:footer="0" w:header="0"/>
          <w:type w:val="continuous"/>
        </w:sectPr>
      </w:pPr>
    </w:p>
    <w:bookmarkStart w:id="145" w:name="page146"/>
    <w:bookmarkEnd w:id="145"/>
    <w:p>
      <w:pPr>
        <w:ind w:left="436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 (x) the phrase “exercise, settlement, payment or any other terms of the Transaction (including, without limitation, the spread)” in such Section 12.3(d) shall be replaced 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(y) the words “whether within a commercially reasonable (as determined by the Calculation Agent) period of time prior to or after the Announcement Event,” shall be inserted prior to the word “which” in the seventh line of such Section 12.3(d), and (z) for the avoidance of doubt, the Calculation Agent shall determine whether the relevant Announcement Event has had a material economic effect on the Transaction (and, if so, shall, acting in good faith and in a commercially reasonable manner, adjust the Cap Price accordingly) on one or more occasions on or after the date of the Announcement Event up to, and including, the Expiration Date, any Early Termination Date and/or any other date of cancellation, it being understood that (1) any adjustment in respect of an Announcement Event shall take into account any earlier adjustment relating to the same Announcement Event and (2) such adjustment shall be made without duplication of any other adjustment hereunder. An Announcement Event shall be an “Extraordinary Event” for purposes of the Equity Definitions, to which Article 12 of the Equity Definitions, as modified in this paragraph, is applicable.</w:t>
      </w:r>
    </w:p>
    <w:p>
      <w:pPr>
        <w:sectPr>
          <w:pgSz w:w="11900" w:h="16838" w:orient="portrait"/>
          <w:cols w:equalWidth="0" w:num="1">
            <w:col w:w="10280"/>
          </w:cols>
          <w:pgMar w:left="1160" w:top="270" w:right="45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Announcement Event: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 The public announcement by the Issuer, any affiliate or agent of the Issuer or any Valid Third Party Entity of (x) any transaction or event that, if completed, would constitute a Merger Event or Tender Offer, (y) any potential acquisition or disposition by Issuer and/or its subsidiaries where the aggregate consideration exceeds 35% of the market capitalization of Issuer as of the date of such announcement (an “</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or (z) the intention to enter into a Merger Event or Tender Offer or an Acquisition Transaction, (ii) the public announcement by Issuer of an intention to solicit or enter into, or to explore strategic alternatives or other similar undertaking that may include, a Merger Event or Tender Offer or an Acquisition Transaction or (iii) any subsequent public announcement by the Issuer, any affiliate or agent of the Issuer or any Valid Third Party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w:t>
      </w:r>
    </w:p>
    <w:p>
      <w:pPr>
        <w:spacing w:after="0" w:line="122"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80"/>
          </w:cols>
          <w:pgMar w:left="1160" w:top="270" w:right="459" w:bottom="1440" w:gutter="0" w:footer="0" w:header="0"/>
          <w:type w:val="continuous"/>
        </w:sectPr>
      </w:pPr>
    </w:p>
    <w:bookmarkStart w:id="146" w:name="page147"/>
    <w:bookmarkEnd w:id="146"/>
    <w:p>
      <w:pPr>
        <w:ind w:left="4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except that all references to “voting shares” in Sections 12.1(d), 12.1(e) and 12.1(l) of the Equity Definitions shall be deemed to be references to “Shares”.</w:t>
      </w:r>
    </w:p>
    <w:p>
      <w:pPr>
        <w:sectPr>
          <w:pgSz w:w="11900" w:h="16838" w:orient="portrait"/>
          <w:cols w:equalWidth="0" w:num="1">
            <w:col w:w="10260"/>
          </w:cols>
          <w:pgMar w:left="1160" w:top="270" w:right="47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Valid Third Party Entity: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In respect of any transaction, any third party that has a bona fide intent to enter into or consummate such transaction (it being understood and agreed that in determining whether such third party has such a bona fide intent, the Calculation Agent may take into consideration the effect of the relevant announcement by such third party on the Shares and/or options relating to the Shares).</w:t>
      </w:r>
    </w:p>
    <w:p>
      <w:pPr>
        <w:spacing w:after="0" w:line="58" w:lineRule="exact"/>
        <w:rPr>
          <w:sz w:val="20"/>
          <w:szCs w:val="20"/>
          <w:color w:val="auto"/>
        </w:rPr>
      </w:pPr>
    </w:p>
    <w:p>
      <w:pPr>
        <w:sectPr>
          <w:pgSz w:w="11900" w:h="16838" w:orient="portrait"/>
          <w:cols w:equalWidth="0" w:num="2">
            <w:col w:w="3640" w:space="720"/>
            <w:col w:w="5900"/>
          </w:cols>
          <w:pgMar w:left="1160" w:top="270"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Shares are not immediately re- 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82" w:lineRule="exact"/>
        <w:rPr>
          <w:sz w:val="20"/>
          <w:szCs w:val="20"/>
          <w:color w:val="auto"/>
        </w:rPr>
      </w:pPr>
    </w:p>
    <w:p>
      <w:pPr>
        <w:sectPr>
          <w:pgSz w:w="11900" w:h="16838" w:orient="portrait"/>
          <w:cols w:equalWidth="0" w:num="2">
            <w:col w:w="3640" w:space="720"/>
            <w:col w:w="5900"/>
          </w:cols>
          <w:pgMar w:left="116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15" w:lineRule="exact"/>
        <w:rPr>
          <w:sz w:val="20"/>
          <w:szCs w:val="20"/>
          <w:color w:val="auto"/>
        </w:rPr>
      </w:pPr>
    </w:p>
    <w:p>
      <w:pPr>
        <w:spacing w:after="0"/>
        <w:tabs>
          <w:tab w:leader="none" w:pos="4340" w:val="left"/>
        </w:tabs>
        <w:rPr>
          <w:sz w:val="20"/>
          <w:szCs w:val="20"/>
          <w:color w:val="auto"/>
        </w:rPr>
      </w:pPr>
      <w:r>
        <w:rPr>
          <w:rFonts w:ascii="Times New Roman" w:cs="Times New Roman" w:eastAsia="Times New Roman" w:hAnsi="Times New Roman"/>
          <w:sz w:val="18"/>
          <w:szCs w:val="18"/>
          <w:color w:val="auto"/>
        </w:rPr>
        <w:t>Change in Law:</w:t>
      </w:r>
      <w:r>
        <w:rPr>
          <w:sz w:val="20"/>
          <w:szCs w:val="20"/>
          <w:color w:val="auto"/>
        </w:rPr>
        <w:tab/>
      </w: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Section 12.9(a)(ii) of the Equity Definitions is hereby</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amended by (i) replacing the phrase “the interpretation” in the third line thereof</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with the phrase “, or public announcement of, the formal or informal</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interpretation”, (ii) replacing the word “Shares” where it appears in clause</w:t>
      </w:r>
    </w:p>
    <w:p>
      <w:pPr>
        <w:spacing w:after="0" w:line="9" w:lineRule="exact"/>
        <w:rPr>
          <w:sz w:val="20"/>
          <w:szCs w:val="20"/>
          <w:color w:val="auto"/>
        </w:rPr>
      </w:pPr>
    </w:p>
    <w:p>
      <w:pPr>
        <w:ind w:left="4360" w:right="80" w:hanging="8"/>
        <w:spacing w:after="0" w:line="265" w:lineRule="auto"/>
        <w:tabs>
          <w:tab w:leader="none" w:pos="465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 with the words “Hedge Position”, (iii) replacing the parenthetical beginning after the word “regulation” in the second line thereof with the words “(including, for the avoidance of doubt and without limitation, (x) any tax law or</w:t>
      </w:r>
    </w:p>
    <w:p>
      <w:pPr>
        <w:ind w:left="43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adoption, effectiveness or promulgation of new regulations authorized or mandated by existing statute)” and (iv) adding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(Y) hereof, the consequence of such law, regulation or interpretation is applied consistently by Dealer to all similar transactions in a non-discriminatory manner;” after the semi-colon in the last line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in the case of any Change in Law described in clause (Y) of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12.9(a)(ii) of the Equity Definitions, the consequences provided with respect to “Increased Cost of Hedging” in Section 12.9(b)(vi) of the Equity Definitions shall apply to such Change in Law, as if Increased Cost of Hedging were applicable to such event.</w:t>
      </w:r>
    </w:p>
    <w:p>
      <w:pPr>
        <w:spacing w:after="0" w:line="1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60"/>
          </w:cols>
          <w:pgMar w:left="1160" w:top="270" w:right="47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-206375</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640" w:space="720"/>
            <w:col w:w="5920"/>
          </w:cols>
          <w:pgMar w:left="1160" w:top="270" w:right="45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0"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ind w:left="43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right="140" w:hanging="9"/>
        <w:spacing w:after="0" w:line="282" w:lineRule="auto"/>
        <w:rPr>
          <w:sz w:val="20"/>
          <w:szCs w:val="20"/>
          <w:color w:val="auto"/>
        </w:rPr>
      </w:pPr>
      <w:r>
        <w:rPr>
          <w:rFonts w:ascii="Times New Roman" w:cs="Times New Roman" w:eastAsia="Times New Roman" w:hAnsi="Times New Roman"/>
          <w:sz w:val="18"/>
          <w:szCs w:val="18"/>
          <w:color w:val="auto"/>
        </w:rPr>
        <w:t>Section 12.9(a)(v) of the Equity Definitions is hereby amended by inserting the following two phrases at the end of such Section:</w:t>
      </w:r>
    </w:p>
    <w:p>
      <w:pPr>
        <w:spacing w:after="0" w:line="54" w:lineRule="exact"/>
        <w:rPr>
          <w:sz w:val="20"/>
          <w:szCs w:val="20"/>
          <w:color w:val="auto"/>
        </w:rPr>
      </w:pPr>
    </w:p>
    <w:p>
      <w:pPr>
        <w:sectPr>
          <w:pgSz w:w="11900" w:h="16838" w:orient="portrait"/>
          <w:cols w:equalWidth="0" w:num="2">
            <w:col w:w="4560" w:space="160"/>
            <w:col w:w="5560"/>
          </w:cols>
          <w:pgMar w:left="1160" w:top="270" w:right="459" w:bottom="1440" w:gutter="0" w:footer="0" w:header="0"/>
          <w:type w:val="continuous"/>
        </w:sectPr>
      </w:pPr>
    </w:p>
    <w:p>
      <w:pPr>
        <w:ind w:left="4360" w:right="160"/>
        <w:spacing w:after="0" w:line="281" w:lineRule="auto"/>
        <w:rPr>
          <w:sz w:val="20"/>
          <w:szCs w:val="20"/>
          <w:color w:val="auto"/>
        </w:rPr>
      </w:pPr>
      <w:r>
        <w:rPr>
          <w:rFonts w:ascii="Times New Roman" w:cs="Times New Roman" w:eastAsia="Times New Roman" w:hAnsi="Times New Roman"/>
          <w:sz w:val="17"/>
          <w:szCs w:val="17"/>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w:t>
      </w:r>
    </w:p>
    <w:p>
      <w:pPr>
        <w:spacing w:after="0" w:line="56" w:lineRule="exact"/>
        <w:rPr>
          <w:sz w:val="20"/>
          <w:szCs w:val="20"/>
          <w:color w:val="auto"/>
        </w:rPr>
      </w:pPr>
    </w:p>
    <w:p>
      <w:pPr>
        <w:ind w:left="5080" w:right="200" w:hanging="359"/>
        <w:spacing w:after="0" w:line="261" w:lineRule="auto"/>
        <w:rPr>
          <w:sz w:val="20"/>
          <w:szCs w:val="20"/>
          <w:color w:val="auto"/>
        </w:rPr>
      </w:pPr>
      <w:r>
        <w:rPr>
          <w:rFonts w:ascii="Times New Roman" w:cs="Times New Roman" w:eastAsia="Times New Roman" w:hAnsi="Times New Roman"/>
          <w:sz w:val="18"/>
          <w:szCs w:val="18"/>
          <w:color w:val="auto"/>
        </w:rPr>
        <w:t>(ii)   Section 12.9(b)(iii) of the Equity Definitions is hereby amended by inserting in the third line thereof, after the words “to terminate the Transaction”, the words “or the portion of the Transaction affected by such Hedging Disruption”;</w:t>
      </w:r>
    </w:p>
    <w:p>
      <w:pPr>
        <w:spacing w:after="0" w:line="7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4720" w:right="80" w:hanging="359"/>
        <w:spacing w:after="0" w:line="282" w:lineRule="auto"/>
        <w:rPr>
          <w:sz w:val="20"/>
          <w:szCs w:val="20"/>
          <w:color w:val="auto"/>
        </w:rPr>
      </w:pPr>
      <w:r>
        <w:rPr>
          <w:rFonts w:ascii="Times New Roman" w:cs="Times New Roman" w:eastAsia="Times New Roman" w:hAnsi="Times New Roman"/>
          <w:sz w:val="18"/>
          <w:szCs w:val="18"/>
          <w:color w:val="auto"/>
        </w:rPr>
        <w:t>(iii)  it shall not be a Hedging Disruption if such inability occurs solely due to the deterioration of the creditworthiness of the Hedging Party.</w:t>
      </w:r>
    </w:p>
    <w:p>
      <w:pPr>
        <w:sectPr>
          <w:pgSz w:w="11900" w:h="16838" w:orient="portrait"/>
          <w:cols w:equalWidth="0" w:num="1">
            <w:col w:w="10280"/>
          </w:cols>
          <w:pgMar w:left="1160" w:top="270" w:right="4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Cost of Hedging: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Applicable solely in respect of a Change in Law described in clause (Y) of Section 12.9(a)(ii) of the Equity Definitions as set forth above in the provision opposite the caption “Change in Law”.</w:t>
      </w:r>
    </w:p>
    <w:p>
      <w:pPr>
        <w:spacing w:after="0" w:line="68"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For all applicable Additional Disruption Events, Dealer. Following any determination by the Hedging Party hereunder (not including, for the avoidance of doubt, any election by the Hedging Party that it is permitted to make), promptly following a written request by Counterparty therefor, the Hedging Party shall provide to Counterparty by e-mail to the e-mail address provided by Counterparty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descriptions of the methodology and any assumptions and basis used in making for such determination), it being understood that the Hedging Party shall not be obligated to disclose any proprietary or confidential models or proprietary or confidential information used by it for such determination. The Hedging Party shall use commercially reasonable efforts to provide such written explanation and report within five (5)</w:t>
      </w:r>
    </w:p>
    <w:p>
      <w:pPr>
        <w:spacing w:after="0" w:line="128" w:lineRule="exact"/>
        <w:rPr>
          <w:sz w:val="20"/>
          <w:szCs w:val="20"/>
          <w:color w:val="auto"/>
        </w:rPr>
      </w:pPr>
    </w:p>
    <w:p>
      <w:pPr>
        <w:sectPr>
          <w:pgSz w:w="11900" w:h="16838" w:orient="portrait"/>
          <w:cols w:equalWidth="0" w:num="2">
            <w:col w:w="3640" w:space="720"/>
            <w:col w:w="5920"/>
          </w:cols>
          <w:pgMar w:left="1160" w:top="270" w:right="45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80"/>
          </w:cols>
          <w:pgMar w:left="1160" w:top="270" w:right="459"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Exchange Business Days from the receipt of such request. All calculations,</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adjustments and determinations by Dealer acting in its capacity as the Hedging</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Party shall be made in good faith and in a commercially reasonable manner and</w:t>
            </w:r>
          </w:p>
        </w:tc>
      </w:tr>
      <w:tr>
        <w:trPr>
          <w:trHeight w:val="234"/>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assuming that Dealer maintains a commercially reasonable hedge position.</w:t>
            </w:r>
          </w:p>
        </w:tc>
      </w:tr>
      <w:tr>
        <w:trPr>
          <w:trHeight w:val="306"/>
        </w:trPr>
        <w:tc>
          <w:tcPr>
            <w:tcW w:w="340" w:type="dxa"/>
            <w:vAlign w:val="bottom"/>
          </w:tcPr>
          <w:p>
            <w:pPr>
              <w:spacing w:after="0"/>
              <w:rPr>
                <w:sz w:val="24"/>
                <w:szCs w:val="24"/>
                <w:color w:val="auto"/>
              </w:rPr>
            </w:pPr>
          </w:p>
        </w:tc>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Determining Party:</w:t>
            </w: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For all applicable Extraordinary Events, Dealer. Following any determination by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Determining Party hereunder, promptly following a written request by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Counterparty therefor, the Determining Party shall provide to Counterparty by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e-mail to the e-mail address provided by Counterparty a written explanation and</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report (in a commonly used file format for the storage and manipulation of</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financial data) describing in reasonable detail any determination made by it</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(including, as applicable, any quotations, market data, information from internal</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sources used in making such determinations, descriptions of the methodology and</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any assumptions and basis used in making for such determination), it being</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understood that the Determining Party shall not be obligated to disclose any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proprietary or confidential models or proprietary or confidential information used</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by it for such determination. The Determining Party shall use commercially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reasonable efforts to provide such written explanation and report within five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 Exchange Business Days from the receipt of such request. All calculations,</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adjustments, and determinations by Dealer acting in its capacity as the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Determining Party shall be made in good faith and in a commercially reasonable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manner and assuming that Dealer maintains a commercially reasonable hedge</w:t>
            </w:r>
          </w:p>
        </w:tc>
      </w:tr>
      <w:tr>
        <w:trPr>
          <w:trHeight w:val="234"/>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position.</w:t>
            </w:r>
          </w:p>
        </w:tc>
      </w:tr>
      <w:tr>
        <w:trPr>
          <w:trHeight w:val="324"/>
        </w:trPr>
        <w:tc>
          <w:tcPr>
            <w:tcW w:w="340" w:type="dxa"/>
            <w:vAlign w:val="bottom"/>
          </w:tcPr>
          <w:p>
            <w:pPr>
              <w:spacing w:after="0"/>
              <w:rPr>
                <w:sz w:val="24"/>
                <w:szCs w:val="24"/>
                <w:color w:val="auto"/>
              </w:rPr>
            </w:pPr>
          </w:p>
        </w:tc>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Non-Reliance:</w:t>
            </w: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40" w:type="dxa"/>
            <w:vAlign w:val="bottom"/>
          </w:tcPr>
          <w:p>
            <w:pPr>
              <w:spacing w:after="0"/>
              <w:rPr>
                <w:sz w:val="24"/>
                <w:szCs w:val="24"/>
                <w:color w:val="auto"/>
              </w:rPr>
            </w:pPr>
          </w:p>
        </w:tc>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67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340" w:type="dxa"/>
            <w:vAlign w:val="bottom"/>
          </w:tcPr>
          <w:p>
            <w:pPr>
              <w:spacing w:after="0"/>
              <w:rPr>
                <w:sz w:val="24"/>
                <w:szCs w:val="24"/>
                <w:color w:val="auto"/>
              </w:rPr>
            </w:pPr>
          </w:p>
        </w:tc>
        <w:tc>
          <w:tcPr>
            <w:tcW w:w="3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Applicable</w:t>
            </w:r>
          </w:p>
        </w:tc>
      </w:tr>
      <w:tr>
        <w:trPr>
          <w:trHeight w:val="283"/>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Calculation Agent.</w:t>
            </w: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Dealer. Regardless of whether or not a standard for the actions of the Calculation</w:t>
            </w:r>
          </w:p>
        </w:tc>
      </w:tr>
      <w:tr>
        <w:trPr>
          <w:trHeight w:val="218"/>
        </w:trPr>
        <w:tc>
          <w:tcPr>
            <w:tcW w:w="3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Agent is explicitly stated in any provision hereof, the standards of Section 1.40 of</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Equity Definitions, as modified by adding the words, “acts or” immediately</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before the words, “is required to act” in line 2 thereof, shall apply to the</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Calculation Agent at all times and in respect of all circumstances hereunder.</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Following the occurrence and during the continuation of an Event of Default</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described in Section 5(a)(vii) of the Agreement with respect to which Dealer is</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Defaulting Party, Counterparty shall have the right to designate an</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independent, nationally recognized equity derivatives dealer to replace Dealer as</w:t>
            </w: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Calculation Agent, and the parties shall work in good faith to execute any</w:t>
            </w:r>
          </w:p>
        </w:tc>
      </w:tr>
      <w:tr>
        <w:trPr>
          <w:trHeight w:val="234"/>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appropriate documentation required by such replacement Calculation</w:t>
            </w:r>
          </w:p>
        </w:tc>
      </w:tr>
      <w:tr>
        <w:trPr>
          <w:trHeight w:val="365"/>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7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15</w:t>
            </w:r>
          </w:p>
        </w:tc>
      </w:tr>
    </w:tbl>
    <w:p>
      <w:pPr>
        <w:ind w:left="124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9" w:name="page150"/>
    <w:bookmarkEnd w:id="149"/>
    <w:p>
      <w:pPr>
        <w:ind w:left="508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Following any determination or calculation by the Calculation Agent hereunder, promptly following a written request by Counterparty therefor, the Calculation Agent shall provide to Counterparty by e-mail to the e-mail address provided by Counterparty in such request a written explanation and report (in a commonly used file format for the storage and manipulation of financial data) displaying in commercially reasonable detail the basis for such determination or calculation (including any quotations, market data or information from internal or external sources, and any assumptions, used in making such determination or calculation), it being understood that the Calculation Agent shall not be obligated to disclose any proprietary or confidential models or proprietary or confidential information used by it for such determination or calculation. The Calculation Agent shall use commercially reasonable efforts to provide such written explanation and report within five (5) Exchange Business Days from the receipt of such request.</w:t>
      </w:r>
    </w:p>
    <w:p>
      <w:pPr>
        <w:spacing w:after="0" w:line="99" w:lineRule="exact"/>
        <w:rPr>
          <w:sz w:val="20"/>
          <w:szCs w:val="20"/>
          <w:color w:val="auto"/>
        </w:rPr>
      </w:pPr>
    </w:p>
    <w:p>
      <w:pPr>
        <w:ind w:left="424" w:hanging="424"/>
        <w:spacing w:after="0"/>
        <w:tabs>
          <w:tab w:leader="none" w:pos="42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84" w:right="7160" w:hanging="552"/>
        <w:spacing w:after="0" w:line="375" w:lineRule="auto"/>
        <w:tabs>
          <w:tab w:leader="none" w:pos="96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w:t>
      </w:r>
    </w:p>
    <w:p>
      <w:pPr>
        <w:spacing w:after="0" w:line="1" w:lineRule="exact"/>
        <w:rPr>
          <w:rFonts w:ascii="Times New Roman" w:cs="Times New Roman" w:eastAsia="Times New Roman" w:hAnsi="Times New Roman"/>
          <w:sz w:val="18"/>
          <w:szCs w:val="18"/>
          <w:color w:val="auto"/>
        </w:rPr>
      </w:pPr>
    </w:p>
    <w:p>
      <w:pPr>
        <w:ind w:left="984" w:right="6520"/>
        <w:spacing w:after="0" w:line="3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to Counterparty: To be provided.</w:t>
      </w:r>
    </w:p>
    <w:p>
      <w:pPr>
        <w:ind w:left="964" w:hanging="532"/>
        <w:spacing w:after="0"/>
        <w:tabs>
          <w:tab w:leader="none" w:pos="96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pacing w:after="0" w:line="117" w:lineRule="exact"/>
        <w:rPr>
          <w:sz w:val="20"/>
          <w:szCs w:val="20"/>
          <w:color w:val="auto"/>
        </w:rPr>
      </w:pPr>
    </w:p>
    <w:p>
      <w:pPr>
        <w:ind w:left="984"/>
        <w:spacing w:after="0"/>
        <w:tabs>
          <w:tab w:leader="none" w:pos="1744" w:val="left"/>
        </w:tabs>
        <w:rPr>
          <w:sz w:val="20"/>
          <w:szCs w:val="20"/>
          <w:color w:val="auto"/>
        </w:rPr>
      </w:pPr>
      <w:r>
        <w:rPr>
          <w:rFonts w:ascii="Times New Roman" w:cs="Times New Roman" w:eastAsia="Times New Roman" w:hAnsi="Times New Roman"/>
          <w:sz w:val="18"/>
          <w:szCs w:val="18"/>
          <w:color w:val="auto"/>
        </w:rPr>
        <w:t>[Bank:]</w:t>
        <w:tab/>
        <w:t>[_________]</w:t>
      </w:r>
    </w:p>
    <w:p>
      <w:pPr>
        <w:spacing w:after="0" w:line="27" w:lineRule="exact"/>
        <w:rPr>
          <w:sz w:val="20"/>
          <w:szCs w:val="20"/>
          <w:color w:val="auto"/>
        </w:rPr>
      </w:pPr>
    </w:p>
    <w:p>
      <w:pPr>
        <w:ind w:left="984"/>
        <w:spacing w:after="0"/>
        <w:tabs>
          <w:tab w:leader="none" w:pos="1944" w:val="left"/>
        </w:tabs>
        <w:rPr>
          <w:sz w:val="20"/>
          <w:szCs w:val="20"/>
          <w:color w:val="auto"/>
        </w:rPr>
      </w:pPr>
      <w:r>
        <w:rPr>
          <w:rFonts w:ascii="Times New Roman" w:cs="Times New Roman" w:eastAsia="Times New Roman" w:hAnsi="Times New Roman"/>
          <w:sz w:val="18"/>
          <w:szCs w:val="18"/>
          <w:color w:val="auto"/>
        </w:rPr>
        <w:t>[SWIFT:]</w:t>
        <w:tab/>
        <w:t>[_________]</w:t>
      </w:r>
    </w:p>
    <w:p>
      <w:pPr>
        <w:spacing w:after="0" w:line="9" w:lineRule="exact"/>
        <w:rPr>
          <w:sz w:val="20"/>
          <w:szCs w:val="20"/>
          <w:color w:val="auto"/>
        </w:rPr>
      </w:pPr>
    </w:p>
    <w:p>
      <w:pPr>
        <w:ind w:left="984"/>
        <w:spacing w:after="0"/>
        <w:tabs>
          <w:tab w:leader="none" w:pos="2324" w:val="left"/>
        </w:tabs>
        <w:rPr>
          <w:sz w:val="20"/>
          <w:szCs w:val="20"/>
          <w:color w:val="auto"/>
        </w:rPr>
      </w:pPr>
      <w:r>
        <w:rPr>
          <w:rFonts w:ascii="Times New Roman" w:cs="Times New Roman" w:eastAsia="Times New Roman" w:hAnsi="Times New Roman"/>
          <w:sz w:val="18"/>
          <w:szCs w:val="18"/>
          <w:color w:val="auto"/>
        </w:rPr>
        <w:t>[Bank Routing:]</w:t>
        <w:tab/>
        <w:t>[_________]</w:t>
      </w:r>
    </w:p>
    <w:p>
      <w:pPr>
        <w:spacing w:after="0" w:line="9" w:lineRule="exact"/>
        <w:rPr>
          <w:sz w:val="20"/>
          <w:szCs w:val="20"/>
          <w:color w:val="auto"/>
        </w:rPr>
      </w:pPr>
    </w:p>
    <w:p>
      <w:pPr>
        <w:ind w:left="984"/>
        <w:spacing w:after="0"/>
        <w:tabs>
          <w:tab w:leader="none" w:pos="2184" w:val="left"/>
        </w:tabs>
        <w:rPr>
          <w:sz w:val="20"/>
          <w:szCs w:val="20"/>
          <w:color w:val="auto"/>
        </w:rPr>
      </w:pPr>
      <w:r>
        <w:rPr>
          <w:rFonts w:ascii="Times New Roman" w:cs="Times New Roman" w:eastAsia="Times New Roman" w:hAnsi="Times New Roman"/>
          <w:sz w:val="18"/>
          <w:szCs w:val="18"/>
          <w:color w:val="auto"/>
        </w:rPr>
        <w:t>[Acct Name:]</w:t>
      </w:r>
      <w:r>
        <w:rPr>
          <w:sz w:val="20"/>
          <w:szCs w:val="20"/>
          <w:color w:val="auto"/>
        </w:rPr>
        <w:tab/>
      </w:r>
      <w:r>
        <w:rPr>
          <w:rFonts w:ascii="Times New Roman" w:cs="Times New Roman" w:eastAsia="Times New Roman" w:hAnsi="Times New Roman"/>
          <w:sz w:val="17"/>
          <w:szCs w:val="17"/>
          <w:color w:val="auto"/>
        </w:rPr>
        <w:t>[_________]</w:t>
      </w:r>
    </w:p>
    <w:p>
      <w:pPr>
        <w:spacing w:after="0" w:line="9" w:lineRule="exact"/>
        <w:rPr>
          <w:sz w:val="20"/>
          <w:szCs w:val="20"/>
          <w:color w:val="auto"/>
        </w:rPr>
      </w:pPr>
    </w:p>
    <w:p>
      <w:pPr>
        <w:ind w:left="984"/>
        <w:spacing w:after="0"/>
        <w:tabs>
          <w:tab w:leader="none" w:pos="2024" w:val="left"/>
        </w:tabs>
        <w:rPr>
          <w:sz w:val="20"/>
          <w:szCs w:val="20"/>
          <w:color w:val="auto"/>
        </w:rPr>
      </w:pPr>
      <w:r>
        <w:rPr>
          <w:rFonts w:ascii="Times New Roman" w:cs="Times New Roman" w:eastAsia="Times New Roman" w:hAnsi="Times New Roman"/>
          <w:sz w:val="18"/>
          <w:szCs w:val="18"/>
          <w:color w:val="auto"/>
        </w:rPr>
        <w:t>[Acct No.:]</w:t>
        <w:tab/>
        <w:t>[_________]</w:t>
      </w:r>
      <w:r>
        <w:rPr>
          <w:rFonts w:ascii="Times New Roman" w:cs="Times New Roman" w:eastAsia="Times New Roman" w:hAnsi="Times New Roman"/>
          <w:sz w:val="13"/>
          <w:szCs w:val="13"/>
          <w:color w:val="auto"/>
        </w:rPr>
        <w:t>14</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Account for delivery of Shares from Dealer:</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be provided.</w:t>
      </w:r>
    </w:p>
    <w:p>
      <w:pPr>
        <w:spacing w:after="0" w:line="127" w:lineRule="exact"/>
        <w:rPr>
          <w:sz w:val="20"/>
          <w:szCs w:val="20"/>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[____________][Inapplicable; Dealer is not a Multibranch Party]</w:t>
      </w:r>
      <w:r>
        <w:rPr>
          <w:rFonts w:ascii="Times New Roman" w:cs="Times New Roman" w:eastAsia="Times New Roman" w:hAnsi="Times New Roman"/>
          <w:sz w:val="26"/>
          <w:szCs w:val="26"/>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715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 w:lineRule="exact"/>
        <w:rPr>
          <w:sz w:val="20"/>
          <w:szCs w:val="20"/>
          <w:color w:val="auto"/>
        </w:rPr>
      </w:pPr>
    </w:p>
    <w:p>
      <w:pPr>
        <w:ind w:left="424" w:hanging="424"/>
        <w:spacing w:after="0"/>
        <w:tabs>
          <w:tab w:leader="none" w:pos="424" w:val="left"/>
        </w:tabs>
        <w:numPr>
          <w:ilvl w:val="0"/>
          <w:numId w:val="1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Dealer’s account information.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Update as appropriate for Dealer.</w:t>
      </w:r>
    </w:p>
    <w:p>
      <w:pPr>
        <w:spacing w:after="0" w:line="1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150" w:name="page151"/>
    <w:bookmarkEnd w:id="150"/>
    <w:p>
      <w:pPr>
        <w:ind w:left="424" w:hanging="424"/>
        <w:spacing w:after="0"/>
        <w:tabs>
          <w:tab w:leader="none" w:pos="42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 and to Parent:</w:t>
      </w:r>
    </w:p>
    <w:p>
      <w:pPr>
        <w:spacing w:after="0" w:line="117" w:lineRule="exact"/>
        <w:rPr>
          <w:sz w:val="20"/>
          <w:szCs w:val="20"/>
          <w:color w:val="auto"/>
        </w:rPr>
      </w:pPr>
    </w:p>
    <w:tbl>
      <w:tblPr>
        <w:tblLayout w:type="fixed"/>
        <w:tblInd w:w="984"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 Federal Realty Investment Trust</w:t>
            </w:r>
          </w:p>
        </w:tc>
      </w:tr>
      <w:tr>
        <w:trPr>
          <w:trHeight w:val="216"/>
        </w:trPr>
        <w:tc>
          <w:tcPr>
            <w:tcW w:w="840" w:type="dxa"/>
            <w:vAlign w:val="bottom"/>
          </w:tcPr>
          <w:p>
            <w:pPr>
              <w:spacing w:after="0"/>
              <w:rPr>
                <w:sz w:val="18"/>
                <w:szCs w:val="18"/>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909 Rose Avenue, Suite 200</w:t>
            </w:r>
          </w:p>
        </w:tc>
      </w:tr>
      <w:tr>
        <w:trPr>
          <w:trHeight w:val="216"/>
        </w:trPr>
        <w:tc>
          <w:tcPr>
            <w:tcW w:w="840" w:type="dxa"/>
            <w:vAlign w:val="bottom"/>
          </w:tcPr>
          <w:p>
            <w:pPr>
              <w:spacing w:after="0"/>
              <w:rPr>
                <w:sz w:val="18"/>
                <w:szCs w:val="18"/>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North Bethesda, Maryland 20852</w:t>
            </w:r>
          </w:p>
        </w:tc>
      </w:tr>
      <w:tr>
        <w:trPr>
          <w:trHeight w:val="216"/>
        </w:trPr>
        <w:tc>
          <w:tcPr>
            <w:tcW w:w="840" w:type="dxa"/>
            <w:vAlign w:val="bottom"/>
          </w:tcPr>
          <w:p>
            <w:pPr>
              <w:spacing w:after="0"/>
              <w:rPr>
                <w:sz w:val="18"/>
                <w:szCs w:val="18"/>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Daniel Guglielmone, Chief Financial Officer</w:t>
            </w:r>
          </w:p>
        </w:tc>
      </w:tr>
      <w:tr>
        <w:trPr>
          <w:trHeight w:val="216"/>
        </w:trPr>
        <w:tc>
          <w:tcPr>
            <w:tcW w:w="840" w:type="dxa"/>
            <w:vAlign w:val="bottom"/>
          </w:tcPr>
          <w:p>
            <w:pPr>
              <w:spacing w:after="0"/>
              <w:rPr>
                <w:sz w:val="18"/>
                <w:szCs w:val="18"/>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No.:</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301-998-8232</w:t>
            </w:r>
          </w:p>
        </w:tc>
      </w:tr>
      <w:tr>
        <w:trPr>
          <w:trHeight w:val="234"/>
        </w:trPr>
        <w:tc>
          <w:tcPr>
            <w:tcW w:w="840" w:type="dxa"/>
            <w:vAlign w:val="bottom"/>
          </w:tcPr>
          <w:p>
            <w:pPr>
              <w:spacing w:after="0"/>
              <w:rPr>
                <w:sz w:val="20"/>
                <w:szCs w:val="20"/>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w:t>
            </w: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dang@federalrealty.com</w:t>
            </w:r>
          </w:p>
        </w:tc>
      </w:tr>
      <w:tr>
        <w:trPr>
          <w:trHeight w:val="30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Copy to:</w:t>
            </w: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 Federal Realty Investment Trust</w:t>
            </w:r>
          </w:p>
        </w:tc>
      </w:tr>
      <w:tr>
        <w:trPr>
          <w:trHeight w:val="216"/>
        </w:trPr>
        <w:tc>
          <w:tcPr>
            <w:tcW w:w="840" w:type="dxa"/>
            <w:vAlign w:val="bottom"/>
          </w:tcPr>
          <w:p>
            <w:pPr>
              <w:spacing w:after="0"/>
              <w:rPr>
                <w:sz w:val="18"/>
                <w:szCs w:val="18"/>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909 Rose Avenue, Suite 200</w:t>
            </w:r>
          </w:p>
        </w:tc>
      </w:tr>
      <w:tr>
        <w:trPr>
          <w:trHeight w:val="216"/>
        </w:trPr>
        <w:tc>
          <w:tcPr>
            <w:tcW w:w="840" w:type="dxa"/>
            <w:vAlign w:val="bottom"/>
          </w:tcPr>
          <w:p>
            <w:pPr>
              <w:spacing w:after="0"/>
              <w:rPr>
                <w:sz w:val="18"/>
                <w:szCs w:val="18"/>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North Bethesda, Maryland 20852</w:t>
            </w:r>
          </w:p>
        </w:tc>
      </w:tr>
      <w:tr>
        <w:trPr>
          <w:trHeight w:val="216"/>
        </w:trPr>
        <w:tc>
          <w:tcPr>
            <w:tcW w:w="840" w:type="dxa"/>
            <w:vAlign w:val="bottom"/>
          </w:tcPr>
          <w:p>
            <w:pPr>
              <w:spacing w:after="0"/>
              <w:rPr>
                <w:sz w:val="18"/>
                <w:szCs w:val="18"/>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Dawn Becker, General Counsel</w:t>
            </w:r>
          </w:p>
        </w:tc>
      </w:tr>
      <w:tr>
        <w:trPr>
          <w:trHeight w:val="216"/>
        </w:trPr>
        <w:tc>
          <w:tcPr>
            <w:tcW w:w="840" w:type="dxa"/>
            <w:vAlign w:val="bottom"/>
          </w:tcPr>
          <w:p>
            <w:pPr>
              <w:spacing w:after="0"/>
              <w:rPr>
                <w:sz w:val="18"/>
                <w:szCs w:val="18"/>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No.:</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301-998-8104</w:t>
            </w:r>
          </w:p>
        </w:tc>
      </w:tr>
      <w:tr>
        <w:trPr>
          <w:trHeight w:val="234"/>
        </w:trPr>
        <w:tc>
          <w:tcPr>
            <w:tcW w:w="840" w:type="dxa"/>
            <w:vAlign w:val="bottom"/>
          </w:tcPr>
          <w:p>
            <w:pPr>
              <w:spacing w:after="0"/>
              <w:rPr>
                <w:sz w:val="20"/>
                <w:szCs w:val="20"/>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dbecker@federalrealty.com</w:t>
            </w:r>
          </w:p>
        </w:tc>
      </w:tr>
    </w:tbl>
    <w:p>
      <w:pPr>
        <w:spacing w:after="0" w:line="103" w:lineRule="exact"/>
        <w:rPr>
          <w:sz w:val="20"/>
          <w:szCs w:val="20"/>
          <w:color w:val="auto"/>
        </w:rPr>
      </w:pPr>
    </w:p>
    <w:p>
      <w:pPr>
        <w:ind w:left="964" w:hanging="532"/>
        <w:spacing w:after="0"/>
        <w:tabs>
          <w:tab w:leader="none" w:pos="9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[To:[____________]</w:t>
      </w:r>
    </w:p>
    <w:p>
      <w:pPr>
        <w:spacing w:after="0" w:line="2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Attention:[____________]</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Telephone:[____________]</w:t>
      </w:r>
    </w:p>
    <w:p>
      <w:pPr>
        <w:spacing w:after="0" w:line="9" w:lineRule="exact"/>
        <w:rPr>
          <w:rFonts w:ascii="Times New Roman" w:cs="Times New Roman" w:eastAsia="Times New Roman" w:hAnsi="Times New Roman"/>
          <w:sz w:val="18"/>
          <w:szCs w:val="18"/>
          <w:color w:val="auto"/>
        </w:rPr>
      </w:pPr>
    </w:p>
    <w:p>
      <w:pPr>
        <w:ind w:left="984" w:right="7640"/>
        <w:spacing w:after="0" w:line="3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[____________] With a copy to:</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To:[____________]</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Attention:[____________]</w:t>
      </w:r>
    </w:p>
    <w:p>
      <w:pPr>
        <w:spacing w:after="0" w:line="2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Telephone:[____________]</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7"/>
          <w:szCs w:val="17"/>
          <w:color w:val="auto"/>
        </w:rPr>
        <w:t>[____________]]</w:t>
      </w:r>
      <w:r>
        <w:rPr>
          <w:rFonts w:ascii="Times New Roman" w:cs="Times New Roman" w:eastAsia="Times New Roman" w:hAnsi="Times New Roman"/>
          <w:sz w:val="25"/>
          <w:szCs w:val="25"/>
          <w:color w:val="auto"/>
          <w:vertAlign w:val="superscript"/>
        </w:rPr>
        <w:t>16</w:t>
      </w:r>
    </w:p>
    <w:p>
      <w:pPr>
        <w:spacing w:after="0" w:line="51" w:lineRule="exact"/>
        <w:rPr>
          <w:rFonts w:ascii="Times New Roman" w:cs="Times New Roman" w:eastAsia="Times New Roman" w:hAnsi="Times New Roman"/>
          <w:sz w:val="18"/>
          <w:szCs w:val="18"/>
          <w:color w:val="auto"/>
        </w:rPr>
      </w:pPr>
    </w:p>
    <w:p>
      <w:pPr>
        <w:ind w:left="964" w:right="100" w:hanging="532"/>
        <w:spacing w:after="0" w:line="254" w:lineRule="auto"/>
        <w:tabs>
          <w:tab w:leader="none" w:pos="9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by Dealer (in any of its capacities hereunder) to Counterparty or to Parent shall be deemed to constitute simultaneous notice to each of them, and any notice by Counterparty or Parent shall be deemed to constitute simultaneous notice to Dealer from each of them.</w:t>
      </w:r>
    </w:p>
    <w:p>
      <w:pPr>
        <w:spacing w:after="0" w:line="33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representations and warranties set forth in Section 3(a) of the Agreement, each of Counterparty and Parent hereby represents and warrants to Dealer on the date hereof and on and as of the Premium Payment Date that:</w:t>
      </w:r>
    </w:p>
    <w:p>
      <w:pPr>
        <w:spacing w:after="0" w:line="67" w:lineRule="exact"/>
        <w:rPr>
          <w:rFonts w:ascii="Times New Roman" w:cs="Times New Roman" w:eastAsia="Times New Roman" w:hAnsi="Times New Roman"/>
          <w:sz w:val="18"/>
          <w:szCs w:val="18"/>
          <w:b w:val="1"/>
          <w:bCs w:val="1"/>
          <w:color w:val="auto"/>
        </w:rPr>
      </w:pPr>
    </w:p>
    <w:p>
      <w:pPr>
        <w:ind w:left="964" w:right="100" w:hanging="532"/>
        <w:spacing w:after="0" w:line="282" w:lineRule="auto"/>
        <w:tabs>
          <w:tab w:leader="none" w:pos="9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Counterparty nor Parent is and, after consummation of the transactions contemplated hereby, neither will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and Parent is an “eligible contract participant” (as such term is defined in Section 1a(18) of the Commodity Exchange Act, as amended, other than a person that is an eligible contract participant under Section 1a(18)(C) of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1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Dealer’s information.</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66" w:right="439" w:bottom="1440" w:gutter="0" w:footer="0" w:header="0"/>
        </w:sectPr>
      </w:pPr>
    </w:p>
    <w:bookmarkStart w:id="151" w:name="page152"/>
    <w:bookmarkEnd w:id="151"/>
    <w:p>
      <w:pPr>
        <w:ind w:left="964" w:right="140" w:hanging="532"/>
        <w:spacing w:after="0" w:line="282"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Counterparty nor Parent is, on the date hereof, in possession of any material non-public information with respect to Counterparty, Parent or the Shares.</w:t>
      </w:r>
    </w:p>
    <w:p>
      <w:pPr>
        <w:spacing w:after="0" w:line="67" w:lineRule="exact"/>
        <w:rPr>
          <w:rFonts w:ascii="Times New Roman" w:cs="Times New Roman" w:eastAsia="Times New Roman" w:hAnsi="Times New Roman"/>
          <w:sz w:val="18"/>
          <w:szCs w:val="18"/>
          <w:color w:val="auto"/>
        </w:rPr>
      </w:pPr>
    </w:p>
    <w:p>
      <w:pPr>
        <w:ind w:left="964" w:hanging="532"/>
        <w:spacing w:after="0" w:line="256"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each of Counterparty and Parent, other than pursuant to the Charter,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Counterparty nor Parent makes any representation or warranty regarding any such requirement that is applicable generally to the ownership of equity securities by Dealer or any of its affiliates solely as a result of it or any of such affiliates being financial institutions or broker-dealers.</w:t>
      </w:r>
    </w:p>
    <w:p>
      <w:pPr>
        <w:spacing w:after="0" w:line="92" w:lineRule="exact"/>
        <w:rPr>
          <w:rFonts w:ascii="Times New Roman" w:cs="Times New Roman" w:eastAsia="Times New Roman" w:hAnsi="Times New Roman"/>
          <w:sz w:val="18"/>
          <w:szCs w:val="18"/>
          <w:color w:val="auto"/>
        </w:rPr>
      </w:pPr>
    </w:p>
    <w:p>
      <w:pPr>
        <w:ind w:left="964" w:right="180" w:hanging="532"/>
        <w:spacing w:after="0" w:line="261"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and Parent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85"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of Counterparty and Parent, on and immediately after the Trade Date and the Premium Payment Date, (A) the value of the total assets of such person is greater than the sum of the total liabilities (including contingent liabilities) and the capital of such person,</w:t>
      </w:r>
    </w:p>
    <w:p>
      <w:pPr>
        <w:ind w:left="964" w:right="180" w:firstLine="8"/>
        <w:spacing w:after="0" w:line="250" w:lineRule="auto"/>
        <w:tabs>
          <w:tab w:leader="none" w:pos="1249"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of such person is adequate to conduct the business of such person, and such person’s entry into the Transaction will not impair its capital, (C) such person has the ability to pay its debts and obligations as such debts mature and does not intend to, or does not believe that it will, incur debt beyond its ability to pay as such debts mature, (D) such person will be able to continue as a going concern;</w:t>
      </w:r>
    </w:p>
    <w:p>
      <w:pPr>
        <w:spacing w:after="0" w:line="1" w:lineRule="exact"/>
        <w:rPr>
          <w:rFonts w:ascii="Times New Roman" w:cs="Times New Roman" w:eastAsia="Times New Roman" w:hAnsi="Times New Roman"/>
          <w:sz w:val="18"/>
          <w:szCs w:val="18"/>
          <w:color w:val="auto"/>
        </w:rPr>
      </w:pPr>
    </w:p>
    <w:p>
      <w:pPr>
        <w:ind w:left="964" w:right="400" w:firstLine="8"/>
        <w:spacing w:after="0" w:line="255" w:lineRule="auto"/>
        <w:tabs>
          <w:tab w:leader="none" w:pos="1239"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(F) such person would be able to purchase the number of Shares with respect to the Transaction in compliance with the laws of the jurisdiction of such person’s incorporation.</w:t>
      </w:r>
    </w:p>
    <w:p>
      <w:pPr>
        <w:spacing w:after="0" w:line="91" w:lineRule="exact"/>
        <w:rPr>
          <w:rFonts w:ascii="Times New Roman" w:cs="Times New Roman" w:eastAsia="Times New Roman" w:hAnsi="Times New Roman"/>
          <w:sz w:val="18"/>
          <w:szCs w:val="18"/>
          <w:color w:val="auto"/>
        </w:rPr>
      </w:pPr>
    </w:p>
    <w:p>
      <w:pPr>
        <w:ind w:left="964" w:right="40" w:hanging="532"/>
        <w:spacing w:after="0" w:line="317" w:lineRule="auto"/>
        <w:tabs>
          <w:tab w:leader="none" w:pos="964"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Counterparty and Parent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5"/>
          <w:szCs w:val="25"/>
          <w:color w:val="auto"/>
          <w:vertAlign w:val="superscript"/>
        </w:rPr>
        <w:t>17</w:t>
      </w:r>
    </w:p>
    <w:p>
      <w:pPr>
        <w:spacing w:after="0" w:line="154"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132" w:lineRule="exact"/>
        <w:rPr>
          <w:rFonts w:ascii="Times New Roman" w:cs="Times New Roman" w:eastAsia="Times New Roman" w:hAnsi="Times New Roman"/>
          <w:sz w:val="18"/>
          <w:szCs w:val="18"/>
          <w:b w:val="1"/>
          <w:bCs w:val="1"/>
          <w:color w:val="auto"/>
        </w:rPr>
      </w:pPr>
    </w:p>
    <w:p>
      <w:pPr>
        <w:ind w:left="964" w:right="80" w:hanging="532"/>
        <w:spacing w:after="0" w:line="261" w:lineRule="auto"/>
        <w:tabs>
          <w:tab w:leader="none" w:pos="96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and Parent shall deliver to Dealer an opinion of counsel, dated as of the Trade Date, with respect to the matters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Section 3(a) of the Agreement, subject to customary assumptions, qualifications, and exceptions. Delivery of such opinion to Dealer shall be a condition precedent for the purpose of Section 2(a)(iii) of the Agreement with respect to each obligation of Dealer under Section 2(a)(i) of the Agreement.</w:t>
      </w:r>
    </w:p>
    <w:p>
      <w:pPr>
        <w:spacing w:after="0" w:line="85" w:lineRule="exact"/>
        <w:rPr>
          <w:rFonts w:ascii="Times New Roman" w:cs="Times New Roman" w:eastAsia="Times New Roman" w:hAnsi="Times New Roman"/>
          <w:sz w:val="18"/>
          <w:szCs w:val="18"/>
          <w:color w:val="auto"/>
        </w:rPr>
      </w:pPr>
    </w:p>
    <w:p>
      <w:pPr>
        <w:ind w:left="964" w:hanging="532"/>
        <w:spacing w:after="0" w:line="216" w:lineRule="auto"/>
        <w:tabs>
          <w:tab w:leader="none" w:pos="96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Each of Counterparty and Parent shall, at least one Scheduled Valid Day prior to any day on which Counterparty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intends to effect any repurchase of Shares, give Dealer a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if following such repurchase, the number of outstanding Shares as determined on such day is (i) less than [__]</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 million (in the case of the first such notice) or (ii) thereafter more than [__]</w:t>
      </w: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 xml:space="preserve"> million less than the number of Shares included in the immediately preceding Repurchase Notice. Counterparty and Parent jointly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715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8" w:lineRule="exact"/>
        <w:rPr>
          <w:sz w:val="20"/>
          <w:szCs w:val="20"/>
          <w:color w:val="auto"/>
        </w:rPr>
      </w:pPr>
    </w:p>
    <w:p>
      <w:pPr>
        <w:ind w:left="424" w:hanging="424"/>
        <w:spacing w:after="0"/>
        <w:tabs>
          <w:tab w:leader="none" w:pos="424" w:val="left"/>
        </w:tabs>
        <w:numPr>
          <w:ilvl w:val="0"/>
          <w:numId w:val="1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1" w:lineRule="exact"/>
        <w:rPr>
          <w:rFonts w:ascii="Times New Roman" w:cs="Times New Roman" w:eastAsia="Times New Roman" w:hAnsi="Times New Roman"/>
          <w:sz w:val="27"/>
          <w:szCs w:val="27"/>
          <w:color w:val="auto"/>
          <w:vertAlign w:val="superscript"/>
        </w:rPr>
      </w:pPr>
    </w:p>
    <w:p>
      <w:pPr>
        <w:ind w:left="424" w:right="20" w:hanging="424"/>
        <w:spacing w:after="0" w:line="214" w:lineRule="auto"/>
        <w:tabs>
          <w:tab w:leader="none" w:pos="424" w:val="left"/>
        </w:tabs>
        <w:numPr>
          <w:ilvl w:val="0"/>
          <w:numId w:val="1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outstanding that would cause Dealer’s current position in the Shares underlying the Transaction (including the number of Shares underlying any additional transaction if the greenshoe is exercised in full) to increase by 0.5%. To be determined based on Dealer with highest Applicable Percentage.</w:t>
      </w:r>
    </w:p>
    <w:p>
      <w:pPr>
        <w:ind w:left="424" w:right="200" w:hanging="424"/>
        <w:spacing w:after="0" w:line="214" w:lineRule="auto"/>
        <w:tabs>
          <w:tab w:leader="none" w:pos="424" w:val="left"/>
        </w:tabs>
        <w:numPr>
          <w:ilvl w:val="0"/>
          <w:numId w:val="1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that, if repurchased, would cause Dealer’s current position in the Shares underlying the Transaction (including the number of Shares underlying any additional transaction if the greenshoe is exercised in full) to increase by a further 0.5% from the threshold for the first Repurchase Notice. To be determined based on Dealer with highest Applicable Percentage.</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152" w:name="page153"/>
    <w:bookmarkEnd w:id="152"/>
    <w:p>
      <w:pPr>
        <w:ind w:left="5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severally agree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commercially reasonable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under or resulting from the operation of any ownership limitations contained in the Charter and, in each case, any losses in connection therewith with respect to the Transaction), claims, damages, judgments, liabilities and commercially reasonable and documented out-of-pocket expenses (including reasonable external attorney’s fees), joint or several, which an Indemnified Person may become subject to, as a result of Counterparty’s or Parent’s failure to provide Dealer with a Repurchase Notice when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or Parent’s failure to provide Dealer with a Repurchase Notice in accordance with this paragraph, such Indemnified Person shall promptly notify Counterparty and Parent in writing, and Counterparty and/or Parent, upon request of the Indemnified Person, shall retain counsel reasonably satisfactory to the Indemnified Person to represent the Indemnified Person and any others Counterparty and/or Parent may designate in such proceeding and shall pay the reasonable and documented fees and expenses of such counsel related to such proceeding. Counterparty and Parent shall be relieved from liability to the extent that any Indemnified Person fails to promptly notify Counterparty and Parent of any action commenced against it in respect of which indemnity may be sought hereunder to the extent Counterparty and/or Parent are materially prejudiced as a result thereof. Counterparty and Parent shall not be liable for any settlement of any proceeding contemplated by this paragraph that is effected without its written consent, but if settled with such consent or if there be a final judgment for the plaintiff, Counterparty and Parent jointly and severally agree to indemnify any Indemnified Person from and against any loss or liability by reason of such settlement or judgment. Counterparty and Parent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and Parent hereunder, in lieu of indemnifying such Indemnified Person thereunder, shall contribute, jointly and severally,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05" w:lineRule="exact"/>
        <w:rPr>
          <w:sz w:val="20"/>
          <w:szCs w:val="20"/>
          <w:color w:val="auto"/>
        </w:rPr>
      </w:pPr>
    </w:p>
    <w:p>
      <w:pPr>
        <w:ind w:left="540" w:right="120" w:hanging="532"/>
        <w:spacing w:after="0" w:line="258"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Neither Counterparty nor Parent is on the Trade Date engaged in a distribution, as such term is used in Regulation M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any securities of Counterparty or Parent, as applicable, other than a distribution meeting the requirements of the exception set forth in Rules 101(b)(10) and 102(b)(7) of Regulation M. Neither Counterparty nor Parent shall, until the second Scheduled Trading Day immediately following the Effective Date, engage in any such distribution.</w:t>
      </w:r>
    </w:p>
    <w:p>
      <w:pPr>
        <w:spacing w:after="0" w:line="88" w:lineRule="exact"/>
        <w:rPr>
          <w:rFonts w:ascii="Times New Roman" w:cs="Times New Roman" w:eastAsia="Times New Roman" w:hAnsi="Times New Roman"/>
          <w:sz w:val="18"/>
          <w:szCs w:val="18"/>
          <w:color w:val="auto"/>
        </w:rPr>
      </w:pPr>
    </w:p>
    <w:p>
      <w:pPr>
        <w:ind w:left="540" w:right="20" w:hanging="532"/>
        <w:spacing w:after="0" w:line="267"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Neither Counterparty nor Parent is entering into the Transaction to create actual or apparent trading activity in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security convertible into or exchangeable for the Shares) or to raise or depress or otherwise manipulate the price of the Shares (or any security convertible into or exchangeable for the Shares) in violation of the Exchange Act.</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00"/>
          </w:cols>
          <w:pgMar w:left="860" w:top="270" w:right="439" w:bottom="1440" w:gutter="0" w:footer="0" w:header="0"/>
        </w:sectPr>
      </w:pPr>
    </w:p>
    <w:bookmarkStart w:id="153" w:name="page154"/>
    <w:bookmarkEnd w:id="153"/>
    <w:p>
      <w:pPr>
        <w:ind w:left="540" w:hanging="532"/>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or Assignment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right="80" w:hanging="439"/>
        <w:spacing w:after="0" w:line="261" w:lineRule="auto"/>
        <w:tabs>
          <w:tab w:leader="none" w:pos="10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may not transfer any of its rights or obligations under the Transaction without the prior written consent of Dealer. 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85" w:lineRule="exact"/>
        <w:rPr>
          <w:rFonts w:ascii="Times New Roman" w:cs="Times New Roman" w:eastAsia="Times New Roman" w:hAnsi="Times New Roman"/>
          <w:sz w:val="18"/>
          <w:szCs w:val="18"/>
          <w:color w:val="auto"/>
        </w:rPr>
      </w:pPr>
    </w:p>
    <w:p>
      <w:pPr>
        <w:ind w:left="1540" w:right="380" w:hanging="533"/>
        <w:spacing w:after="0" w:line="312" w:lineRule="auto"/>
        <w:tabs>
          <w:tab w:leader="none" w:pos="1540" w:val="left"/>
        </w:tabs>
        <w:numPr>
          <w:ilvl w:val="2"/>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Transfer Options, Counterparty shall not be released from its notice and indemnification obligations pursuant to Section 9(b) of this Confirmation or any obligations under Section 9(n) or 9(s) of this Confirmation;</w:t>
      </w:r>
    </w:p>
    <w:p>
      <w:pPr>
        <w:spacing w:after="0" w:line="45" w:lineRule="exact"/>
        <w:rPr>
          <w:rFonts w:ascii="Times New Roman" w:cs="Times New Roman" w:eastAsia="Times New Roman" w:hAnsi="Times New Roman"/>
          <w:sz w:val="17"/>
          <w:szCs w:val="17"/>
          <w:color w:val="auto"/>
        </w:rPr>
      </w:pPr>
    </w:p>
    <w:p>
      <w:pPr>
        <w:ind w:left="1540" w:right="260" w:hanging="533"/>
        <w:spacing w:after="0" w:line="282" w:lineRule="auto"/>
        <w:tabs>
          <w:tab w:leader="none" w:pos="15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20" w:hanging="533"/>
        <w:spacing w:after="0" w:line="258" w:lineRule="auto"/>
        <w:tabs>
          <w:tab w:leader="none" w:pos="15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by and reasonably satisfactory to Dealer;</w:t>
      </w:r>
    </w:p>
    <w:p>
      <w:pPr>
        <w:spacing w:after="0" w:line="88" w:lineRule="exact"/>
        <w:rPr>
          <w:rFonts w:ascii="Times New Roman" w:cs="Times New Roman" w:eastAsia="Times New Roman" w:hAnsi="Times New Roman"/>
          <w:sz w:val="18"/>
          <w:szCs w:val="18"/>
          <w:color w:val="auto"/>
        </w:rPr>
      </w:pPr>
    </w:p>
    <w:p>
      <w:pPr>
        <w:ind w:left="1540" w:right="120" w:hanging="533"/>
        <w:spacing w:after="0" w:line="266" w:lineRule="auto"/>
        <w:tabs>
          <w:tab w:leader="none" w:pos="15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and assignment, have an obligation to pay the transferee on any payment date an amount under Section 2(d)(i)(4) of the Agreement greater than an amount that Dealer would have been required to pay to Counterparty in the absence of such transfer and assignment;</w:t>
      </w:r>
    </w:p>
    <w:p>
      <w:pPr>
        <w:spacing w:after="0" w:line="81"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Potential Event of Default or Termination Event will occur as a result of such transfer and assignment;</w:t>
      </w:r>
    </w:p>
    <w:p>
      <w:pPr>
        <w:spacing w:after="0" w:line="130" w:lineRule="exact"/>
        <w:rPr>
          <w:rFonts w:ascii="Times New Roman" w:cs="Times New Roman" w:eastAsia="Times New Roman" w:hAnsi="Times New Roman"/>
          <w:sz w:val="18"/>
          <w:szCs w:val="18"/>
          <w:color w:val="auto"/>
        </w:rPr>
      </w:pPr>
    </w:p>
    <w:p>
      <w:pPr>
        <w:ind w:left="1540" w:right="540" w:hanging="533"/>
        <w:spacing w:after="0" w:line="266" w:lineRule="auto"/>
        <w:tabs>
          <w:tab w:leader="none" w:pos="15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1" w:lineRule="exact"/>
        <w:rPr>
          <w:rFonts w:ascii="Times New Roman" w:cs="Times New Roman" w:eastAsia="Times New Roman" w:hAnsi="Times New Roman"/>
          <w:sz w:val="18"/>
          <w:szCs w:val="18"/>
          <w:color w:val="auto"/>
        </w:rPr>
      </w:pPr>
    </w:p>
    <w:p>
      <w:pPr>
        <w:ind w:left="1540" w:right="480" w:hanging="533"/>
        <w:spacing w:after="0" w:line="282" w:lineRule="auto"/>
        <w:tabs>
          <w:tab w:leader="none" w:pos="15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67" w:lineRule="exact"/>
        <w:rPr>
          <w:rFonts w:ascii="Times New Roman" w:cs="Times New Roman" w:eastAsia="Times New Roman" w:hAnsi="Times New Roman"/>
          <w:sz w:val="18"/>
          <w:szCs w:val="18"/>
          <w:color w:val="auto"/>
        </w:rPr>
      </w:pPr>
    </w:p>
    <w:p>
      <w:pPr>
        <w:ind w:left="1000" w:hanging="439"/>
        <w:spacing w:after="0" w:line="255" w:lineRule="auto"/>
        <w:tabs>
          <w:tab w:leader="none" w:pos="10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may transfer or assign all or any part of its rights or obligations under the Transaction without Counterparty’s or Parent’s consent, (A) to any affiliate of Dealer whose obligations would be guaranteed, pursuant to the terms of a customary guarantee in a form used by Dealer generally for similar transactions, by Dealer [or Dealer’s ultimate parent] or (B) to any person (including any affiliate of Dealer whose obligations are not guaranteed in the manner described in clause (A)) or any person whose obligations would be guaranteed by a person (a “</w:t>
      </w:r>
      <w:r>
        <w:rPr>
          <w:rFonts w:ascii="Times New Roman" w:cs="Times New Roman" w:eastAsia="Times New Roman" w:hAnsi="Times New Roman"/>
          <w:sz w:val="18"/>
          <w:szCs w:val="18"/>
          <w:b w:val="1"/>
          <w:bCs w:val="1"/>
          <w:color w:val="auto"/>
        </w:rPr>
        <w:t>Designated Transferee</w:t>
      </w:r>
      <w:r>
        <w:rPr>
          <w:rFonts w:ascii="Times New Roman" w:cs="Times New Roman" w:eastAsia="Times New Roman" w:hAnsi="Times New Roman"/>
          <w:sz w:val="18"/>
          <w:szCs w:val="18"/>
          <w:color w:val="auto"/>
        </w:rPr>
        <w:t xml:space="preserve">”), in either case under this clause (B), with a rating for its long-term, unsecured and unsubordinated indebtedness at least equivalent to Dealer’s (or its guarantor’s),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this clause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60" w:top="268" w:right="479" w:bottom="1440" w:gutter="0" w:footer="0" w:header="0"/>
        </w:sectPr>
      </w:pPr>
    </w:p>
    <w:bookmarkStart w:id="154" w:name="page155"/>
    <w:bookmarkEnd w:id="154"/>
    <w:p>
      <w:pPr>
        <w:ind w:left="420"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in no event shall the credit rating of the Designated Transferee or of its guarantor (whichever is higher) be lower than A3 from Moody’s Investor Service, Inc. or its successor or A-from Standard and Poor’s Rating Group, Inc. or its successor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Dealer may transfer or assign pursuant to this paragraph only if (A) either (i) the transferee is a “dealer in securities” within the meaning of Section 475(c)(1)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(ii) the transfer or assignment does not otherwise constitute a “deemed exchange” by Counterparty within the meaning of Section 1001 of the Code, (B) immediately after any such transfer or assignment, Counterparty will not, as a result of any withholding or deduction made by the transferee or assignee as a result of any Tax, receive from the transferee or assignee on any payment date or delivery date (after accounting for amounts paid by the transferee or assignee under Section 2(d)(i)(4) of the Agreement as well as such withholding or deduction) an amount or a number of Shares, as applicable, lower than the amount or the number of Shares, as applicable, that Dealer would have been required to pay or deliver to Counterparty in the absence of such transfer or assignment and (C) no Event of Default, Potential Event of Default or Termination Event will occur as a result of such transfer and assignment. If at any time at which (A) the Section 16 Percentage exceeds 8.0%, (B) the Option Equity Percentage exceeds 14.5%, (C) the Charter Percentage exceeds 8.0% or (D) the Share Amount exceeds the Applicable Share Limit (if any applies) (any such condition described in clauses (A), (B), (C) or (D), an “</w:t>
      </w:r>
      <w:r>
        <w:rPr>
          <w:rFonts w:ascii="Times New Roman" w:cs="Times New Roman" w:eastAsia="Times New Roman" w:hAnsi="Times New Roman"/>
          <w:sz w:val="17"/>
          <w:szCs w:val="17"/>
          <w:b w:val="1"/>
          <w:bCs w:val="1"/>
          <w:color w:val="auto"/>
        </w:rPr>
        <w:t>Excess Ownership Position</w:t>
      </w:r>
      <w:r>
        <w:rPr>
          <w:rFonts w:ascii="Times New Roman" w:cs="Times New Roman" w:eastAsia="Times New Roman" w:hAnsi="Times New Roman"/>
          <w:sz w:val="17"/>
          <w:szCs w:val="17"/>
          <w:color w:val="auto"/>
        </w:rPr>
        <w:t>”), Dealer, acting in good faith,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7"/>
          <w:szCs w:val="17"/>
          <w:b w:val="1"/>
          <w:bCs w:val="1"/>
          <w:color w:val="auto"/>
        </w:rPr>
        <w:t>Terminated Portion</w:t>
      </w:r>
      <w:r>
        <w:rPr>
          <w:rFonts w:ascii="Times New Roman" w:cs="Times New Roman" w:eastAsia="Times New Roman" w:hAnsi="Times New Roman"/>
          <w:sz w:val="17"/>
          <w:szCs w:val="17"/>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w:t>
      </w:r>
    </w:p>
    <w:p>
      <w:pPr>
        <w:spacing w:after="0" w:line="203" w:lineRule="exact"/>
        <w:rPr>
          <w:sz w:val="20"/>
          <w:szCs w:val="20"/>
          <w:color w:val="auto"/>
        </w:rPr>
      </w:pPr>
    </w:p>
    <w:p>
      <w:pPr>
        <w:ind w:left="420" w:firstLine="7"/>
        <w:spacing w:after="0" w:line="251" w:lineRule="auto"/>
        <w:tabs>
          <w:tab w:leader="none" w:pos="67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were the sole Affected Party with respect to such partial termination and (3) the Terminated Portion were the sole Affected Transaction (and, for the avoidance of doubt, the provisions of Section 9(l) of this Confirmation shall apply to any amount that is payable by Dealer to Counterparty pursuant to this sentence as if Counterparty was not the Affected Party). The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or Parent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w:t>
      </w:r>
    </w:p>
    <w:p>
      <w:pPr>
        <w:spacing w:after="0" w:line="1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00"/>
          </w:cols>
          <w:pgMar w:left="1440" w:top="270" w:right="459" w:bottom="1440" w:gutter="0" w:footer="0" w:header="0"/>
        </w:sectPr>
      </w:pPr>
    </w:p>
    <w:bookmarkStart w:id="155" w:name="page156"/>
    <w:bookmarkEnd w:id="155"/>
    <w:p>
      <w:pPr>
        <w:ind w:left="10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in Dealer’s reasonable judgment based on advice of counsel, could give rise to reporting or registration obligations (except for filings on Form 13F, Schedule 13D or Schedule 13G,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 The “</w:t>
      </w:r>
      <w:r>
        <w:rPr>
          <w:rFonts w:ascii="Times New Roman" w:cs="Times New Roman" w:eastAsia="Times New Roman" w:hAnsi="Times New Roman"/>
          <w:sz w:val="18"/>
          <w:szCs w:val="18"/>
          <w:b w:val="1"/>
          <w:bCs w:val="1"/>
          <w:color w:val="auto"/>
        </w:rPr>
        <w:t>Charter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“Beneficially Owns” and “Constructively Owns” (within the meaning of the Charter) and (B) the denominator of which is the aggregate number of the outstanding Shares on such day. Dealer shall provide Counterparty with written notice of any transfer or assignment on the date of or as promptly as practicable after the date of such transfer or assignment.</w:t>
      </w:r>
    </w:p>
    <w:p>
      <w:pPr>
        <w:spacing w:after="0" w:line="97" w:lineRule="exact"/>
        <w:rPr>
          <w:sz w:val="20"/>
          <w:szCs w:val="20"/>
          <w:color w:val="auto"/>
        </w:rPr>
      </w:pPr>
    </w:p>
    <w:p>
      <w:pPr>
        <w:ind w:left="1000" w:right="20" w:hanging="439"/>
        <w:spacing w:after="0" w:line="258" w:lineRule="auto"/>
        <w:tabs>
          <w:tab w:leader="none" w:pos="10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86" w:lineRule="exact"/>
        <w:rPr>
          <w:rFonts w:ascii="Times New Roman" w:cs="Times New Roman" w:eastAsia="Times New Roman" w:hAnsi="Times New Roman"/>
          <w:sz w:val="18"/>
          <w:szCs w:val="18"/>
          <w:color w:val="auto"/>
        </w:rPr>
      </w:pPr>
    </w:p>
    <w:p>
      <w:pPr>
        <w:ind w:left="540" w:right="60" w:hanging="532"/>
        <w:spacing w:after="0" w:line="258"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commercially reasonable hedging activities hereunder, Dealer reasonably determines, based on the advice of counsel,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90" w:lineRule="exact"/>
        <w:rPr>
          <w:rFonts w:ascii="Times New Roman" w:cs="Times New Roman" w:eastAsia="Times New Roman" w:hAnsi="Times New Roman"/>
          <w:sz w:val="18"/>
          <w:szCs w:val="18"/>
          <w:color w:val="auto"/>
        </w:rPr>
      </w:pPr>
    </w:p>
    <w:p>
      <w:pPr>
        <w:ind w:left="1000" w:right="180" w:hanging="439"/>
        <w:spacing w:after="0" w:line="224" w:lineRule="auto"/>
        <w:tabs>
          <w:tab w:leader="none" w:pos="10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(the first of which will be such Nominal Settlement Date and the last of which will be no later than the twentieth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Exchange Business Day following such Nominal Settlement Date) and the number of Shares that it will deliver on each Staggered Settlement Date;</w:t>
      </w:r>
    </w:p>
    <w:p>
      <w:pPr>
        <w:spacing w:after="0" w:line="104" w:lineRule="exact"/>
        <w:rPr>
          <w:sz w:val="20"/>
          <w:szCs w:val="20"/>
          <w:color w:val="auto"/>
        </w:rPr>
      </w:pPr>
    </w:p>
    <w:p>
      <w:pPr>
        <w:ind w:left="1000" w:right="40" w:hanging="439"/>
        <w:spacing w:after="0" w:line="282" w:lineRule="auto"/>
        <w:tabs>
          <w:tab w:leader="none" w:pos="10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67" w:lineRule="exact"/>
        <w:rPr>
          <w:rFonts w:ascii="Times New Roman" w:cs="Times New Roman" w:eastAsia="Times New Roman" w:hAnsi="Times New Roman"/>
          <w:sz w:val="18"/>
          <w:szCs w:val="18"/>
          <w:color w:val="auto"/>
        </w:rPr>
      </w:pPr>
    </w:p>
    <w:p>
      <w:pPr>
        <w:ind w:left="1000" w:right="260" w:hanging="439"/>
        <w:spacing w:after="0" w:line="261" w:lineRule="auto"/>
        <w:tabs>
          <w:tab w:leader="none" w:pos="10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83"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If at any time during the period from and including the Trade Date, to but excluding the Expiration Date, (i) an ex-dividend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regular quarterly cash dividend occurs with respect to the Shares (an “</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and that dividend is less than the Regular Dividend on a per Share basis or (ii) if no Ex-Dividend Date for a regular quarterly cash dividend occurs with respect to the Shares in any quarterly dividend period of Parent, then the Calculation Agent will adjust the Cap Price to preserve the fair value of the Options to Dealer after taking into account such dividend or lack thereof. “</w:t>
      </w:r>
      <w:r>
        <w:rPr>
          <w:rFonts w:ascii="Times New Roman" w:cs="Times New Roman" w:eastAsia="Times New Roman" w:hAnsi="Times New Roman"/>
          <w:sz w:val="18"/>
          <w:szCs w:val="18"/>
          <w:b w:val="1"/>
          <w:bCs w:val="1"/>
          <w:color w:val="auto"/>
        </w:rPr>
        <w:t>Regular Dividend</w:t>
      </w:r>
      <w:r>
        <w:rPr>
          <w:rFonts w:ascii="Times New Roman" w:cs="Times New Roman" w:eastAsia="Times New Roman" w:hAnsi="Times New Roman"/>
          <w:sz w:val="18"/>
          <w:szCs w:val="18"/>
          <w:color w:val="auto"/>
        </w:rPr>
        <w:t>” shall mean USD 1.09 per Share per quarter. Upon any adjustment to the Initial Dividend Threshold (as defined in the Indenture) for the Exchangeable Notes pursuant to the Indenture, the Calculation Agent will make a corresponding adjustment to the Regular Dividend for the Transaction.</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60" w:top="270" w:right="459" w:bottom="1440" w:gutter="0" w:footer="0" w:header="0"/>
        </w:sectPr>
      </w:pPr>
    </w:p>
    <w:bookmarkStart w:id="156" w:name="page157"/>
    <w:bookmarkEnd w:id="156"/>
    <w:p>
      <w:pPr>
        <w:ind w:left="964" w:right="280" w:hanging="532"/>
        <w:spacing w:after="0" w:line="272" w:lineRule="auto"/>
        <w:tabs>
          <w:tab w:leader="none" w:pos="96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1424" w:right="160" w:hanging="439"/>
        <w:spacing w:after="0" w:line="266" w:lineRule="auto"/>
        <w:tabs>
          <w:tab w:leader="none" w:pos="14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Exchange in respect of which a Notice of Exchange that is effective as to Counterparty has been delivered by the relevant exchanging “Holder” (as such term is defined in the Indenture):</w:t>
      </w:r>
    </w:p>
    <w:p>
      <w:pPr>
        <w:spacing w:after="0" w:line="81" w:lineRule="exact"/>
        <w:rPr>
          <w:rFonts w:ascii="Times New Roman" w:cs="Times New Roman" w:eastAsia="Times New Roman" w:hAnsi="Times New Roman"/>
          <w:sz w:val="18"/>
          <w:szCs w:val="18"/>
          <w:color w:val="auto"/>
        </w:rPr>
      </w:pPr>
    </w:p>
    <w:p>
      <w:pPr>
        <w:ind w:left="1964" w:right="80" w:hanging="533"/>
        <w:spacing w:after="0" w:line="257" w:lineRule="auto"/>
        <w:tabs>
          <w:tab w:leader="none" w:pos="1964"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within five Scheduled Trading Days of the Exchange Date for such Early Exchange, provide written notice (an “</w:t>
      </w:r>
      <w:r>
        <w:rPr>
          <w:rFonts w:ascii="Times New Roman" w:cs="Times New Roman" w:eastAsia="Times New Roman" w:hAnsi="Times New Roman"/>
          <w:sz w:val="18"/>
          <w:szCs w:val="18"/>
          <w:b w:val="1"/>
          <w:bCs w:val="1"/>
          <w:color w:val="auto"/>
        </w:rPr>
        <w:t>Early Exchange Notice</w:t>
      </w:r>
      <w:r>
        <w:rPr>
          <w:rFonts w:ascii="Times New Roman" w:cs="Times New Roman" w:eastAsia="Times New Roman" w:hAnsi="Times New Roman"/>
          <w:sz w:val="18"/>
          <w:szCs w:val="18"/>
          <w:color w:val="auto"/>
        </w:rPr>
        <w:t>”) to Dealer specifying the number of Exchangeable Notes surrendered for exchange on such Exchange Date (such Exchangeable Notes, the “</w:t>
      </w:r>
      <w:r>
        <w:rPr>
          <w:rFonts w:ascii="Times New Roman" w:cs="Times New Roman" w:eastAsia="Times New Roman" w:hAnsi="Times New Roman"/>
          <w:sz w:val="18"/>
          <w:szCs w:val="18"/>
          <w:b w:val="1"/>
          <w:bCs w:val="1"/>
          <w:color w:val="auto"/>
        </w:rPr>
        <w:t>Affected Exchangeable Notes</w:t>
      </w:r>
      <w:r>
        <w:rPr>
          <w:rFonts w:ascii="Times New Roman" w:cs="Times New Roman" w:eastAsia="Times New Roman" w:hAnsi="Times New Roman"/>
          <w:sz w:val="18"/>
          <w:szCs w:val="18"/>
          <w:color w:val="auto"/>
        </w:rPr>
        <w:t xml:space="preserve">”), and the giving of such Early Exchange Notice shall constitute an Additional Termination Event as provided in this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“Early Exchange Notice” delivered to Dealer pursuant to the Base Call Option Confirmation shall deemed to be an Early Exchange Notice pursuant to this Confirmation and the terms of such Early Exchange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964" w:hanging="533"/>
        <w:spacing w:after="0" w:line="239" w:lineRule="auto"/>
        <w:tabs>
          <w:tab w:leader="none" w:pos="1964"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Early Exchange Notice, Dealer shall designate an Exchange Business Day as an Early Termination Date (which Exchange Business Day shall be on or as promptly as reasonably practicable after the related settlement date for the exchange of such Affected Exchangeable Notes)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Exchangeable Notes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Exchangeable Notes (and for the purposes of determining whether any Options under this Confirmation or under the Base Call Option Confirmation will be among the Affected Number of Options hereunder or under, and as defined in, the Base Call Option Confirmation, the Affected Exchangeable Notes specified in such Early Exchange Notice shall be allocated first to the Base Call Option Confirmation until all Options thereunder are exercised or terminated)]</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xml:space="preserve"> and (y) the Number of Options as of the Exchange Date for such Early Exchange;</w:t>
      </w:r>
    </w:p>
    <w:p>
      <w:pPr>
        <w:spacing w:after="0" w:line="108"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hereunder with respect to such termination shall be calculated pursuant to Section 6 of the Agreement as if</w:t>
      </w:r>
    </w:p>
    <w:p>
      <w:pPr>
        <w:spacing w:after="0" w:line="27" w:lineRule="exact"/>
        <w:rPr>
          <w:rFonts w:ascii="Times New Roman" w:cs="Times New Roman" w:eastAsia="Times New Roman" w:hAnsi="Times New Roman"/>
          <w:sz w:val="18"/>
          <w:szCs w:val="18"/>
          <w:color w:val="auto"/>
        </w:rPr>
      </w:pPr>
    </w:p>
    <w:p>
      <w:pPr>
        <w:ind w:left="196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amount payable with respect to such termination shall not be greater than (1) the Applicable Percentage,</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(2) the Affected Number of Options,</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(3) (x) the sum of (i) the amount of cash paid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(as such term is defined in the Indenture) of an Affected Exchangeable Note upon exchange of such Affected Exchangeable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1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1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in Additional Call Option Confirmation only.</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157" w:name="page158"/>
    <w:bookmarkEnd w:id="157"/>
    <w:p>
      <w:pPr>
        <w:ind w:left="97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(ii) the number of Shares delivered (if any) to the “Holder” (as such term is defined in the Indenture) of an Affected Exchangeable Note upon exchange of such Affected Exchangeable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relevant date of payment,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Synthetic Instrument Adjusted Issue Price per Exchangeable Note, as determined by the Calculation Agent in good faith and in a commercially reasonable manner. “</w:t>
      </w:r>
      <w:r>
        <w:rPr>
          <w:rFonts w:ascii="Times New Roman" w:cs="Times New Roman" w:eastAsia="Times New Roman" w:hAnsi="Times New Roman"/>
          <w:sz w:val="18"/>
          <w:szCs w:val="18"/>
          <w:b w:val="1"/>
          <w:bCs w:val="1"/>
          <w:color w:val="auto"/>
        </w:rPr>
        <w:t>Synthetic Instrument Adjusted Issue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 Exchangeable Note</w:t>
      </w:r>
      <w:r>
        <w:rPr>
          <w:rFonts w:ascii="Times New Roman" w:cs="Times New Roman" w:eastAsia="Times New Roman" w:hAnsi="Times New Roman"/>
          <w:sz w:val="18"/>
          <w:szCs w:val="18"/>
          <w:color w:val="auto"/>
        </w:rPr>
        <w:t>” shall mean the amount determined by the Calculation Agent utilizing the numbers in the table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below based on the date of payment of the amount due with respect to the relevant Affected Number of Options (the “</w:t>
      </w:r>
      <w:r>
        <w:rPr>
          <w:rFonts w:ascii="Times New Roman" w:cs="Times New Roman" w:eastAsia="Times New Roman" w:hAnsi="Times New Roman"/>
          <w:sz w:val="18"/>
          <w:szCs w:val="18"/>
          <w:b w:val="1"/>
          <w:bCs w:val="1"/>
          <w:color w:val="auto"/>
        </w:rPr>
        <w:t>Affected Unwind Date</w:t>
      </w:r>
      <w:r>
        <w:rPr>
          <w:rFonts w:ascii="Times New Roman" w:cs="Times New Roman" w:eastAsia="Times New Roman" w:hAnsi="Times New Roman"/>
          <w:sz w:val="18"/>
          <w:szCs w:val="18"/>
          <w:color w:val="auto"/>
        </w:rPr>
        <w:t>”). If the Affected Unwind Date is not listed below, the amount in the preceding sentence shall be determined by the Calculation Agent by reference to the table below using a linear interpolation between the lower and higher Synthetic Instrument Adjusted Issue Prices per Exchangeable Note for the dates immediately preceding and immediately following the Affected Unwind Date. For the avoidance of doubt, any payment pursuant to this paragraph shall be subject to Section 9(l) of this Confirmation.</w:t>
      </w:r>
    </w:p>
    <w:p>
      <w:pPr>
        <w:spacing w:after="0" w:line="202" w:lineRule="exact"/>
        <w:rPr>
          <w:sz w:val="20"/>
          <w:szCs w:val="20"/>
          <w:color w:val="auto"/>
        </w:rPr>
      </w:pPr>
    </w:p>
    <w:tbl>
      <w:tblPr>
        <w:tblLayout w:type="fixed"/>
        <w:tblInd w:w="779" w:type="dxa"/>
        <w:tblCellMar>
          <w:top w:w="0" w:type="dxa"/>
          <w:left w:w="0" w:type="dxa"/>
          <w:bottom w:w="0" w:type="dxa"/>
          <w:right w:w="0" w:type="dxa"/>
        </w:tblCellMar>
      </w:tblPr>
      <w:tr>
        <w:trPr>
          <w:trHeight w:val="161"/>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Affected Unwind Date</w:t>
            </w:r>
          </w:p>
        </w:tc>
        <w:tc>
          <w:tcPr>
            <w:tcW w:w="3360" w:type="dxa"/>
            <w:vAlign w:val="bottom"/>
          </w:tcPr>
          <w:p>
            <w:pPr>
              <w:spacing w:after="0"/>
              <w:rPr>
                <w:sz w:val="13"/>
                <w:szCs w:val="13"/>
                <w:color w:val="auto"/>
              </w:rPr>
            </w:pPr>
          </w:p>
        </w:tc>
        <w:tc>
          <w:tcPr>
            <w:tcW w:w="2800" w:type="dxa"/>
            <w:vAlign w:val="bottom"/>
            <w:gridSpan w:val="2"/>
          </w:tcPr>
          <w:p>
            <w:pPr>
              <w:jc w:val="right"/>
              <w:ind w:right="830"/>
              <w:spacing w:after="0"/>
              <w:rPr>
                <w:sz w:val="20"/>
                <w:szCs w:val="20"/>
                <w:color w:val="auto"/>
              </w:rPr>
            </w:pPr>
            <w:r>
              <w:rPr>
                <w:rFonts w:ascii="Times New Roman" w:cs="Times New Roman" w:eastAsia="Times New Roman" w:hAnsi="Times New Roman"/>
                <w:sz w:val="14"/>
                <w:szCs w:val="14"/>
                <w:color w:val="auto"/>
              </w:rPr>
              <w:t>Synthetic Instrument Adjusted</w:t>
            </w:r>
          </w:p>
        </w:tc>
        <w:tc>
          <w:tcPr>
            <w:tcW w:w="0" w:type="dxa"/>
            <w:vAlign w:val="bottom"/>
          </w:tcPr>
          <w:p>
            <w:pPr>
              <w:spacing w:after="0"/>
              <w:rPr>
                <w:sz w:val="1"/>
                <w:szCs w:val="1"/>
                <w:color w:val="auto"/>
              </w:rPr>
            </w:pPr>
          </w:p>
        </w:tc>
      </w:tr>
      <w:tr>
        <w:trPr>
          <w:trHeight w:val="178"/>
        </w:trPr>
        <w:tc>
          <w:tcPr>
            <w:tcW w:w="1320" w:type="dxa"/>
            <w:vAlign w:val="bottom"/>
            <w:tcBorders>
              <w:bottom w:val="single" w:sz="8" w:color="auto"/>
            </w:tcBorders>
            <w:vMerge w:val="continue"/>
          </w:tcPr>
          <w:p>
            <w:pPr>
              <w:spacing w:after="0"/>
              <w:rPr>
                <w:sz w:val="15"/>
                <w:szCs w:val="15"/>
                <w:color w:val="auto"/>
              </w:rPr>
            </w:pPr>
          </w:p>
        </w:tc>
        <w:tc>
          <w:tcPr>
            <w:tcW w:w="3360" w:type="dxa"/>
            <w:vAlign w:val="bottom"/>
          </w:tcPr>
          <w:p>
            <w:pPr>
              <w:spacing w:after="0"/>
              <w:rPr>
                <w:sz w:val="15"/>
                <w:szCs w:val="15"/>
                <w:color w:val="auto"/>
              </w:rPr>
            </w:pPr>
          </w:p>
        </w:tc>
        <w:tc>
          <w:tcPr>
            <w:tcW w:w="2800" w:type="dxa"/>
            <w:vAlign w:val="bottom"/>
            <w:gridSpan w:val="2"/>
          </w:tcPr>
          <w:p>
            <w:pPr>
              <w:jc w:val="right"/>
              <w:ind w:right="710"/>
              <w:spacing w:after="0" w:line="158" w:lineRule="exact"/>
              <w:rPr>
                <w:sz w:val="20"/>
                <w:szCs w:val="20"/>
                <w:color w:val="auto"/>
              </w:rPr>
            </w:pPr>
            <w:r>
              <w:rPr>
                <w:rFonts w:ascii="Times New Roman" w:cs="Times New Roman" w:eastAsia="Times New Roman" w:hAnsi="Times New Roman"/>
                <w:sz w:val="14"/>
                <w:szCs w:val="14"/>
                <w:color w:val="auto"/>
              </w:rPr>
              <w:t>Issue Price per Exchangeable Note</w:t>
            </w:r>
          </w:p>
        </w:tc>
        <w:tc>
          <w:tcPr>
            <w:tcW w:w="0" w:type="dxa"/>
            <w:vAlign w:val="bottom"/>
          </w:tcPr>
          <w:p>
            <w:pPr>
              <w:spacing w:after="0"/>
              <w:rPr>
                <w:sz w:val="1"/>
                <w:szCs w:val="1"/>
                <w:color w:val="auto"/>
              </w:rPr>
            </w:pPr>
          </w:p>
        </w:tc>
      </w:tr>
      <w:tr>
        <w:trPr>
          <w:trHeight w:val="203"/>
        </w:trPr>
        <w:tc>
          <w:tcPr>
            <w:tcW w:w="1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11, 2024</w:t>
            </w:r>
          </w:p>
        </w:tc>
        <w:tc>
          <w:tcPr>
            <w:tcW w:w="33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USD[</w:t>
            </w:r>
          </w:p>
        </w:tc>
        <w:tc>
          <w:tcPr>
            <w:tcW w:w="8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_______]</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July 15, 2024</w:t>
            </w:r>
          </w:p>
        </w:tc>
        <w:tc>
          <w:tcPr>
            <w:tcW w:w="33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2025</w:t>
            </w:r>
          </w:p>
        </w:tc>
        <w:tc>
          <w:tcPr>
            <w:tcW w:w="33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July 15, 2025</w:t>
            </w:r>
          </w:p>
        </w:tc>
        <w:tc>
          <w:tcPr>
            <w:tcW w:w="33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2026</w:t>
            </w:r>
          </w:p>
        </w:tc>
        <w:tc>
          <w:tcPr>
            <w:tcW w:w="33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July 15, 2026</w:t>
            </w:r>
          </w:p>
        </w:tc>
        <w:tc>
          <w:tcPr>
            <w:tcW w:w="33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2027</w:t>
            </w:r>
          </w:p>
        </w:tc>
        <w:tc>
          <w:tcPr>
            <w:tcW w:w="33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July 15, 2027</w:t>
            </w:r>
          </w:p>
        </w:tc>
        <w:tc>
          <w:tcPr>
            <w:tcW w:w="33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2028</w:t>
            </w:r>
          </w:p>
        </w:tc>
        <w:tc>
          <w:tcPr>
            <w:tcW w:w="33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July 15, 2028</w:t>
            </w:r>
          </w:p>
        </w:tc>
        <w:tc>
          <w:tcPr>
            <w:tcW w:w="33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2029</w:t>
            </w:r>
          </w:p>
        </w:tc>
        <w:tc>
          <w:tcPr>
            <w:tcW w:w="33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979" w:right="80" w:hanging="533"/>
        <w:spacing w:after="0" w:line="272" w:lineRule="auto"/>
        <w:tabs>
          <w:tab w:leader="none" w:pos="979"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in determining the amount payable in respect of such Affected Transaction pursuant to Section 6 of the Agreement, the Calculation Agent shall assume that (x) the relevant Early Exchange and any exchanges, adjustments, agreements, payments, deliveries or acquisitions by or on behalf of Counterparty or Parent leading thereto had not occurred,</w:t>
      </w:r>
    </w:p>
    <w:p>
      <w:pPr>
        <w:spacing w:after="0" w:line="1" w:lineRule="exact"/>
        <w:rPr>
          <w:rFonts w:ascii="Times New Roman" w:cs="Times New Roman" w:eastAsia="Times New Roman" w:hAnsi="Times New Roman"/>
          <w:sz w:val="17"/>
          <w:szCs w:val="17"/>
          <w:color w:val="auto"/>
        </w:rPr>
      </w:pPr>
    </w:p>
    <w:p>
      <w:pPr>
        <w:ind w:left="97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no adjustments to the “Exchange Rate” (as such term is defined in the Indenture) have occurred pursuant to any Excluded Provision and (z) the corresponding Exchangeable Notes remain outstanding; and</w:t>
      </w:r>
    </w:p>
    <w:p>
      <w:pPr>
        <w:spacing w:after="0" w:line="86" w:lineRule="exact"/>
        <w:rPr>
          <w:rFonts w:ascii="Times New Roman" w:cs="Times New Roman" w:eastAsia="Times New Roman" w:hAnsi="Times New Roman"/>
          <w:sz w:val="17"/>
          <w:szCs w:val="17"/>
          <w:color w:val="auto"/>
        </w:rPr>
      </w:pPr>
    </w:p>
    <w:p>
      <w:pPr>
        <w:ind w:left="979" w:right="480" w:hanging="533"/>
        <w:spacing w:after="0" w:line="282" w:lineRule="auto"/>
        <w:tabs>
          <w:tab w:leader="none" w:pos="979"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Exchange Date for such Early Exchange, the Number of Options shall be reduced by the Affected Number of Options.</w:t>
      </w:r>
    </w:p>
    <w:p>
      <w:pPr>
        <w:spacing w:after="0" w:line="67" w:lineRule="exact"/>
        <w:rPr>
          <w:rFonts w:ascii="Times New Roman" w:cs="Times New Roman" w:eastAsia="Times New Roman" w:hAnsi="Times New Roman"/>
          <w:sz w:val="18"/>
          <w:szCs w:val="18"/>
          <w:color w:val="auto"/>
        </w:rPr>
      </w:pPr>
    </w:p>
    <w:p>
      <w:pPr>
        <w:ind w:left="439" w:hanging="439"/>
        <w:spacing w:after="0" w:line="270" w:lineRule="auto"/>
        <w:tabs>
          <w:tab w:leader="none" w:pos="439"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Confirmation, if an event of default with respect to Counterparty or Parent occurs under the terms of the Exchangeable Notes as set forth in Section 6.01 of the Indenture and the Exchangeable Notes are declared due and payable as a result thereof, then such event of default shall constitute an Additional Termination Event applicable to the Transaction and, with respect to such Additional Termination Event, (A) Counterparty shall be deemed to be the sole Affected Party,</w:t>
      </w:r>
    </w:p>
    <w:p>
      <w:pPr>
        <w:spacing w:after="0" w:line="2" w:lineRule="exact"/>
        <w:rPr>
          <w:rFonts w:ascii="Times New Roman" w:cs="Times New Roman" w:eastAsia="Times New Roman" w:hAnsi="Times New Roman"/>
          <w:sz w:val="17"/>
          <w:szCs w:val="17"/>
          <w:color w:val="auto"/>
        </w:rPr>
      </w:pPr>
    </w:p>
    <w:p>
      <w:pPr>
        <w:ind w:left="439" w:right="880" w:hanging="7"/>
        <w:spacing w:after="0" w:line="260" w:lineRule="auto"/>
        <w:tabs>
          <w:tab w:leader="none" w:pos="72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be the sole Affected Transaction and (C) Dealer shall be the party entitled to designate an Early Termination Date pursuant to Section 6(b) of the Agreement.</w:t>
      </w:r>
    </w:p>
    <w:p>
      <w:pPr>
        <w:spacing w:after="0" w:line="11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999"/>
          </w:cols>
          <w:pgMar w:left="1421" w:top="270" w:right="479" w:bottom="1440" w:gutter="0" w:footer="0" w:header="0"/>
        </w:sectPr>
      </w:pPr>
    </w:p>
    <w:bookmarkStart w:id="158" w:name="page159"/>
    <w:bookmarkEnd w:id="158"/>
    <w:p>
      <w:pPr>
        <w:ind w:left="1424" w:right="20" w:hanging="439"/>
        <w:spacing w:after="0" w:line="253" w:lineRule="auto"/>
        <w:tabs>
          <w:tab w:leader="none" w:pos="142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Times New Roman" w:cs="Times New Roman" w:eastAsia="Times New Roman" w:hAnsi="Times New Roman"/>
          <w:sz w:val="18"/>
          <w:szCs w:val="18"/>
          <w:b w:val="1"/>
          <w:bCs w:val="1"/>
          <w:color w:val="auto"/>
        </w:rPr>
        <w:t>Amendment Event</w:t>
      </w:r>
      <w:r>
        <w:rPr>
          <w:rFonts w:ascii="Times New Roman" w:cs="Times New Roman" w:eastAsia="Times New Roman" w:hAnsi="Times New Roman"/>
          <w:sz w:val="18"/>
          <w:szCs w:val="18"/>
          <w:color w:val="auto"/>
        </w:rPr>
        <w:t>” means that Counterparty and/or Parent amends, modifies, supplements, waives or obtains a waiver in respect of any term of the Indenture or the Exchangeable Notes governing the principal amount, coupon, maturity, repurchase obligation of Counterparty, redemption right of Counterparty, any term relating to exchange of the Exchangeable Notes (including changes to the exchange rate, exchange rate adjustment provisions, exchange settlement dates or exchange conditions), or any term that would require consent of the holders of not less than 100% of the principal amount of the Exchangeable Notes to amend (other than, in each case, any amendment or supplement (x) pursuant to Section 10.01(a) of the Indenture that, as determined by the Calculation Agent, conforms the Indenture to the description of Exchangeable Notes in the Offering Memorandum or (y) pursuant to Section 14.07 of the Indenture), in each case, without the consent of Dealer.</w:t>
      </w:r>
    </w:p>
    <w:p>
      <w:pPr>
        <w:spacing w:after="0" w:line="95" w:lineRule="exact"/>
        <w:rPr>
          <w:rFonts w:ascii="Times New Roman" w:cs="Times New Roman" w:eastAsia="Times New Roman" w:hAnsi="Times New Roman"/>
          <w:sz w:val="18"/>
          <w:szCs w:val="18"/>
          <w:color w:val="auto"/>
        </w:rPr>
      </w:pPr>
    </w:p>
    <w:p>
      <w:pPr>
        <w:ind w:left="1424" w:hanging="439"/>
        <w:spacing w:after="0" w:line="242" w:lineRule="auto"/>
        <w:tabs>
          <w:tab w:leader="none" w:pos="142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Scheduled Trading Days following any Repayment Event (as defined below), Counterparty (i) shall (solely to the extent that such Repayment Event results directly from a “Fundamental Change” (as such term is defined in the Indenture) or an “Optional Redemption” (as such term is defined in the Indenture)), and (ii) otherwise may, but shall not be obligated to, notify Dealer of such Repayment Event and the aggregate principal amount of Exchangeable Notes subject to such Repayment Event (any such notice, a “</w:t>
      </w:r>
      <w:r>
        <w:rPr>
          <w:rFonts w:ascii="Times New Roman" w:cs="Times New Roman" w:eastAsia="Times New Roman" w:hAnsi="Times New Roman"/>
          <w:sz w:val="18"/>
          <w:szCs w:val="18"/>
          <w:b w:val="1"/>
          <w:bCs w:val="1"/>
          <w:color w:val="auto"/>
        </w:rPr>
        <w:t>Repayment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(ii) only, such Repayment Notice shall contain the representation and warranty by each of Counterparty and Parent that each such person is not, on the date thereof, aware of any material non-public information with respect to Counterparty, Parent or the Shares[;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“Repayment Notice” delivered to Dealer pursuant to the Base Call Option Confirmation shall deemed to be a Repayment Notice pursuant to this Confirmation and the terms of such Repayment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The receipt by Dealer from Counterparty of any Repayment Notice, within the applicable time period set forth in the preceding sentence, shall constitute an Additional Termination Event as provided in this paragraph, it being understood that no Repayment Event shall constitute an Additional Termination Event hereunder unless Dealer has so received such Repayment Notice. Upon receipt of any such Repayment Notice, Dealer shall designate an Exchange Business Day following receipt of such Repayment Notice (which in no event shall be earlier than the date on which the relevant Repayment Event occurs or is consummated)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Repayment Options</w:t>
      </w:r>
      <w:r>
        <w:rPr>
          <w:rFonts w:ascii="Times New Roman" w:cs="Times New Roman" w:eastAsia="Times New Roman" w:hAnsi="Times New Roman"/>
          <w:sz w:val="18"/>
          <w:szCs w:val="18"/>
          <w:color w:val="auto"/>
        </w:rPr>
        <w:t xml:space="preserve">”) equal to the lesser of (A) [(x)] the aggregate principal amount of such Exchangeable Notes specified in such Repayment Notice,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USD 1,000,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number of “Repayment Options” (as defined in the Base Call Option Confirmation), if any, that relate to such Exchangeable Notes (and for the purposes of determining whether any Options under this Confirmation or under the Base Call Option Confirmation will be among the Repayment Options hereunder or under, and as defined in, the Base Call Option Confirmation, the Exchangeable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color w:val="auto"/>
        </w:rPr>
        <w:t>,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8"/>
          <w:szCs w:val="18"/>
          <w:b w:val="1"/>
          <w:bCs w:val="1"/>
          <w:color w:val="auto"/>
        </w:rPr>
        <w:t>Repayment Unwind Payment</w:t>
      </w:r>
      <w:r>
        <w:rPr>
          <w:rFonts w:ascii="Times New Roman" w:cs="Times New Roman" w:eastAsia="Times New Roman" w:hAnsi="Times New Roman"/>
          <w:sz w:val="18"/>
          <w:szCs w:val="18"/>
          <w:color w:val="auto"/>
        </w:rPr>
        <w:t>”) shall be calculated pursuant to Section 6 of the Agreement as if (1) an Early Termination Date had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2" w:lineRule="exact"/>
        <w:rPr>
          <w:sz w:val="20"/>
          <w:szCs w:val="20"/>
          <w:color w:val="auto"/>
        </w:rPr>
      </w:pPr>
    </w:p>
    <w:p>
      <w:pPr>
        <w:ind w:left="424" w:hanging="424"/>
        <w:spacing w:after="0"/>
        <w:tabs>
          <w:tab w:leader="none" w:pos="424" w:val="left"/>
        </w:tabs>
        <w:numPr>
          <w:ilvl w:val="0"/>
          <w:numId w:val="1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Additional Call Option Confirmation.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159" w:name="page160"/>
    <w:bookmarkEnd w:id="159"/>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was the sole Affected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 Repayment Event resulting from a “Fundamental Change” (as such term is defined in the Indenture) or in connection with an “Optional Redemption” (as such term is defined in the Indenture), the Repayment Unwind Payment shall not be greater than (x) the number of Repayment Options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(y) the product of (A) the Applicable Percentage and (B) (x) the amount paid by Counterparty per Exchangeable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connection with the relevant Repayment Event pursuant to the relevant sections of the Indenture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Repayment Synthetic Instrument Adjusted Issue Price per Exchangeable Note, as determined by the Calculation Agent in good faith and in a commercially reasonable manner. “</w:t>
      </w:r>
      <w:r>
        <w:rPr>
          <w:rFonts w:ascii="Times New Roman" w:cs="Times New Roman" w:eastAsia="Times New Roman" w:hAnsi="Times New Roman"/>
          <w:sz w:val="18"/>
          <w:szCs w:val="18"/>
          <w:b w:val="1"/>
          <w:bCs w:val="1"/>
          <w:color w:val="auto"/>
        </w:rPr>
        <w:t>Repayment Synthetic Instrument Adjusted Issue Price per Exchangeable Note</w:t>
      </w:r>
      <w:r>
        <w:rPr>
          <w:rFonts w:ascii="Times New Roman" w:cs="Times New Roman" w:eastAsia="Times New Roman" w:hAnsi="Times New Roman"/>
          <w:sz w:val="18"/>
          <w:szCs w:val="18"/>
          <w:color w:val="auto"/>
        </w:rPr>
        <w:t>” shall mean the amount determined by the Calculation Agent utilizing the numbers in the table set forth below based on the date of payment of the amount due with respect to the relevant Repayment Options (the “</w:t>
      </w:r>
      <w:r>
        <w:rPr>
          <w:rFonts w:ascii="Times New Roman" w:cs="Times New Roman" w:eastAsia="Times New Roman" w:hAnsi="Times New Roman"/>
          <w:sz w:val="18"/>
          <w:szCs w:val="18"/>
          <w:b w:val="1"/>
          <w:bCs w:val="1"/>
          <w:color w:val="auto"/>
        </w:rPr>
        <w:t>Repayment Unwind Date</w:t>
      </w:r>
      <w:r>
        <w:rPr>
          <w:rFonts w:ascii="Times New Roman" w:cs="Times New Roman" w:eastAsia="Times New Roman" w:hAnsi="Times New Roman"/>
          <w:sz w:val="18"/>
          <w:szCs w:val="18"/>
          <w:color w:val="auto"/>
        </w:rPr>
        <w:t>”). If the Repayment Unwind Date is not listed below, the amount in the preceding sentence shall be determined by the Calculation Agent by reference to the table below using a linear interpolation between the lower and higher Repayment Synthetic Instrument Adjusted Issue Prices per Exchangeable Note for the dates immediately preceding and immediately following the Repayment Unwind Date. For the avoidance of doubt, any payment pursuant to this paragraph shall be subject to Section 9(l) of this Confirmation.</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800" w:type="dxa"/>
            <w:vAlign w:val="bottom"/>
            <w:gridSpan w:val="2"/>
          </w:tcPr>
          <w:p>
            <w:pPr>
              <w:jc w:val="center"/>
              <w:ind w:right="710"/>
              <w:spacing w:after="0"/>
              <w:rPr>
                <w:sz w:val="20"/>
                <w:szCs w:val="20"/>
                <w:color w:val="auto"/>
              </w:rPr>
            </w:pPr>
            <w:r>
              <w:rPr>
                <w:rFonts w:ascii="Times New Roman" w:cs="Times New Roman" w:eastAsia="Times New Roman" w:hAnsi="Times New Roman"/>
                <w:sz w:val="14"/>
                <w:szCs w:val="14"/>
                <w:color w:val="auto"/>
              </w:rPr>
              <w:t>Repayment Synthetic Instrument</w:t>
            </w:r>
          </w:p>
        </w:tc>
        <w:tc>
          <w:tcPr>
            <w:tcW w:w="0" w:type="dxa"/>
            <w:vAlign w:val="bottom"/>
          </w:tcPr>
          <w:p>
            <w:pPr>
              <w:spacing w:after="0"/>
              <w:rPr>
                <w:sz w:val="1"/>
                <w:szCs w:val="1"/>
                <w:color w:val="auto"/>
              </w:rPr>
            </w:pPr>
          </w:p>
        </w:tc>
      </w:tr>
      <w:tr>
        <w:trPr>
          <w:trHeight w:val="148"/>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Repayment Affected Unwind Date</w:t>
            </w:r>
          </w:p>
        </w:tc>
        <w:tc>
          <w:tcPr>
            <w:tcW w:w="2660" w:type="dxa"/>
            <w:vAlign w:val="bottom"/>
          </w:tcPr>
          <w:p>
            <w:pPr>
              <w:spacing w:after="0"/>
              <w:rPr>
                <w:sz w:val="12"/>
                <w:szCs w:val="12"/>
                <w:color w:val="auto"/>
              </w:rPr>
            </w:pPr>
          </w:p>
        </w:tc>
        <w:tc>
          <w:tcPr>
            <w:tcW w:w="2800" w:type="dxa"/>
            <w:vAlign w:val="bottom"/>
            <w:gridSpan w:val="2"/>
          </w:tcPr>
          <w:p>
            <w:pPr>
              <w:jc w:val="center"/>
              <w:ind w:right="710"/>
              <w:spacing w:after="0" w:line="149" w:lineRule="exact"/>
              <w:rPr>
                <w:sz w:val="20"/>
                <w:szCs w:val="20"/>
                <w:color w:val="auto"/>
              </w:rPr>
            </w:pPr>
            <w:r>
              <w:rPr>
                <w:rFonts w:ascii="Times New Roman" w:cs="Times New Roman" w:eastAsia="Times New Roman" w:hAnsi="Times New Roman"/>
                <w:sz w:val="14"/>
                <w:szCs w:val="14"/>
                <w:color w:val="auto"/>
              </w:rPr>
              <w:t>Adjusted</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auto"/>
            </w:tcBorders>
            <w:vMerge w:val="continue"/>
          </w:tcPr>
          <w:p>
            <w:pPr>
              <w:spacing w:after="0"/>
              <w:rPr>
                <w:sz w:val="15"/>
                <w:szCs w:val="15"/>
                <w:color w:val="auto"/>
              </w:rPr>
            </w:pPr>
          </w:p>
        </w:tc>
        <w:tc>
          <w:tcPr>
            <w:tcW w:w="2660" w:type="dxa"/>
            <w:vAlign w:val="bottom"/>
          </w:tcPr>
          <w:p>
            <w:pPr>
              <w:spacing w:after="0"/>
              <w:rPr>
                <w:sz w:val="15"/>
                <w:szCs w:val="15"/>
                <w:color w:val="auto"/>
              </w:rPr>
            </w:pPr>
          </w:p>
        </w:tc>
        <w:tc>
          <w:tcPr>
            <w:tcW w:w="2800" w:type="dxa"/>
            <w:vAlign w:val="bottom"/>
            <w:gridSpan w:val="2"/>
          </w:tcPr>
          <w:p>
            <w:pPr>
              <w:jc w:val="center"/>
              <w:ind w:right="710"/>
              <w:spacing w:after="0" w:line="158" w:lineRule="exact"/>
              <w:rPr>
                <w:sz w:val="20"/>
                <w:szCs w:val="20"/>
                <w:color w:val="auto"/>
              </w:rPr>
            </w:pPr>
            <w:r>
              <w:rPr>
                <w:rFonts w:ascii="Times New Roman" w:cs="Times New Roman" w:eastAsia="Times New Roman" w:hAnsi="Times New Roman"/>
                <w:sz w:val="14"/>
                <w:szCs w:val="14"/>
                <w:color w:val="auto"/>
              </w:rPr>
              <w:t>Issue Price per Exchangeable Note</w:t>
            </w:r>
          </w:p>
        </w:tc>
        <w:tc>
          <w:tcPr>
            <w:tcW w:w="0" w:type="dxa"/>
            <w:vAlign w:val="bottom"/>
          </w:tcPr>
          <w:p>
            <w:pPr>
              <w:spacing w:after="0"/>
              <w:rPr>
                <w:sz w:val="1"/>
                <w:szCs w:val="1"/>
                <w:color w:val="auto"/>
              </w:rPr>
            </w:pPr>
          </w:p>
        </w:tc>
      </w:tr>
      <w:tr>
        <w:trPr>
          <w:trHeight w:val="203"/>
        </w:trPr>
        <w:tc>
          <w:tcPr>
            <w:tcW w:w="20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11, 2024</w:t>
            </w:r>
          </w:p>
        </w:tc>
        <w:tc>
          <w:tcPr>
            <w:tcW w:w="26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1640"/>
              <w:spacing w:after="0" w:line="203" w:lineRule="exact"/>
              <w:rPr>
                <w:sz w:val="20"/>
                <w:szCs w:val="20"/>
                <w:color w:val="auto"/>
              </w:rPr>
            </w:pPr>
            <w:r>
              <w:rPr>
                <w:rFonts w:ascii="Times New Roman" w:cs="Times New Roman" w:eastAsia="Times New Roman" w:hAnsi="Times New Roman"/>
                <w:sz w:val="18"/>
                <w:szCs w:val="18"/>
                <w:color w:val="auto"/>
                <w:w w:val="80"/>
              </w:rPr>
              <w:t>USD[</w:t>
            </w:r>
          </w:p>
        </w:tc>
        <w:tc>
          <w:tcPr>
            <w:tcW w:w="8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_______]</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15, 2024</w:t>
            </w:r>
          </w:p>
        </w:tc>
        <w:tc>
          <w:tcPr>
            <w:tcW w:w="26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2025</w:t>
            </w:r>
          </w:p>
        </w:tc>
        <w:tc>
          <w:tcPr>
            <w:tcW w:w="26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15, 2025</w:t>
            </w:r>
          </w:p>
        </w:tc>
        <w:tc>
          <w:tcPr>
            <w:tcW w:w="26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2026</w:t>
            </w:r>
          </w:p>
        </w:tc>
        <w:tc>
          <w:tcPr>
            <w:tcW w:w="26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15, 2026</w:t>
            </w:r>
          </w:p>
        </w:tc>
        <w:tc>
          <w:tcPr>
            <w:tcW w:w="26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2027</w:t>
            </w:r>
          </w:p>
        </w:tc>
        <w:tc>
          <w:tcPr>
            <w:tcW w:w="26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15, 2027</w:t>
            </w:r>
          </w:p>
        </w:tc>
        <w:tc>
          <w:tcPr>
            <w:tcW w:w="26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2028</w:t>
            </w:r>
          </w:p>
        </w:tc>
        <w:tc>
          <w:tcPr>
            <w:tcW w:w="26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15, 2028</w:t>
            </w:r>
          </w:p>
        </w:tc>
        <w:tc>
          <w:tcPr>
            <w:tcW w:w="266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2029</w:t>
            </w:r>
          </w:p>
        </w:tc>
        <w:tc>
          <w:tcPr>
            <w:tcW w:w="26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USD[_______]</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For the avoidance of doubt, solely for purposes of calculating the amount payable pursuant to Section 6 of the Agreement pursuant to the immediately preceding sentence, Dealer shall assume that the relevant Repayment Event (and, if applicable, the related “Fundamental Change” (as such term is defined in the Indenture) and the announcement of such “Fundamental Change” (as such term is defined in the Indenture)) had not occurred.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Exchangeable Notes are repurchased and cancelled in accordance with the Indenture (whether in connection with or as a result of a “Fundamental Change” (as such term is defined in the Indenture), upon an “Optional Redemption” (as such term is defined in the Indenture) or for any other reason) by Counterparty, Parent or any of their respective subsidiaries, (ii) any Exchangeable Notes are delivered to Counterparty, Parent or any of their respective subsidiaries in exchange for delivery of any property or assets of such party (howsoever described), (iii) any principal of any of the Exchangeable Notes is repaid prior to the final maturity date of the Exchangeable Notes (for any reason other than as a result of an acceleration of the</w:t>
      </w:r>
    </w:p>
    <w:p>
      <w:pPr>
        <w:spacing w:after="0" w:line="1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980"/>
          </w:cols>
          <w:pgMar w:left="1440" w:top="270" w:right="479" w:bottom="1440" w:gutter="0" w:footer="0" w:header="0"/>
        </w:sectPr>
      </w:pPr>
    </w:p>
    <w:bookmarkStart w:id="160" w:name="page161"/>
    <w:bookmarkEnd w:id="160"/>
    <w:p>
      <w:pPr>
        <w:ind w:left="100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Exchangeable Notes that results in an Additional Termination Event pursuant to the preceding Section 9(i)(ii)), or (iv) any Exchangeable Notes are exchanged by or for the benefit of the holders thereof for any other securities of Counterparty, Parent or any of their respective subsidiaries (or any other property, or any combination thereof) pursuant to any exchange offer or similar transaction. For the avoidance of doubt, any exchange of Exchangeable Notes (whether into cash, Shares, reference property or any combination thereof) pursuant to the terms of the Indenture shall not constitute a Repayment Event. In addition, each of Counterparty and Parent acknowledges, based on advice of outside counsel, its responsibilities under applicable securities laws, including, in particular, Sections 9 and 10(b) of the Exchange Act and the rules and regulations thereunder in respect of the Repayment Event, including, without limitation, the delivery of a Repayment Notice hereunder.</w:t>
      </w:r>
    </w:p>
    <w:p>
      <w:pPr>
        <w:spacing w:after="0" w:line="95" w:lineRule="exact"/>
        <w:rPr>
          <w:sz w:val="20"/>
          <w:szCs w:val="20"/>
          <w:color w:val="auto"/>
        </w:rPr>
      </w:pPr>
    </w:p>
    <w:p>
      <w:pPr>
        <w:ind w:left="540" w:hanging="532"/>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 Agreement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hanging="439"/>
        <w:spacing w:after="0" w:line="256" w:lineRule="auto"/>
        <w:tabs>
          <w:tab w:leader="none" w:pos="10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the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(a) an observable market, other than the market for Issuer’s own stock or (b) an observable index, other than an index calculated and measured solely by reference to Issuer’s own operations.”.</w:t>
      </w:r>
    </w:p>
    <w:p>
      <w:pPr>
        <w:spacing w:after="0" w:line="92"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replacing “notice to the other party” with “notice to Counterparty” in the first sentence of such Section.</w:t>
      </w:r>
    </w:p>
    <w:p>
      <w:pPr>
        <w:spacing w:after="0" w:line="112" w:lineRule="exact"/>
        <w:rPr>
          <w:rFonts w:ascii="Times New Roman" w:cs="Times New Roman" w:eastAsia="Times New Roman" w:hAnsi="Times New Roman"/>
          <w:sz w:val="18"/>
          <w:szCs w:val="18"/>
          <w:color w:val="auto"/>
        </w:rPr>
      </w:pPr>
    </w:p>
    <w:p>
      <w:pPr>
        <w:jc w:val="both"/>
        <w:ind w:left="1000" w:right="100" w:hanging="439"/>
        <w:spacing w:after="0" w:line="266" w:lineRule="auto"/>
        <w:tabs>
          <w:tab w:leader="none" w:pos="10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79"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Setoff.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any provision of the Agreement and this Confirmation (including without limitation this Section 9(k))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the parties to the contrary, each party waives any and all rights it may have to set off obligations arising under the Agreement and the Transaction against other obligations between the parties, whether arising under any other agreement, applicable law or otherwise.</w:t>
      </w:r>
    </w:p>
    <w:p>
      <w:pPr>
        <w:spacing w:after="0" w:line="85" w:lineRule="exact"/>
        <w:rPr>
          <w:rFonts w:ascii="Times New Roman" w:cs="Times New Roman" w:eastAsia="Times New Roman" w:hAnsi="Times New Roman"/>
          <w:sz w:val="18"/>
          <w:szCs w:val="18"/>
          <w:color w:val="auto"/>
        </w:rPr>
      </w:pPr>
    </w:p>
    <w:p>
      <w:pPr>
        <w:ind w:left="540" w:right="140" w:hanging="532"/>
        <w:spacing w:after="0" w:line="253"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an Announcement Event, Merger Event or Tender Offer that is within Counterparty’s control, or (iii) an Event of Default in which Counterparty is the Defaulting Party or a Termination Event in which Counterparty is the sole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600"/>
          </w:cols>
          <w:pgMar w:left="860" w:top="270" w:right="439" w:bottom="1440" w:gutter="0" w:footer="0" w:header="0"/>
        </w:sectPr>
      </w:pPr>
    </w:p>
    <w:bookmarkStart w:id="161" w:name="page162"/>
    <w:bookmarkEnd w:id="161"/>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Announcement Event, Merger Date, Tender Offer Date, Announcement Date (in the case of a Nationalization, Insolvency or Delisting), Early Termination Date or date of cancellation, as applicable, of its election that the Share Termination Alternative shall not apply, (b) each of Counterparty and Parent remakes the representation set forth in Section 8(c) of this Confirmation as of the date of such election and</w:t>
      </w:r>
    </w:p>
    <w:p>
      <w:pPr>
        <w:spacing w:after="0" w:line="2" w:lineRule="exact"/>
        <w:rPr>
          <w:sz w:val="20"/>
          <w:szCs w:val="20"/>
          <w:color w:val="auto"/>
        </w:rPr>
      </w:pPr>
    </w:p>
    <w:p>
      <w:pPr>
        <w:ind w:right="640" w:firstLine="1"/>
        <w:spacing w:after="0" w:line="260" w:lineRule="auto"/>
        <w:tabs>
          <w:tab w:leader="none" w:pos="24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agrees, in its sole discretion, to such election, in which case the provisions of Section 12.7 or Section 12.9 of the Equity Definitions, or the provisions of Section 6(d)(ii) of the Agreement, as the case may be, shall apply.</w:t>
      </w:r>
    </w:p>
    <w:p>
      <w:pPr>
        <w:sectPr>
          <w:pgSz w:w="11900" w:h="16838" w:orient="portrait"/>
          <w:cols w:equalWidth="0" w:num="1">
            <w:col w:w="10020"/>
          </w:cols>
          <w:pgMar w:left="1420" w:top="270" w:right="459" w:bottom="1440" w:gutter="0" w:footer="0" w:header="0"/>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75" w:lineRule="exact"/>
        <w:rPr>
          <w:sz w:val="20"/>
          <w:szCs w:val="20"/>
          <w:color w:val="auto"/>
        </w:rPr>
      </w:pPr>
    </w:p>
    <w:p>
      <w:pPr>
        <w:sectPr>
          <w:pgSz w:w="11900" w:h="16838" w:orient="portrait"/>
          <w:cols w:equalWidth="0" w:num="2">
            <w:col w:w="2500" w:space="720"/>
            <w:col w:w="6800"/>
          </w:cols>
          <w:pgMar w:left="1420" w:top="27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75" w:lineRule="exact"/>
        <w:rPr>
          <w:sz w:val="20"/>
          <w:szCs w:val="20"/>
          <w:color w:val="auto"/>
        </w:rPr>
      </w:pPr>
    </w:p>
    <w:p>
      <w:pPr>
        <w:sectPr>
          <w:pgSz w:w="11900" w:h="16838" w:orient="portrait"/>
          <w:cols w:equalWidth="0" w:num="2">
            <w:col w:w="2740" w:space="480"/>
            <w:col w:w="6800"/>
          </w:cols>
          <w:pgMar w:left="1420" w:top="27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ind w:right="240"/>
        <w:spacing w:after="0" w:line="255"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81" w:lineRule="exact"/>
        <w:rPr>
          <w:sz w:val="20"/>
          <w:szCs w:val="20"/>
          <w:color w:val="auto"/>
        </w:rPr>
      </w:pPr>
    </w:p>
    <w:p>
      <w:pPr>
        <w:sectPr>
          <w:pgSz w:w="11900" w:h="16838" w:orient="portrait"/>
          <w:cols w:equalWidth="0" w:num="2">
            <w:col w:w="2500" w:space="720"/>
            <w:col w:w="6800"/>
          </w:cols>
          <w:pgMar w:left="1420" w:top="27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 that was purchased in connection with the delivery of the Share Termination Delivery Units.</w:t>
      </w:r>
    </w:p>
    <w:p>
      <w:pPr>
        <w:spacing w:after="0" w:line="121" w:lineRule="exact"/>
        <w:rPr>
          <w:sz w:val="20"/>
          <w:szCs w:val="20"/>
          <w:color w:val="auto"/>
        </w:rPr>
      </w:pPr>
    </w:p>
    <w:p>
      <w:pPr>
        <w:sectPr>
          <w:pgSz w:w="11900" w:h="16838" w:orient="portrait"/>
          <w:cols w:equalWidth="0" w:num="2">
            <w:col w:w="2500" w:space="720"/>
            <w:col w:w="6800"/>
          </w:cols>
          <w:pgMar w:left="1420" w:top="270" w:right="459" w:bottom="1440" w:gutter="0" w:footer="0" w:header="0"/>
          <w:type w:val="continuous"/>
        </w:sectPr>
      </w:pPr>
    </w:p>
    <w:p>
      <w:pPr>
        <w:ind w:left="44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020"/>
          </w:cols>
          <w:pgMar w:left="1420" w:top="270" w:right="459" w:bottom="1440" w:gutter="0" w:footer="0" w:header="0"/>
          <w:type w:val="continuous"/>
        </w:sectPr>
      </w:pPr>
    </w:p>
    <w:bookmarkStart w:id="162" w:name="page163"/>
    <w:bookmarkEnd w:id="162"/>
    <w:p>
      <w:pPr>
        <w:ind w:left="580"/>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-213360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060" w:space="720"/>
            <w:col w:w="6800"/>
          </w:cols>
          <w:pgMar w:left="860" w:top="270" w:right="459" w:bottom="1440" w:gutter="0" w:footer="0" w:header="0"/>
        </w:sectPr>
      </w:pPr>
    </w:p>
    <w:p>
      <w:pPr>
        <w:ind w:left="58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Times New Roman" w:cs="Times New Roman" w:eastAsia="Times New Roman" w:hAnsi="Times New Roman"/>
          <w:sz w:val="17"/>
          <w:szCs w:val="17"/>
          <w:color w:val="auto"/>
        </w:rPr>
        <w:t>If Share Termination Alternative is applicable, the provisions of Sections 9.8, 9.9 and 9.11 (as modified above) of the Equity Definitions and the provisions set forth opposite the caption “Representation and Agreement” in Section 2 of this Confirmation will be applicable, except that all references in such provisions to “Physical Settlement” or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75" w:lineRule="exact"/>
        <w:rPr>
          <w:sz w:val="20"/>
          <w:szCs w:val="20"/>
          <w:color w:val="auto"/>
        </w:rPr>
      </w:pPr>
    </w:p>
    <w:p>
      <w:pPr>
        <w:sectPr>
          <w:pgSz w:w="11900" w:h="16838" w:orient="portrait"/>
          <w:cols w:equalWidth="0" w:num="2">
            <w:col w:w="3060" w:space="720"/>
            <w:col w:w="6800"/>
          </w:cols>
          <w:pgMar w:left="860" w:top="270" w:right="459" w:bottom="1440" w:gutter="0" w:footer="0" w:header="0"/>
          <w:type w:val="continuous"/>
        </w:sectPr>
      </w:pPr>
    </w:p>
    <w:p>
      <w:pPr>
        <w:ind w:left="540" w:right="100" w:hanging="532"/>
        <w:spacing w:after="0" w:line="258"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8"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Counterparty and Parent hereby agrees that if, in the good faith reasonable judgment of Dealer, based on the advice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counsel, the Shares acquired and held by Dealer for the purpose of effecting a commercially reasonable hedge of its obligations pursuant to the Transaction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xml:space="preserve">”) cannot be sold in the public market by Dealer without registration under the Securities Act (other than any such Hedge Shares that were, at the time of acquisition by Dealer, “restricted securities” (as defined in Rule 144 under the Securities Act)), Counterparty and Parent shall, at Counterparty’s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of substantially similar size and in a similar industry;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and industry, in form and substance reasonably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or (iii) purchase the Hedge Shares from Dealer at the then-current market price on such Exchange Business Days, and in the amounts and at such time(s), requested by Dealer (which agreement of Counterparty and Parent shall be joint and several).</w:t>
      </w:r>
    </w:p>
    <w:p>
      <w:pPr>
        <w:spacing w:after="0" w:line="98" w:lineRule="exact"/>
        <w:rPr>
          <w:rFonts w:ascii="Times New Roman" w:cs="Times New Roman" w:eastAsia="Times New Roman" w:hAnsi="Times New Roman"/>
          <w:sz w:val="18"/>
          <w:szCs w:val="18"/>
          <w:color w:val="auto"/>
        </w:rPr>
      </w:pPr>
    </w:p>
    <w:p>
      <w:pPr>
        <w:ind w:left="540" w:right="180" w:hanging="532"/>
        <w:spacing w:after="0" w:line="261"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Parent and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employees, representatives, or other agents may disclose to any and all persons, without limitation of any kind, the tax treatment and tax structure of the Transaction and all materials of any kind (including opinions or other tax analyses) that are provided to Counterparty or Parent relating to such tax treatment and tax structure.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80"/>
          </w:cols>
          <w:pgMar w:left="860" w:top="270" w:right="459" w:bottom="1440" w:gutter="0" w:footer="0" w:header="0"/>
          <w:type w:val="continuous"/>
        </w:sectPr>
      </w:pPr>
    </w:p>
    <w:bookmarkStart w:id="163" w:name="page164"/>
    <w:bookmarkEnd w:id="163"/>
    <w:p>
      <w:pPr>
        <w:ind w:left="540" w:right="40" w:hanging="532"/>
        <w:spacing w:after="0" w:line="253"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Extend</w:t>
      </w:r>
      <w:r>
        <w:rPr>
          <w:rFonts w:ascii="Times New Roman" w:cs="Times New Roman" w:eastAsia="Times New Roman" w:hAnsi="Times New Roman"/>
          <w:sz w:val="18"/>
          <w:szCs w:val="18"/>
          <w:color w:val="auto"/>
        </w:rPr>
        <w:t>. Dealer may postpone or add, in a commercially reasonable manner, in whole or in part, any Valid Day or Valid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during the Settlement Averaging Period or any other date of valuation, payment or delivery by Dealer, with respect to some or all of the Options hereunder, to the extent Dealer reasonably determines (and in the case of clause (ii) below, based on the advice of counsel), that such action is reasonably necessary or appropriate (i) to preserve Dealer’s commercially reasonable hedging or hedge unwind activity hereunder in light of existing liquidity conditions (but only if there is a material decrease in liquidity relative to Dealer’s expectations on the Trade Date) or (ii) to enable Dealer to effect purchases or sales of Shares in connection with its commercially reasonable hedging, hedge unwind or settlement activity hereunder in a manner that would, if Dealer were Parent or an affiliated purchaser of Parent, be in compliance with applicable legal, regulatory or self-regulatory requirements, or with related policies and procedures applicable to Dealer (so long as such policies or procedures have been adopted by Dealer in good faith and are consistently applied to transactions similar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97" w:lineRule="exact"/>
        <w:rPr>
          <w:rFonts w:ascii="Times New Roman" w:cs="Times New Roman" w:eastAsia="Times New Roman" w:hAnsi="Times New Roman"/>
          <w:sz w:val="18"/>
          <w:szCs w:val="18"/>
          <w:color w:val="auto"/>
        </w:rPr>
      </w:pPr>
    </w:p>
    <w:p>
      <w:pPr>
        <w:ind w:left="540" w:right="20" w:hanging="532"/>
        <w:spacing w:after="0" w:line="257"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or Parent with respect to the Transaction that are senior to the claims of unitholders of Counterparty or common shareholders of Parent, as the case may be, in any United States bankruptcy proceedings of Counterparty or Parent,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or Parent of their respective obligations and agreements with respect to the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87"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and Parent jointly and severally covenant and agree that:</w:t>
      </w:r>
    </w:p>
    <w:p>
      <w:pPr>
        <w:spacing w:after="0" w:line="133" w:lineRule="exact"/>
        <w:rPr>
          <w:sz w:val="20"/>
          <w:szCs w:val="20"/>
          <w:color w:val="auto"/>
        </w:rPr>
      </w:pPr>
    </w:p>
    <w:p>
      <w:pPr>
        <w:ind w:left="1000" w:right="100" w:hanging="439"/>
        <w:spacing w:after="0" w:line="258"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public announcement of the results of any election by the holders of Shares with respect to the consideration due upon consummation of any Merger Event, Counterparty and Parent shall give Dealer written notice of the types and amounts of consideration actually received by holders of Shares pursuant to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88" w:lineRule="exact"/>
        <w:rPr>
          <w:rFonts w:ascii="Times New Roman" w:cs="Times New Roman" w:eastAsia="Times New Roman" w:hAnsi="Times New Roman"/>
          <w:sz w:val="18"/>
          <w:szCs w:val="18"/>
          <w:color w:val="auto"/>
        </w:rPr>
      </w:pPr>
    </w:p>
    <w:p>
      <w:pPr>
        <w:ind w:left="1000" w:right="220" w:hanging="439"/>
        <w:spacing w:after="0" w:line="258"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and Parent shall give Dealer commercially reasonable advance (but in no event less than one Exchange Business Day) written notice of the section or sections of the Indenture and, if applicable, the formula therein, pursuant to which any adjustment will be made to the Exchangeable Notes in connection with any Potential Adjustment Event, Merger Event or Tender Offer and (B) promptly following any such adjustment, Counterparty and Parent shall give Dealer written notice of the details of such adjustment.</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600"/>
          </w:cols>
          <w:pgMar w:left="860" w:top="268" w:right="439" w:bottom="1440" w:gutter="0" w:footer="0" w:header="0"/>
        </w:sectPr>
      </w:pPr>
    </w:p>
    <w:bookmarkStart w:id="164" w:name="page165"/>
    <w:bookmarkEnd w:id="164"/>
    <w:p>
      <w:pPr>
        <w:ind w:left="964" w:right="120" w:hanging="532"/>
        <w:spacing w:after="0" w:line="256" w:lineRule="auto"/>
        <w:tabs>
          <w:tab w:leader="none" w:pos="96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Each of Counterparty and Parent understands, acknowledges and agrees that:</w:t>
      </w:r>
    </w:p>
    <w:p>
      <w:pPr>
        <w:spacing w:after="0" w:line="29" w:lineRule="exact"/>
        <w:rPr>
          <w:rFonts w:ascii="Times New Roman" w:cs="Times New Roman" w:eastAsia="Times New Roman" w:hAnsi="Times New Roman"/>
          <w:sz w:val="18"/>
          <w:szCs w:val="18"/>
          <w:color w:val="auto"/>
        </w:rPr>
      </w:pPr>
    </w:p>
    <w:p>
      <w:pPr>
        <w:ind w:left="964" w:firstLine="8"/>
        <w:spacing w:after="0" w:line="250" w:lineRule="auto"/>
        <w:tabs>
          <w:tab w:leader="none" w:pos="125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w:t>
      </w:r>
    </w:p>
    <w:p>
      <w:pPr>
        <w:ind w:left="964" w:right="80" w:firstLine="8"/>
        <w:spacing w:after="0" w:line="253" w:lineRule="auto"/>
        <w:tabs>
          <w:tab w:leader="none" w:pos="124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 and Parent.</w:t>
      </w:r>
    </w:p>
    <w:p>
      <w:pPr>
        <w:spacing w:after="0" w:line="90" w:lineRule="exact"/>
        <w:rPr>
          <w:rFonts w:ascii="Times New Roman" w:cs="Times New Roman" w:eastAsia="Times New Roman" w:hAnsi="Times New Roman"/>
          <w:sz w:val="18"/>
          <w:szCs w:val="18"/>
          <w:color w:val="auto"/>
        </w:rPr>
      </w:pPr>
    </w:p>
    <w:p>
      <w:pPr>
        <w:ind w:left="964" w:hanging="532"/>
        <w:spacing w:after="0" w:line="242" w:lineRule="auto"/>
        <w:tabs>
          <w:tab w:leader="none" w:pos="96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[“Initial Notes”]</w:t>
      </w:r>
      <w:r>
        <w:rPr>
          <w:rFonts w:ascii="Times New Roman" w:cs="Times New Roman" w:eastAsia="Times New Roman" w:hAnsi="Times New Roman"/>
          <w:sz w:val="26"/>
          <w:szCs w:val="26"/>
          <w:color w:val="auto"/>
          <w:vertAlign w:val="superscript"/>
        </w:rPr>
        <w:t>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Notes”]</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 Agreement)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with the Initial Purchasers for any reason, or Counterparty and Parent fail to deliver to Dealer an opinion of counsel as required pursuant to Section 9(a) of this Confirmation,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Counterparty and Parent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Counterparty and Parent represents and acknowledges to the other that upon an Early Unwind, all obligations with respect to the Transaction shall be deemed fully and finally discharged.</w:t>
      </w:r>
    </w:p>
    <w:p>
      <w:pPr>
        <w:spacing w:after="0" w:line="10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HIRE Act</w:t>
      </w:r>
      <w:r>
        <w:rPr>
          <w:rFonts w:ascii="Times New Roman" w:cs="Times New Roman" w:eastAsia="Times New Roman" w:hAnsi="Times New Roman"/>
          <w:sz w:val="18"/>
          <w:szCs w:val="18"/>
          <w:color w:val="auto"/>
        </w:rPr>
        <w:t>. The parties hereto agree that for the Transaction the term “Indemnifiable Tax” as defined in Section 14 of the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include any Tax imposed pursuant to Sections 1471 through 1474 of the Code, as amended,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2(d)(i)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1" w:lineRule="exact"/>
        <w:rPr>
          <w:sz w:val="20"/>
          <w:szCs w:val="20"/>
          <w:color w:val="auto"/>
        </w:rPr>
      </w:pPr>
    </w:p>
    <w:p>
      <w:pPr>
        <w:ind w:left="424" w:hanging="424"/>
        <w:spacing w:after="0"/>
        <w:tabs>
          <w:tab w:leader="none" w:pos="424" w:val="left"/>
        </w:tabs>
        <w:numPr>
          <w:ilvl w:val="0"/>
          <w:numId w:val="1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Base Call Option Confirmation.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6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8" w:right="479" w:bottom="1440" w:gutter="0" w:footer="0" w:header="0"/>
        </w:sectPr>
      </w:pPr>
    </w:p>
    <w:bookmarkStart w:id="165" w:name="page166"/>
    <w:bookmarkEnd w:id="165"/>
    <w:p>
      <w:pPr>
        <w:ind w:left="984" w:right="260" w:firstLine="7"/>
        <w:spacing w:after="0" w:line="237" w:lineRule="auto"/>
        <w:tabs>
          <w:tab w:leader="none" w:pos="1249"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Documentation</w:t>
      </w:r>
      <w:r>
        <w:rPr>
          <w:rFonts w:ascii="Times New Roman" w:cs="Times New Roman" w:eastAsia="Times New Roman" w:hAnsi="Times New Roman"/>
          <w:sz w:val="17"/>
          <w:szCs w:val="17"/>
          <w:color w:val="auto"/>
        </w:rPr>
        <w:t>. For purposes of Section 4(a)(i) and (ii) of the Agreement, (i) Counterparty agrees to deliver to Dealer one duly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executed and completed United States Internal Revenue Service Form W-9 (or successor thereto) and (ii) Dealer agrees to deliver to Counterparty [one duly executed and completed applicable Internal Revenue Service Form W-9 (or successor thereto)]</w:t>
      </w:r>
      <w:r>
        <w:rPr>
          <w:rFonts w:ascii="Times New Roman" w:cs="Times New Roman" w:eastAsia="Times New Roman" w:hAnsi="Times New Roman"/>
          <w:sz w:val="25"/>
          <w:szCs w:val="25"/>
          <w:color w:val="auto"/>
          <w:vertAlign w:val="superscript"/>
        </w:rPr>
        <w:t>27</w:t>
      </w:r>
      <w:r>
        <w:rPr>
          <w:rFonts w:ascii="Times New Roman" w:cs="Times New Roman" w:eastAsia="Times New Roman" w:hAnsi="Times New Roman"/>
          <w:sz w:val="17"/>
          <w:szCs w:val="17"/>
          <w:color w:val="auto"/>
        </w:rPr>
        <w:t>, in each case,</w:t>
      </w:r>
    </w:p>
    <w:p>
      <w:pPr>
        <w:ind w:left="984" w:right="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on or before the date of execution of this Confirmation and (B) promptly upon learning that any such tax form previously provided by it has become obsolete or incorrect. Additionally, each party shall, promptly, provide such other tax forms and documents reasonably requested by the other party.</w:t>
      </w:r>
    </w:p>
    <w:p>
      <w:pPr>
        <w:spacing w:after="0" w:line="76" w:lineRule="exact"/>
        <w:rPr>
          <w:rFonts w:ascii="Times New Roman" w:cs="Times New Roman" w:eastAsia="Times New Roman" w:hAnsi="Times New Roman"/>
          <w:sz w:val="17"/>
          <w:szCs w:val="17"/>
          <w:color w:val="auto"/>
        </w:rPr>
      </w:pPr>
    </w:p>
    <w:p>
      <w:pPr>
        <w:ind w:left="984" w:right="40" w:firstLine="7"/>
        <w:spacing w:after="0" w:line="255" w:lineRule="auto"/>
        <w:tabs>
          <w:tab w:leader="none" w:pos="129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Payee Tax Representations</w:t>
      </w:r>
      <w:r>
        <w:rPr>
          <w:rFonts w:ascii="Times New Roman" w:cs="Times New Roman" w:eastAsia="Times New Roman" w:hAnsi="Times New Roman"/>
          <w:sz w:val="18"/>
          <w:szCs w:val="18"/>
          <w:color w:val="auto"/>
        </w:rPr>
        <w:t>. Counterparty is an entity disregarded as separate from Parent for U.S. federal income tax purposes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organized under the laws of the State of Delaware. Parent is a corporation for U.S. federal income tax purposes and is organized under the laws of the State of Maryland. Parent is a “U.S. person” (as that term is used in section 1.1441-4(a)(3)(ii) of United States Treasury Regulations) for U.S. federal income tax purposes. [Dealer is a “U.S. person” (as that term is used in section 1.1441-4(a)(3)(ii) of United States Treasury Regulations) for U.S. federal income tax purposes and an exempt recipient under Treasury Regulation</w:t>
      </w:r>
    </w:p>
    <w:p>
      <w:pPr>
        <w:ind w:left="984" w:right="140"/>
        <w:spacing w:after="0" w:line="2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1.6049-4(c)(1)(ii).]</w:t>
      </w:r>
      <w:r>
        <w:rPr>
          <w:rFonts w:ascii="Times New Roman" w:cs="Times New Roman" w:eastAsia="Times New Roman" w:hAnsi="Times New Roman"/>
          <w:sz w:val="26"/>
          <w:szCs w:val="26"/>
          <w:color w:val="auto"/>
          <w:vertAlign w:val="superscript"/>
        </w:rPr>
        <w:t>28</w:t>
      </w:r>
      <w:r>
        <w:rPr>
          <w:rFonts w:ascii="Times New Roman" w:cs="Times New Roman" w:eastAsia="Times New Roman" w:hAnsi="Times New Roman"/>
          <w:sz w:val="18"/>
          <w:szCs w:val="18"/>
          <w:color w:val="auto"/>
        </w:rPr>
        <w:t xml:space="preserve"> Each party agrees to give notice of any failure of a representation made by it under this Section 9(w)(iii) to be accurate and true promptly upon learning of such failure.</w:t>
      </w:r>
    </w:p>
    <w:p>
      <w:pPr>
        <w:spacing w:after="0" w:line="89" w:lineRule="exact"/>
        <w:rPr>
          <w:rFonts w:ascii="Times New Roman" w:cs="Times New Roman" w:eastAsia="Times New Roman" w:hAnsi="Times New Roman"/>
          <w:sz w:val="18"/>
          <w:szCs w:val="18"/>
          <w:color w:val="auto"/>
        </w:rPr>
      </w:pPr>
    </w:p>
    <w:p>
      <w:pPr>
        <w:ind w:left="984" w:right="620" w:firstLine="7"/>
        <w:spacing w:after="0" w:line="262" w:lineRule="auto"/>
        <w:tabs>
          <w:tab w:leader="none" w:pos="128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871(m)</w:t>
      </w:r>
      <w:r>
        <w:rPr>
          <w:rFonts w:ascii="Times New Roman" w:cs="Times New Roman" w:eastAsia="Times New Roman" w:hAnsi="Times New Roman"/>
          <w:sz w:val="18"/>
          <w:szCs w:val="18"/>
          <w:color w:val="auto"/>
        </w:rPr>
        <w:t>. The parties hereto agree that for the Transaction the term “Indemnifiable Tax” as defined in Section 14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not include any tax imposed on payments treated as dividends from sources within the United States under</w:t>
      </w:r>
    </w:p>
    <w:p>
      <w:pPr>
        <w:jc w:val="both"/>
        <w:ind w:left="98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871(m) of the Code or any regulations issued thereunder. For the avoidance of doubt, any such tax imposed under Section 871(m) of the Code or any regulations thereunder is a Tax the deduction or withholding of which is required by applicable law for the purposes of Section 2(d)(i) of the Agreement.</w:t>
      </w:r>
    </w:p>
    <w:p>
      <w:pPr>
        <w:spacing w:after="0" w:line="89"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88" w:lineRule="exact"/>
        <w:rPr>
          <w:rFonts w:ascii="Times New Roman" w:cs="Times New Roman" w:eastAsia="Times New Roman" w:hAnsi="Times New Roman"/>
          <w:sz w:val="18"/>
          <w:szCs w:val="18"/>
          <w:color w:val="auto"/>
        </w:rPr>
      </w:pPr>
    </w:p>
    <w:p>
      <w:pPr>
        <w:ind w:left="964" w:hanging="532"/>
        <w:spacing w:after="0" w:line="253" w:lineRule="auto"/>
        <w:tabs>
          <w:tab w:leader="none" w:pos="96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the Agreement, the Equity Definitions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this Confirmation, upon the occurrence of a Merger Date, the occurrence of a Tender Offer Date, or declaration by Counterparty or Parent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account for the economic effect on the Transaction of such occurrence or declaration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adjustment to the Cap Price made pursuant to this section shall be made without duplication of any other adjustment hereunder). Solely for purposes of this Section 9(y): (x) the terms “Potential Adjustment Event,” “Merger Event,” and “Tender Offer” shall each have the meanings assigned to each such term in the Equity Definitions (in the case of the definition of “Potential Adjustment Event”, as amended by Section 9(j)(i) of this Confirmation, and in the case of the definition of “Tender Offer”, as amended by the provisions opposite the caption “Announcement Event” in Section 3 of this Confirmation) and (y) “Extraordinary Dividend” means any cash dividend on the Shares in an amount per Share in excess of the Regular Dividend (for the avoidance of doubt, determined on a per quarter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9" w:lineRule="exact"/>
        <w:rPr>
          <w:sz w:val="20"/>
          <w:szCs w:val="20"/>
          <w:color w:val="auto"/>
        </w:rPr>
      </w:pPr>
    </w:p>
    <w:p>
      <w:pPr>
        <w:ind w:left="424" w:hanging="424"/>
        <w:spacing w:after="0"/>
        <w:tabs>
          <w:tab w:leader="none" w:pos="424" w:val="left"/>
        </w:tabs>
        <w:numPr>
          <w:ilvl w:val="0"/>
          <w:numId w:val="1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updated as appropriate for Dealer.</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updated as appropriate for Dealer.</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4"/>
          </w:cols>
          <w:pgMar w:left="436" w:top="268" w:right="499" w:bottom="1440" w:gutter="0" w:footer="0" w:header="0"/>
        </w:sectPr>
      </w:pPr>
    </w:p>
    <w:bookmarkStart w:id="166" w:name="page167"/>
    <w:bookmarkEnd w:id="166"/>
    <w:p>
      <w:pPr>
        <w:ind w:left="540" w:hanging="532"/>
        <w:spacing w:after="0" w:line="252"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Counterparty and Parent acknowledges that the Transaction may constitute a purchase of Parent’s equity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capital distribution. Each of Counterparty and Parent further acknowledges that, pursuant to the provisions of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it will be required to agree to certain time-bound restrictions on its ability to purchase either of their equity securities or make capital distributions if it receives loans, loan guarantees or direct loans (as that term is defined in the CARES Act) under section 4003(b) of the CARES Act. Each of Counterparty and Parent further acknowledges that it may be required to agree to certain time-bound restrictions on its ability to purchase either of their equity securities or make capital distributions if it receives loans, loan guarantees or direct loans (as that term is defined in the CARES Act) under programs or facilities established by the Board of Governors of the Federal Reserve System, the U.S. Department of Treasury or similar governmental entity for the purpose of providing liquidity to the financial system. Accordingly, each of Counterparty and Parent represents and warrants that neither it, nor any of its subsidiaries have applied, and have no present intention to apply, for a loan, loan guarantee, direct loan (as that term is defined in the CARES Act) or other investment, or to receive any financial assistance or relief (howsoever defined) under any program or facility that</w:t>
      </w:r>
    </w:p>
    <w:p>
      <w:pPr>
        <w:spacing w:after="0" w:line="5" w:lineRule="exact"/>
        <w:rPr>
          <w:rFonts w:ascii="Times New Roman" w:cs="Times New Roman" w:eastAsia="Times New Roman" w:hAnsi="Times New Roman"/>
          <w:sz w:val="18"/>
          <w:szCs w:val="18"/>
          <w:color w:val="auto"/>
        </w:rPr>
      </w:pPr>
    </w:p>
    <w:p>
      <w:pPr>
        <w:ind w:left="54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it comply with any requirement to, or otherwise agree, attest, certify or warrant that it has not, as of the date specified in such condition, repurchased, or will not repurchase, any equity security of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or Parent may apply for any such governmental assistance if such person determines based on the advice of nationally recognized outside counsel that the terms of the Transaction would not cause such person to fail to satisfy any condition for application for or receipt or retention of such governmental assistance based on the terms of the relevant program or facility as of the date of such advice. Each of Counterparty and Parent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this Transaction (either by specific reference to this Transaction or by general reference to transactions with the attributes of this Transaction in all relevant respects).</w:t>
      </w:r>
    </w:p>
    <w:p>
      <w:pPr>
        <w:spacing w:after="0" w:line="94" w:lineRule="exact"/>
        <w:rPr>
          <w:sz w:val="20"/>
          <w:szCs w:val="20"/>
          <w:color w:val="auto"/>
        </w:rPr>
      </w:pPr>
    </w:p>
    <w:p>
      <w:pPr>
        <w:ind w:left="540" w:hanging="532"/>
        <w:spacing w:after="0" w:line="257" w:lineRule="auto"/>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REIT Matters</w:t>
      </w:r>
      <w:r>
        <w:rPr>
          <w:rFonts w:ascii="Times New Roman" w:cs="Times New Roman" w:eastAsia="Times New Roman" w:hAnsi="Times New Roman"/>
          <w:sz w:val="18"/>
          <w:szCs w:val="18"/>
          <w:color w:val="auto"/>
        </w:rPr>
        <w:t>. The parties agree that for all purposes of the Agreement and this Confirmation, (A) the terms “Beneficial Ownership”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“Constructive Ownership” in Article VII of Parent’s Charter on the date hereof shall not include shares held by Dealer, its affiliates, or any person whose ownership of shares is attributed to Dealer under the definitions of “Beneficial Ownership” or “Constructive Ownership” in Article VII of the Charter to the extent such shares are held in a purely fiduciary capacity or otherwise not held by such person as principal, and (B) the shares described in clause (A) above shall not be considered Beneficially Owned or Constructively Owned by Dealer or its affiliates under the Charter.</w:t>
      </w:r>
    </w:p>
    <w:p>
      <w:pPr>
        <w:spacing w:after="0" w:line="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Dealer agency boilerplate, if applicable.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preferred form of US QFC Stay Rule language for each Dealer, as applicable.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additional Dealer boilerplate, if applicable.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80"/>
          </w:cols>
          <w:pgMar w:left="860" w:top="268" w:right="459" w:bottom="1440" w:gutter="0" w:footer="0" w:header="0"/>
        </w:sectPr>
      </w:pPr>
    </w:p>
    <w:bookmarkStart w:id="167" w:name="page168"/>
    <w:bookmarkEnd w:id="167"/>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that the foregoing correctly sets forth the terms of the agreement among Dealer, Counterparty and Parent with respect to the Transaction, by signing this Confirmation or this page hereof as evidence of agreement to such terms and providing the other information requested herein and returning an executed copy to Dealer.</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804"/>
        <w:spacing w:after="0"/>
        <w:rPr>
          <w:sz w:val="20"/>
          <w:szCs w:val="20"/>
          <w:color w:val="auto"/>
        </w:rPr>
      </w:pP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26"/>
          <w:szCs w:val="26"/>
          <w:b w:val="1"/>
          <w:bCs w:val="1"/>
          <w:color w:val="auto"/>
          <w:vertAlign w:val="superscript"/>
        </w:rPr>
        <w:t>29</w:t>
      </w:r>
    </w:p>
    <w:p>
      <w:pPr>
        <w:spacing w:after="0" w:line="137" w:lineRule="exact"/>
        <w:rPr>
          <w:sz w:val="20"/>
          <w:szCs w:val="20"/>
          <w:color w:val="auto"/>
        </w:rPr>
      </w:pPr>
    </w:p>
    <w:p>
      <w:pPr>
        <w:ind w:left="680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17145</wp:posOffset>
            </wp:positionV>
            <wp:extent cx="24517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17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Dealer preferred signature page information, as applicable</w:t>
      </w:r>
    </w:p>
    <w:p>
      <w:pPr>
        <w:spacing w:after="0" w:line="128" w:lineRule="exact"/>
        <w:rPr>
          <w:sz w:val="20"/>
          <w:szCs w:val="20"/>
          <w:color w:val="auto"/>
        </w:rPr>
      </w:pPr>
    </w:p>
    <w:p>
      <w:pPr>
        <w:ind w:left="29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[Base] [Additional] Capped Call Confirmation</w:t>
      </w:r>
      <w:r>
        <w:rPr>
          <w:rFonts w:ascii="Times New Roman" w:cs="Times New Roman" w:eastAsia="Times New Roman" w:hAnsi="Times New Roman"/>
          <w:sz w:val="18"/>
          <w:szCs w:val="18"/>
          <w:color w:val="auto"/>
        </w:rPr>
        <w:t>]</w:t>
      </w:r>
    </w:p>
    <w:p>
      <w:pPr>
        <w:sectPr>
          <w:pgSz w:w="11900" w:h="16838" w:orient="portrait"/>
          <w:cols w:equalWidth="0" w:num="1">
            <w:col w:w="10624"/>
          </w:cols>
          <w:pgMar w:left="436" w:top="270" w:right="8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[Base] [Additional] Capped Call Confirmation</w:t>
      </w:r>
      <w:r>
        <w:rPr>
          <w:rFonts w:ascii="Times New Roman" w:cs="Times New Roman" w:eastAsia="Times New Roman" w:hAnsi="Times New Roman"/>
          <w:sz w:val="18"/>
          <w:szCs w:val="18"/>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1)"/>
      <w:numFmt w:val="lowerLetter"/>
      <w:start w:val="4"/>
    </w:lvl>
  </w:abstractNum>
  <w:abstractNum w:abstractNumId="3">
    <w:nsid w:val="3222E7CD"/>
    <w:multiLevelType w:val="hybridMultilevel"/>
    <w:lvl w:ilvl="0">
      <w:lvlJc w:val="left"/>
      <w:lvlText w:val="(%1)"/>
      <w:numFmt w:val="decimal"/>
      <w:start w:val="1"/>
    </w:lvl>
  </w:abstractNum>
  <w:abstractNum w:abstractNumId="4">
    <w:nsid w:val="74DE0EE3"/>
    <w:multiLevelType w:val="hybridMultilevel"/>
    <w:lvl w:ilvl="0">
      <w:lvlJc w:val="left"/>
      <w:lvlText w:val="%1"/>
      <w:numFmt w:val="lowerRoman"/>
      <w:start w:val="1"/>
    </w:lvl>
    <w:lvl w:ilvl="1">
      <w:lvlJc w:val="left"/>
      <w:lvlText w:val="(%2)"/>
      <w:numFmt w:val="decimal"/>
      <w:start w:val="1"/>
    </w:lvl>
  </w:abstractNum>
  <w:abstractNum w:abstractNumId="5">
    <w:nsid w:val="68EBC550"/>
    <w:multiLevelType w:val="hybridMultilevel"/>
    <w:lvl w:ilvl="0">
      <w:lvlJc w:val="left"/>
      <w:lvlText w:val="(%1)"/>
      <w:numFmt w:val="lowerRoman"/>
      <w:start w:val="10"/>
    </w:lvl>
    <w:lvl w:ilvl="1">
      <w:lvlJc w:val="left"/>
      <w:lvlText w:val="%2"/>
      <w:numFmt w:val="decimal"/>
      <w:start w:val="1"/>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1)"/>
      <w:numFmt w:val="decimal"/>
      <w:start w:val="1"/>
    </w:lvl>
  </w:abstractNum>
  <w:abstractNum w:abstractNumId="8">
    <w:nsid w:val="4A2AC315"/>
    <w:multiLevelType w:val="hybridMultilevel"/>
    <w:lvl w:ilvl="0">
      <w:lvlJc w:val="left"/>
      <w:lvlText w:val="(%1)"/>
      <w:numFmt w:val="decimal"/>
      <w:start w:val="3"/>
    </w:lvl>
  </w:abstractNum>
  <w:abstractNum w:abstractNumId="9">
    <w:nsid w:val="39EE015C"/>
    <w:multiLevelType w:val="hybridMultilevel"/>
    <w:lvl w:ilvl="0">
      <w:lvlJc w:val="left"/>
      <w:lvlText w:val="(%1)"/>
      <w:numFmt w:val="lowerLetter"/>
      <w:start w:val="1"/>
    </w:lvl>
  </w:abstractNum>
  <w:abstractNum w:abstractNumId="10">
    <w:nsid w:val="57FC4FBB"/>
    <w:multiLevelType w:val="hybridMultilevel"/>
    <w:lvl w:ilvl="0">
      <w:lvlJc w:val="left"/>
      <w:lvlText w:val="(%1)"/>
      <w:numFmt w:val="lowerLetter"/>
      <w:start w:val="2"/>
    </w:lvl>
  </w:abstractNum>
  <w:abstractNum w:abstractNumId="11">
    <w:nsid w:val="CC1016F"/>
    <w:multiLevelType w:val="hybridMultilevel"/>
    <w:lvl w:ilvl="0">
      <w:lvlJc w:val="left"/>
      <w:lvlText w:val="(%1)"/>
      <w:numFmt w:val="lowerLetter"/>
      <w:start w:val="3"/>
    </w:lvl>
    <w:lvl w:ilvl="1">
      <w:lvlJc w:val="left"/>
      <w:lvlText w:val="(%2)"/>
      <w:numFmt w:val="lowerLetter"/>
      <w:start w:val="9"/>
    </w:lvl>
  </w:abstractNum>
  <w:abstractNum w:abstractNumId="12">
    <w:nsid w:val="43F18422"/>
    <w:multiLevelType w:val="hybridMultilevel"/>
    <w:lvl w:ilvl="0">
      <w:lvlJc w:val="left"/>
      <w:lvlText w:val="(%1)"/>
      <w:numFmt w:val="lowerRoman"/>
      <w:start w:val="2"/>
    </w:lvl>
  </w:abstractNum>
  <w:abstractNum w:abstractNumId="13">
    <w:nsid w:val="60EF0119"/>
    <w:multiLevelType w:val="hybridMultilevel"/>
    <w:lvl w:ilvl="0">
      <w:lvlJc w:val="left"/>
      <w:lvlText w:val="(%1)"/>
      <w:numFmt w:val="lowerLetter"/>
      <w:start w:val="2"/>
    </w:lvl>
  </w:abstractNum>
  <w:abstractNum w:abstractNumId="14">
    <w:nsid w:val="26F324BA"/>
    <w:multiLevelType w:val="hybridMultilevel"/>
    <w:lvl w:ilvl="0">
      <w:lvlJc w:val="left"/>
      <w:lvlText w:val="(%1)"/>
      <w:numFmt w:val="lowerRoman"/>
      <w:start w:val="2"/>
    </w:lvl>
  </w:abstractNum>
  <w:abstractNum w:abstractNumId="15">
    <w:nsid w:val="7F01579B"/>
    <w:multiLevelType w:val="hybridMultilevel"/>
    <w:lvl w:ilvl="0">
      <w:lvlJc w:val="left"/>
      <w:lvlText w:val="(%1)"/>
      <w:numFmt w:val="lowerLetter"/>
      <w:start w:val="4"/>
    </w:lvl>
  </w:abstractNum>
  <w:abstractNum w:abstractNumId="16">
    <w:nsid w:val="49DA307D"/>
    <w:multiLevelType w:val="hybridMultilevel"/>
    <w:lvl w:ilvl="0">
      <w:lvlJc w:val="left"/>
      <w:lvlText w:val="(%1)"/>
      <w:numFmt w:val="lowerRoman"/>
      <w:start w:val="1"/>
    </w:lvl>
  </w:abstractNum>
  <w:abstractNum w:abstractNumId="17">
    <w:nsid w:val="7055A5F5"/>
    <w:multiLevelType w:val="hybridMultilevel"/>
    <w:lvl w:ilvl="0">
      <w:lvlJc w:val="left"/>
      <w:lvlText w:val="(%1)"/>
      <w:numFmt w:val="lowerRoman"/>
      <w:start w:val="3"/>
    </w:lvl>
  </w:abstractNum>
  <w:abstractNum w:abstractNumId="18">
    <w:nsid w:val="5FB8370B"/>
    <w:multiLevelType w:val="hybridMultilevel"/>
    <w:lvl w:ilvl="0">
      <w:lvlJc w:val="left"/>
      <w:lvlText w:val="(%1)"/>
      <w:numFmt w:val="lowerLetter"/>
      <w:start w:val="2"/>
    </w:lvl>
  </w:abstractNum>
  <w:abstractNum w:abstractNumId="19">
    <w:nsid w:val="50801EE1"/>
    <w:multiLevelType w:val="hybridMultilevel"/>
    <w:lvl w:ilvl="0">
      <w:lvlJc w:val="left"/>
      <w:lvlText w:val="(%1)"/>
      <w:numFmt w:val="lowerLetter"/>
      <w:start w:val="2"/>
    </w:lvl>
  </w:abstractNum>
  <w:abstractNum w:abstractNumId="20">
    <w:nsid w:val="488AC1A"/>
    <w:multiLevelType w:val="hybridMultilevel"/>
    <w:lvl w:ilvl="0">
      <w:lvlJc w:val="left"/>
      <w:lvlText w:val="(%1)"/>
      <w:numFmt w:val="lowerLetter"/>
      <w:start w:val="1"/>
    </w:lvl>
  </w:abstractNum>
  <w:abstractNum w:abstractNumId="21">
    <w:nsid w:val="5FB8011C"/>
    <w:multiLevelType w:val="hybridMultilevel"/>
    <w:lvl w:ilvl="0">
      <w:lvlJc w:val="left"/>
      <w:lvlText w:val="(%1)"/>
      <w:numFmt w:val="lowerRoman"/>
      <w:start w:val="1"/>
    </w:lvl>
  </w:abstractNum>
  <w:abstractNum w:abstractNumId="22">
    <w:nsid w:val="6AA78F7F"/>
    <w:multiLevelType w:val="hybridMultilevel"/>
    <w:lvl w:ilvl="0">
      <w:lvlJc w:val="left"/>
      <w:lvlText w:val="(%1)"/>
      <w:numFmt w:val="lowerLetter"/>
      <w:start w:val="1"/>
    </w:lvl>
  </w:abstractNum>
  <w:abstractNum w:abstractNumId="23">
    <w:nsid w:val="7672BD23"/>
    <w:multiLevelType w:val="hybridMultilevel"/>
    <w:lvl w:ilvl="0">
      <w:lvlJc w:val="left"/>
      <w:lvlText w:val="(%1)"/>
      <w:numFmt w:val="lowerLetter"/>
      <w:start w:val="1"/>
    </w:lvl>
  </w:abstractNum>
  <w:abstractNum w:abstractNumId="24">
    <w:nsid w:val="6FC75AF8"/>
    <w:multiLevelType w:val="hybridMultilevel"/>
    <w:lvl w:ilvl="0">
      <w:lvlJc w:val="left"/>
      <w:lvlText w:val="(%1)"/>
      <w:numFmt w:val="lowerLetter"/>
      <w:start w:val="1"/>
    </w:lvl>
    <w:lvl w:ilvl="1">
      <w:lvlJc w:val="left"/>
      <w:lvlText w:val="(%2)"/>
      <w:numFmt w:val="lowerRoman"/>
      <w:start w:val="1"/>
    </w:lvl>
  </w:abstractNum>
  <w:abstractNum w:abstractNumId="25">
    <w:nsid w:val="6A5F7029"/>
    <w:multiLevelType w:val="hybridMultilevel"/>
    <w:lvl w:ilvl="0">
      <w:lvlJc w:val="left"/>
      <w:lvlText w:val="(%1)"/>
      <w:numFmt w:val="lowerLetter"/>
      <w:start w:val="4"/>
    </w:lvl>
  </w:abstractNum>
  <w:abstractNum w:abstractNumId="26">
    <w:nsid w:val="7D5E18F8"/>
    <w:multiLevelType w:val="hybridMultilevel"/>
    <w:lvl w:ilvl="0">
      <w:lvlJc w:val="left"/>
      <w:lvlText w:val="(%1)"/>
      <w:numFmt w:val="lowerLetter"/>
      <w:start w:val="1"/>
    </w:lvl>
  </w:abstractNum>
  <w:abstractNum w:abstractNumId="27">
    <w:nsid w:val="5F3534A4"/>
    <w:multiLevelType w:val="hybridMultilevel"/>
    <w:lvl w:ilvl="0">
      <w:lvlJc w:val="left"/>
      <w:lvlText w:val="(%1)"/>
      <w:numFmt w:val="lowerLetter"/>
      <w:start w:val="4"/>
    </w:lvl>
  </w:abstractNum>
  <w:abstractNum w:abstractNumId="28">
    <w:nsid w:val="73A1821B"/>
    <w:multiLevelType w:val="hybridMultilevel"/>
    <w:lvl w:ilvl="0">
      <w:lvlJc w:val="left"/>
      <w:lvlText w:val="(%1)"/>
      <w:numFmt w:val="lowerLetter"/>
      <w:start w:val="2"/>
    </w:lvl>
    <w:lvl w:ilvl="1">
      <w:lvlJc w:val="left"/>
      <w:lvlText w:val="(%2)"/>
      <w:numFmt w:val="lowerRoman"/>
      <w:start w:val="1"/>
    </w:lvl>
  </w:abstractNum>
  <w:abstractNum w:abstractNumId="29">
    <w:nsid w:val="7DE67713"/>
    <w:multiLevelType w:val="hybridMultilevel"/>
    <w:lvl w:ilvl="0">
      <w:lvlJc w:val="left"/>
      <w:lvlText w:val="(%1)"/>
      <w:numFmt w:val="lowerLetter"/>
      <w:start w:val="3"/>
    </w:lvl>
  </w:abstractNum>
  <w:abstractNum w:abstractNumId="30">
    <w:nsid w:val="555C55B5"/>
    <w:multiLevelType w:val="hybridMultilevel"/>
    <w:lvl w:ilvl="0">
      <w:lvlJc w:val="left"/>
      <w:lvlText w:val="(%1)"/>
      <w:numFmt w:val="lowerLetter"/>
      <w:start w:val="1"/>
    </w:lvl>
  </w:abstractNum>
  <w:abstractNum w:abstractNumId="31">
    <w:nsid w:val="3FA62ACA"/>
    <w:multiLevelType w:val="hybridMultilevel"/>
    <w:lvl w:ilvl="0">
      <w:lvlJc w:val="left"/>
      <w:lvlText w:val="(%1)"/>
      <w:numFmt w:val="lowerLetter"/>
      <w:start w:val="1"/>
    </w:lvl>
  </w:abstractNum>
  <w:abstractNum w:abstractNumId="32">
    <w:nsid w:val="14FCE74E"/>
    <w:multiLevelType w:val="hybridMultilevel"/>
    <w:lvl w:ilvl="0">
      <w:lvlJc w:val="left"/>
      <w:lvlText w:val="(%1)"/>
      <w:numFmt w:val="lowerLetter"/>
      <w:start w:val="1"/>
    </w:lvl>
  </w:abstractNum>
  <w:abstractNum w:abstractNumId="33">
    <w:nsid w:val="6A3DD3E8"/>
    <w:multiLevelType w:val="hybridMultilevel"/>
    <w:lvl w:ilvl="0">
      <w:lvlJc w:val="left"/>
      <w:lvlText w:val="(%1)"/>
      <w:numFmt w:val="lowerLetter"/>
      <w:start w:val="2"/>
    </w:lvl>
    <w:lvl w:ilvl="1">
      <w:lvlJc w:val="left"/>
      <w:lvlText w:val="(%2)"/>
      <w:numFmt w:val="decimal"/>
      <w:start w:val="2"/>
    </w:lvl>
  </w:abstractNum>
  <w:abstractNum w:abstractNumId="34">
    <w:nsid w:val="71C91298"/>
    <w:multiLevelType w:val="hybridMultilevel"/>
    <w:lvl w:ilvl="0">
      <w:lvlJc w:val="left"/>
      <w:lvlText w:val="(%1)"/>
      <w:numFmt w:val="lowerLetter"/>
      <w:start w:val="25"/>
    </w:lvl>
    <w:lvl w:ilvl="1">
      <w:lvlJc w:val="left"/>
      <w:lvlText w:val="%2"/>
      <w:numFmt w:val="decimal"/>
      <w:start w:val="1"/>
    </w:lvl>
  </w:abstractNum>
  <w:abstractNum w:abstractNumId="35">
    <w:nsid w:val="9DAF632"/>
    <w:multiLevelType w:val="hybridMultilevel"/>
    <w:lvl w:ilvl="0">
      <w:lvlJc w:val="left"/>
      <w:lvlText w:val="(%1)"/>
      <w:numFmt w:val="decimal"/>
      <w:start w:val="3"/>
    </w:lvl>
    <w:lvl w:ilvl="1">
      <w:lvlJc w:val="left"/>
      <w:lvlText w:val="(%2)"/>
      <w:numFmt w:val="upperLetter"/>
      <w:start w:val="1"/>
    </w:lvl>
  </w:abstractNum>
  <w:abstractNum w:abstractNumId="36">
    <w:nsid w:val="53299938"/>
    <w:multiLevelType w:val="hybridMultilevel"/>
    <w:lvl w:ilvl="0">
      <w:lvlJc w:val="left"/>
      <w:lvlText w:val="%1"/>
      <w:numFmt w:val="lowerLetter"/>
      <w:start w:val="1"/>
    </w:lvl>
    <w:lvl w:ilvl="1">
      <w:lvlJc w:val="left"/>
      <w:lvlText w:val="(%2)"/>
      <w:numFmt w:val="decimal"/>
      <w:start w:val="5"/>
    </w:lvl>
  </w:abstractNum>
  <w:abstractNum w:abstractNumId="37">
    <w:nsid w:val="1FBFE8E0"/>
    <w:multiLevelType w:val="hybridMultilevel"/>
    <w:lvl w:ilvl="0">
      <w:lvlJc w:val="left"/>
      <w:lvlText w:val="(%1)"/>
      <w:numFmt w:val="lowerLetter"/>
      <w:start w:val="3"/>
    </w:lvl>
    <w:lvl w:ilvl="1">
      <w:lvlJc w:val="left"/>
      <w:lvlText w:val="%2"/>
      <w:numFmt w:val="decimal"/>
      <w:start w:val="1"/>
    </w:lvl>
  </w:abstractNum>
  <w:abstractNum w:abstractNumId="38">
    <w:nsid w:val="5092CA79"/>
    <w:multiLevelType w:val="hybridMultilevel"/>
    <w:lvl w:ilvl="0">
      <w:lvlJc w:val="left"/>
      <w:lvlText w:val="(%1)"/>
      <w:numFmt w:val="lowerLetter"/>
      <w:start w:val="1"/>
    </w:lvl>
  </w:abstractNum>
  <w:abstractNum w:abstractNumId="39">
    <w:nsid w:val="1D545C4D"/>
    <w:multiLevelType w:val="hybridMultilevel"/>
    <w:lvl w:ilvl="0">
      <w:lvlJc w:val="left"/>
      <w:lvlText w:val="(%1)"/>
      <w:numFmt w:val="lowerLetter"/>
      <w:start w:val="2"/>
    </w:lvl>
  </w:abstractNum>
  <w:abstractNum w:abstractNumId="40">
    <w:nsid w:val="59ADEA3D"/>
    <w:multiLevelType w:val="hybridMultilevel"/>
    <w:lvl w:ilvl="0">
      <w:lvlJc w:val="left"/>
      <w:lvlText w:val="(%1)"/>
      <w:numFmt w:val="decimal"/>
      <w:start w:val="1"/>
    </w:lvl>
  </w:abstractNum>
  <w:abstractNum w:abstractNumId="41">
    <w:nsid w:val="288F1A34"/>
    <w:multiLevelType w:val="hybridMultilevel"/>
    <w:lvl w:ilvl="0">
      <w:lvlJc w:val="left"/>
      <w:lvlText w:val="(%1)"/>
      <w:numFmt w:val="decimal"/>
      <w:start w:val="4"/>
    </w:lvl>
  </w:abstractNum>
  <w:abstractNum w:abstractNumId="42">
    <w:nsid w:val="2A155DBC"/>
    <w:multiLevelType w:val="hybridMultilevel"/>
    <w:lvl w:ilvl="0">
      <w:lvlJc w:val="left"/>
      <w:lvlText w:val="(%1)"/>
      <w:numFmt w:val="lowerLetter"/>
      <w:start w:val="5"/>
    </w:lvl>
  </w:abstractNum>
  <w:abstractNum w:abstractNumId="43">
    <w:nsid w:val="1D9F6E5F"/>
    <w:multiLevelType w:val="hybridMultilevel"/>
    <w:lvl w:ilvl="0">
      <w:lvlJc w:val="left"/>
      <w:lvlText w:val="(%1)"/>
      <w:numFmt w:val="lowerLetter"/>
      <w:start w:val="7"/>
    </w:lvl>
  </w:abstractNum>
  <w:abstractNum w:abstractNumId="44">
    <w:nsid w:val="97E1B4E"/>
    <w:multiLevelType w:val="hybridMultilevel"/>
    <w:lvl w:ilvl="0">
      <w:lvlJc w:val="left"/>
      <w:lvlText w:val="(%1)"/>
      <w:numFmt w:val="lowerLetter"/>
      <w:start w:val="1"/>
    </w:lvl>
    <w:lvl w:ilvl="1">
      <w:lvlJc w:val="left"/>
      <w:lvlText w:val="(%2)"/>
      <w:numFmt w:val="decimal"/>
      <w:start w:val="1"/>
    </w:lvl>
  </w:abstractNum>
  <w:abstractNum w:abstractNumId="45">
    <w:nsid w:val="51088277"/>
    <w:multiLevelType w:val="hybridMultilevel"/>
    <w:lvl w:ilvl="0">
      <w:lvlJc w:val="left"/>
      <w:lvlText w:val="%1"/>
      <w:numFmt w:val="lowerLetter"/>
      <w:start w:val="1"/>
    </w:lvl>
    <w:lvl w:ilvl="1">
      <w:lvlJc w:val="left"/>
      <w:lvlText w:val="(%2)"/>
      <w:numFmt w:val="decimal"/>
      <w:start w:val="3"/>
    </w:lvl>
  </w:abstractNum>
  <w:abstractNum w:abstractNumId="46">
    <w:nsid w:val="1CA0C5FA"/>
    <w:multiLevelType w:val="hybridMultilevel"/>
    <w:lvl w:ilvl="0">
      <w:lvlJc w:val="left"/>
      <w:lvlText w:val="(%1)"/>
      <w:numFmt w:val="lowerLetter"/>
      <w:start w:val="2"/>
    </w:lvl>
    <w:lvl w:ilvl="1">
      <w:lvlJc w:val="left"/>
      <w:lvlText w:val="%2"/>
      <w:numFmt w:val="decimal"/>
      <w:start w:val="1"/>
    </w:lvl>
  </w:abstractNum>
  <w:abstractNum w:abstractNumId="47">
    <w:nsid w:val="53584BCB"/>
    <w:multiLevelType w:val="hybridMultilevel"/>
    <w:lvl w:ilvl="0">
      <w:lvlJc w:val="left"/>
      <w:lvlText w:val="(%1)"/>
      <w:numFmt w:val="lowerLetter"/>
      <w:start w:val="3"/>
    </w:lvl>
  </w:abstractNum>
  <w:abstractNum w:abstractNumId="48">
    <w:nsid w:val="415E286C"/>
    <w:multiLevelType w:val="hybridMultilevel"/>
    <w:lvl w:ilvl="0">
      <w:lvlJc w:val="left"/>
      <w:lvlText w:val="(%1)"/>
      <w:numFmt w:val="lowerLetter"/>
      <w:start w:val="1"/>
    </w:lvl>
  </w:abstractNum>
  <w:abstractNum w:abstractNumId="49">
    <w:nsid w:val="7C58FD05"/>
    <w:multiLevelType w:val="hybridMultilevel"/>
    <w:lvl w:ilvl="0">
      <w:lvlJc w:val="left"/>
      <w:lvlText w:val="(%1)"/>
      <w:numFmt w:val="lowerLetter"/>
      <w:start w:val="2"/>
    </w:lvl>
  </w:abstractNum>
  <w:abstractNum w:abstractNumId="50">
    <w:nsid w:val="23D86AAC"/>
    <w:multiLevelType w:val="hybridMultilevel"/>
    <w:lvl w:ilvl="0">
      <w:lvlJc w:val="left"/>
      <w:lvlText w:val="X"/>
      <w:numFmt w:val="bullet"/>
      <w:start w:val="1"/>
    </w:lvl>
  </w:abstractNum>
  <w:abstractNum w:abstractNumId="51">
    <w:nsid w:val="45E6D486"/>
    <w:multiLevelType w:val="hybridMultilevel"/>
    <w:lvl w:ilvl="0">
      <w:lvlJc w:val="left"/>
      <w:lvlText w:val="Y"/>
      <w:numFmt w:val="bullet"/>
      <w:start w:val="1"/>
    </w:lvl>
  </w:abstractNum>
  <w:abstractNum w:abstractNumId="52">
    <w:nsid w:val="5C10FE21"/>
    <w:multiLevelType w:val="hybridMultilevel"/>
    <w:lvl w:ilvl="0">
      <w:lvlJc w:val="left"/>
      <w:lvlText w:val="(%1)"/>
      <w:numFmt w:val="lowerLetter"/>
      <w:start w:val="3"/>
    </w:lvl>
  </w:abstractNum>
  <w:abstractNum w:abstractNumId="53">
    <w:nsid w:val="E7FFA2B"/>
    <w:multiLevelType w:val="hybridMultilevel"/>
    <w:lvl w:ilvl="0">
      <w:lvlJc w:val="left"/>
      <w:lvlText w:val="(%1)"/>
      <w:numFmt w:val="decimal"/>
      <w:start w:val="2"/>
    </w:lvl>
  </w:abstractNum>
  <w:abstractNum w:abstractNumId="54">
    <w:nsid w:val="3C5991AA"/>
    <w:multiLevelType w:val="hybridMultilevel"/>
    <w:lvl w:ilvl="0">
      <w:lvlJc w:val="left"/>
      <w:lvlText w:val="(%1)"/>
      <w:numFmt w:val="upperLetter"/>
      <w:start w:val="1"/>
    </w:lvl>
  </w:abstractNum>
  <w:abstractNum w:abstractNumId="55">
    <w:nsid w:val="4BD8591A"/>
    <w:multiLevelType w:val="hybridMultilevel"/>
    <w:lvl w:ilvl="0">
      <w:lvlJc w:val="left"/>
      <w:lvlText w:val="(%1)"/>
      <w:numFmt w:val="lowerLetter"/>
      <w:start w:val="4"/>
    </w:lvl>
  </w:abstractNum>
  <w:abstractNum w:abstractNumId="56">
    <w:nsid w:val="78DF6A55"/>
    <w:multiLevelType w:val="hybridMultilevel"/>
    <w:lvl w:ilvl="0">
      <w:lvlJc w:val="left"/>
      <w:lvlText w:val="T"/>
      <w:numFmt w:val="bullet"/>
      <w:start w:val="1"/>
    </w:lvl>
  </w:abstractNum>
  <w:abstractNum w:abstractNumId="57">
    <w:nsid w:val="39B7AAA2"/>
    <w:multiLevelType w:val="hybridMultilevel"/>
    <w:lvl w:ilvl="0">
      <w:lvlJc w:val="left"/>
      <w:lvlText w:val="C"/>
      <w:numFmt w:val="bullet"/>
      <w:start w:val="1"/>
    </w:lvl>
  </w:abstractNum>
  <w:abstractNum w:abstractNumId="58">
    <w:nsid w:val="2B0D8DBE"/>
    <w:multiLevelType w:val="hybridMultilevel"/>
    <w:lvl w:ilvl="0">
      <w:lvlJc w:val="left"/>
      <w:lvlText w:val="(%1)"/>
      <w:numFmt w:val="lowerLetter"/>
      <w:start w:val="5"/>
    </w:lvl>
  </w:abstractNum>
  <w:abstractNum w:abstractNumId="59">
    <w:nsid w:val="6C80EC70"/>
    <w:multiLevelType w:val="hybridMultilevel"/>
    <w:lvl w:ilvl="0">
      <w:lvlJc w:val="left"/>
      <w:lvlText w:val="(%1)"/>
      <w:numFmt w:val="lowerLetter"/>
      <w:start w:val="6"/>
    </w:lvl>
    <w:lvl w:ilvl="1">
      <w:lvlJc w:val="left"/>
      <w:lvlText w:val="(%2)"/>
      <w:numFmt w:val="lowerRoman"/>
      <w:start w:val="1"/>
    </w:lvl>
  </w:abstractNum>
  <w:abstractNum w:abstractNumId="60">
    <w:nsid w:val="379E21B5"/>
    <w:multiLevelType w:val="hybridMultilevel"/>
    <w:lvl w:ilvl="0">
      <w:lvlJc w:val="left"/>
      <w:lvlText w:val="%1"/>
      <w:numFmt w:val="lowerLetter"/>
      <w:start w:val="1"/>
    </w:lvl>
    <w:lvl w:ilvl="1">
      <w:lvlJc w:val="left"/>
      <w:lvlText w:val="(%2)"/>
      <w:numFmt w:val="lowerRoman"/>
      <w:start w:val="7"/>
    </w:lvl>
  </w:abstractNum>
  <w:abstractNum w:abstractNumId="61">
    <w:nsid w:val="69E373"/>
    <w:multiLevelType w:val="hybridMultilevel"/>
    <w:lvl w:ilvl="0">
      <w:lvlJc w:val="left"/>
      <w:lvlText w:val="(%1)"/>
      <w:numFmt w:val="lowerLetter"/>
      <w:start w:val="7"/>
    </w:lvl>
    <w:lvl w:ilvl="1">
      <w:lvlJc w:val="left"/>
      <w:lvlText w:val="%2"/>
      <w:numFmt w:val="lowerRoman"/>
      <w:start w:val="1"/>
    </w:lvl>
  </w:abstractNum>
  <w:abstractNum w:abstractNumId="62">
    <w:nsid w:val="2C27173B"/>
    <w:multiLevelType w:val="hybridMultilevel"/>
    <w:lvl w:ilvl="0">
      <w:lvlJc w:val="left"/>
      <w:lvlText w:val="(%1)"/>
      <w:numFmt w:val="lowerLetter"/>
      <w:start w:val="1"/>
    </w:lvl>
  </w:abstractNum>
  <w:abstractNum w:abstractNumId="63">
    <w:nsid w:val="4C9B0904"/>
    <w:multiLevelType w:val="hybridMultilevel"/>
    <w:lvl w:ilvl="0">
      <w:lvlJc w:val="left"/>
      <w:lvlText w:val="(%1)"/>
      <w:numFmt w:val="lowerLetter"/>
      <w:start w:val="2"/>
    </w:lvl>
  </w:abstractNum>
  <w:abstractNum w:abstractNumId="64">
    <w:nsid w:val="6AA7B75C"/>
    <w:multiLevelType w:val="hybridMultilevel"/>
    <w:lvl w:ilvl="0">
      <w:lvlJc w:val="left"/>
      <w:lvlText w:val="(%1)"/>
      <w:numFmt w:val="lowerLetter"/>
      <w:start w:val="4"/>
    </w:lvl>
  </w:abstractNum>
  <w:abstractNum w:abstractNumId="65">
    <w:nsid w:val="1DF029D3"/>
    <w:multiLevelType w:val="hybridMultilevel"/>
    <w:lvl w:ilvl="0">
      <w:lvlJc w:val="left"/>
      <w:lvlText w:val="(%1)"/>
      <w:numFmt w:val="lowerRoman"/>
      <w:start w:val="1"/>
    </w:lvl>
  </w:abstractNum>
  <w:abstractNum w:abstractNumId="66">
    <w:nsid w:val="5675FF36"/>
    <w:multiLevelType w:val="hybridMultilevel"/>
    <w:lvl w:ilvl="0">
      <w:lvlJc w:val="left"/>
      <w:lvlText w:val="(%1)"/>
      <w:numFmt w:val="lowerLetter"/>
      <w:start w:val="1"/>
    </w:lvl>
    <w:lvl w:ilvl="1">
      <w:lvlJc w:val="left"/>
      <w:lvlText w:val="(%2)"/>
      <w:numFmt w:val="lowerRoman"/>
      <w:start w:val="1"/>
    </w:lvl>
  </w:abstractNum>
  <w:abstractNum w:abstractNumId="67">
    <w:nsid w:val="3DD15094"/>
    <w:multiLevelType w:val="hybridMultilevel"/>
    <w:lvl w:ilvl="0">
      <w:lvlJc w:val="left"/>
      <w:lvlText w:val="%1"/>
      <w:numFmt w:val="lowerRoman"/>
      <w:start w:val="1"/>
    </w:lvl>
    <w:lvl w:ilvl="1">
      <w:lvlJc w:val="left"/>
      <w:lvlText w:val="(%2)"/>
      <w:numFmt w:val="upperLetter"/>
      <w:start w:val="1"/>
    </w:lvl>
  </w:abstractNum>
  <w:abstractNum w:abstractNumId="68">
    <w:nsid w:val="3DB012B3"/>
    <w:multiLevelType w:val="hybridMultilevel"/>
    <w:lvl w:ilvl="0">
      <w:lvlJc w:val="left"/>
      <w:lvlText w:val="(%1)"/>
      <w:numFmt w:val="lowerRoman"/>
      <w:start w:val="2"/>
    </w:lvl>
    <w:lvl w:ilvl="1">
      <w:lvlJc w:val="left"/>
      <w:lvlText w:val="%2"/>
      <w:numFmt w:val="upperLetter"/>
      <w:start w:val="1"/>
    </w:lvl>
  </w:abstractNum>
  <w:abstractNum w:abstractNumId="69">
    <w:nsid w:val="2708C9AF"/>
    <w:multiLevelType w:val="hybridMultilevel"/>
    <w:lvl w:ilvl="0">
      <w:lvlJc w:val="left"/>
      <w:lvlText w:val="(%1)"/>
      <w:numFmt w:val="upperLetter"/>
      <w:start w:val="2"/>
    </w:lvl>
  </w:abstractNum>
  <w:abstractNum w:abstractNumId="70">
    <w:nsid w:val="5B25ACE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71">
    <w:nsid w:val="175DFCF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72">
    <w:nsid w:val="4F97E3E4"/>
    <w:multiLevelType w:val="hybridMultilevel"/>
    <w:lvl w:ilvl="0">
      <w:lvlJc w:val="left"/>
      <w:lvlText w:val="%1"/>
      <w:numFmt w:val="lowerLetter"/>
      <w:start w:val="1"/>
    </w:lvl>
    <w:lvl w:ilvl="1">
      <w:lvlJc w:val="left"/>
      <w:lvlText w:val="(%2)"/>
      <w:numFmt w:val="decimal"/>
      <w:start w:val="2"/>
    </w:lvl>
  </w:abstractNum>
  <w:abstractNum w:abstractNumId="73">
    <w:nsid w:val="53B0A9E"/>
    <w:multiLevelType w:val="hybridMultilevel"/>
    <w:lvl w:ilvl="0">
      <w:lvlJc w:val="left"/>
      <w:lvlText w:val="(%1)"/>
      <w:numFmt w:val="lowerLetter"/>
      <w:start w:val="5"/>
    </w:lvl>
    <w:lvl w:ilvl="1">
      <w:lvlJc w:val="left"/>
      <w:lvlText w:val="(%2)"/>
      <w:numFmt w:val="decimal"/>
      <w:start w:val="1"/>
    </w:lvl>
  </w:abstractNum>
  <w:abstractNum w:abstractNumId="74">
    <w:nsid w:val="34FD6B4F"/>
    <w:multiLevelType w:val="hybridMultilevel"/>
    <w:lvl w:ilvl="0">
      <w:lvlJc w:val="left"/>
      <w:lvlText w:val="(%1)"/>
      <w:numFmt w:val="lowerLetter"/>
      <w:start w:val="2"/>
    </w:lvl>
  </w:abstractNum>
  <w:abstractNum w:abstractNumId="75">
    <w:nsid w:val="5915FF32"/>
    <w:multiLevelType w:val="hybridMultilevel"/>
    <w:lvl w:ilvl="0">
      <w:lvlJc w:val="left"/>
      <w:lvlText w:val="%1"/>
      <w:numFmt w:val="lowerLetter"/>
      <w:start w:val="1"/>
    </w:lvl>
    <w:lvl w:ilvl="1">
      <w:lvlJc w:val="left"/>
      <w:lvlText w:val="(%2)"/>
      <w:numFmt w:val="lowerRoman"/>
      <w:start w:val="1"/>
    </w:lvl>
  </w:abstractNum>
  <w:abstractNum w:abstractNumId="76">
    <w:nsid w:val="56438D15"/>
    <w:multiLevelType w:val="hybridMultilevel"/>
    <w:lvl w:ilvl="0">
      <w:lvlJc w:val="left"/>
      <w:lvlText w:val="(%1)"/>
      <w:numFmt w:val="lowerLetter"/>
      <w:start w:val="2"/>
    </w:lvl>
    <w:lvl w:ilvl="1">
      <w:lvlJc w:val="left"/>
      <w:lvlText w:val="%2"/>
      <w:numFmt w:val="lowerRoman"/>
      <w:start w:val="1"/>
    </w:lvl>
  </w:abstractNum>
  <w:abstractNum w:abstractNumId="77">
    <w:nsid w:val="519E3149"/>
    <w:multiLevelType w:val="hybridMultilevel"/>
    <w:lvl w:ilvl="0">
      <w:lvlJc w:val="left"/>
      <w:lvlText w:val="(%1)"/>
      <w:numFmt w:val="lowerLetter"/>
      <w:start w:val="1"/>
    </w:lvl>
  </w:abstractNum>
  <w:abstractNum w:abstractNumId="78">
    <w:nsid w:val="2C6E4AFD"/>
    <w:multiLevelType w:val="hybridMultilevel"/>
    <w:lvl w:ilvl="0">
      <w:lvlJc w:val="left"/>
      <w:lvlText w:val="(%1)"/>
      <w:numFmt w:val="lowerRoman"/>
      <w:start w:val="2"/>
    </w:lvl>
  </w:abstractNum>
  <w:abstractNum w:abstractNumId="79">
    <w:nsid w:val="17A1B582"/>
    <w:multiLevelType w:val="hybridMultilevel"/>
    <w:lvl w:ilvl="0">
      <w:lvlJc w:val="left"/>
      <w:lvlText w:val="(%1)"/>
      <w:numFmt w:val="lowerRoman"/>
      <w:start w:val="1"/>
    </w:lvl>
  </w:abstractNum>
  <w:abstractNum w:abstractNumId="80">
    <w:nsid w:val="4DF72E4E"/>
    <w:multiLevelType w:val="hybridMultilevel"/>
    <w:lvl w:ilvl="0">
      <w:lvlJc w:val="left"/>
      <w:lvlText w:val="(%1)"/>
      <w:numFmt w:val="lowerLetter"/>
      <w:start w:val="2"/>
    </w:lvl>
  </w:abstractNum>
  <w:abstractNum w:abstractNumId="81">
    <w:nsid w:val="5046B5A9"/>
    <w:multiLevelType w:val="hybridMultilevel"/>
    <w:lvl w:ilvl="0">
      <w:lvlJc w:val="left"/>
      <w:lvlText w:val="(%1)"/>
      <w:numFmt w:val="lowerRoman"/>
      <w:start w:val="1"/>
    </w:lvl>
  </w:abstractNum>
  <w:abstractNum w:abstractNumId="82">
    <w:nsid w:val="5D888A08"/>
    <w:multiLevelType w:val="hybridMultilevel"/>
    <w:lvl w:ilvl="0">
      <w:lvlJc w:val="left"/>
      <w:lvlText w:val="(%1)"/>
      <w:numFmt w:val="lowerLetter"/>
      <w:start w:val="3"/>
    </w:lvl>
  </w:abstractNum>
  <w:abstractNum w:abstractNumId="83">
    <w:nsid w:val="2A082C70"/>
    <w:multiLevelType w:val="hybridMultilevel"/>
    <w:lvl w:ilvl="0">
      <w:lvlJc w:val="left"/>
      <w:lvlText w:val="(%1)"/>
      <w:numFmt w:val="decimal"/>
      <w:start w:val="1"/>
    </w:lvl>
  </w:abstractNum>
  <w:abstractNum w:abstractNumId="84">
    <w:nsid w:val="5EC6AFD4"/>
    <w:multiLevelType w:val="hybridMultilevel"/>
    <w:lvl w:ilvl="0">
      <w:lvlJc w:val="left"/>
      <w:lvlText w:val="(%1)"/>
      <w:numFmt w:val="lowerRoman"/>
      <w:start w:val="3"/>
    </w:lvl>
  </w:abstractNum>
  <w:abstractNum w:abstractNumId="85">
    <w:nsid w:val="19E21BB2"/>
    <w:multiLevelType w:val="hybridMultilevel"/>
    <w:lvl w:ilvl="0">
      <w:lvlJc w:val="left"/>
      <w:lvlText w:val="(%1)"/>
      <w:numFmt w:val="lowerRoman"/>
      <w:start w:val="1"/>
    </w:lvl>
  </w:abstractNum>
  <w:abstractNum w:abstractNumId="86">
    <w:nsid w:val="75E0858A"/>
    <w:multiLevelType w:val="hybridMultilevel"/>
    <w:lvl w:ilvl="0">
      <w:lvlJc w:val="left"/>
      <w:lvlText w:val="(%1)"/>
      <w:numFmt w:val="lowerLetter"/>
      <w:start w:val="2"/>
    </w:lvl>
    <w:lvl w:ilvl="1">
      <w:lvlJc w:val="left"/>
      <w:lvlText w:val="(%2)"/>
      <w:numFmt w:val="lowerRoman"/>
      <w:start w:val="1"/>
    </w:lvl>
  </w:abstractNum>
  <w:abstractNum w:abstractNumId="87">
    <w:nsid w:val="57A61A29"/>
    <w:multiLevelType w:val="hybridMultilevel"/>
    <w:lvl w:ilvl="0">
      <w:lvlJc w:val="left"/>
      <w:lvlText w:val="(%1)"/>
      <w:numFmt w:val="lowerRoman"/>
      <w:start w:val="4"/>
    </w:lvl>
  </w:abstractNum>
  <w:abstractNum w:abstractNumId="88">
    <w:nsid w:val="5399C654"/>
    <w:multiLevelType w:val="hybridMultilevel"/>
    <w:lvl w:ilvl="0">
      <w:lvlJc w:val="left"/>
      <w:lvlText w:val="(%1)"/>
      <w:numFmt w:val="lowerLetter"/>
      <w:start w:val="4"/>
    </w:lvl>
  </w:abstractNum>
  <w:abstractNum w:abstractNumId="89">
    <w:nsid w:val="20EE1348"/>
    <w:multiLevelType w:val="hybridMultilevel"/>
    <w:lvl w:ilvl="0">
      <w:lvlJc w:val="left"/>
      <w:lvlText w:val="(%1)"/>
      <w:numFmt w:val="lowerLetter"/>
      <w:start w:val="2"/>
    </w:lvl>
  </w:abstractNum>
  <w:abstractNum w:abstractNumId="90">
    <w:nsid w:val="4427069A"/>
    <w:multiLevelType w:val="hybridMultilevel"/>
    <w:lvl w:ilvl="0">
      <w:lvlJc w:val="left"/>
      <w:lvlText w:val="%1"/>
      <w:numFmt w:val="lowerLetter"/>
      <w:start w:val="1"/>
    </w:lvl>
    <w:lvl w:ilvl="1">
      <w:lvlJc w:val="left"/>
      <w:lvlText w:val="(%2)"/>
      <w:numFmt w:val="lowerRoman"/>
      <w:start w:val="1"/>
    </w:lvl>
  </w:abstractNum>
  <w:abstractNum w:abstractNumId="91">
    <w:nsid w:val="B37E80A"/>
    <w:multiLevelType w:val="hybridMultilevel"/>
    <w:lvl w:ilvl="0">
      <w:lvlJc w:val="left"/>
      <w:lvlText w:val="(%1)"/>
      <w:numFmt w:val="lowerLetter"/>
      <w:start w:val="3"/>
    </w:lvl>
    <w:lvl w:ilvl="1">
      <w:lvlJc w:val="left"/>
      <w:lvlText w:val="%2"/>
      <w:numFmt w:val="lowerRoman"/>
      <w:start w:val="1"/>
    </w:lvl>
  </w:abstractNum>
  <w:abstractNum w:abstractNumId="92">
    <w:nsid w:val="2157F6BC"/>
    <w:multiLevelType w:val="hybridMultilevel"/>
    <w:lvl w:ilvl="0">
      <w:lvlJc w:val="left"/>
      <w:lvlText w:val="(%1)"/>
      <w:numFmt w:val="lowerLetter"/>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1."/>
      <w:numFmt w:val="decimal"/>
      <w:start w:val="1"/>
    </w:lvl>
  </w:abstractNum>
  <w:abstractNum w:abstractNumId="95">
    <w:nsid w:val="BFFAE18"/>
    <w:multiLevelType w:val="hybridMultilevel"/>
    <w:lvl w:ilvl="0">
      <w:lvlJc w:val="left"/>
      <w:lvlText w:val="(%1)"/>
      <w:numFmt w:val="lowerRoman"/>
      <w:start w:val="2"/>
    </w:lvl>
  </w:abstractNum>
  <w:abstractNum w:abstractNumId="96">
    <w:nsid w:val="E3E47A8"/>
    <w:multiLevelType w:val="hybridMultilevel"/>
    <w:lvl w:ilvl="0">
      <w:lvlJc w:val="left"/>
      <w:lvlText w:val="(%1)"/>
      <w:numFmt w:val="lowerRoman"/>
      <w:start w:val="4"/>
    </w:lvl>
  </w:abstractNum>
  <w:abstractNum w:abstractNumId="97">
    <w:nsid w:val="2E48F04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8">
    <w:nsid w:val="49D0FEA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9">
    <w:nsid w:val="4BEE5A5B"/>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100">
    <w:nsid w:val="5551B9F3"/>
    <w:multiLevelType w:val="hybridMultilevel"/>
    <w:lvl w:ilvl="0">
      <w:lvlJc w:val="left"/>
      <w:lvlText w:val="%1"/>
      <w:numFmt w:val="lowerLetter"/>
      <w:start w:val="1"/>
    </w:lvl>
    <w:lvl w:ilvl="1">
      <w:lvlJc w:val="left"/>
      <w:lvlText w:val="(%2)"/>
      <w:numFmt w:val="lowerLetter"/>
      <w:start w:val="4"/>
    </w:lvl>
  </w:abstractNum>
  <w:abstractNum w:abstractNumId="101">
    <w:nsid w:val="24F6AB8E"/>
    <w:multiLevelType w:val="hybridMultilevel"/>
    <w:lvl w:ilvl="0">
      <w:lvlJc w:val="left"/>
      <w:lvlText w:val="(%1)"/>
      <w:numFmt w:val="lowerLetter"/>
      <w:start w:val="61"/>
    </w:lvl>
    <w:lvl w:ilvl="1">
      <w:lvlJc w:val="left"/>
      <w:lvlText w:val="%2"/>
      <w:numFmt w:val="lowerLetter"/>
      <w:start w:val="1"/>
    </w:lvl>
  </w:abstractNum>
  <w:abstractNum w:abstractNumId="102">
    <w:nsid w:val="634C574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3">
    <w:nsid w:val="24E99DD7"/>
    <w:multiLevelType w:val="hybridMultilevel"/>
    <w:lvl w:ilvl="0">
      <w:lvlJc w:val="left"/>
      <w:lvlText w:val="%1"/>
      <w:numFmt w:val="lowerLetter"/>
      <w:start w:val="1"/>
    </w:lvl>
    <w:lvl w:ilvl="1">
      <w:lvlJc w:val="left"/>
      <w:lvlText w:val="(%2)"/>
      <w:numFmt w:val="lowerRoman"/>
      <w:start w:val="1"/>
    </w:lvl>
  </w:abstractNum>
  <w:abstractNum w:abstractNumId="104">
    <w:nsid w:val="2A31B62D"/>
    <w:multiLevelType w:val="hybridMultilevel"/>
    <w:lvl w:ilvl="0">
      <w:lvlJc w:val="left"/>
      <w:lvlText w:val="(%1)"/>
      <w:numFmt w:val="lowerLetter"/>
      <w:start w:val="4"/>
    </w:lvl>
    <w:lvl w:ilvl="1">
      <w:lvlJc w:val="left"/>
      <w:lvlText w:val="%2"/>
      <w:numFmt w:val="lowerRoman"/>
      <w:start w:val="1"/>
    </w:lvl>
  </w:abstractNum>
  <w:abstractNum w:abstractNumId="105">
    <w:nsid w:val="1849C29B"/>
    <w:multiLevelType w:val="hybridMultilevel"/>
    <w:lvl w:ilvl="0">
      <w:lvlJc w:val="left"/>
      <w:lvlText w:val="(%1)"/>
      <w:numFmt w:val="lowerLetter"/>
      <w:start w:val="7"/>
    </w:lvl>
  </w:abstractNum>
  <w:abstractNum w:abstractNumId="106">
    <w:nsid w:val="7DFF9D09"/>
    <w:multiLevelType w:val="hybridMultilevel"/>
    <w:lvl w:ilvl="0">
      <w:lvlJc w:val="left"/>
      <w:lvlText w:val="(%1)"/>
      <w:numFmt w:val="lowerLetter"/>
      <w:start w:val="11"/>
    </w:lvl>
    <w:lvl w:ilvl="1">
      <w:lvlJc w:val="left"/>
      <w:lvlText w:val="(%2)"/>
      <w:numFmt w:val="lowerRoman"/>
      <w:start w:val="1"/>
    </w:lvl>
  </w:abstractNum>
  <w:abstractNum w:abstractNumId="107">
    <w:nsid w:val="754342"/>
    <w:multiLevelType w:val="hybridMultilevel"/>
    <w:lvl w:ilvl="0">
      <w:lvlJc w:val="left"/>
      <w:lvlText w:val="(%1)"/>
      <w:numFmt w:val="lowerRoman"/>
      <w:start w:val="6"/>
    </w:lvl>
  </w:abstractNum>
  <w:abstractNum w:abstractNumId="108">
    <w:nsid w:val="69E7F3E5"/>
    <w:multiLevelType w:val="hybridMultilevel"/>
    <w:lvl w:ilvl="0">
      <w:lvlJc w:val="left"/>
      <w:lvlText w:val="%1"/>
      <w:numFmt w:val="decimal"/>
      <w:start w:val="1"/>
    </w:lvl>
    <w:lvl w:ilvl="1">
      <w:lvlJc w:val="left"/>
      <w:lvlText w:val="(%2)"/>
      <w:numFmt w:val="lowerLetter"/>
      <w:start w:val="14"/>
    </w:lvl>
  </w:abstractNum>
  <w:abstractNum w:abstractNumId="109">
    <w:nsid w:val="2A6DE806"/>
    <w:multiLevelType w:val="hybridMultilevel"/>
    <w:lvl w:ilvl="0">
      <w:lvlJc w:val="left"/>
      <w:lvlText w:val="%1."/>
      <w:numFmt w:val="decimal"/>
      <w:start w:val="4"/>
    </w:lvl>
    <w:lvl w:ilvl="1">
      <w:lvlJc w:val="left"/>
      <w:lvlText w:val="%2"/>
      <w:numFmt w:val="lowerLetter"/>
      <w:start w:val="1"/>
    </w:lvl>
  </w:abstractNum>
  <w:abstractNum w:abstractNumId="110">
    <w:nsid w:val="1816F8C4"/>
    <w:multiLevelType w:val="hybridMultilevel"/>
    <w:lvl w:ilvl="0">
      <w:lvlJc w:val="left"/>
      <w:lvlText w:val="(%1)"/>
      <w:numFmt w:val="lowerLetter"/>
      <w:start w:val="2"/>
    </w:lvl>
  </w:abstractNum>
  <w:abstractNum w:abstractNumId="111">
    <w:nsid w:val="37DF2233"/>
    <w:multiLevelType w:val="hybridMultilevel"/>
    <w:lvl w:ilvl="0">
      <w:lvlJc w:val="left"/>
      <w:lvlText w:val="(%1)"/>
      <w:numFmt w:val="lowerLetter"/>
      <w:start w:val="4"/>
    </w:lvl>
  </w:abstractNum>
  <w:abstractNum w:abstractNumId="112">
    <w:nsid w:val="7AB49DAF"/>
    <w:multiLevelType w:val="hybridMultilevel"/>
    <w:lvl w:ilvl="0">
      <w:lvlJc w:val="left"/>
      <w:lvlText w:val="%1"/>
      <w:numFmt w:val="decimal"/>
      <w:start w:val="1"/>
    </w:lvl>
    <w:lvl w:ilvl="1">
      <w:lvlJc w:val="left"/>
      <w:lvlText w:val="(%2)"/>
      <w:numFmt w:val="lowerLetter"/>
      <w:start w:val="5"/>
    </w:lvl>
  </w:abstractNum>
  <w:abstractNum w:abstractNumId="113">
    <w:nsid w:val="759F82CD"/>
    <w:multiLevelType w:val="hybridMultilevel"/>
    <w:lvl w:ilvl="0">
      <w:lvlJc w:val="left"/>
      <w:lvlText w:val="%1."/>
      <w:numFmt w:val="decimal"/>
      <w:start w:val="6"/>
    </w:lvl>
    <w:lvl w:ilvl="1">
      <w:lvlJc w:val="left"/>
      <w:lvlText w:val="(%2)"/>
      <w:numFmt w:val="lowerLetter"/>
      <w:start w:val="2"/>
    </w:lvl>
  </w:abstractNum>
  <w:abstractNum w:abstractNumId="114">
    <w:nsid w:val="61E74E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5">
    <w:nsid w:val="597B4D8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16">
    <w:nsid w:val="F819E7F"/>
    <w:multiLevelType w:val="hybridMultilevel"/>
    <w:lvl w:ilvl="0">
      <w:lvlJc w:val="left"/>
      <w:lvlText w:val="(%1)"/>
      <w:numFmt w:val="decimal"/>
      <w:start w:val="10"/>
    </w:lvl>
    <w:lvl w:ilvl="1">
      <w:lvlJc w:val="left"/>
      <w:lvlText w:val="%2"/>
      <w:numFmt w:val="decimal"/>
      <w:start w:val="1"/>
    </w:lvl>
    <w:lvl w:ilvl="2">
      <w:lvlJc w:val="left"/>
      <w:lvlText w:val="(%3)"/>
      <w:numFmt w:val="lowerLetter"/>
      <w:start w:val="4"/>
    </w:lvl>
  </w:abstractNum>
  <w:abstractNum w:abstractNumId="117">
    <w:nsid w:val="57C7D42D"/>
    <w:multiLevelType w:val="hybridMultilevel"/>
    <w:lvl w:ilvl="0">
      <w:lvlJc w:val="left"/>
      <w:lvlText w:val="(%1)"/>
      <w:numFmt w:val="lowerLetter"/>
      <w:start w:val="5"/>
    </w:lvl>
  </w:abstractNum>
  <w:abstractNum w:abstractNumId="118">
    <w:nsid w:val="312167AD"/>
    <w:multiLevelType w:val="hybridMultilevel"/>
    <w:lvl w:ilvl="0">
      <w:lvlJc w:val="left"/>
      <w:lvlText w:val="%1."/>
      <w:numFmt w:val="decimal"/>
      <w:start w:val="8"/>
    </w:lvl>
  </w:abstractNum>
  <w:abstractNum w:abstractNumId="119">
    <w:nsid w:val="631B64D4"/>
    <w:multiLevelType w:val="hybridMultilevel"/>
    <w:lvl w:ilvl="0">
      <w:lvlJc w:val="left"/>
      <w:lvlText w:val="(%1)"/>
      <w:numFmt w:val="lowerLetter"/>
      <w:start w:val="1"/>
    </w:lvl>
  </w:abstractNum>
  <w:abstractNum w:abstractNumId="120">
    <w:nsid w:val="78B5E776"/>
    <w:multiLevelType w:val="hybridMultilevel"/>
    <w:lvl w:ilvl="0">
      <w:lvlJc w:val="left"/>
      <w:lvlText w:val="%1."/>
      <w:numFmt w:val="decimal"/>
      <w:start w:val="13"/>
    </w:lvl>
  </w:abstractNum>
  <w:abstractNum w:abstractNumId="121">
    <w:nsid w:val="75486E47"/>
    <w:multiLevelType w:val="hybridMultilevel"/>
    <w:lvl w:ilvl="0">
      <w:lvlJc w:val="left"/>
      <w:lvlText w:val="%1."/>
      <w:numFmt w:val="decimal"/>
      <w:start w:val="18"/>
    </w:lvl>
    <w:lvl w:ilvl="1">
      <w:lvlJc w:val="left"/>
      <w:lvlText w:val="(%2)"/>
      <w:numFmt w:val="lowerLetter"/>
      <w:start w:val="1"/>
    </w:lvl>
  </w:abstractNum>
  <w:abstractNum w:abstractNumId="122">
    <w:nsid w:val="6E534CDE"/>
    <w:multiLevelType w:val="hybridMultilevel"/>
    <w:lvl w:ilvl="0">
      <w:lvlJc w:val="left"/>
      <w:lvlText w:val="%1."/>
      <w:numFmt w:val="decimal"/>
      <w:start w:val="19"/>
    </w:lvl>
  </w:abstractNum>
  <w:abstractNum w:abstractNumId="123">
    <w:nsid w:val="1A0DDE32"/>
    <w:multiLevelType w:val="hybridMultilevel"/>
    <w:lvl w:ilvl="0">
      <w:lvlJc w:val="left"/>
      <w:lvlText w:val="1"/>
      <w:numFmt w:val="bullet"/>
      <w:start w:val="1"/>
    </w:lvl>
  </w:abstractNum>
  <w:abstractNum w:abstractNumId="124">
    <w:nsid w:val="65968C1C"/>
    <w:multiLevelType w:val="hybridMultilevel"/>
    <w:lvl w:ilvl="0">
      <w:lvlJc w:val="left"/>
      <w:lvlText w:val="2"/>
      <w:numFmt w:val="bullet"/>
      <w:start w:val="1"/>
    </w:lvl>
  </w:abstractNum>
  <w:abstractNum w:abstractNumId="125">
    <w:nsid w:val="46263DEC"/>
    <w:multiLevelType w:val="hybridMultilevel"/>
    <w:lvl w:ilvl="0">
      <w:lvlJc w:val="left"/>
      <w:lvlText w:val="3"/>
      <w:numFmt w:val="bullet"/>
      <w:start w:val="1"/>
    </w:lvl>
  </w:abstractNum>
  <w:abstractNum w:abstractNumId="126">
    <w:nsid w:val="260D8C4A"/>
    <w:multiLevelType w:val="hybridMultilevel"/>
    <w:lvl w:ilvl="0">
      <w:lvlJc w:val="left"/>
      <w:lvlText w:val="4"/>
      <w:numFmt w:val="bullet"/>
      <w:start w:val="1"/>
    </w:lvl>
  </w:abstractNum>
  <w:abstractNum w:abstractNumId="127">
    <w:nsid w:val="73D4D3C4"/>
    <w:multiLevelType w:val="hybridMultilevel"/>
    <w:lvl w:ilvl="0">
      <w:lvlJc w:val="left"/>
      <w:lvlText w:val="5"/>
      <w:numFmt w:val="bullet"/>
      <w:start w:val="1"/>
    </w:lvl>
  </w:abstractNum>
  <w:abstractNum w:abstractNumId="128">
    <w:nsid w:val="746F2E30"/>
    <w:multiLevelType w:val="hybridMultilevel"/>
    <w:lvl w:ilvl="0">
      <w:lvlJc w:val="left"/>
      <w:lvlText w:val="6"/>
      <w:numFmt w:val="bullet"/>
      <w:start w:val="1"/>
    </w:lvl>
  </w:abstractNum>
  <w:abstractNum w:abstractNumId="129">
    <w:nsid w:val="6FDE8AF6"/>
    <w:multiLevelType w:val="hybridMultilevel"/>
    <w:lvl w:ilvl="0">
      <w:lvlJc w:val="left"/>
      <w:lvlText w:val="7"/>
      <w:numFmt w:val="bullet"/>
      <w:start w:val="1"/>
    </w:lvl>
  </w:abstractNum>
  <w:abstractNum w:abstractNumId="130">
    <w:nsid w:val="3FC32E20"/>
    <w:multiLevelType w:val="hybridMultilevel"/>
    <w:lvl w:ilvl="0">
      <w:lvlJc w:val="left"/>
      <w:lvlText w:val="(%1)"/>
      <w:numFmt w:val="lowerRoman"/>
      <w:start w:val="1"/>
    </w:lvl>
  </w:abstractNum>
  <w:abstractNum w:abstractNumId="131">
    <w:nsid w:val="49C0E823"/>
    <w:multiLevelType w:val="hybridMultilevel"/>
    <w:lvl w:ilvl="0">
      <w:lvlJc w:val="left"/>
      <w:lvlText w:val="8"/>
      <w:numFmt w:val="bullet"/>
      <w:start w:val="1"/>
    </w:lvl>
  </w:abstractNum>
  <w:abstractNum w:abstractNumId="132">
    <w:nsid w:val="14D53685"/>
    <w:multiLevelType w:val="hybridMultilevel"/>
    <w:lvl w:ilvl="0">
      <w:lvlJc w:val="left"/>
      <w:lvlText w:val="9"/>
      <w:numFmt w:val="bullet"/>
      <w:start w:val="1"/>
    </w:lvl>
  </w:abstractNum>
  <w:abstractNum w:abstractNumId="133">
    <w:nsid w:val="230F856C"/>
    <w:multiLevelType w:val="hybridMultilevel"/>
    <w:lvl w:ilvl="0">
      <w:lvlJc w:val="left"/>
      <w:lvlText w:val="%1"/>
      <w:numFmt w:val="decimal"/>
      <w:start w:val="10"/>
    </w:lvl>
  </w:abstractNum>
  <w:abstractNum w:abstractNumId="134">
    <w:nsid w:val="6EAA85FB"/>
    <w:multiLevelType w:val="hybridMultilevel"/>
    <w:lvl w:ilvl="0">
      <w:lvlJc w:val="left"/>
      <w:lvlText w:val="%1"/>
      <w:numFmt w:val="decimal"/>
      <w:start w:val="13"/>
    </w:lvl>
  </w:abstractNum>
  <w:abstractNum w:abstractNumId="135">
    <w:nsid w:val="3F06ECB2"/>
    <w:multiLevelType w:val="hybridMultilevel"/>
    <w:lvl w:ilvl="0">
      <w:lvlJc w:val="left"/>
      <w:lvlText w:val="(%1)"/>
      <w:numFmt w:val="upperLetter"/>
      <w:start w:val="24"/>
    </w:lvl>
  </w:abstractNum>
  <w:abstractNum w:abstractNumId="136">
    <w:nsid w:val="3B594807"/>
    <w:multiLevelType w:val="hybridMultilevel"/>
    <w:lvl w:ilvl="0">
      <w:lvlJc w:val="left"/>
      <w:lvlText w:val="%1."/>
      <w:numFmt w:val="decimal"/>
      <w:start w:val="5"/>
    </w:lvl>
    <w:lvl w:ilvl="1">
      <w:lvlJc w:val="left"/>
      <w:lvlText w:val="(%2)"/>
      <w:numFmt w:val="lowerLetter"/>
      <w:start w:val="1"/>
    </w:lvl>
  </w:abstractNum>
  <w:abstractNum w:abstractNumId="137">
    <w:nsid w:val="6CAA2304"/>
    <w:multiLevelType w:val="hybridMultilevel"/>
    <w:lvl w:ilvl="0">
      <w:lvlJc w:val="left"/>
      <w:lvlText w:val="%1."/>
      <w:numFmt w:val="decimal"/>
      <w:start w:val="6"/>
    </w:lvl>
    <w:lvl w:ilvl="1">
      <w:lvlJc w:val="left"/>
      <w:lvlText w:val="(%2)"/>
      <w:numFmt w:val="lowerLetter"/>
      <w:start w:val="1"/>
    </w:lvl>
  </w:abstractNum>
  <w:abstractNum w:abstractNumId="138">
    <w:nsid w:val="3F7C2FF4"/>
    <w:multiLevelType w:val="hybridMultilevel"/>
    <w:lvl w:ilvl="0">
      <w:lvlJc w:val="left"/>
      <w:lvlText w:val="%1"/>
      <w:numFmt w:val="decimal"/>
      <w:start w:val="14"/>
    </w:lvl>
  </w:abstractNum>
  <w:abstractNum w:abstractNumId="139">
    <w:nsid w:val="25413BEC"/>
    <w:multiLevelType w:val="hybridMultilevel"/>
    <w:lvl w:ilvl="0">
      <w:lvlJc w:val="left"/>
      <w:lvlText w:val="%1."/>
      <w:numFmt w:val="decimal"/>
      <w:start w:val="7"/>
    </w:lvl>
    <w:lvl w:ilvl="1">
      <w:lvlJc w:val="left"/>
      <w:lvlText w:val="(%2)"/>
      <w:numFmt w:val="lowerLetter"/>
      <w:start w:val="1"/>
    </w:lvl>
  </w:abstractNum>
  <w:abstractNum w:abstractNumId="140">
    <w:nsid w:val="17180B0B"/>
    <w:multiLevelType w:val="hybridMultilevel"/>
    <w:lvl w:ilvl="0">
      <w:lvlJc w:val="left"/>
      <w:lvlText w:val="%1"/>
      <w:numFmt w:val="decimal"/>
      <w:start w:val="1"/>
    </w:lvl>
    <w:lvl w:ilvl="1">
      <w:lvlJc w:val="left"/>
      <w:lvlText w:val="(%2)"/>
      <w:numFmt w:val="lowerLetter"/>
      <w:start w:val="2"/>
    </w:lvl>
  </w:abstractNum>
  <w:abstractNum w:abstractNumId="141">
    <w:nsid w:val="579328B9"/>
    <w:multiLevelType w:val="hybridMultilevel"/>
    <w:lvl w:ilvl="0">
      <w:lvlJc w:val="left"/>
      <w:lvlText w:val="%1."/>
      <w:numFmt w:val="decimal"/>
      <w:start w:val="8"/>
    </w:lvl>
    <w:lvl w:ilvl="1">
      <w:lvlJc w:val="left"/>
      <w:lvlText w:val="(%2)"/>
      <w:numFmt w:val="lowerLetter"/>
      <w:start w:val="1"/>
    </w:lvl>
  </w:abstractNum>
  <w:abstractNum w:abstractNumId="142">
    <w:nsid w:val="5D205E20"/>
    <w:multiLevelType w:val="hybridMultilevel"/>
    <w:lvl w:ilvl="0">
      <w:lvlJc w:val="left"/>
      <w:lvlText w:val="%1"/>
      <w:numFmt w:val="decimal"/>
      <w:start w:val="16"/>
    </w:lvl>
  </w:abstractNum>
  <w:abstractNum w:abstractNumId="143">
    <w:nsid w:val="11CCA8BA"/>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2"/>
    </w:lvl>
  </w:abstractNum>
  <w:abstractNum w:abstractNumId="144">
    <w:nsid w:val="4D32AB8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abstractNum>
  <w:abstractNum w:abstractNumId="145">
    <w:nsid w:val="3F07ACC3"/>
    <w:multiLevelType w:val="hybridMultilevel"/>
    <w:lvl w:ilvl="0">
      <w:lvlJc w:val="left"/>
      <w:lvlText w:val="%1"/>
      <w:numFmt w:val="decimal"/>
      <w:start w:val="1"/>
    </w:lvl>
    <w:lvl w:ilvl="1">
      <w:lvlJc w:val="left"/>
      <w:lvlText w:val="(%2)"/>
      <w:numFmt w:val="lowerLetter"/>
      <w:start w:val="7"/>
    </w:lvl>
    <w:lvl w:ilvl="2">
      <w:lvlJc w:val="left"/>
      <w:lvlText w:val="%3"/>
      <w:numFmt w:val="upperLetter"/>
      <w:start w:val="1"/>
    </w:lvl>
  </w:abstractNum>
  <w:abstractNum w:abstractNumId="146">
    <w:nsid w:val="6B47F63E"/>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abstractNum>
  <w:abstractNum w:abstractNumId="147">
    <w:nsid w:val="5CB44A05"/>
    <w:multiLevelType w:val="hybridMultilevel"/>
    <w:lvl w:ilvl="0">
      <w:lvlJc w:val="left"/>
      <w:lvlText w:val="%1"/>
      <w:numFmt w:val="decimal"/>
      <w:start w:val="17"/>
    </w:lvl>
  </w:abstractNum>
  <w:abstractNum w:abstractNumId="148">
    <w:nsid w:val="16CF80F1"/>
    <w:multiLevelType w:val="hybridMultilevel"/>
    <w:lvl w:ilvl="0">
      <w:lvlJc w:val="left"/>
      <w:lvlText w:val="(%1)"/>
      <w:numFmt w:val="lowerLetter"/>
      <w:start w:val="3"/>
    </w:lvl>
  </w:abstractNum>
  <w:abstractNum w:abstractNumId="149">
    <w:nsid w:val="1C695DE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50">
    <w:nsid w:val="3FCFAED9"/>
    <w:multiLevelType w:val="hybridMultilevel"/>
    <w:lvl w:ilvl="0">
      <w:lvlJc w:val="left"/>
      <w:lvlText w:val="(%1)"/>
      <w:numFmt w:val="decimal"/>
      <w:start w:val="2"/>
    </w:lvl>
  </w:abstractNum>
  <w:abstractNum w:abstractNumId="151">
    <w:nsid w:val="F856867"/>
    <w:multiLevelType w:val="hybridMultilevel"/>
    <w:lvl w:ilvl="0">
      <w:lvlJc w:val="left"/>
      <w:lvlText w:val="%1"/>
      <w:numFmt w:val="lowerLetter"/>
      <w:start w:val="1"/>
    </w:lvl>
    <w:lvl w:ilvl="1">
      <w:lvlJc w:val="left"/>
      <w:lvlText w:val="(%2)"/>
      <w:numFmt w:val="lowerLetter"/>
      <w:start w:val="61"/>
    </w:lvl>
  </w:abstractNum>
  <w:abstractNum w:abstractNumId="152">
    <w:nsid w:val="11B1CC33"/>
    <w:multiLevelType w:val="hybridMultilevel"/>
    <w:lvl w:ilvl="0">
      <w:lvlJc w:val="left"/>
      <w:lvlText w:val="(%1)"/>
      <w:numFmt w:val="lowerLetter"/>
      <w:start w:val="6"/>
    </w:lvl>
    <w:lvl w:ilvl="1">
      <w:lvlJc w:val="left"/>
      <w:lvlText w:val="(%2)"/>
      <w:numFmt w:val="lowerLetter"/>
      <w:start w:val="9"/>
    </w:lvl>
  </w:abstractNum>
  <w:abstractNum w:abstractNumId="153">
    <w:nsid w:val="2E22FBB7"/>
    <w:multiLevelType w:val="hybridMultilevel"/>
    <w:lvl w:ilvl="0">
      <w:lvlJc w:val="left"/>
      <w:lvlText w:val="%1"/>
      <w:numFmt w:val="lowerLetter"/>
      <w:start w:val="1"/>
    </w:lvl>
    <w:lvl w:ilvl="1">
      <w:lvlJc w:val="left"/>
      <w:lvlText w:val="(%2)"/>
      <w:numFmt w:val="lowerRoman"/>
      <w:start w:val="2"/>
    </w:lvl>
  </w:abstractNum>
  <w:abstractNum w:abstractNumId="154">
    <w:nsid w:val="29934699"/>
    <w:multiLevelType w:val="hybridMultilevel"/>
    <w:lvl w:ilvl="0">
      <w:lvlJc w:val="left"/>
      <w:lvlText w:val="(%1)"/>
      <w:numFmt w:val="lowerLetter"/>
      <w:start w:val="7"/>
    </w:lvl>
    <w:lvl w:ilvl="1">
      <w:lvlJc w:val="left"/>
      <w:lvlText w:val="%2"/>
      <w:numFmt w:val="lowerRoman"/>
      <w:start w:val="1"/>
    </w:lvl>
  </w:abstractNum>
  <w:abstractNum w:abstractNumId="155">
    <w:nsid w:val="77485850"/>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56">
    <w:nsid w:val="744939A3"/>
    <w:multiLevelType w:val="hybridMultilevel"/>
    <w:lvl w:ilvl="0">
      <w:lvlJc w:val="left"/>
      <w:lvlText w:val="%1"/>
      <w:numFmt w:val="decimal"/>
      <w:start w:val="20"/>
    </w:lvl>
  </w:abstractNum>
  <w:abstractNum w:abstractNumId="157">
    <w:nsid w:val="4FA0D2E3"/>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4"/>
    </w:lvl>
  </w:abstractNum>
  <w:abstractNum w:abstractNumId="158">
    <w:nsid w:val="6B1D2C14"/>
    <w:multiLevelType w:val="hybridMultilevel"/>
    <w:lvl w:ilvl="0">
      <w:lvlJc w:val="left"/>
      <w:lvlText w:val="(%1)"/>
      <w:numFmt w:val="lowerLetter"/>
      <w:start w:val="35"/>
    </w:lvl>
    <w:lvl w:ilvl="1">
      <w:lvlJc w:val="left"/>
      <w:lvlText w:val="(%2)"/>
      <w:numFmt w:val="upperLetter"/>
      <w:start w:val="2"/>
    </w:lvl>
    <w:lvl w:ilvl="2">
      <w:lvlJc w:val="left"/>
      <w:lvlText w:val="%3"/>
      <w:numFmt w:val="upperLetter"/>
      <w:start w:val="1"/>
    </w:lvl>
  </w:abstractNum>
  <w:abstractNum w:abstractNumId="159">
    <w:nsid w:val="68B867D3"/>
    <w:multiLevelType w:val="hybridMultilevel"/>
    <w:lvl w:ilvl="0">
      <w:lvlJc w:val="left"/>
      <w:lvlText w:val="(%1)"/>
      <w:numFmt w:val="lowerRoman"/>
      <w:start w:val="3"/>
    </w:lvl>
  </w:abstractNum>
  <w:abstractNum w:abstractNumId="160">
    <w:nsid w:val="3F7F5DD9"/>
    <w:multiLevelType w:val="hybridMultilevel"/>
    <w:lvl w:ilvl="0">
      <w:lvlJc w:val="left"/>
      <w:lvlText w:val="%1"/>
      <w:numFmt w:val="decimal"/>
      <w:start w:val="23"/>
    </w:lvl>
  </w:abstractNum>
  <w:abstractNum w:abstractNumId="161">
    <w:nsid w:val="2AE05A34"/>
    <w:multiLevelType w:val="hybridMultilevel"/>
    <w:lvl w:ilvl="0">
      <w:lvlJc w:val="left"/>
      <w:lvlText w:val="(%1)"/>
      <w:numFmt w:val="lowerLetter"/>
      <w:start w:val="10"/>
    </w:lvl>
    <w:lvl w:ilvl="1">
      <w:lvlJc w:val="left"/>
      <w:lvlText w:val="(%2)"/>
      <w:numFmt w:val="lowerRoman"/>
      <w:start w:val="1"/>
    </w:lvl>
  </w:abstractNum>
  <w:abstractNum w:abstractNumId="162">
    <w:nsid w:val="32794FF7"/>
    <w:multiLevelType w:val="hybridMultilevel"/>
    <w:lvl w:ilvl="0">
      <w:lvlJc w:val="left"/>
      <w:lvlText w:val="(%1)"/>
      <w:numFmt w:val="lowerLetter"/>
      <w:start w:val="3"/>
    </w:lvl>
  </w:abstractNum>
  <w:abstractNum w:abstractNumId="163">
    <w:nsid w:val="5454945E"/>
    <w:multiLevelType w:val="hybridMultilevel"/>
    <w:lvl w:ilvl="0">
      <w:lvlJc w:val="left"/>
      <w:lvlText w:val="(%1)"/>
      <w:numFmt w:val="lowerLetter"/>
      <w:start w:val="13"/>
    </w:lvl>
  </w:abstractNum>
  <w:abstractNum w:abstractNumId="164">
    <w:nsid w:val="4DEFDFA0"/>
    <w:multiLevelType w:val="hybridMultilevel"/>
    <w:lvl w:ilvl="0">
      <w:lvlJc w:val="left"/>
      <w:lvlText w:val="(%1)"/>
      <w:numFmt w:val="lowerLetter"/>
      <w:start w:val="16"/>
    </w:lvl>
  </w:abstractNum>
  <w:abstractNum w:abstractNumId="165">
    <w:nsid w:val="2123D5F2"/>
    <w:multiLevelType w:val="hybridMultilevel"/>
    <w:lvl w:ilvl="0">
      <w:lvlJc w:val="left"/>
      <w:lvlText w:val="(%1)"/>
      <w:numFmt w:val="lowerRoman"/>
      <w:start w:val="1"/>
    </w:lvl>
  </w:abstractNum>
  <w:abstractNum w:abstractNumId="166">
    <w:nsid w:val="135B8110"/>
    <w:multiLevelType w:val="hybridMultilevel"/>
    <w:lvl w:ilvl="0">
      <w:lvlJc w:val="left"/>
      <w:lvlText w:val="(%1)"/>
      <w:numFmt w:val="lowerLetter"/>
      <w:start w:val="20"/>
    </w:lvl>
    <w:lvl w:ilvl="1">
      <w:lvlJc w:val="left"/>
      <w:lvlText w:val="(%2)"/>
      <w:numFmt w:val="upperLetter"/>
      <w:start w:val="1"/>
    </w:lvl>
  </w:abstractNum>
  <w:abstractNum w:abstractNumId="167">
    <w:nsid w:val="94927A8"/>
    <w:multiLevelType w:val="hybridMultilevel"/>
    <w:lvl w:ilvl="0">
      <w:lvlJc w:val="left"/>
      <w:lvlText w:val="%1"/>
      <w:numFmt w:val="decimal"/>
      <w:start w:val="25"/>
    </w:lvl>
  </w:abstractNum>
  <w:abstractNum w:abstractNumId="168">
    <w:nsid w:val="DCDF8F6"/>
    <w:multiLevelType w:val="hybridMultilevel"/>
    <w:lvl w:ilvl="0">
      <w:lvlJc w:val="left"/>
      <w:lvlText w:val="%1"/>
      <w:numFmt w:val="lowerLetter"/>
      <w:start w:val="1"/>
    </w:lvl>
    <w:lvl w:ilvl="1">
      <w:lvlJc w:val="left"/>
      <w:lvlText w:val="(%2)"/>
      <w:numFmt w:val="lowerRoman"/>
      <w:start w:val="2"/>
    </w:lvl>
  </w:abstractNum>
  <w:abstractNum w:abstractNumId="169">
    <w:nsid w:val="52D7B105"/>
    <w:multiLevelType w:val="hybridMultilevel"/>
    <w:lvl w:ilvl="0">
      <w:lvlJc w:val="left"/>
      <w:lvlText w:val="(%1)"/>
      <w:numFmt w:val="lowerLetter"/>
      <w:start w:val="24"/>
    </w:lvl>
    <w:lvl w:ilvl="1">
      <w:lvlJc w:val="left"/>
      <w:lvlText w:val="%2"/>
      <w:numFmt w:val="lowerRoman"/>
      <w:start w:val="1"/>
    </w:lvl>
  </w:abstractNum>
  <w:abstractNum w:abstractNumId="170">
    <w:nsid w:val="2E8A6394"/>
    <w:multiLevelType w:val="hybridMultilevel"/>
    <w:lvl w:ilvl="0">
      <w:lvlJc w:val="left"/>
      <w:lvlText w:val="%1"/>
      <w:numFmt w:val="decimal"/>
      <w:start w:val="27"/>
    </w:lvl>
  </w:abstractNum>
  <w:abstractNum w:abstractNumId="171">
    <w:nsid w:val="24E60401"/>
    <w:multiLevelType w:val="hybridMultilevel"/>
    <w:lvl w:ilvl="0">
      <w:lvlJc w:val="left"/>
      <w:lvlText w:val="(%1)"/>
      <w:numFmt w:val="lowerLetter"/>
      <w:start w:val="26"/>
    </w:lvl>
  </w:abstractNum>
  <w:abstractNum w:abstractNumId="172">
    <w:nsid w:val="2A6AD9BE"/>
    <w:multiLevelType w:val="hybridMultilevel"/>
    <w:lvl w:ilvl="0">
      <w:lvlJc w:val="left"/>
      <w:lvlText w:val="(%1)"/>
      <w:numFmt w:val="lowerLetter"/>
      <w:start w:val="27"/>
    </w:lvl>
  </w:abstractNum>
  <w:abstractNum w:abstractNumId="173">
    <w:nsid w:val="BAAC1B4"/>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2024-01-11T15:21:31Z</dcterms:created>
  <dcterms:modified xsi:type="dcterms:W3CDTF">2024-01-11T15:21:31Z</dcterms:modified>
</cp:coreProperties>
</file>