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4"/>
          <w:szCs w:val="24"/>
          <w:color w:val="auto"/>
        </w:rPr>
      </w:pPr>
    </w:p>
    <w:p>
      <w:pPr>
        <w:spacing w:after="0" w:line="2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50"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1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For the quarterly period ended September 30, 2026</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84"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91" w:lineRule="exact"/>
        <w:rPr>
          <w:sz w:val="24"/>
          <w:szCs w:val="24"/>
          <w:color w:val="auto"/>
        </w:rPr>
      </w:pPr>
    </w:p>
    <w:p>
      <w:pPr>
        <w:ind w:left="4060"/>
        <w:spacing w:after="0"/>
        <w:tabs>
          <w:tab w:leader="none" w:pos="654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Commission file number: 1-07533 (Federal Realty Investment Trust)</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Commission file number: 333-262016-01 (Federal Realty OP LP)</w:t>
      </w:r>
    </w:p>
    <w:p>
      <w:pPr>
        <w:spacing w:after="0" w:line="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FEDERAL REALTY INVESTMENT TRUST</w:t>
      </w:r>
    </w:p>
    <w:p>
      <w:pPr>
        <w:spacing w:after="0" w:line="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FEDERAL REALTY OP LP</w:t>
      </w:r>
    </w:p>
    <w:p>
      <w:pPr>
        <w:spacing w:after="0" w:line="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57" w:lineRule="exact"/>
        <w:rPr>
          <w:sz w:val="24"/>
          <w:szCs w:val="24"/>
          <w:color w:val="auto"/>
        </w:rPr>
      </w:pPr>
    </w:p>
    <w:tbl>
      <w:tblPr>
        <w:tblLayout w:type="fixed"/>
        <w:tblInd w:w="240" w:type="dxa"/>
        <w:tblCellMar>
          <w:top w:w="0" w:type="dxa"/>
          <w:left w:w="0" w:type="dxa"/>
          <w:bottom w:w="0" w:type="dxa"/>
          <w:right w:w="0" w:type="dxa"/>
        </w:tblCellMar>
      </w:tblPr>
      <w:tr>
        <w:trPr>
          <w:trHeight w:val="202"/>
        </w:trPr>
        <w:tc>
          <w:tcPr>
            <w:tcW w:w="4320" w:type="dxa"/>
            <w:vAlign w:val="bottom"/>
            <w:gridSpan w:val="3"/>
          </w:tcPr>
          <w:p>
            <w:pPr>
              <w:jc w:val="center"/>
              <w:ind w:right="87"/>
              <w:spacing w:after="0"/>
              <w:rPr>
                <w:sz w:val="20"/>
                <w:szCs w:val="20"/>
                <w:color w:val="auto"/>
              </w:rPr>
            </w:pPr>
            <w:r>
              <w:rPr>
                <w:rFonts w:ascii="Times New Roman" w:cs="Times New Roman" w:eastAsia="Times New Roman" w:hAnsi="Times New Roman"/>
                <w:sz w:val="15"/>
                <w:szCs w:val="15"/>
                <w:b w:val="1"/>
                <w:bCs w:val="1"/>
                <w:color w:val="auto"/>
              </w:rPr>
              <w:t>Maryland (Federal Realty Investment Trust)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80" w:type="dxa"/>
            <w:vAlign w:val="bottom"/>
            <w:gridSpan w:val="2"/>
          </w:tcPr>
          <w:p>
            <w:pPr>
              <w:jc w:val="center"/>
              <w:ind w:left="144"/>
              <w:spacing w:after="0"/>
              <w:rPr>
                <w:sz w:val="20"/>
                <w:szCs w:val="20"/>
                <w:color w:val="auto"/>
              </w:rPr>
            </w:pPr>
            <w:r>
              <w:rPr>
                <w:rFonts w:ascii="Times New Roman" w:cs="Times New Roman" w:eastAsia="Times New Roman" w:hAnsi="Times New Roman"/>
                <w:sz w:val="15"/>
                <w:szCs w:val="15"/>
                <w:b w:val="1"/>
                <w:bCs w:val="1"/>
                <w:color w:val="auto"/>
              </w:rPr>
              <w:t>87-3916363</w:t>
            </w:r>
          </w:p>
        </w:tc>
        <w:tc>
          <w:tcPr>
            <w:tcW w:w="20" w:type="dxa"/>
            <w:vAlign w:val="bottom"/>
          </w:tcPr>
          <w:p>
            <w:pPr>
              <w:spacing w:after="0"/>
              <w:rPr>
                <w:sz w:val="17"/>
                <w:szCs w:val="17"/>
                <w:color w:val="auto"/>
              </w:rPr>
            </w:pPr>
          </w:p>
        </w:tc>
      </w:tr>
      <w:tr>
        <w:trPr>
          <w:trHeight w:val="203"/>
        </w:trPr>
        <w:tc>
          <w:tcPr>
            <w:tcW w:w="4320" w:type="dxa"/>
            <w:vAlign w:val="bottom"/>
            <w:gridSpan w:val="3"/>
          </w:tcPr>
          <w:p>
            <w:pPr>
              <w:jc w:val="center"/>
              <w:ind w:right="87"/>
              <w:spacing w:after="0"/>
              <w:rPr>
                <w:sz w:val="20"/>
                <w:szCs w:val="20"/>
                <w:color w:val="auto"/>
              </w:rPr>
            </w:pPr>
            <w:r>
              <w:rPr>
                <w:rFonts w:ascii="Times New Roman" w:cs="Times New Roman" w:eastAsia="Times New Roman" w:hAnsi="Times New Roman"/>
                <w:sz w:val="15"/>
                <w:szCs w:val="15"/>
                <w:b w:val="1"/>
                <w:bCs w:val="1"/>
                <w:color w:val="auto"/>
              </w:rPr>
              <w:t>Delaware (Federal Realty OP LP)</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80" w:type="dxa"/>
            <w:vAlign w:val="bottom"/>
            <w:gridSpan w:val="2"/>
          </w:tcPr>
          <w:p>
            <w:pPr>
              <w:jc w:val="center"/>
              <w:ind w:left="144"/>
              <w:spacing w:after="0"/>
              <w:rPr>
                <w:sz w:val="20"/>
                <w:szCs w:val="20"/>
                <w:color w:val="auto"/>
              </w:rPr>
            </w:pPr>
            <w:r>
              <w:rPr>
                <w:rFonts w:ascii="Times New Roman" w:cs="Times New Roman" w:eastAsia="Times New Roman" w:hAnsi="Times New Roman"/>
                <w:sz w:val="15"/>
                <w:szCs w:val="15"/>
                <w:b w:val="1"/>
                <w:bCs w:val="1"/>
                <w:color w:val="auto"/>
              </w:rPr>
              <w:t>52-0782497</w:t>
            </w:r>
          </w:p>
        </w:tc>
        <w:tc>
          <w:tcPr>
            <w:tcW w:w="20" w:type="dxa"/>
            <w:vAlign w:val="bottom"/>
          </w:tcPr>
          <w:p>
            <w:pPr>
              <w:spacing w:after="0"/>
              <w:rPr>
                <w:sz w:val="17"/>
                <w:szCs w:val="17"/>
                <w:color w:val="auto"/>
              </w:rPr>
            </w:pPr>
          </w:p>
        </w:tc>
      </w:tr>
      <w:tr>
        <w:trPr>
          <w:trHeight w:val="203"/>
        </w:trPr>
        <w:tc>
          <w:tcPr>
            <w:tcW w:w="4320" w:type="dxa"/>
            <w:vAlign w:val="bottom"/>
            <w:gridSpan w:val="3"/>
          </w:tcPr>
          <w:p>
            <w:pPr>
              <w:jc w:val="center"/>
              <w:ind w:right="107"/>
              <w:spacing w:after="0"/>
              <w:rPr>
                <w:sz w:val="20"/>
                <w:szCs w:val="20"/>
                <w:color w:val="auto"/>
              </w:rPr>
            </w:pPr>
            <w:r>
              <w:rPr>
                <w:rFonts w:ascii="Times New Roman" w:cs="Times New Roman" w:eastAsia="Times New Roman" w:hAnsi="Times New Roman"/>
                <w:sz w:val="15"/>
                <w:szCs w:val="15"/>
                <w:b w:val="1"/>
                <w:bCs w:val="1"/>
                <w:color w:val="auto"/>
              </w:rPr>
              <w:t>(State of Organization)</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40" w:type="dxa"/>
            <w:vAlign w:val="bottom"/>
            <w:gridSpan w:val="2"/>
          </w:tcPr>
          <w:p>
            <w:pPr>
              <w:jc w:val="center"/>
              <w:ind w:left="84"/>
              <w:spacing w:after="0"/>
              <w:rPr>
                <w:sz w:val="20"/>
                <w:szCs w:val="20"/>
                <w:color w:val="auto"/>
              </w:rPr>
            </w:pPr>
            <w:r>
              <w:rPr>
                <w:rFonts w:ascii="Times New Roman" w:cs="Times New Roman" w:eastAsia="Times New Roman" w:hAnsi="Times New Roman"/>
                <w:sz w:val="15"/>
                <w:szCs w:val="15"/>
                <w:b w:val="1"/>
                <w:bCs w:val="1"/>
                <w:color w:val="auto"/>
              </w:rPr>
              <w:t>(IRS Employer Identification No.)</w:t>
            </w:r>
          </w:p>
        </w:tc>
      </w:tr>
      <w:tr>
        <w:trPr>
          <w:trHeight w:val="348"/>
        </w:trPr>
        <w:tc>
          <w:tcPr>
            <w:tcW w:w="1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340" w:type="dxa"/>
            <w:vAlign w:val="bottom"/>
            <w:gridSpan w:val="11"/>
          </w:tcPr>
          <w:p>
            <w:pPr>
              <w:jc w:val="center"/>
              <w:ind w:right="2140"/>
              <w:spacing w:after="0"/>
              <w:rPr>
                <w:sz w:val="20"/>
                <w:szCs w:val="20"/>
                <w:color w:val="auto"/>
              </w:rPr>
            </w:pPr>
            <w:r>
              <w:rPr>
                <w:rFonts w:ascii="Times New Roman" w:cs="Times New Roman" w:eastAsia="Times New Roman" w:hAnsi="Times New Roman"/>
                <w:sz w:val="15"/>
                <w:szCs w:val="15"/>
                <w:b w:val="1"/>
                <w:bCs w:val="1"/>
                <w:color w:val="auto"/>
              </w:rPr>
              <w:t>909 Rose Avenue, Suite 200, North Bethesda, Maryland 20852</w:t>
            </w:r>
          </w:p>
        </w:tc>
      </w:tr>
      <w:tr>
        <w:trPr>
          <w:trHeight w:val="190"/>
        </w:trPr>
        <w:tc>
          <w:tcPr>
            <w:tcW w:w="1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40" w:type="dxa"/>
            <w:vAlign w:val="bottom"/>
            <w:gridSpan w:val="8"/>
          </w:tcPr>
          <w:p>
            <w:pPr>
              <w:jc w:val="center"/>
              <w:ind w:left="88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5"/>
        </w:trPr>
        <w:tc>
          <w:tcPr>
            <w:tcW w:w="15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580" w:type="dxa"/>
            <w:vAlign w:val="bottom"/>
            <w:gridSpan w:val="3"/>
          </w:tcPr>
          <w:p>
            <w:pPr>
              <w:jc w:val="center"/>
              <w:ind w:left="464"/>
              <w:spacing w:after="0"/>
              <w:rPr>
                <w:sz w:val="20"/>
                <w:szCs w:val="20"/>
                <w:color w:val="auto"/>
              </w:rPr>
            </w:pPr>
            <w:r>
              <w:rPr>
                <w:rFonts w:ascii="Times New Roman" w:cs="Times New Roman" w:eastAsia="Times New Roman" w:hAnsi="Times New Roman"/>
                <w:sz w:val="15"/>
                <w:szCs w:val="15"/>
                <w:b w:val="1"/>
                <w:bCs w:val="1"/>
                <w:color w:val="auto"/>
              </w:rPr>
              <w:t>(301) 998-8100</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90"/>
        </w:trPr>
        <w:tc>
          <w:tcPr>
            <w:tcW w:w="1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40" w:type="dxa"/>
            <w:vAlign w:val="bottom"/>
            <w:gridSpan w:val="11"/>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401"/>
        </w:trPr>
        <w:tc>
          <w:tcPr>
            <w:tcW w:w="1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00" w:type="dxa"/>
            <w:vAlign w:val="bottom"/>
            <w:gridSpan w:val="7"/>
          </w:tcPr>
          <w:p>
            <w:pPr>
              <w:jc w:val="center"/>
              <w:ind w:right="580"/>
              <w:spacing w:after="0"/>
              <w:rPr>
                <w:sz w:val="20"/>
                <w:szCs w:val="20"/>
                <w:color w:val="auto"/>
              </w:rPr>
            </w:pPr>
            <w:r>
              <w:rPr>
                <w:rFonts w:ascii="Times New Roman" w:cs="Times New Roman" w:eastAsia="Times New Roman" w:hAnsi="Times New Roman"/>
                <w:sz w:val="15"/>
                <w:szCs w:val="15"/>
                <w:b w:val="1"/>
                <w:bCs w:val="1"/>
                <w:color w:val="auto"/>
              </w:rPr>
              <w:t>Federal Realty Investment Trust</w:t>
            </w:r>
          </w:p>
        </w:tc>
        <w:tc>
          <w:tcPr>
            <w:tcW w:w="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156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5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520" w:type="dxa"/>
            <w:vAlign w:val="bottom"/>
            <w:tcBorders>
              <w:top w:val="single" w:sz="8" w:color="auto"/>
            </w:tcBorders>
            <w:gridSpan w:val="2"/>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15"/>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Common Shares of Beneficial Interest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5"/>
          </w:tcPr>
          <w:p>
            <w:pPr>
              <w:jc w:val="center"/>
              <w:ind w:right="1100"/>
              <w:spacing w:after="0"/>
              <w:rPr>
                <w:sz w:val="20"/>
                <w:szCs w:val="20"/>
                <w:color w:val="auto"/>
              </w:rPr>
            </w:pPr>
            <w:r>
              <w:rPr>
                <w:rFonts w:ascii="Times New Roman" w:cs="Times New Roman" w:eastAsia="Times New Roman" w:hAnsi="Times New Roman"/>
                <w:sz w:val="15"/>
                <w:szCs w:val="15"/>
                <w:color w:val="auto"/>
              </w:rPr>
              <w:t>FRT</w:t>
            </w:r>
          </w:p>
        </w:tc>
        <w:tc>
          <w:tcPr>
            <w:tcW w:w="60" w:type="dxa"/>
            <w:vAlign w:val="bottom"/>
          </w:tcPr>
          <w:p>
            <w:pPr>
              <w:spacing w:after="0"/>
              <w:rPr>
                <w:sz w:val="18"/>
                <w:szCs w:val="18"/>
                <w:color w:val="auto"/>
              </w:rPr>
            </w:pP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New York Stock Exchange</w:t>
            </w:r>
          </w:p>
        </w:tc>
      </w:tr>
      <w:tr>
        <w:trPr>
          <w:trHeight w:val="157"/>
        </w:trPr>
        <w:tc>
          <w:tcPr>
            <w:tcW w:w="4320" w:type="dxa"/>
            <w:vAlign w:val="bottom"/>
            <w:gridSpan w:val="3"/>
          </w:tcPr>
          <w:p>
            <w:pPr>
              <w:jc w:val="center"/>
              <w:spacing w:after="0" w:line="156" w:lineRule="exact"/>
              <w:rPr>
                <w:sz w:val="20"/>
                <w:szCs w:val="20"/>
                <w:color w:val="auto"/>
              </w:rPr>
            </w:pPr>
            <w:r>
              <w:rPr>
                <w:rFonts w:ascii="Times New Roman" w:cs="Times New Roman" w:eastAsia="Times New Roman" w:hAnsi="Times New Roman"/>
                <w:sz w:val="15"/>
                <w:szCs w:val="15"/>
                <w:color w:val="auto"/>
              </w:rPr>
              <w:t>$0.01 par value per share, with associated Common Share Purchase</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8"/>
        </w:trPr>
        <w:tc>
          <w:tcPr>
            <w:tcW w:w="1560" w:type="dxa"/>
            <w:vAlign w:val="bottom"/>
          </w:tcPr>
          <w:p>
            <w:pPr>
              <w:spacing w:after="0"/>
              <w:rPr>
                <w:sz w:val="17"/>
                <w:szCs w:val="17"/>
                <w:color w:val="auto"/>
              </w:rPr>
            </w:pPr>
          </w:p>
        </w:tc>
        <w:tc>
          <w:tcPr>
            <w:tcW w:w="2760" w:type="dxa"/>
            <w:vAlign w:val="bottom"/>
            <w:gridSpan w:val="2"/>
          </w:tcPr>
          <w:p>
            <w:pPr>
              <w:jc w:val="center"/>
              <w:ind w:right="1487"/>
              <w:spacing w:after="0"/>
              <w:rPr>
                <w:sz w:val="20"/>
                <w:szCs w:val="20"/>
                <w:color w:val="auto"/>
              </w:rPr>
            </w:pPr>
            <w:r>
              <w:rPr>
                <w:rFonts w:ascii="Times New Roman" w:cs="Times New Roman" w:eastAsia="Times New Roman" w:hAnsi="Times New Roman"/>
                <w:sz w:val="15"/>
                <w:szCs w:val="15"/>
                <w:color w:val="auto"/>
              </w:rPr>
              <w:t>Rights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7"/>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Depositary Shares, each representing 1/1000 of a 5.00%</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5"/>
          </w:tcPr>
          <w:p>
            <w:pPr>
              <w:jc w:val="center"/>
              <w:ind w:right="1100"/>
              <w:spacing w:after="0"/>
              <w:rPr>
                <w:sz w:val="20"/>
                <w:szCs w:val="20"/>
                <w:color w:val="auto"/>
              </w:rPr>
            </w:pPr>
            <w:r>
              <w:rPr>
                <w:rFonts w:ascii="Times New Roman" w:cs="Times New Roman" w:eastAsia="Times New Roman" w:hAnsi="Times New Roman"/>
                <w:sz w:val="15"/>
                <w:szCs w:val="15"/>
                <w:color w:val="auto"/>
                <w:w w:val="93"/>
              </w:rPr>
              <w:t>FRT-C</w:t>
            </w:r>
          </w:p>
        </w:tc>
        <w:tc>
          <w:tcPr>
            <w:tcW w:w="60" w:type="dxa"/>
            <w:vAlign w:val="bottom"/>
          </w:tcPr>
          <w:p>
            <w:pPr>
              <w:spacing w:after="0"/>
              <w:rPr>
                <w:sz w:val="24"/>
                <w:szCs w:val="24"/>
                <w:color w:val="auto"/>
              </w:rPr>
            </w:pP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New York Stock Exchange</w:t>
            </w:r>
          </w:p>
        </w:tc>
      </w:tr>
      <w:tr>
        <w:trPr>
          <w:trHeight w:val="157"/>
        </w:trPr>
        <w:tc>
          <w:tcPr>
            <w:tcW w:w="4320" w:type="dxa"/>
            <w:vAlign w:val="bottom"/>
            <w:gridSpan w:val="3"/>
          </w:tcPr>
          <w:p>
            <w:pPr>
              <w:jc w:val="center"/>
              <w:spacing w:after="0" w:line="156" w:lineRule="exact"/>
              <w:rPr>
                <w:sz w:val="20"/>
                <w:szCs w:val="20"/>
                <w:color w:val="auto"/>
              </w:rPr>
            </w:pPr>
            <w:r>
              <w:rPr>
                <w:rFonts w:ascii="Times New Roman" w:cs="Times New Roman" w:eastAsia="Times New Roman" w:hAnsi="Times New Roman"/>
                <w:sz w:val="15"/>
                <w:szCs w:val="15"/>
                <w:color w:val="auto"/>
              </w:rPr>
              <w:t>Series C Cumulative Redeemable Preferred Share, $0.01 par value per</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8"/>
        </w:trPr>
        <w:tc>
          <w:tcPr>
            <w:tcW w:w="1560" w:type="dxa"/>
            <w:vAlign w:val="bottom"/>
          </w:tcPr>
          <w:p>
            <w:pPr>
              <w:spacing w:after="0"/>
              <w:rPr>
                <w:sz w:val="17"/>
                <w:szCs w:val="17"/>
                <w:color w:val="auto"/>
              </w:rPr>
            </w:pPr>
          </w:p>
        </w:tc>
        <w:tc>
          <w:tcPr>
            <w:tcW w:w="2760" w:type="dxa"/>
            <w:vAlign w:val="bottom"/>
            <w:gridSpan w:val="2"/>
          </w:tcPr>
          <w:p>
            <w:pPr>
              <w:jc w:val="center"/>
              <w:ind w:right="1487"/>
              <w:spacing w:after="0"/>
              <w:rPr>
                <w:sz w:val="20"/>
                <w:szCs w:val="20"/>
                <w:color w:val="auto"/>
              </w:rPr>
            </w:pPr>
            <w:r>
              <w:rPr>
                <w:rFonts w:ascii="Times New Roman" w:cs="Times New Roman" w:eastAsia="Times New Roman" w:hAnsi="Times New Roman"/>
                <w:sz w:val="15"/>
                <w:szCs w:val="15"/>
                <w:color w:val="auto"/>
              </w:rPr>
              <w:t>share</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7"/>
        </w:trPr>
        <w:tc>
          <w:tcPr>
            <w:tcW w:w="1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700" w:type="dxa"/>
            <w:vAlign w:val="bottom"/>
            <w:gridSpan w:val="7"/>
          </w:tcPr>
          <w:p>
            <w:pPr>
              <w:jc w:val="center"/>
              <w:ind w:right="580"/>
              <w:spacing w:after="0"/>
              <w:rPr>
                <w:sz w:val="20"/>
                <w:szCs w:val="20"/>
                <w:color w:val="auto"/>
              </w:rPr>
            </w:pPr>
            <w:r>
              <w:rPr>
                <w:rFonts w:ascii="Times New Roman" w:cs="Times New Roman" w:eastAsia="Times New Roman" w:hAnsi="Times New Roman"/>
                <w:sz w:val="15"/>
                <w:szCs w:val="15"/>
                <w:b w:val="1"/>
                <w:bCs w:val="1"/>
                <w:color w:val="auto"/>
              </w:rPr>
              <w:t>Federal Realty OP LP</w:t>
            </w:r>
          </w:p>
        </w:tc>
        <w:tc>
          <w:tcPr>
            <w:tcW w:w="6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3"/>
        </w:trPr>
        <w:tc>
          <w:tcPr>
            <w:tcW w:w="156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200" w:type="dxa"/>
            <w:vAlign w:val="bottom"/>
            <w:tcBorders>
              <w:top w:val="single" w:sz="8" w:color="auto"/>
            </w:tcBorders>
            <w:gridSpan w:val="2"/>
          </w:tcPr>
          <w:p>
            <w:pPr>
              <w:spacing w:after="0"/>
              <w:rPr>
                <w:sz w:val="22"/>
                <w:szCs w:val="22"/>
                <w:color w:val="auto"/>
              </w:rPr>
            </w:pPr>
          </w:p>
        </w:tc>
        <w:tc>
          <w:tcPr>
            <w:tcW w:w="920" w:type="dxa"/>
            <w:vAlign w:val="bottom"/>
            <w:gridSpan w:val="2"/>
          </w:tcPr>
          <w:p>
            <w:pPr>
              <w:spacing w:after="0"/>
              <w:rPr>
                <w:sz w:val="22"/>
                <w:szCs w:val="22"/>
                <w:color w:val="auto"/>
              </w:rPr>
            </w:pPr>
          </w:p>
        </w:tc>
        <w:tc>
          <w:tcPr>
            <w:tcW w:w="310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15"/>
        </w:trPr>
        <w:tc>
          <w:tcPr>
            <w:tcW w:w="156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None</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1120" w:type="dxa"/>
            <w:vAlign w:val="bottom"/>
            <w:gridSpan w:val="4"/>
          </w:tcPr>
          <w:p>
            <w:pPr>
              <w:spacing w:after="0"/>
              <w:rPr>
                <w:sz w:val="18"/>
                <w:szCs w:val="18"/>
                <w:color w:val="auto"/>
              </w:rPr>
            </w:pPr>
          </w:p>
        </w:tc>
        <w:tc>
          <w:tcPr>
            <w:tcW w:w="60" w:type="dxa"/>
            <w:vAlign w:val="bottom"/>
          </w:tcPr>
          <w:p>
            <w:pPr>
              <w:spacing w:after="0"/>
              <w:rPr>
                <w:sz w:val="18"/>
                <w:szCs w:val="18"/>
                <w:color w:val="auto"/>
              </w:rPr>
            </w:pPr>
          </w:p>
        </w:tc>
        <w:tc>
          <w:tcPr>
            <w:tcW w:w="3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20" w:type="dxa"/>
            <w:vAlign w:val="bottom"/>
          </w:tcPr>
          <w:p>
            <w:pPr>
              <w:spacing w:after="0"/>
              <w:rPr>
                <w:sz w:val="18"/>
                <w:szCs w:val="18"/>
                <w:color w:val="auto"/>
              </w:rPr>
            </w:pPr>
          </w:p>
        </w:tc>
      </w:tr>
    </w:tbl>
    <w:p>
      <w:pPr>
        <w:spacing w:after="0" w:line="188" w:lineRule="exact"/>
        <w:rPr>
          <w:sz w:val="24"/>
          <w:szCs w:val="24"/>
          <w:color w:val="auto"/>
        </w:rPr>
      </w:pPr>
    </w:p>
    <w:p>
      <w:pPr>
        <w:ind w:right="200"/>
        <w:spacing w:after="0" w:line="26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79"/>
        <w:spacing w:after="0" w:line="161" w:lineRule="exact"/>
        <w:tabs>
          <w:tab w:leader="none" w:pos="120" w:val="left"/>
        </w:tabs>
        <w:rPr>
          <w:sz w:val="20"/>
          <w:szCs w:val="20"/>
          <w:color w:val="auto"/>
        </w:rPr>
      </w:pPr>
      <w:r>
        <w:rPr>
          <w:rFonts w:ascii="Times New Roman" w:cs="Times New Roman" w:eastAsia="Times New Roman" w:hAnsi="Times New Roman"/>
          <w:sz w:val="14"/>
          <w:szCs w:val="14"/>
          <w:color w:val="auto"/>
        </w:rPr>
        <w:t xml:space="preserve">Federal Realty Investment Trust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No Federal Realty OP LP</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Yes</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No</w:t>
      </w:r>
    </w:p>
    <w:p>
      <w:pPr>
        <w:spacing w:after="0" w:line="112" w:lineRule="exact"/>
        <w:rPr>
          <w:sz w:val="24"/>
          <w:szCs w:val="24"/>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jc w:val="center"/>
        <w:ind w:right="-39"/>
        <w:spacing w:after="0" w:line="161" w:lineRule="exact"/>
        <w:tabs>
          <w:tab w:leader="none" w:pos="120" w:val="left"/>
        </w:tabs>
        <w:rPr>
          <w:sz w:val="20"/>
          <w:szCs w:val="20"/>
          <w:color w:val="auto"/>
        </w:rPr>
      </w:pPr>
      <w:r>
        <w:rPr>
          <w:rFonts w:ascii="Times New Roman" w:cs="Times New Roman" w:eastAsia="Times New Roman" w:hAnsi="Times New Roman"/>
          <w:sz w:val="14"/>
          <w:szCs w:val="14"/>
          <w:color w:val="auto"/>
        </w:rPr>
        <w:t xml:space="preserve">Federal Realty Investment Trust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No Federal Realty OP LP</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Yes</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No</w:t>
      </w:r>
    </w:p>
    <w:p>
      <w:pPr>
        <w:spacing w:after="0" w:line="123" w:lineRule="exact"/>
        <w:rPr>
          <w:sz w:val="24"/>
          <w:szCs w:val="24"/>
          <w:color w:val="auto"/>
        </w:rPr>
      </w:pPr>
    </w:p>
    <w:p>
      <w:pPr>
        <w:ind w:right="620"/>
        <w:spacing w:after="0" w:line="28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5380" w:type="dxa"/>
            <w:vAlign w:val="bottom"/>
            <w:gridSpan w:val="2"/>
          </w:tcPr>
          <w:p>
            <w:pPr>
              <w:ind w:left="1600"/>
              <w:spacing w:after="0"/>
              <w:rPr>
                <w:sz w:val="20"/>
                <w:szCs w:val="20"/>
                <w:color w:val="auto"/>
              </w:rPr>
            </w:pPr>
            <w:r>
              <w:rPr>
                <w:rFonts w:ascii="Times New Roman" w:cs="Times New Roman" w:eastAsia="Times New Roman" w:hAnsi="Times New Roman"/>
                <w:sz w:val="14"/>
                <w:szCs w:val="14"/>
                <w:color w:val="auto"/>
              </w:rPr>
              <w:t>Federal Realty Investment Trust</w:t>
            </w:r>
          </w:p>
        </w:tc>
        <w:tc>
          <w:tcPr>
            <w:tcW w:w="2160" w:type="dxa"/>
            <w:vAlign w:val="bottom"/>
          </w:tcPr>
          <w:p>
            <w:pPr>
              <w:spacing w:after="0"/>
              <w:rPr>
                <w:sz w:val="16"/>
                <w:szCs w:val="16"/>
                <w:color w:val="auto"/>
              </w:rPr>
            </w:pPr>
          </w:p>
        </w:tc>
        <w:tc>
          <w:tcPr>
            <w:tcW w:w="32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Federal Realty OP LP</w:t>
            </w:r>
          </w:p>
        </w:tc>
        <w:tc>
          <w:tcPr>
            <w:tcW w:w="0" w:type="dxa"/>
            <w:vAlign w:val="bottom"/>
          </w:tcPr>
          <w:p>
            <w:pPr>
              <w:spacing w:after="0"/>
              <w:rPr>
                <w:sz w:val="1"/>
                <w:szCs w:val="1"/>
                <w:color w:val="auto"/>
              </w:rPr>
            </w:pPr>
          </w:p>
        </w:tc>
      </w:tr>
      <w:tr>
        <w:trPr>
          <w:trHeight w:val="158"/>
        </w:trPr>
        <w:tc>
          <w:tcPr>
            <w:tcW w:w="24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Large Accelerated Filer</w:t>
            </w:r>
          </w:p>
        </w:tc>
        <w:tc>
          <w:tcPr>
            <w:tcW w:w="2960" w:type="dxa"/>
            <w:vAlign w:val="bottom"/>
          </w:tcPr>
          <w:p>
            <w:pPr>
              <w:ind w:left="100"/>
              <w:spacing w:after="0" w:line="159" w:lineRule="exact"/>
              <w:rPr>
                <w:sz w:val="20"/>
                <w:szCs w:val="20"/>
                <w:color w:val="auto"/>
              </w:rPr>
            </w:pPr>
            <w:r>
              <w:rPr>
                <w:rFonts w:ascii="Times New Roman" w:cs="Times New Roman" w:eastAsia="Times New Roman" w:hAnsi="Times New Roman"/>
                <w:sz w:val="14"/>
                <w:szCs w:val="14"/>
                <w:color w:val="auto"/>
              </w:rPr>
              <w:t>Accelerated filer</w:t>
            </w:r>
          </w:p>
        </w:tc>
        <w:tc>
          <w:tcPr>
            <w:tcW w:w="2160" w:type="dxa"/>
            <w:vAlign w:val="bottom"/>
          </w:tcPr>
          <w:p>
            <w:pPr>
              <w:ind w:left="520"/>
              <w:spacing w:after="0" w:line="159" w:lineRule="exact"/>
              <w:rPr>
                <w:sz w:val="20"/>
                <w:szCs w:val="20"/>
                <w:color w:val="auto"/>
              </w:rPr>
            </w:pPr>
            <w:r>
              <w:rPr>
                <w:rFonts w:ascii="Times New Roman" w:cs="Times New Roman" w:eastAsia="Times New Roman" w:hAnsi="Times New Roman"/>
                <w:sz w:val="14"/>
                <w:szCs w:val="14"/>
                <w:color w:val="auto"/>
              </w:rPr>
              <w:t>Large Accelerated Filer</w:t>
            </w:r>
          </w:p>
        </w:tc>
        <w:tc>
          <w:tcPr>
            <w:tcW w:w="800" w:type="dxa"/>
            <w:vAlign w:val="bottom"/>
            <w:vMerge w:val="restart"/>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460" w:type="dxa"/>
            <w:vAlign w:val="bottom"/>
          </w:tcPr>
          <w:p>
            <w:pPr>
              <w:ind w:left="100"/>
              <w:spacing w:after="0" w:line="159" w:lineRule="exact"/>
              <w:rPr>
                <w:sz w:val="20"/>
                <w:szCs w:val="20"/>
                <w:color w:val="auto"/>
              </w:rPr>
            </w:pPr>
            <w:r>
              <w:rPr>
                <w:rFonts w:ascii="Times New Roman" w:cs="Times New Roman" w:eastAsia="Times New Roman" w:hAnsi="Times New Roman"/>
                <w:sz w:val="14"/>
                <w:szCs w:val="14"/>
                <w:color w:val="auto"/>
              </w:rPr>
              <w:t>Accelerated filer</w:t>
            </w:r>
          </w:p>
        </w:tc>
        <w:tc>
          <w:tcPr>
            <w:tcW w:w="0" w:type="dxa"/>
            <w:vAlign w:val="bottom"/>
          </w:tcPr>
          <w:p>
            <w:pPr>
              <w:spacing w:after="0"/>
              <w:rPr>
                <w:sz w:val="1"/>
                <w:szCs w:val="1"/>
                <w:color w:val="auto"/>
              </w:rPr>
            </w:pPr>
          </w:p>
        </w:tc>
      </w:tr>
      <w:tr>
        <w:trPr>
          <w:trHeight w:val="229"/>
        </w:trPr>
        <w:tc>
          <w:tcPr>
            <w:tcW w:w="2420" w:type="dxa"/>
            <w:vAlign w:val="bottom"/>
          </w:tcPr>
          <w:p>
            <w:pPr>
              <w:ind w:left="218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ind w:left="2320"/>
              <w:spacing w:after="0" w:line="141" w:lineRule="exact"/>
              <w:rPr>
                <w:sz w:val="20"/>
                <w:szCs w:val="20"/>
                <w:color w:val="auto"/>
              </w:rPr>
            </w:pPr>
            <w:r>
              <w:rPr>
                <w:rFonts w:ascii="MS PGothic" w:cs="MS PGothic" w:eastAsia="MS PGothic" w:hAnsi="MS PGothic"/>
                <w:sz w:val="14"/>
                <w:szCs w:val="14"/>
                <w:color w:val="auto"/>
              </w:rPr>
              <w:t>☐</w:t>
            </w:r>
          </w:p>
        </w:tc>
        <w:tc>
          <w:tcPr>
            <w:tcW w:w="2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460" w:type="dxa"/>
            <w:vAlign w:val="bottom"/>
          </w:tcPr>
          <w:p>
            <w:pPr>
              <w:ind w:left="23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1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Non-accelerated Filer</w:t>
            </w:r>
          </w:p>
        </w:tc>
        <w:tc>
          <w:tcPr>
            <w:tcW w:w="8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0" w:type="dxa"/>
            <w:vAlign w:val="bottom"/>
          </w:tcPr>
          <w:p>
            <w:pPr>
              <w:spacing w:after="0"/>
              <w:rPr>
                <w:sz w:val="1"/>
                <w:szCs w:val="1"/>
                <w:color w:val="auto"/>
              </w:rPr>
            </w:pPr>
          </w:p>
        </w:tc>
      </w:tr>
      <w:tr>
        <w:trPr>
          <w:trHeight w:val="234"/>
        </w:trPr>
        <w:tc>
          <w:tcPr>
            <w:tcW w:w="2420" w:type="dxa"/>
            <w:vAlign w:val="bottom"/>
          </w:tcPr>
          <w:p>
            <w:pPr>
              <w:ind w:left="218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ind w:left="2320"/>
              <w:spacing w:after="0" w:line="141" w:lineRule="exact"/>
              <w:rPr>
                <w:sz w:val="20"/>
                <w:szCs w:val="20"/>
                <w:color w:val="auto"/>
              </w:rPr>
            </w:pPr>
            <w:r>
              <w:rPr>
                <w:rFonts w:ascii="MS PGothic" w:cs="MS PGothic" w:eastAsia="MS PGothic" w:hAnsi="MS PGothic"/>
                <w:sz w:val="14"/>
                <w:szCs w:val="14"/>
                <w:color w:val="auto"/>
              </w:rPr>
              <w:t>☐</w:t>
            </w:r>
          </w:p>
        </w:tc>
        <w:tc>
          <w:tcPr>
            <w:tcW w:w="2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60" w:type="dxa"/>
            <w:vAlign w:val="bottom"/>
          </w:tcPr>
          <w:p>
            <w:pPr>
              <w:ind w:left="23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296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Emerging growth company</w:t>
            </w:r>
          </w:p>
        </w:tc>
        <w:tc>
          <w:tcPr>
            <w:tcW w:w="2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6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Emerging growth company</w:t>
            </w:r>
          </w:p>
        </w:tc>
        <w:tc>
          <w:tcPr>
            <w:tcW w:w="0" w:type="dxa"/>
            <w:vAlign w:val="bottom"/>
          </w:tcPr>
          <w:p>
            <w:pPr>
              <w:spacing w:after="0"/>
              <w:rPr>
                <w:sz w:val="1"/>
                <w:szCs w:val="1"/>
                <w:color w:val="auto"/>
              </w:rPr>
            </w:pPr>
          </w:p>
        </w:tc>
      </w:tr>
      <w:tr>
        <w:trPr>
          <w:trHeight w:val="242"/>
        </w:trPr>
        <w:tc>
          <w:tcPr>
            <w:tcW w:w="2420" w:type="dxa"/>
            <w:vAlign w:val="bottom"/>
          </w:tcPr>
          <w:p>
            <w:pPr>
              <w:spacing w:after="0"/>
              <w:rPr>
                <w:sz w:val="21"/>
                <w:szCs w:val="21"/>
                <w:color w:val="auto"/>
              </w:rPr>
            </w:pPr>
          </w:p>
        </w:tc>
        <w:tc>
          <w:tcPr>
            <w:tcW w:w="2960" w:type="dxa"/>
            <w:vAlign w:val="bottom"/>
          </w:tcPr>
          <w:p>
            <w:pPr>
              <w:ind w:left="2320"/>
              <w:spacing w:after="0" w:line="141" w:lineRule="exact"/>
              <w:rPr>
                <w:sz w:val="20"/>
                <w:szCs w:val="20"/>
                <w:color w:val="auto"/>
              </w:rPr>
            </w:pPr>
            <w:r>
              <w:rPr>
                <w:rFonts w:ascii="MS PGothic" w:cs="MS PGothic" w:eastAsia="MS PGothic" w:hAnsi="MS PGothic"/>
                <w:sz w:val="14"/>
                <w:szCs w:val="14"/>
                <w:color w:val="auto"/>
              </w:rPr>
              <w:t>☐</w:t>
            </w:r>
          </w:p>
        </w:tc>
        <w:tc>
          <w:tcPr>
            <w:tcW w:w="2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60" w:type="dxa"/>
            <w:vAlign w:val="bottom"/>
          </w:tcPr>
          <w:p>
            <w:pPr>
              <w:ind w:left="23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bl>
    <w:p>
      <w:pPr>
        <w:spacing w:after="0" w:line="33"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If an emerging growth company, indicate by checkmark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jc w:val="center"/>
        <w:ind w:right="60"/>
        <w:spacing w:after="0" w:line="161" w:lineRule="exact"/>
        <w:rPr>
          <w:sz w:val="20"/>
          <w:szCs w:val="20"/>
          <w:color w:val="auto"/>
        </w:rPr>
      </w:pPr>
      <w:r>
        <w:rPr>
          <w:rFonts w:ascii="Times New Roman" w:cs="Times New Roman" w:eastAsia="Times New Roman" w:hAnsi="Times New Roman"/>
          <w:sz w:val="14"/>
          <w:szCs w:val="14"/>
          <w:color w:val="auto"/>
        </w:rPr>
        <w:t xml:space="preserve">Federal Realty Investment Trust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Federal Realty OP LP </w:t>
      </w:r>
      <w:r>
        <w:rPr>
          <w:rFonts w:ascii="MS PGothic" w:cs="MS PGothic" w:eastAsia="MS PGothic" w:hAnsi="MS PGothic"/>
          <w:sz w:val="14"/>
          <w:szCs w:val="14"/>
          <w:color w:val="auto"/>
        </w:rPr>
        <w: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7" w:lineRule="exact"/>
        <w:rPr>
          <w:sz w:val="24"/>
          <w:szCs w:val="24"/>
          <w:color w:val="auto"/>
        </w:rPr>
      </w:pPr>
    </w:p>
    <w:p>
      <w:pPr>
        <w:ind w:left="3080"/>
        <w:spacing w:after="0" w:line="161" w:lineRule="exact"/>
        <w:tabs>
          <w:tab w:leader="none" w:pos="5500" w:val="left"/>
        </w:tabs>
        <w:rPr>
          <w:sz w:val="20"/>
          <w:szCs w:val="20"/>
          <w:color w:val="auto"/>
        </w:rPr>
      </w:pPr>
      <w:r>
        <w:rPr>
          <w:rFonts w:ascii="Times New Roman" w:cs="Times New Roman" w:eastAsia="Times New Roman" w:hAnsi="Times New Roman"/>
          <w:sz w:val="14"/>
          <w:szCs w:val="14"/>
          <w:color w:val="auto"/>
        </w:rPr>
        <w:t xml:space="preserve">Federal Realty Investment Trust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No Federal Realty OP LP</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Yes</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No</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Federal Realty Investment Trust's common shares outstanding on October 26, 2026 was 86,021,559.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2"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report combines the quarterly reports on Form 10-Q for the quarter ended September 30, 2026, of Federal Realty Investment Trust and Federal Realty OP LP. Unless stated otherwise or the context otherwise requires, references to "Federal Realty Investment Trust," the "Parent Company" or the "Trust" mean Federal Realty Investment Trust; and references to "Federal Realty OP LP" or the "Operating Partnership" mean Federal Realty OP LP. The term "the Company," "we," "us," and "our" refer to the Parent Company and its business and operations conducted through its directly and indirectly owned subsidiaries, including the Operating Partnership. References to "shares" and "shareholders" refer to the shares and shareholders of the Parent Company and not the limited partnership interests or limited partners of the Operating Partnership.</w:t>
      </w:r>
    </w:p>
    <w:p>
      <w:pPr>
        <w:spacing w:after="0" w:line="66"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Parent Company is a real estate investment trust ("REIT") that owns 100% of the limited liability company interests of, is the sole member of, and exercises exclusive control over Federal Realty GP LLC (the "General Partner"), which is the sole general partner of the Operating Partnership. As of September 30, 2026, the Parent Company owned 100% of the outstanding partnership units (the "OP Units") in the Operating Partnership.</w:t>
      </w:r>
    </w:p>
    <w:p>
      <w:pPr>
        <w:spacing w:after="0" w:line="4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combining the quarterly reports on Form 10-Q of the Parent Company and the Operating Partnership into this single report provides the following benefits:</w:t>
      </w:r>
    </w:p>
    <w:p>
      <w:pPr>
        <w:spacing w:after="0" w:line="40" w:lineRule="exact"/>
        <w:rPr>
          <w:sz w:val="20"/>
          <w:szCs w:val="20"/>
          <w:color w:val="auto"/>
        </w:rPr>
      </w:pPr>
    </w:p>
    <w:p>
      <w:pPr>
        <w:ind w:left="660" w:right="1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Enhances investors' understanding of the Parent Company and the Operating Partnership by enabling investors to view the businesses as a whole in the same manner as management views and operates the business;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duplicate disclosure and provides a more streamlined and readable presentation;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time and cost efficiencies through the preparation of one combined report instead of two separate reports.</w:t>
      </w:r>
    </w:p>
    <w:p>
      <w:pPr>
        <w:spacing w:after="0" w:line="10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Management operates the Parent Company and the Operating Partnership as one business. Since the Operating Partnership is managed by the Parent Company, and the Parent Company conducts substantially all of its operations through the Operating Partnership, the management of the Parent Company consists of the same individuals as the management of the Operating Partnership.</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it is important to understand the few differences between the Parent Company and the Operating Partnership in the context of how the Parent Company and the Operating Partnership operate as a consolidated company. The Parent Company is a REIT, whose only material asset is its direct and indirect interest in the Operating Partnership. As a result, the Parent Company does not conduct business itself other than issuing public equity from time to time. The Parent Company is not expected to incur any material indebtedness. The Operating Partnership holds substantially all of our assets and retains the ownership interests in the Company's joint ventures. Except for net proceeds from public equity issuances by the Parent Company, which are contributed to the Operating Partnership in exchange for OP Units, the Operating Partnership generates all capital required by the Company’s business. Sources of this capital include the Operating Partnership’s operations, its direct or indirect incurrence of indebtedness, and the issuance of partnership units.</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Shareholders' equity, partner capital, and non-controlling interests are the primary areas of difference between the unaudited consolidated financial statements of the Parent Company and those of the Operating Partnership. The Operating Partnership’s capital currently includes OP Units owned by the Parent Company, and may in the future include OP Units owned by third parties. OP Units owned by third parties, if any, are accounted for in capital in the Operating Partnership’s financial statements and in non-controlling interests in the Parent Company’s financial statements.</w:t>
      </w:r>
    </w:p>
    <w:p>
      <w:pPr>
        <w:spacing w:after="0" w:line="5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Parent Company consolidates the Operating Partnership for financial reporting purposes, and the Parent Company does not have assets other than its investment in the Operating Partnership. Therefore, while shareholders’ equity and partners' capital differ as discussed above, the assets and liabilities of the Parent Company and the Operating Partnership are the same on their respective financial statements.</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order to highlight the differences between the Parent Company and the Operating Partnership, there are sections in this report that separately discuss the Parent Company and the Operating Partnership, including separate financial statements (but combined footnotes), separate controls and procedures sections, and separate Exhibit 31 and 32 certifications. In the sections that combine disclosure for the Parent Company and the Operating Partnership, this report refers to actions or holdings as being actions or holdings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 ENDED SEPTEMBER 30, 2026</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4"/>
        </w:trPr>
        <w:tc>
          <w:tcPr>
            <w:tcW w:w="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016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Financial Statements</w:t>
            </w: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3</w:t>
            </w:r>
          </w:p>
        </w:tc>
      </w:tr>
      <w:tr>
        <w:trPr>
          <w:trHeight w:val="394"/>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94"/>
        </w:trPr>
        <w:tc>
          <w:tcPr>
            <w:tcW w:w="860" w:type="dxa"/>
            <w:vAlign w:val="bottom"/>
          </w:tcPr>
          <w:p>
            <w:pPr>
              <w:spacing w:after="0"/>
              <w:rPr>
                <w:sz w:val="16"/>
                <w:szCs w:val="16"/>
                <w:color w:val="auto"/>
              </w:rPr>
            </w:pPr>
          </w:p>
        </w:tc>
        <w:tc>
          <w:tcPr>
            <w:tcW w:w="1016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Consolidated Balance Sheets as of September 30, 2026 (unaudited) and December 31, 2025</w:t>
            </w: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3</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Comprehensive Income (unaudited) for the three and nine months ended September 30, 2026 and 2025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Shareholders' Equity (unaudited) for the three and nine months ended September 30, 2026 and 2025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Cash Flows (unaudited) for the nine months ended September 30, 2026 and 2025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353"/>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Federal Realty OP LP</w:t>
            </w: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94"/>
        </w:trPr>
        <w:tc>
          <w:tcPr>
            <w:tcW w:w="860" w:type="dxa"/>
            <w:vAlign w:val="bottom"/>
          </w:tcPr>
          <w:p>
            <w:pPr>
              <w:spacing w:after="0"/>
              <w:rPr>
                <w:sz w:val="16"/>
                <w:szCs w:val="16"/>
                <w:color w:val="auto"/>
              </w:rPr>
            </w:pPr>
          </w:p>
        </w:tc>
        <w:tc>
          <w:tcPr>
            <w:tcW w:w="1016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Consolidated Balance Sheets as of September 30, 2026 (unaudited) and December 31, 2025</w:t>
            </w: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8</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Comprehensive Income (unaudited) for the three and nine months ended September 30, 2026 and 2025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Capital (unaudited) for the three and nine months ended September 30, 2026 and 2025</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r>
      <w:tr>
        <w:trPr>
          <w:trHeight w:val="210"/>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Cash Flows (unaudited) for the nine months ended September 30, 2026 and 2025</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r>
      <w:tr>
        <w:trPr>
          <w:trHeight w:val="353"/>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Federal Realty Investment Trust and Federal Realty OP LP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860" w:type="dxa"/>
            <w:vAlign w:val="bottom"/>
          </w:tcPr>
          <w:p>
            <w:pPr>
              <w:spacing w:after="0"/>
              <w:rPr>
                <w:sz w:val="16"/>
                <w:szCs w:val="16"/>
                <w:color w:val="auto"/>
              </w:rPr>
            </w:pPr>
          </w:p>
        </w:tc>
        <w:tc>
          <w:tcPr>
            <w:tcW w:w="1016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13</w:t>
            </w:r>
          </w:p>
        </w:tc>
      </w:tr>
      <w:tr>
        <w:trPr>
          <w:trHeight w:val="3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22</w:t>
            </w:r>
          </w:p>
        </w:tc>
      </w:tr>
      <w:tr>
        <w:trPr>
          <w:trHeight w:val="20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Controls and Procedures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480"/>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0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Mine Safety Disclosures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0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Information</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480"/>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gridSpan w:val="4"/>
          </w:tcPr>
          <w:p>
            <w:pPr>
              <w:jc w:val="right"/>
              <w:ind w:right="131"/>
              <w:spacing w:after="0" w:line="131" w:lineRule="exact"/>
              <w:rPr>
                <w:sz w:val="20"/>
                <w:szCs w:val="20"/>
                <w:color w:val="auto"/>
              </w:rPr>
            </w:pPr>
            <w:r>
              <w:rPr>
                <w:rFonts w:ascii="Times New Roman" w:cs="Times New Roman" w:eastAsia="Times New Roman" w:hAnsi="Times New Roman"/>
                <w:sz w:val="14"/>
                <w:szCs w:val="14"/>
                <w:b w:val="1"/>
                <w:bCs w:val="1"/>
                <w:color w:val="auto"/>
              </w:rPr>
              <w:t>(In thousands, except share and per</w:t>
            </w:r>
          </w:p>
        </w:tc>
        <w:tc>
          <w:tcPr>
            <w:tcW w:w="0" w:type="dxa"/>
            <w:vAlign w:val="bottom"/>
          </w:tcPr>
          <w:p>
            <w:pPr>
              <w:spacing w:after="0"/>
              <w:rPr>
                <w:sz w:val="1"/>
                <w:szCs w:val="1"/>
                <w:color w:val="auto"/>
              </w:rPr>
            </w:pPr>
          </w:p>
        </w:tc>
      </w:tr>
      <w:tr>
        <w:trPr>
          <w:trHeight w:val="189"/>
        </w:trPr>
        <w:tc>
          <w:tcPr>
            <w:tcW w:w="8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4"/>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0" w:type="dxa"/>
            <w:vAlign w:val="bottom"/>
          </w:tcPr>
          <w:p>
            <w:pPr>
              <w:spacing w:after="0"/>
              <w:rPr>
                <w:sz w:val="1"/>
                <w:szCs w:val="1"/>
                <w:color w:val="auto"/>
              </w:rPr>
            </w:pPr>
          </w:p>
        </w:tc>
      </w:tr>
      <w:tr>
        <w:trPr>
          <w:trHeight w:val="190"/>
        </w:trPr>
        <w:tc>
          <w:tcPr>
            <w:tcW w:w="8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 estate, at cost</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(including $2,132,453 and $1,832,190 of consolidated variable interest entities, respectively)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11,369,346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11,265,167</w:t>
            </w: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Construction-in-progress (including $47,661 and $28,418 of consolidated variable interest entities,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382,154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374,735</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11,751,500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11,639,902</w:t>
            </w: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Less accumulated depreciation and amortization (including $519,866 and $468,725 of consolidated variable</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interest entities, respectively)</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(3,521,614)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(3,351,881)</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real estate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8,229,886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8,288,021</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107,415</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249,755</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 notes receivable, net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31,881</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83,120</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right of use assets, net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367,962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354,767</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9,097,032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9,130,460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Mortgages payable, net (including $169,228 and $194,176 of consolidated variable interest entities,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496,694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521,759</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Notes payable, net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1,057,331</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Senior notes and debentures, net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3,389,769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3,364,010</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219,678</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Dividends payable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99,792</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31,548</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72,304</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12,903</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237,859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250,494</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5,589,289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5,629,819</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181,655</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Preferred shares, authorized 15,000,000 shares, $0.01 par:</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0" w:type="dxa"/>
            <w:vAlign w:val="bottom"/>
          </w:tcPr>
          <w:p>
            <w:pPr>
              <w:ind w:left="800"/>
              <w:spacing w:after="0" w:line="176" w:lineRule="exact"/>
              <w:rPr>
                <w:sz w:val="20"/>
                <w:szCs w:val="20"/>
                <w:color w:val="auto"/>
              </w:rPr>
            </w:pPr>
            <w:r>
              <w:rPr>
                <w:rFonts w:ascii="Times New Roman" w:cs="Times New Roman" w:eastAsia="Times New Roman" w:hAnsi="Times New Roman"/>
                <w:sz w:val="18"/>
                <w:szCs w:val="18"/>
                <w:color w:val="auto"/>
              </w:rPr>
              <w:t>5.00% Series C Cumulative Redeemable Preferred Shares, (stated at liquidation preference $25,000 per</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share), 6,000 shares issued and outstanding</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176"/>
        </w:trPr>
        <w:tc>
          <w:tcPr>
            <w:tcW w:w="8600" w:type="dxa"/>
            <w:vAlign w:val="bottom"/>
            <w:shd w:val="clear" w:color="auto" w:fill="CCEEFF"/>
          </w:tcPr>
          <w:p>
            <w:pPr>
              <w:ind w:left="800"/>
              <w:spacing w:after="0" w:line="176" w:lineRule="exact"/>
              <w:rPr>
                <w:sz w:val="20"/>
                <w:szCs w:val="20"/>
                <w:color w:val="auto"/>
              </w:rPr>
            </w:pPr>
            <w:r>
              <w:rPr>
                <w:rFonts w:ascii="Times New Roman" w:cs="Times New Roman" w:eastAsia="Times New Roman" w:hAnsi="Times New Roman"/>
                <w:sz w:val="18"/>
                <w:szCs w:val="18"/>
                <w:color w:val="auto"/>
              </w:rPr>
              <w:t>5.417% Series 1 Cumulative Convertible Preferred Shares, (stated at liquidation preference $25 per share),</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392,878 shares issued and outstanding</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0" w:type="dxa"/>
            <w:vAlign w:val="bottom"/>
          </w:tcPr>
          <w:p>
            <w:pPr>
              <w:spacing w:after="0"/>
              <w:rPr>
                <w:sz w:val="1"/>
                <w:szCs w:val="1"/>
                <w:color w:val="auto"/>
              </w:rPr>
            </w:pPr>
          </w:p>
        </w:tc>
      </w:tr>
      <w:tr>
        <w:trPr>
          <w:trHeight w:val="175"/>
        </w:trPr>
        <w:tc>
          <w:tcPr>
            <w:tcW w:w="8600" w:type="dxa"/>
            <w:vAlign w:val="bottom"/>
          </w:tcPr>
          <w:p>
            <w:pPr>
              <w:ind w:left="800"/>
              <w:spacing w:after="0" w:line="176" w:lineRule="exact"/>
              <w:rPr>
                <w:sz w:val="20"/>
                <w:szCs w:val="20"/>
                <w:color w:val="auto"/>
              </w:rPr>
            </w:pPr>
            <w:r>
              <w:rPr>
                <w:rFonts w:ascii="Times New Roman" w:cs="Times New Roman" w:eastAsia="Times New Roman" w:hAnsi="Times New Roman"/>
                <w:sz w:val="18"/>
                <w:szCs w:val="18"/>
                <w:color w:val="auto"/>
              </w:rPr>
              <w:t>Common shares of beneficial interest, $0.01 par, 200,000,000 shares authorized, 86,296,537 and</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86,266,009 shares issued and outstanding, respectively</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4,292,652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4,310,365</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Accumulated dividends in excess of net income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(1,215,383)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(1,224,372)</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shareholders’ equity of the Trust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3,251,315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3,248,731</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70,255</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3,319,265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3,318,986</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9,097,032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9,130,460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2320" w:type="dxa"/>
            <w:vAlign w:val="bottom"/>
            <w:gridSpan w:val="4"/>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6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Rental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329,644</w:t>
            </w:r>
          </w:p>
        </w:tc>
        <w:tc>
          <w:tcPr>
            <w:tcW w:w="80" w:type="dxa"/>
            <w:vAlign w:val="bottom"/>
          </w:tcPr>
          <w:p>
            <w:pPr>
              <w:spacing w:after="0"/>
              <w:rPr>
                <w:sz w:val="19"/>
                <w:szCs w:val="19"/>
                <w:color w:val="auto"/>
              </w:rPr>
            </w:pP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313,183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988,198</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917,954</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property income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24,143</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Mortgage interest income</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339,024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322,253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1,015,814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942,930</w:t>
            </w:r>
          </w:p>
        </w:tc>
        <w:tc>
          <w:tcPr>
            <w:tcW w:w="0" w:type="dxa"/>
            <w:vAlign w:val="bottom"/>
          </w:tcPr>
          <w:p>
            <w:pPr>
              <w:spacing w:after="0"/>
              <w:rPr>
                <w:sz w:val="1"/>
                <w:szCs w:val="1"/>
                <w:color w:val="auto"/>
              </w:rPr>
            </w:pP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Rental expenses</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196,894</w:t>
            </w:r>
          </w:p>
        </w:tc>
        <w:tc>
          <w:tcPr>
            <w:tcW w:w="0" w:type="dxa"/>
            <w:vAlign w:val="bottom"/>
          </w:tcPr>
          <w:p>
            <w:pPr>
              <w:spacing w:after="0"/>
              <w:rPr>
                <w:sz w:val="1"/>
                <w:szCs w:val="1"/>
                <w:color w:val="auto"/>
              </w:rPr>
            </w:pPr>
          </w:p>
        </w:tc>
      </w:tr>
      <w:tr>
        <w:trPr>
          <w:trHeight w:val="229"/>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 estate taxes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117,859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111,426</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34,449</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100,260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94,277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300,100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270,464</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222,642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211,585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665,113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613,233</w:t>
            </w:r>
          </w:p>
        </w:tc>
        <w:tc>
          <w:tcPr>
            <w:tcW w:w="0" w:type="dxa"/>
            <w:vAlign w:val="bottom"/>
          </w:tcPr>
          <w:p>
            <w:pPr>
              <w:spacing w:after="0"/>
              <w:rPr>
                <w:sz w:val="1"/>
                <w:szCs w:val="1"/>
                <w:color w:val="auto"/>
              </w:rPr>
            </w:pPr>
          </w:p>
        </w:tc>
      </w:tr>
      <w:tr>
        <w:trPr>
          <w:trHeight w:val="250"/>
        </w:trPr>
        <w:tc>
          <w:tcPr>
            <w:tcW w:w="6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77,672</w:t>
            </w:r>
          </w:p>
        </w:tc>
        <w:tc>
          <w:tcPr>
            <w:tcW w:w="0" w:type="dxa"/>
            <w:vAlign w:val="bottom"/>
          </w:tcPr>
          <w:p>
            <w:pPr>
              <w:spacing w:after="0"/>
              <w:rPr>
                <w:sz w:val="1"/>
                <w:szCs w:val="1"/>
                <w:color w:val="auto"/>
              </w:rPr>
            </w:pPr>
          </w:p>
        </w:tc>
      </w:tr>
      <w:tr>
        <w:trPr>
          <w:trHeight w:val="230"/>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New market tax credit transaction income</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0" w:type="dxa"/>
            <w:vAlign w:val="bottom"/>
          </w:tcPr>
          <w:p>
            <w:pPr>
              <w:spacing w:after="0"/>
              <w:rPr>
                <w:sz w:val="1"/>
                <w:szCs w:val="1"/>
                <w:color w:val="auto"/>
              </w:rPr>
            </w:pPr>
          </w:p>
        </w:tc>
      </w:tr>
      <w:tr>
        <w:trPr>
          <w:trHeight w:val="250"/>
        </w:trPr>
        <w:tc>
          <w:tcPr>
            <w:tcW w:w="62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116,855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464,502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421,545</w:t>
            </w:r>
          </w:p>
        </w:tc>
        <w:tc>
          <w:tcPr>
            <w:tcW w:w="0" w:type="dxa"/>
            <w:vAlign w:val="bottom"/>
          </w:tcPr>
          <w:p>
            <w:pPr>
              <w:spacing w:after="0"/>
              <w:rPr>
                <w:sz w:val="1"/>
                <w:szCs w:val="1"/>
                <w:color w:val="auto"/>
              </w:rPr>
            </w:pPr>
          </w:p>
        </w:tc>
      </w:tr>
      <w:tr>
        <w:trPr>
          <w:trHeight w:val="270"/>
        </w:trPr>
        <w:tc>
          <w:tcPr>
            <w:tcW w:w="6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INCOME/(EXPENSE)</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interest income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0" w:type="dxa"/>
            <w:vAlign w:val="bottom"/>
          </w:tcPr>
          <w:p>
            <w:pPr>
              <w:spacing w:after="0"/>
              <w:rPr>
                <w:sz w:val="1"/>
                <w:szCs w:val="1"/>
                <w:color w:val="auto"/>
              </w:rPr>
            </w:pPr>
          </w:p>
        </w:tc>
      </w:tr>
      <w:tr>
        <w:trPr>
          <w:trHeight w:val="230"/>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(148,864)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(134,692)</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from partnerships</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318,608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291,033</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0" w:type="dxa"/>
            <w:vAlign w:val="bottom"/>
          </w:tcPr>
          <w:p>
            <w:pPr>
              <w:spacing w:after="0"/>
              <w:rPr>
                <w:sz w:val="1"/>
                <w:szCs w:val="1"/>
                <w:color w:val="auto"/>
              </w:rPr>
            </w:pP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66,169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310,970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281,333</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on preferred shares</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0" w:type="dxa"/>
            <w:vAlign w:val="bottom"/>
          </w:tcPr>
          <w:p>
            <w:pPr>
              <w:spacing w:after="0"/>
              <w:rPr>
                <w:sz w:val="1"/>
                <w:szCs w:val="1"/>
                <w:color w:val="auto"/>
              </w:rPr>
            </w:pP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64,161</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59,641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304,946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275,309</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6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86,558</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85,978</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86,262</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85,808</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COMMON SHARE, DILUTED:</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85,808</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330,039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288,329</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THE TRUST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322,277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278,825</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5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2026</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Shareholders’ Equity of the Trust</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120" w:type="dxa"/>
            <w:vAlign w:val="bottom"/>
          </w:tcPr>
          <w:p>
            <w:pPr>
              <w:spacing w:after="0"/>
              <w:rPr>
                <w:sz w:val="11"/>
                <w:szCs w:val="11"/>
                <w:color w:val="auto"/>
              </w:rPr>
            </w:pPr>
          </w:p>
        </w:tc>
        <w:tc>
          <w:tcPr>
            <w:tcW w:w="1620" w:type="dxa"/>
            <w:vAlign w:val="bottom"/>
            <w:tcBorders>
              <w:top w:val="single" w:sz="8" w:color="auto"/>
            </w:tcBorders>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620" w:type="dxa"/>
            <w:vAlign w:val="bottom"/>
            <w:tcBorders>
              <w:top w:val="single" w:sz="8" w:color="auto"/>
            </w:tcBorders>
            <w:gridSpan w:val="5"/>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920" w:type="dxa"/>
            <w:vAlign w:val="bottom"/>
            <w:tcBorders>
              <w:top w:val="single" w:sz="8" w:color="auto"/>
            </w:tcBorders>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4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12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1620" w:type="dxa"/>
            <w:vAlign w:val="bottom"/>
            <w:gridSpan w:val="5"/>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4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Dividends in</w:t>
            </w: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Excess of Net</w:t>
            </w:r>
          </w:p>
        </w:tc>
        <w:tc>
          <w:tcPr>
            <w:tcW w:w="108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0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01"/>
        </w:trPr>
        <w:tc>
          <w:tcPr>
            <w:tcW w:w="3120" w:type="dxa"/>
            <w:vAlign w:val="bottom"/>
          </w:tcPr>
          <w:p>
            <w:pPr>
              <w:spacing w:after="0"/>
              <w:rPr>
                <w:sz w:val="8"/>
                <w:szCs w:val="8"/>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rPr>
                <w:sz w:val="17"/>
                <w:szCs w:val="17"/>
                <w:color w:val="auto"/>
              </w:rPr>
            </w:pPr>
          </w:p>
        </w:tc>
        <w:tc>
          <w:tcPr>
            <w:tcW w:w="880" w:type="dxa"/>
            <w:vAlign w:val="bottom"/>
            <w:tcBorders>
              <w:bottom w:val="single" w:sz="8" w:color="auto"/>
            </w:tcBorders>
            <w:gridSpan w:val="2"/>
            <w:vMerge w:val="continue"/>
          </w:tcPr>
          <w:p>
            <w:pPr>
              <w:spacing w:after="0"/>
              <w:rPr>
                <w:sz w:val="17"/>
                <w:szCs w:val="17"/>
                <w:color w:val="auto"/>
              </w:rPr>
            </w:pPr>
          </w:p>
        </w:tc>
        <w:tc>
          <w:tcPr>
            <w:tcW w:w="740" w:type="dxa"/>
            <w:vAlign w:val="bottom"/>
            <w:tcBorders>
              <w:bottom w:val="single" w:sz="8" w:color="auto"/>
            </w:tcBorders>
            <w:gridSpan w:val="2"/>
            <w:vMerge w:val="continue"/>
          </w:tcPr>
          <w:p>
            <w:pPr>
              <w:spacing w:after="0"/>
              <w:rPr>
                <w:sz w:val="17"/>
                <w:szCs w:val="17"/>
                <w:color w:val="auto"/>
              </w:rPr>
            </w:pPr>
          </w:p>
        </w:tc>
        <w:tc>
          <w:tcPr>
            <w:tcW w:w="900" w:type="dxa"/>
            <w:vAlign w:val="bottom"/>
            <w:tcBorders>
              <w:bottom w:val="single" w:sz="8" w:color="auto"/>
            </w:tcBorders>
            <w:gridSpan w:val="2"/>
            <w:vMerge w:val="continue"/>
          </w:tcPr>
          <w:p>
            <w:pPr>
              <w:spacing w:after="0"/>
              <w:rPr>
                <w:sz w:val="17"/>
                <w:szCs w:val="17"/>
                <w:color w:val="auto"/>
              </w:rPr>
            </w:pPr>
          </w:p>
        </w:tc>
        <w:tc>
          <w:tcPr>
            <w:tcW w:w="720" w:type="dxa"/>
            <w:vAlign w:val="bottom"/>
            <w:tcBorders>
              <w:bottom w:val="single" w:sz="8" w:color="auto"/>
            </w:tcBorders>
            <w:gridSpan w:val="3"/>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398,878</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w w:val="99"/>
              </w:rPr>
              <w:t>$ 159,822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86,883,595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4,374,872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(1,179,380)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3,434,572</w:t>
            </w:r>
          </w:p>
        </w:tc>
        <w:tc>
          <w:tcPr>
            <w:tcW w:w="0" w:type="dxa"/>
            <w:vAlign w:val="bottom"/>
          </w:tcPr>
          <w:p>
            <w:pPr>
              <w:spacing w:after="0"/>
              <w:rPr>
                <w:sz w:val="1"/>
                <w:szCs w:val="1"/>
                <w:color w:val="auto"/>
              </w:rPr>
            </w:pPr>
          </w:p>
        </w:tc>
      </w:tr>
      <w:tr>
        <w:trPr>
          <w:trHeight w:val="139"/>
        </w:trPr>
        <w:tc>
          <w:tcPr>
            <w:tcW w:w="31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income, excluding $1,992 attributable to</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66,169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66,993</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8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Other comprehensive income - change in fair value</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of interest rate swaps, excluding $86 attributable to</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5,014</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8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1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Dividends declared to common shareholders ($1.16</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(100,164)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(100,164)</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 share)</w:t>
            </w:r>
          </w:p>
        </w:tc>
        <w:tc>
          <w:tcPr>
            <w:tcW w:w="8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to preferred shareholders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0" w:type="dxa"/>
            <w:vAlign w:val="bottom"/>
          </w:tcPr>
          <w:p>
            <w:pPr>
              <w:spacing w:after="0"/>
              <w:rPr>
                <w:sz w:val="1"/>
                <w:szCs w:val="1"/>
                <w:color w:val="auto"/>
              </w:rPr>
            </w:pPr>
          </w:p>
        </w:tc>
      </w:tr>
      <w:tr>
        <w:trPr>
          <w:trHeight w:val="139"/>
        </w:trPr>
        <w:tc>
          <w:tcPr>
            <w:tcW w:w="31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Distributions declared to noncontrolling interests,</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excluding $830 attributable to redeemable</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8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issued, net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39"/>
        </w:trPr>
        <w:tc>
          <w:tcPr>
            <w:tcW w:w="31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shares issued under dividend reinvestment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8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Share-based compensation expense, net of</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4,037</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8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(591,113)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withheld for employee taxes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capped calls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(21,712)</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noncontrolling interest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2026</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398,878</w:t>
            </w:r>
          </w:p>
        </w:tc>
        <w:tc>
          <w:tcPr>
            <w:tcW w:w="8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w w:val="99"/>
              </w:rPr>
              <w:t>$ 159,822</w:t>
            </w:r>
          </w:p>
        </w:tc>
        <w:tc>
          <w:tcPr>
            <w:tcW w:w="8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86,296,537</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4,292,652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(1,215,383)</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13,354</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67,950</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3,319,265</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398,878</w:t>
            </w:r>
          </w:p>
        </w:tc>
        <w:tc>
          <w:tcPr>
            <w:tcW w:w="80" w:type="dxa"/>
            <w:vAlign w:val="bottom"/>
          </w:tcPr>
          <w:p>
            <w:pPr>
              <w:spacing w:after="0"/>
              <w:rPr>
                <w:sz w:val="16"/>
                <w:szCs w:val="16"/>
                <w:color w:val="auto"/>
              </w:rPr>
            </w:pP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w w:val="99"/>
              </w:rPr>
              <w:t>$ 159,822</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86,266,009</w:t>
            </w:r>
          </w:p>
        </w:tc>
        <w:tc>
          <w:tcPr>
            <w:tcW w:w="8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4,310,365</w:t>
            </w:r>
          </w:p>
        </w:tc>
        <w:tc>
          <w:tcPr>
            <w:tcW w:w="1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(1,224,372)</w:t>
            </w:r>
          </w:p>
        </w:tc>
        <w:tc>
          <w:tcPr>
            <w:tcW w:w="8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70,255</w:t>
            </w:r>
          </w:p>
        </w:tc>
        <w:tc>
          <w:tcPr>
            <w:tcW w:w="8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3,318,986</w:t>
            </w:r>
          </w:p>
        </w:tc>
        <w:tc>
          <w:tcPr>
            <w:tcW w:w="0" w:type="dxa"/>
            <w:vAlign w:val="bottom"/>
          </w:tcPr>
          <w:p>
            <w:pPr>
              <w:spacing w:after="0"/>
              <w:rPr>
                <w:sz w:val="1"/>
                <w:szCs w:val="1"/>
                <w:color w:val="auto"/>
              </w:rPr>
            </w:pPr>
          </w:p>
        </w:tc>
      </w:tr>
      <w:tr>
        <w:trPr>
          <w:trHeight w:val="146"/>
        </w:trPr>
        <w:tc>
          <w:tcPr>
            <w:tcW w:w="31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Net income, excluding $5,221 attributable to</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310,970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313,387</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8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1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Other comprehensive income - change in fair value</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of interest rate swaps, excluding $124 attributable to</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11,307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11,307</w:t>
            </w: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8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1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Dividends declared to common shareholders ($3.42</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(295,957)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(295,957)</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 share)</w:t>
            </w:r>
          </w:p>
        </w:tc>
        <w:tc>
          <w:tcPr>
            <w:tcW w:w="8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to preferred shareholders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0" w:type="dxa"/>
            <w:vAlign w:val="bottom"/>
          </w:tcPr>
          <w:p>
            <w:pPr>
              <w:spacing w:after="0"/>
              <w:rPr>
                <w:sz w:val="1"/>
                <w:szCs w:val="1"/>
                <w:color w:val="auto"/>
              </w:rPr>
            </w:pPr>
          </w:p>
        </w:tc>
      </w:tr>
      <w:tr>
        <w:trPr>
          <w:trHeight w:val="146"/>
        </w:trPr>
        <w:tc>
          <w:tcPr>
            <w:tcW w:w="31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Distributions declared to noncontrolling interests,</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excluding $5,504 attributable to redeemable</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(2,467)</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8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 issued, net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493,521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60,321</w:t>
            </w:r>
          </w:p>
        </w:tc>
        <w:tc>
          <w:tcPr>
            <w:tcW w:w="0" w:type="dxa"/>
            <w:vAlign w:val="bottom"/>
          </w:tcPr>
          <w:p>
            <w:pPr>
              <w:spacing w:after="0"/>
              <w:rPr>
                <w:sz w:val="1"/>
                <w:szCs w:val="1"/>
                <w:color w:val="auto"/>
              </w:rPr>
            </w:pPr>
          </w:p>
        </w:tc>
      </w:tr>
      <w:tr>
        <w:trPr>
          <w:trHeight w:val="146"/>
        </w:trPr>
        <w:tc>
          <w:tcPr>
            <w:tcW w:w="31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Common shares issued under dividend reinvestment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8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1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Share-based compensation expense, net of</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167,248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12,362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12,364</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8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(591,113)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(65,000)</w:t>
            </w: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 withheld for employee taxes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(50,287)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(5,310)</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Redemption of downREIT OP units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capped calls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(21,712)</w:t>
            </w:r>
          </w:p>
        </w:tc>
        <w:tc>
          <w:tcPr>
            <w:tcW w:w="0" w:type="dxa"/>
            <w:vAlign w:val="bottom"/>
          </w:tcPr>
          <w:p>
            <w:pPr>
              <w:spacing w:after="0"/>
              <w:rPr>
                <w:sz w:val="1"/>
                <w:szCs w:val="1"/>
                <w:color w:val="auto"/>
              </w:rPr>
            </w:pPr>
          </w:p>
        </w:tc>
      </w:tr>
      <w:tr>
        <w:trPr>
          <w:trHeight w:val="19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noncontrolling interest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0" w:type="dxa"/>
            <w:vAlign w:val="bottom"/>
          </w:tcPr>
          <w:p>
            <w:pPr>
              <w:spacing w:after="0"/>
              <w:rPr>
                <w:sz w:val="1"/>
                <w:szCs w:val="1"/>
                <w:color w:val="auto"/>
              </w:rPr>
            </w:pPr>
          </w:p>
        </w:tc>
      </w:tr>
      <w:tr>
        <w:trPr>
          <w:trHeight w:val="221"/>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2026</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398,878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w w:val="99"/>
              </w:rPr>
              <w:t>$ 159,822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86,296,537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4,292,652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(1,215,383)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3,319,265</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2025</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gridSpan w:val="9"/>
          </w:tcPr>
          <w:p>
            <w:pPr>
              <w:ind w:left="460"/>
              <w:spacing w:after="0"/>
              <w:rPr>
                <w:sz w:val="20"/>
                <w:szCs w:val="20"/>
                <w:color w:val="auto"/>
              </w:rPr>
            </w:pPr>
            <w:r>
              <w:rPr>
                <w:rFonts w:ascii="Times New Roman" w:cs="Times New Roman" w:eastAsia="Times New Roman" w:hAnsi="Times New Roman"/>
                <w:sz w:val="14"/>
                <w:szCs w:val="14"/>
                <w:b w:val="1"/>
                <w:bCs w:val="1"/>
                <w:color w:val="auto"/>
              </w:rPr>
              <w:t>Shareholders’ Equity of the Trust</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1500" w:type="dxa"/>
            <w:vAlign w:val="bottom"/>
            <w:tcBorders>
              <w:top w:val="single" w:sz="8" w:color="auto"/>
            </w:tcBorders>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480" w:type="dxa"/>
            <w:vAlign w:val="bottom"/>
            <w:tcBorders>
              <w:top w:val="single" w:sz="8" w:color="auto"/>
            </w:tcBorders>
            <w:gridSpan w:val="4"/>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4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Dividends in</w:t>
            </w: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32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restart"/>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vMerge w:val="restart"/>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Excess of Net</w:t>
            </w:r>
          </w:p>
        </w:tc>
        <w:tc>
          <w:tcPr>
            <w:tcW w:w="1080" w:type="dxa"/>
            <w:vAlign w:val="bottom"/>
            <w:gridSpan w:val="3"/>
            <w:vMerge w:val="restart"/>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3"/>
            <w:vMerge w:val="restart"/>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00" w:type="dxa"/>
            <w:vAlign w:val="bottom"/>
            <w:gridSpan w:val="2"/>
            <w:vMerge w:val="restart"/>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02"/>
        </w:trPr>
        <w:tc>
          <w:tcPr>
            <w:tcW w:w="3240" w:type="dxa"/>
            <w:vAlign w:val="bottom"/>
          </w:tcPr>
          <w:p>
            <w:pPr>
              <w:spacing w:after="0"/>
              <w:rPr>
                <w:sz w:val="8"/>
                <w:szCs w:val="8"/>
                <w:color w:val="auto"/>
              </w:rPr>
            </w:pP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3240" w:type="dxa"/>
            <w:vAlign w:val="bottom"/>
          </w:tcPr>
          <w:p>
            <w:pPr>
              <w:spacing w:after="0"/>
              <w:rPr>
                <w:sz w:val="17"/>
                <w:szCs w:val="17"/>
                <w:color w:val="auto"/>
              </w:rPr>
            </w:pPr>
          </w:p>
        </w:tc>
        <w:tc>
          <w:tcPr>
            <w:tcW w:w="780" w:type="dxa"/>
            <w:vAlign w:val="bottom"/>
            <w:tcBorders>
              <w:bottom w:val="single" w:sz="8" w:color="auto"/>
            </w:tcBorders>
            <w:gridSpan w:val="2"/>
            <w:vMerge w:val="continue"/>
          </w:tcPr>
          <w:p>
            <w:pPr>
              <w:spacing w:after="0"/>
              <w:rPr>
                <w:sz w:val="17"/>
                <w:szCs w:val="17"/>
                <w:color w:val="auto"/>
              </w:rPr>
            </w:pPr>
          </w:p>
        </w:tc>
        <w:tc>
          <w:tcPr>
            <w:tcW w:w="720" w:type="dxa"/>
            <w:vAlign w:val="bottom"/>
            <w:tcBorders>
              <w:bottom w:val="single" w:sz="8" w:color="auto"/>
            </w:tcBorders>
            <w:gridSpan w:val="2"/>
            <w:vMerge w:val="continue"/>
          </w:tcPr>
          <w:p>
            <w:pPr>
              <w:spacing w:after="0"/>
              <w:rPr>
                <w:sz w:val="17"/>
                <w:szCs w:val="17"/>
                <w:color w:val="auto"/>
              </w:rPr>
            </w:pPr>
          </w:p>
        </w:tc>
        <w:tc>
          <w:tcPr>
            <w:tcW w:w="920" w:type="dxa"/>
            <w:vAlign w:val="bottom"/>
            <w:tcBorders>
              <w:bottom w:val="single" w:sz="8" w:color="auto"/>
            </w:tcBorders>
            <w:gridSpan w:val="2"/>
            <w:vMerge w:val="continue"/>
          </w:tcPr>
          <w:p>
            <w:pPr>
              <w:spacing w:after="0"/>
              <w:rPr>
                <w:sz w:val="17"/>
                <w:szCs w:val="17"/>
                <w:color w:val="auto"/>
              </w:rPr>
            </w:pPr>
          </w:p>
        </w:tc>
        <w:tc>
          <w:tcPr>
            <w:tcW w:w="560" w:type="dxa"/>
            <w:vAlign w:val="bottom"/>
            <w:tcBorders>
              <w:bottom w:val="single" w:sz="8" w:color="auto"/>
            </w:tcBorders>
            <w:gridSpan w:val="2"/>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398,878</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$ 159,822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86,261,214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4,302,220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(1,216,794)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3,320,100</w:t>
            </w:r>
          </w:p>
        </w:tc>
        <w:tc>
          <w:tcPr>
            <w:tcW w:w="0" w:type="dxa"/>
            <w:vAlign w:val="bottom"/>
          </w:tcPr>
          <w:p>
            <w:pPr>
              <w:spacing w:after="0"/>
              <w:rPr>
                <w:sz w:val="1"/>
                <w:szCs w:val="1"/>
                <w:color w:val="auto"/>
              </w:rPr>
            </w:pPr>
          </w:p>
        </w:tc>
      </w:tr>
      <w:tr>
        <w:trPr>
          <w:trHeight w:val="139"/>
        </w:trPr>
        <w:tc>
          <w:tcPr>
            <w:tcW w:w="32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income, excluding $1,986 attributable to</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61,649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62,513</w:t>
            </w:r>
          </w:p>
        </w:tc>
        <w:tc>
          <w:tcPr>
            <w:tcW w:w="0" w:type="dxa"/>
            <w:vAlign w:val="bottom"/>
          </w:tcPr>
          <w:p>
            <w:pPr>
              <w:spacing w:after="0"/>
              <w:rPr>
                <w:sz w:val="1"/>
                <w:szCs w:val="1"/>
                <w:color w:val="auto"/>
              </w:rPr>
            </w:pPr>
          </w:p>
        </w:tc>
      </w:tr>
      <w:tr>
        <w:trPr>
          <w:trHeight w:val="193"/>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78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2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Other comprehensive loss - change in fair value of</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rate swaps, excluding $29 attributable to</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78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2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Dividends declared to common shareholders ($1.13 per</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(97,474)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(97,474)</w:t>
            </w:r>
          </w:p>
        </w:tc>
        <w:tc>
          <w:tcPr>
            <w:tcW w:w="0" w:type="dxa"/>
            <w:vAlign w:val="bottom"/>
          </w:tcPr>
          <w:p>
            <w:pPr>
              <w:spacing w:after="0"/>
              <w:rPr>
                <w:sz w:val="1"/>
                <w:szCs w:val="1"/>
                <w:color w:val="auto"/>
              </w:rPr>
            </w:pPr>
          </w:p>
        </w:tc>
      </w:tr>
      <w:tr>
        <w:trPr>
          <w:trHeight w:val="193"/>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w:t>
            </w:r>
          </w:p>
        </w:tc>
        <w:tc>
          <w:tcPr>
            <w:tcW w:w="78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to preferred shareholders</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0" w:type="dxa"/>
            <w:vAlign w:val="bottom"/>
          </w:tcPr>
          <w:p>
            <w:pPr>
              <w:spacing w:after="0"/>
              <w:rPr>
                <w:sz w:val="1"/>
                <w:szCs w:val="1"/>
                <w:color w:val="auto"/>
              </w:rPr>
            </w:pPr>
          </w:p>
        </w:tc>
      </w:tr>
      <w:tr>
        <w:trPr>
          <w:trHeight w:val="139"/>
        </w:trPr>
        <w:tc>
          <w:tcPr>
            <w:tcW w:w="32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Distributions declared to noncontrolling interests,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excluding $2,464 attributable to redeemable</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0" w:type="dxa"/>
            <w:vAlign w:val="bottom"/>
          </w:tcPr>
          <w:p>
            <w:pPr>
              <w:spacing w:after="0"/>
              <w:rPr>
                <w:sz w:val="1"/>
                <w:szCs w:val="1"/>
                <w:color w:val="auto"/>
              </w:rPr>
            </w:pPr>
          </w:p>
        </w:tc>
      </w:tr>
      <w:tr>
        <w:trPr>
          <w:trHeight w:val="193"/>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78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issued, net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39"/>
        </w:trPr>
        <w:tc>
          <w:tcPr>
            <w:tcW w:w="32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shares issued under dividend reinvestment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4,874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0" w:type="dxa"/>
            <w:vAlign w:val="bottom"/>
          </w:tcPr>
          <w:p>
            <w:pPr>
              <w:spacing w:after="0"/>
              <w:rPr>
                <w:sz w:val="1"/>
                <w:szCs w:val="1"/>
                <w:color w:val="auto"/>
              </w:rPr>
            </w:pPr>
          </w:p>
        </w:tc>
      </w:tr>
      <w:tr>
        <w:trPr>
          <w:trHeight w:val="193"/>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78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 net of forfeitures</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3,691</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 withheld for employee taxes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146"/>
        </w:trPr>
        <w:tc>
          <w:tcPr>
            <w:tcW w:w="32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Redemption of downREIT OP units and purchase of</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78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398,878</w:t>
            </w:r>
          </w:p>
        </w:tc>
        <w:tc>
          <w:tcPr>
            <w:tcW w:w="8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$ 159,822</w:t>
            </w:r>
          </w:p>
        </w:tc>
        <w:tc>
          <w:tcPr>
            <w:tcW w:w="8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86,265,563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6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4,306,262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(1,254,627)</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70,587</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3,285,145</w:t>
            </w:r>
          </w:p>
        </w:tc>
        <w:tc>
          <w:tcPr>
            <w:tcW w:w="0" w:type="dxa"/>
            <w:vAlign w:val="bottom"/>
          </w:tcPr>
          <w:p>
            <w:pPr>
              <w:spacing w:after="0"/>
              <w:rPr>
                <w:sz w:val="1"/>
                <w:szCs w:val="1"/>
                <w:color w:val="auto"/>
              </w:rPr>
            </w:pPr>
          </w:p>
        </w:tc>
      </w:tr>
      <w:tr>
        <w:trPr>
          <w:trHeight w:val="21"/>
        </w:trPr>
        <w:tc>
          <w:tcPr>
            <w:tcW w:w="32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398,878</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$ 159,822</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85,666,220</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4,248,824</w:t>
            </w:r>
          </w:p>
        </w:tc>
        <w:tc>
          <w:tcPr>
            <w:tcW w:w="1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(1,242,654)</w:t>
            </w:r>
          </w:p>
        </w:tc>
        <w:tc>
          <w:tcPr>
            <w:tcW w:w="8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4,740</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72,550</w:t>
            </w:r>
          </w:p>
        </w:tc>
        <w:tc>
          <w:tcPr>
            <w:tcW w:w="8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3,244,144</w:t>
            </w:r>
          </w:p>
        </w:tc>
        <w:tc>
          <w:tcPr>
            <w:tcW w:w="0" w:type="dxa"/>
            <w:vAlign w:val="bottom"/>
          </w:tcPr>
          <w:p>
            <w:pPr>
              <w:spacing w:after="0"/>
              <w:rPr>
                <w:sz w:val="1"/>
                <w:szCs w:val="1"/>
                <w:color w:val="auto"/>
              </w:rPr>
            </w:pPr>
          </w:p>
        </w:tc>
      </w:tr>
      <w:tr>
        <w:trPr>
          <w:trHeight w:val="146"/>
        </w:trPr>
        <w:tc>
          <w:tcPr>
            <w:tcW w:w="32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Net income, excluding $6,002 attributable to</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281,333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285,031</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78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2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Other comprehensive loss - change in fair value of</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rate swaps, excluding $196 attributable to</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0" w:type="dxa"/>
            <w:vAlign w:val="bottom"/>
          </w:tcPr>
          <w:p>
            <w:pPr>
              <w:spacing w:after="0"/>
              <w:rPr>
                <w:sz w:val="1"/>
                <w:szCs w:val="1"/>
                <w:color w:val="auto"/>
              </w:rPr>
            </w:pPr>
          </w:p>
        </w:tc>
      </w:tr>
      <w:tr>
        <w:trPr>
          <w:trHeight w:val="193"/>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78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2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Dividends declared to common shareholders ($3.33 per</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(287,282)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(287,282)</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w:t>
            </w:r>
          </w:p>
        </w:tc>
        <w:tc>
          <w:tcPr>
            <w:tcW w:w="78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to preferred shareholders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0" w:type="dxa"/>
            <w:vAlign w:val="bottom"/>
          </w:tcPr>
          <w:p>
            <w:pPr>
              <w:spacing w:after="0"/>
              <w:rPr>
                <w:sz w:val="1"/>
                <w:szCs w:val="1"/>
                <w:color w:val="auto"/>
              </w:rPr>
            </w:pPr>
          </w:p>
        </w:tc>
      </w:tr>
      <w:tr>
        <w:trPr>
          <w:trHeight w:val="146"/>
        </w:trPr>
        <w:tc>
          <w:tcPr>
            <w:tcW w:w="32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Distributions declared to noncontrolling interests,</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excluding $6,821 attributable to redeemable</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(3,334)</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78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 issued, net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476,665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54,306</w:t>
            </w:r>
          </w:p>
        </w:tc>
        <w:tc>
          <w:tcPr>
            <w:tcW w:w="0" w:type="dxa"/>
            <w:vAlign w:val="bottom"/>
          </w:tcPr>
          <w:p>
            <w:pPr>
              <w:spacing w:after="0"/>
              <w:rPr>
                <w:sz w:val="1"/>
                <w:szCs w:val="1"/>
                <w:color w:val="auto"/>
              </w:rPr>
            </w:pPr>
          </w:p>
        </w:tc>
      </w:tr>
      <w:tr>
        <w:trPr>
          <w:trHeight w:val="146"/>
        </w:trPr>
        <w:tc>
          <w:tcPr>
            <w:tcW w:w="32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Common shares issued under dividend reinvestment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78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 net of forfeitures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11,634</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withheld for employee taxes</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(4,856)</w:t>
            </w:r>
          </w:p>
        </w:tc>
        <w:tc>
          <w:tcPr>
            <w:tcW w:w="0" w:type="dxa"/>
            <w:vAlign w:val="bottom"/>
          </w:tcPr>
          <w:p>
            <w:pPr>
              <w:spacing w:after="0"/>
              <w:rPr>
                <w:sz w:val="1"/>
                <w:szCs w:val="1"/>
                <w:color w:val="auto"/>
              </w:rPr>
            </w:pPr>
          </w:p>
        </w:tc>
      </w:tr>
      <w:tr>
        <w:trPr>
          <w:trHeight w:val="139"/>
        </w:trPr>
        <w:tc>
          <w:tcPr>
            <w:tcW w:w="32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Conversion of and redemption of downREIT OP units</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(2,327)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(7,334)</w:t>
            </w:r>
          </w:p>
        </w:tc>
        <w:tc>
          <w:tcPr>
            <w:tcW w:w="0" w:type="dxa"/>
            <w:vAlign w:val="bottom"/>
          </w:tcPr>
          <w:p>
            <w:pPr>
              <w:spacing w:after="0"/>
              <w:rPr>
                <w:sz w:val="1"/>
                <w:szCs w:val="1"/>
                <w:color w:val="auto"/>
              </w:rPr>
            </w:pPr>
          </w:p>
        </w:tc>
      </w:tr>
      <w:tr>
        <w:trPr>
          <w:trHeight w:val="193"/>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purchase of noncontrolling interest</w:t>
            </w:r>
          </w:p>
        </w:tc>
        <w:tc>
          <w:tcPr>
            <w:tcW w:w="78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398,878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$ 159,822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86,265,563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4,306,262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(1,254,627)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70,587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3,285,145</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statements.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0"/>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242"/>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291,033</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270,464</w:t>
            </w:r>
          </w:p>
        </w:tc>
      </w:tr>
      <w:tr>
        <w:trPr>
          <w:trHeight w:val="230"/>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(77,672)</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from partnerships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New market tax credit transaction income</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(14,176)</w:t>
            </w:r>
          </w:p>
        </w:tc>
      </w:tr>
      <w:tr>
        <w:trPr>
          <w:trHeight w:val="230"/>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Straight-line rent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(21,529)</w:t>
            </w: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10,913</w:t>
            </w:r>
          </w:p>
        </w:tc>
      </w:tr>
      <w:tr>
        <w:trPr>
          <w:trHeight w:val="230"/>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 and dispositions: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 accounts receivable, net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w:t>
            </w:r>
          </w:p>
        </w:tc>
      </w:tr>
      <w:tr>
        <w:trPr>
          <w:trHeight w:val="230"/>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in prepaid expenses and other assets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in accounts payable and accrued expenses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23,566</w:t>
            </w:r>
          </w:p>
        </w:tc>
      </w:tr>
      <w:tr>
        <w:trPr>
          <w:trHeight w:val="229"/>
        </w:trPr>
        <w:tc>
          <w:tcPr>
            <w:tcW w:w="84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Increase (decrease) in security deposits and other liabilities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w:t>
            </w:r>
          </w:p>
        </w:tc>
      </w:tr>
      <w:tr>
        <w:trPr>
          <w:trHeight w:val="22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477,531</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real estate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(400,381)</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 - development and redevelopment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(128,091)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(115,472)</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 - other</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(81,733)</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141,151</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 from partnerships in excess of earnings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Leasing costs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(19,380)</w:t>
            </w:r>
          </w:p>
        </w:tc>
      </w:tr>
      <w:tr>
        <w:trPr>
          <w:trHeight w:val="223"/>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(473,509)</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(repayments) borrowings under revolving credit facility, net of costs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(316,841)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102,400</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senior notes, net of costs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senior notes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and extension of notes payable, net of costs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145,044</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mortgages, finance leases and notes payable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capped calls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shares, net of costs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54,481</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shares repurchased</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paid to common and preferred shareholders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(288,990)</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shares withheld for employee taxes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to and redemptions of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(17,563)</w:t>
            </w:r>
          </w:p>
        </w:tc>
      </w:tr>
      <w:tr>
        <w:trPr>
          <w:trHeight w:val="223"/>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(397,823)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(11,781)</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117,706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135,443</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127,684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(In thousands, except unit data)</w:t>
            </w:r>
          </w:p>
        </w:tc>
        <w:tc>
          <w:tcPr>
            <w:tcW w:w="0" w:type="dxa"/>
            <w:vAlign w:val="bottom"/>
          </w:tcPr>
          <w:p>
            <w:pPr>
              <w:spacing w:after="0"/>
              <w:rPr>
                <w:sz w:val="1"/>
                <w:szCs w:val="1"/>
                <w:color w:val="auto"/>
              </w:rPr>
            </w:pPr>
          </w:p>
        </w:tc>
      </w:tr>
      <w:tr>
        <w:trPr>
          <w:trHeight w:val="191"/>
        </w:trPr>
        <w:tc>
          <w:tcPr>
            <w:tcW w:w="8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 estate, at cost</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(including $2,132,453 and $1,832,190 of consolidated variable interest entities, respectively)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11,369,346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11,265,167</w:t>
            </w:r>
          </w:p>
        </w:tc>
        <w:tc>
          <w:tcPr>
            <w:tcW w:w="0" w:type="dxa"/>
            <w:vAlign w:val="bottom"/>
          </w:tcPr>
          <w:p>
            <w:pPr>
              <w:spacing w:after="0"/>
              <w:rPr>
                <w:sz w:val="1"/>
                <w:szCs w:val="1"/>
                <w:color w:val="auto"/>
              </w:rPr>
            </w:pPr>
          </w:p>
        </w:tc>
      </w:tr>
      <w:tr>
        <w:trPr>
          <w:trHeight w:val="176"/>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Construction-in-progress (including $47,661 and $28,418 of consolidated variable interest entities,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382,154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374,735</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11,751,500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11,639,902</w:t>
            </w:r>
          </w:p>
        </w:tc>
        <w:tc>
          <w:tcPr>
            <w:tcW w:w="0" w:type="dxa"/>
            <w:vAlign w:val="bottom"/>
          </w:tcPr>
          <w:p>
            <w:pPr>
              <w:spacing w:after="0"/>
              <w:rPr>
                <w:sz w:val="1"/>
                <w:szCs w:val="1"/>
                <w:color w:val="auto"/>
              </w:rPr>
            </w:pPr>
          </w:p>
        </w:tc>
      </w:tr>
      <w:tr>
        <w:trPr>
          <w:trHeight w:val="176"/>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Less accumulated depreciation and amortization (including $519,866 and $468,725 of consolidated variable</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interest entities, respectively)</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(3,521,614)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(3,351,881)</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real estate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8,229,886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8,288,021</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107,415</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249,755</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 notes receivable, net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31,881</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83,120</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right of use assets, net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367,962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354,767</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9,097,032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9,130,460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CAPITAL</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Mortgages payable, net (including $169,228 and $194,176 of consolidated variable interest entities,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496,694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521,759</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Notes payable, net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1,057,331</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Senior notes and debentures, net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3,389,769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3,364,010</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219,678</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Dividends payable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99,792</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31,548</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72,304</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12,903</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237,859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250,494</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5,589,289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5,629,819</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181,655</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Partner capital</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Preferred units, 398,878 units issued and outstanding</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154,788</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Common units, 86,296,537 and 86,266,009 units issued and outstanding, respectively</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3,083,173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3,091,896</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partner capital</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3,251,315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3,248,731</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Noncontrolling interests in consolidated partnerships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70,255</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capital</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3,319,265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3,318,986</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CAPITAL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9,097,032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9,130,460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220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120" w:type="dxa"/>
            <w:vAlign w:val="bottom"/>
          </w:tcPr>
          <w:p>
            <w:pPr>
              <w:spacing w:after="0"/>
              <w:rPr>
                <w:sz w:val="13"/>
                <w:szCs w:val="13"/>
                <w:color w:val="auto"/>
              </w:rPr>
            </w:pPr>
          </w:p>
        </w:tc>
        <w:tc>
          <w:tcPr>
            <w:tcW w:w="2060" w:type="dxa"/>
            <w:vAlign w:val="bottom"/>
            <w:gridSpan w:val="4"/>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30,</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4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 except per unit data)</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Rental income</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329,644</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313,183</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988,198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917,954</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property income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24,143</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Mortgage interest income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322,253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1,015,814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942,930</w:t>
            </w:r>
          </w:p>
        </w:tc>
        <w:tc>
          <w:tcPr>
            <w:tcW w:w="0" w:type="dxa"/>
            <w:vAlign w:val="bottom"/>
          </w:tcPr>
          <w:p>
            <w:pPr>
              <w:spacing w:after="0"/>
              <w:rPr>
                <w:sz w:val="1"/>
                <w:szCs w:val="1"/>
                <w:color w:val="auto"/>
              </w:rPr>
            </w:pPr>
          </w:p>
        </w:tc>
      </w:tr>
      <w:tr>
        <w:trPr>
          <w:trHeight w:val="21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Rental expenses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196,894</w:t>
            </w:r>
          </w:p>
        </w:tc>
        <w:tc>
          <w:tcPr>
            <w:tcW w:w="0" w:type="dxa"/>
            <w:vAlign w:val="bottom"/>
          </w:tcPr>
          <w:p>
            <w:pPr>
              <w:spacing w:after="0"/>
              <w:rPr>
                <w:sz w:val="1"/>
                <w:szCs w:val="1"/>
                <w:color w:val="auto"/>
              </w:rPr>
            </w:pPr>
          </w:p>
        </w:tc>
      </w:tr>
      <w:tr>
        <w:trPr>
          <w:trHeight w:val="230"/>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 estate taxes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111,426</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34,449</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94,277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270,464</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211,585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613,233</w:t>
            </w:r>
          </w:p>
        </w:tc>
        <w:tc>
          <w:tcPr>
            <w:tcW w:w="0" w:type="dxa"/>
            <w:vAlign w:val="bottom"/>
          </w:tcPr>
          <w:p>
            <w:pPr>
              <w:spacing w:after="0"/>
              <w:rPr>
                <w:sz w:val="1"/>
                <w:szCs w:val="1"/>
                <w:color w:val="auto"/>
              </w:rPr>
            </w:pPr>
          </w:p>
        </w:tc>
      </w:tr>
      <w:tr>
        <w:trPr>
          <w:trHeight w:val="250"/>
        </w:trPr>
        <w:tc>
          <w:tcPr>
            <w:tcW w:w="6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77,672</w:t>
            </w:r>
          </w:p>
        </w:tc>
        <w:tc>
          <w:tcPr>
            <w:tcW w:w="0" w:type="dxa"/>
            <w:vAlign w:val="bottom"/>
          </w:tcPr>
          <w:p>
            <w:pPr>
              <w:spacing w:after="0"/>
              <w:rPr>
                <w:sz w:val="1"/>
                <w:szCs w:val="1"/>
                <w:color w:val="auto"/>
              </w:rPr>
            </w:pPr>
          </w:p>
        </w:tc>
      </w:tr>
      <w:tr>
        <w:trPr>
          <w:trHeight w:val="230"/>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market tax credit transaction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0" w:type="dxa"/>
            <w:vAlign w:val="bottom"/>
          </w:tcPr>
          <w:p>
            <w:pPr>
              <w:spacing w:after="0"/>
              <w:rPr>
                <w:sz w:val="1"/>
                <w:szCs w:val="1"/>
                <w:color w:val="auto"/>
              </w:rPr>
            </w:pPr>
          </w:p>
        </w:tc>
      </w:tr>
      <w:tr>
        <w:trPr>
          <w:trHeight w:val="250"/>
        </w:trPr>
        <w:tc>
          <w:tcPr>
            <w:tcW w:w="686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421,545</w:t>
            </w:r>
          </w:p>
        </w:tc>
        <w:tc>
          <w:tcPr>
            <w:tcW w:w="0" w:type="dxa"/>
            <w:vAlign w:val="bottom"/>
          </w:tcPr>
          <w:p>
            <w:pPr>
              <w:spacing w:after="0"/>
              <w:rPr>
                <w:sz w:val="1"/>
                <w:szCs w:val="1"/>
                <w:color w:val="auto"/>
              </w:rPr>
            </w:pPr>
          </w:p>
        </w:tc>
      </w:tr>
      <w:tr>
        <w:trPr>
          <w:trHeight w:val="270"/>
        </w:trPr>
        <w:tc>
          <w:tcPr>
            <w:tcW w:w="6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INCOME/(EXPENSE)</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interest income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0" w:type="dxa"/>
            <w:vAlign w:val="bottom"/>
          </w:tcPr>
          <w:p>
            <w:pPr>
              <w:spacing w:after="0"/>
              <w:rPr>
                <w:sz w:val="1"/>
                <w:szCs w:val="1"/>
                <w:color w:val="auto"/>
              </w:rPr>
            </w:pPr>
          </w:p>
        </w:tc>
      </w:tr>
      <w:tr>
        <w:trPr>
          <w:trHeight w:val="230"/>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(134,692)</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from partnerships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291,033</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0" w:type="dxa"/>
            <w:vAlign w:val="bottom"/>
          </w:tcPr>
          <w:p>
            <w:pPr>
              <w:spacing w:after="0"/>
              <w:rPr>
                <w:sz w:val="1"/>
                <w:szCs w:val="1"/>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61,649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281,333</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on preferred units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0" w:type="dxa"/>
            <w:vAlign w:val="bottom"/>
          </w:tcPr>
          <w:p>
            <w:pPr>
              <w:spacing w:after="0"/>
              <w:rPr>
                <w:sz w:val="1"/>
                <w:szCs w:val="1"/>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UNIT HOLDERS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64,161</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304,946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275,309</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UNIT, BASIC:</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available for common unit holders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Weighted average number of common units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6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86,558</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85,978</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86,262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85,808</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COMMON UNIT, DILUTED:</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available for common unit holders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number of common units</w:t>
            </w: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85,808</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74,085</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330,039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288,329</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THE PARTNERSHIP</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71,183</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322,277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278,825</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6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Consolidated Statements of Capital</w:t>
      </w:r>
    </w:p>
    <w:p>
      <w:pPr>
        <w:spacing w:after="0" w:line="5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2026</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9" w:lineRule="exact"/>
        <w:rPr>
          <w:sz w:val="20"/>
          <w:szCs w:val="20"/>
          <w:color w:val="auto"/>
        </w:rPr>
      </w:pPr>
    </w:p>
    <w:tbl>
      <w:tblPr>
        <w:tblLayout w:type="fixed"/>
        <w:tblInd w:w="428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Partner</w:t>
            </w:r>
          </w:p>
        </w:tc>
        <w:tc>
          <w:tcPr>
            <w:tcW w:w="12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11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40" w:type="dxa"/>
            <w:vAlign w:val="bottom"/>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w w:val="97"/>
              </w:rPr>
              <w:t>Total Capital</w:t>
            </w:r>
          </w:p>
        </w:tc>
        <w:tc>
          <w:tcPr>
            <w:tcW w:w="0" w:type="dxa"/>
            <w:vAlign w:val="bottom"/>
          </w:tcPr>
          <w:p>
            <w:pPr>
              <w:spacing w:after="0"/>
              <w:rPr>
                <w:sz w:val="1"/>
                <w:szCs w:val="1"/>
                <w:color w:val="auto"/>
              </w:rPr>
            </w:pPr>
          </w:p>
        </w:tc>
      </w:tr>
      <w:tr>
        <w:trPr>
          <w:trHeight w:val="193"/>
        </w:trPr>
        <w:tc>
          <w:tcPr>
            <w:tcW w:w="10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Partnerships</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72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-95250</wp:posOffset>
            </wp:positionV>
            <wp:extent cx="44659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BALANCE AT JUNE 30, 2026</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Net income, excluding $1,992 attributable to redeemable</w:t>
            </w:r>
          </w:p>
        </w:tc>
        <w:tc>
          <w:tcPr>
            <w:tcW w:w="3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 - change in fair value of interest rate</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swaps, excluding $86 attributable to redeemable noncontrolling</w:t>
            </w:r>
          </w:p>
        </w:tc>
        <w:tc>
          <w:tcPr>
            <w:tcW w:w="3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interests</w:t>
            </w: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 declared to common unit holders</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 declared to preferred unit holders</w:t>
            </w: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 declared to noncontrolling interests in consolidated</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1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partnerships, excluding $830 attributable to redeemable</w:t>
            </w:r>
          </w:p>
        </w:tc>
        <w:tc>
          <w:tcPr>
            <w:tcW w:w="3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41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Common units issued as a result of common stock issued by Parent</w:t>
            </w:r>
          </w:p>
        </w:tc>
        <w:tc>
          <w:tcPr>
            <w:tcW w:w="3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Company, net of issuance costs</w:t>
            </w: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Common units issued under dividend reinvestment plan</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 expense, net of forfeitures</w:t>
            </w: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Common units repurchased</w:t>
            </w: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Common units withheld for employee taxes</w:t>
            </w: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Purchase of capped calls</w:t>
            </w: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Purchase of noncontrolling interest</w:t>
            </w: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AT SEPTEMBER 30, 2026</w:t>
            </w: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180" w:type="dxa"/>
            <w:vAlign w:val="bottom"/>
            <w:vMerge w:val="continue"/>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Net income, excluding $5,221 attributable to redeemable</w:t>
            </w:r>
          </w:p>
        </w:tc>
        <w:tc>
          <w:tcPr>
            <w:tcW w:w="3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 - change in fair value of interest rate</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swaps, excluding $124 attributable to redeemable noncontrolling</w:t>
            </w:r>
          </w:p>
        </w:tc>
        <w:tc>
          <w:tcPr>
            <w:tcW w:w="3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interests</w:t>
            </w: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 declared to common unit holders</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 declared to preferred unit holders</w:t>
            </w: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 declared to noncontrolling interests in consolidated</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1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partnerships, excluding $5,504 attributable to redeemable</w:t>
            </w:r>
          </w:p>
        </w:tc>
        <w:tc>
          <w:tcPr>
            <w:tcW w:w="3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41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Common units issued as a result of common stock issued by Parent</w:t>
            </w:r>
          </w:p>
        </w:tc>
        <w:tc>
          <w:tcPr>
            <w:tcW w:w="3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Company, net of issuance costs</w:t>
            </w: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Common units issued under dividend reinvestment plan</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 expense, net of forfeitures</w:t>
            </w: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Common units repurchased</w:t>
            </w: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Common units withheld for employee taxes</w:t>
            </w: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Redemption of downREIT OP units</w:t>
            </w: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Purchase of capped calls</w:t>
            </w: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Purchase of noncontrolling interest</w:t>
            </w: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AT SEPTEMBER 30, 2026</w:t>
            </w: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180" w:type="dxa"/>
            <w:vAlign w:val="bottom"/>
            <w:vMerge w:val="continue"/>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-5082540</wp:posOffset>
            </wp:positionV>
            <wp:extent cx="713232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-4739640</wp:posOffset>
            </wp:positionV>
            <wp:extent cx="71323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-4302760</wp:posOffset>
            </wp:positionV>
            <wp:extent cx="713232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-3865245</wp:posOffset>
            </wp:positionV>
            <wp:extent cx="7132320"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-3522345</wp:posOffset>
            </wp:positionV>
            <wp:extent cx="713232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-3265170</wp:posOffset>
            </wp:positionV>
            <wp:extent cx="713232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-3007995</wp:posOffset>
            </wp:positionV>
            <wp:extent cx="713232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-2502535</wp:posOffset>
            </wp:positionV>
            <wp:extent cx="7132320"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-1979295</wp:posOffset>
            </wp:positionV>
            <wp:extent cx="713232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-1722120</wp:posOffset>
            </wp:positionV>
            <wp:extent cx="713232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-2725420</wp:posOffset>
            </wp:positionV>
            <wp:extent cx="7132320" cy="93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99"/>
              </w:rPr>
              <w:t>3,201,402</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8,340</w:t>
            </w:r>
          </w:p>
        </w:tc>
        <w:tc>
          <w:tcPr>
            <w:tcW w:w="8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3,364,530</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70,042</w:t>
            </w:r>
          </w:p>
        </w:tc>
        <w:tc>
          <w:tcPr>
            <w:tcW w:w="8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3,434,572</w:t>
            </w:r>
          </w:p>
        </w:tc>
        <w:tc>
          <w:tcPr>
            <w:tcW w:w="0" w:type="dxa"/>
            <w:vAlign w:val="bottom"/>
          </w:tcPr>
          <w:p>
            <w:pPr>
              <w:spacing w:after="0"/>
              <w:rPr>
                <w:sz w:val="1"/>
                <w:szCs w:val="1"/>
                <w:color w:val="auto"/>
              </w:rPr>
            </w:pPr>
          </w:p>
        </w:tc>
      </w:tr>
      <w:tr>
        <w:trPr>
          <w:trHeight w:val="338"/>
        </w:trPr>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64,161</w:t>
            </w:r>
          </w:p>
        </w:tc>
        <w:tc>
          <w:tcPr>
            <w:tcW w:w="3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66,169</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66,993</w:t>
            </w:r>
          </w:p>
        </w:tc>
        <w:tc>
          <w:tcPr>
            <w:tcW w:w="0" w:type="dxa"/>
            <w:vAlign w:val="bottom"/>
          </w:tcPr>
          <w:p>
            <w:pPr>
              <w:spacing w:after="0"/>
              <w:rPr>
                <w:sz w:val="1"/>
                <w:szCs w:val="1"/>
                <w:color w:val="auto"/>
              </w:rPr>
            </w:pPr>
          </w:p>
        </w:tc>
      </w:tr>
      <w:tr>
        <w:trPr>
          <w:trHeight w:val="486"/>
        </w:trPr>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5,014</w:t>
            </w:r>
          </w:p>
        </w:tc>
        <w:tc>
          <w:tcPr>
            <w:tcW w:w="0" w:type="dxa"/>
            <w:vAlign w:val="bottom"/>
          </w:tcPr>
          <w:p>
            <w:pPr>
              <w:spacing w:after="0"/>
              <w:rPr>
                <w:sz w:val="1"/>
                <w:szCs w:val="1"/>
                <w:color w:val="auto"/>
              </w:rPr>
            </w:pPr>
          </w:p>
        </w:tc>
      </w:tr>
      <w:tr>
        <w:trPr>
          <w:trHeight w:val="203"/>
        </w:trPr>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(100,164)</w:t>
            </w:r>
          </w:p>
        </w:tc>
        <w:tc>
          <w:tcPr>
            <w:tcW w:w="3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(100,164)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(100,164)</w:t>
            </w:r>
          </w:p>
        </w:tc>
        <w:tc>
          <w:tcPr>
            <w:tcW w:w="0" w:type="dxa"/>
            <w:vAlign w:val="bottom"/>
          </w:tcPr>
          <w:p>
            <w:pPr>
              <w:spacing w:after="0"/>
              <w:rPr>
                <w:sz w:val="1"/>
                <w:szCs w:val="1"/>
                <w:color w:val="auto"/>
              </w:rPr>
            </w:pPr>
          </w:p>
        </w:tc>
      </w:tr>
      <w:tr>
        <w:trPr>
          <w:trHeight w:val="203"/>
        </w:trPr>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0" w:type="dxa"/>
            <w:vAlign w:val="bottom"/>
          </w:tcPr>
          <w:p>
            <w:pPr>
              <w:spacing w:after="0"/>
              <w:rPr>
                <w:sz w:val="1"/>
                <w:szCs w:val="1"/>
                <w:color w:val="auto"/>
              </w:rPr>
            </w:pPr>
          </w:p>
        </w:tc>
      </w:tr>
      <w:tr>
        <w:trPr>
          <w:trHeight w:val="486"/>
        </w:trPr>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338"/>
        </w:trPr>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w:t>
            </w:r>
          </w:p>
        </w:tc>
        <w:tc>
          <w:tcPr>
            <w:tcW w:w="3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03"/>
        </w:trPr>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397</w:t>
            </w:r>
          </w:p>
        </w:tc>
        <w:tc>
          <w:tcPr>
            <w:tcW w:w="3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203"/>
        </w:trPr>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4,037</w:t>
            </w:r>
          </w:p>
        </w:tc>
        <w:tc>
          <w:tcPr>
            <w:tcW w:w="3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4,037</w:t>
            </w:r>
          </w:p>
        </w:tc>
        <w:tc>
          <w:tcPr>
            <w:tcW w:w="0" w:type="dxa"/>
            <w:vAlign w:val="bottom"/>
          </w:tcPr>
          <w:p>
            <w:pPr>
              <w:spacing w:after="0"/>
              <w:rPr>
                <w:sz w:val="1"/>
                <w:szCs w:val="1"/>
                <w:color w:val="auto"/>
              </w:rPr>
            </w:pPr>
          </w:p>
        </w:tc>
      </w:tr>
      <w:tr>
        <w:trPr>
          <w:trHeight w:val="203"/>
        </w:trPr>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(65,000)</w:t>
            </w:r>
          </w:p>
        </w:tc>
        <w:tc>
          <w:tcPr>
            <w:tcW w:w="3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(65,000)</w:t>
            </w:r>
          </w:p>
        </w:tc>
        <w:tc>
          <w:tcPr>
            <w:tcW w:w="0" w:type="dxa"/>
            <w:vAlign w:val="bottom"/>
          </w:tcPr>
          <w:p>
            <w:pPr>
              <w:spacing w:after="0"/>
              <w:rPr>
                <w:sz w:val="1"/>
                <w:szCs w:val="1"/>
                <w:color w:val="auto"/>
              </w:rPr>
            </w:pPr>
          </w:p>
        </w:tc>
      </w:tr>
      <w:tr>
        <w:trPr>
          <w:trHeight w:val="203"/>
        </w:trPr>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(332)</w:t>
            </w:r>
          </w:p>
        </w:tc>
        <w:tc>
          <w:tcPr>
            <w:tcW w:w="3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203"/>
        </w:trPr>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(21,712)</w:t>
            </w:r>
          </w:p>
        </w:tc>
        <w:tc>
          <w:tcPr>
            <w:tcW w:w="3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(21,712)</w:t>
            </w:r>
          </w:p>
        </w:tc>
        <w:tc>
          <w:tcPr>
            <w:tcW w:w="0" w:type="dxa"/>
            <w:vAlign w:val="bottom"/>
          </w:tcPr>
          <w:p>
            <w:pPr>
              <w:spacing w:after="0"/>
              <w:rPr>
                <w:sz w:val="1"/>
                <w:szCs w:val="1"/>
                <w:color w:val="auto"/>
              </w:rPr>
            </w:pPr>
          </w:p>
        </w:tc>
      </w:tr>
      <w:tr>
        <w:trPr>
          <w:trHeight w:val="203"/>
        </w:trPr>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451</w:t>
            </w:r>
          </w:p>
        </w:tc>
        <w:tc>
          <w:tcPr>
            <w:tcW w:w="3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0" w:type="dxa"/>
            <w:vAlign w:val="bottom"/>
          </w:tcPr>
          <w:p>
            <w:pPr>
              <w:spacing w:after="0"/>
              <w:rPr>
                <w:sz w:val="1"/>
                <w:szCs w:val="1"/>
                <w:color w:val="auto"/>
              </w:rPr>
            </w:pPr>
          </w:p>
        </w:tc>
      </w:tr>
      <w:tr>
        <w:trPr>
          <w:trHeight w:val="23"/>
        </w:trPr>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99"/>
              </w:rPr>
              <w:t>3,083,173</w:t>
            </w: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20" w:type="dxa"/>
            <w:vAlign w:val="bottom"/>
            <w:vMerge w:val="continue"/>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13,354</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3,251,315</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67,950</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3,319,265</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99"/>
              </w:rPr>
              <w:t>3,091,896</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80" w:type="dxa"/>
            <w:vAlign w:val="bottom"/>
          </w:tcPr>
          <w:p>
            <w:pPr>
              <w:spacing w:after="0"/>
              <w:rPr>
                <w:sz w:val="24"/>
                <w:szCs w:val="24"/>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3,248,731</w:t>
            </w:r>
          </w:p>
        </w:tc>
        <w:tc>
          <w:tcPr>
            <w:tcW w:w="8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70,255</w:t>
            </w:r>
          </w:p>
        </w:tc>
        <w:tc>
          <w:tcPr>
            <w:tcW w:w="80" w:type="dxa"/>
            <w:vAlign w:val="bottom"/>
          </w:tcPr>
          <w:p>
            <w:pPr>
              <w:spacing w:after="0"/>
              <w:rPr>
                <w:sz w:val="24"/>
                <w:szCs w:val="24"/>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3,318,986</w:t>
            </w:r>
          </w:p>
        </w:tc>
        <w:tc>
          <w:tcPr>
            <w:tcW w:w="0" w:type="dxa"/>
            <w:vAlign w:val="bottom"/>
          </w:tcPr>
          <w:p>
            <w:pPr>
              <w:spacing w:after="0"/>
              <w:rPr>
                <w:sz w:val="1"/>
                <w:szCs w:val="1"/>
                <w:color w:val="auto"/>
              </w:rPr>
            </w:pPr>
          </w:p>
        </w:tc>
      </w:tr>
      <w:tr>
        <w:trPr>
          <w:trHeight w:val="338"/>
        </w:trPr>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304,946</w:t>
            </w:r>
          </w:p>
        </w:tc>
        <w:tc>
          <w:tcPr>
            <w:tcW w:w="3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310,970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2,417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313,387</w:t>
            </w:r>
          </w:p>
        </w:tc>
        <w:tc>
          <w:tcPr>
            <w:tcW w:w="0" w:type="dxa"/>
            <w:vAlign w:val="bottom"/>
          </w:tcPr>
          <w:p>
            <w:pPr>
              <w:spacing w:after="0"/>
              <w:rPr>
                <w:sz w:val="1"/>
                <w:szCs w:val="1"/>
                <w:color w:val="auto"/>
              </w:rPr>
            </w:pPr>
          </w:p>
        </w:tc>
      </w:tr>
      <w:tr>
        <w:trPr>
          <w:trHeight w:val="486"/>
        </w:trPr>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11,307</w:t>
            </w:r>
          </w:p>
        </w:tc>
        <w:tc>
          <w:tcPr>
            <w:tcW w:w="0" w:type="dxa"/>
            <w:vAlign w:val="bottom"/>
          </w:tcPr>
          <w:p>
            <w:pPr>
              <w:spacing w:after="0"/>
              <w:rPr>
                <w:sz w:val="1"/>
                <w:szCs w:val="1"/>
                <w:color w:val="auto"/>
              </w:rPr>
            </w:pPr>
          </w:p>
        </w:tc>
      </w:tr>
      <w:tr>
        <w:trPr>
          <w:trHeight w:val="203"/>
        </w:trPr>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(295,957)</w:t>
            </w:r>
          </w:p>
        </w:tc>
        <w:tc>
          <w:tcPr>
            <w:tcW w:w="3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(295,957)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(295,957)</w:t>
            </w:r>
          </w:p>
        </w:tc>
        <w:tc>
          <w:tcPr>
            <w:tcW w:w="0" w:type="dxa"/>
            <w:vAlign w:val="bottom"/>
          </w:tcPr>
          <w:p>
            <w:pPr>
              <w:spacing w:after="0"/>
              <w:rPr>
                <w:sz w:val="1"/>
                <w:szCs w:val="1"/>
                <w:color w:val="auto"/>
              </w:rPr>
            </w:pPr>
          </w:p>
        </w:tc>
      </w:tr>
      <w:tr>
        <w:trPr>
          <w:trHeight w:val="203"/>
        </w:trPr>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0" w:type="dxa"/>
            <w:vAlign w:val="bottom"/>
          </w:tcPr>
          <w:p>
            <w:pPr>
              <w:spacing w:after="0"/>
              <w:rPr>
                <w:sz w:val="1"/>
                <w:szCs w:val="1"/>
                <w:color w:val="auto"/>
              </w:rPr>
            </w:pPr>
          </w:p>
        </w:tc>
      </w:tr>
      <w:tr>
        <w:trPr>
          <w:trHeight w:val="486"/>
        </w:trPr>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(2,467)</w:t>
            </w:r>
          </w:p>
        </w:tc>
        <w:tc>
          <w:tcPr>
            <w:tcW w:w="0" w:type="dxa"/>
            <w:vAlign w:val="bottom"/>
          </w:tcPr>
          <w:p>
            <w:pPr>
              <w:spacing w:after="0"/>
              <w:rPr>
                <w:sz w:val="1"/>
                <w:szCs w:val="1"/>
                <w:color w:val="auto"/>
              </w:rPr>
            </w:pPr>
          </w:p>
        </w:tc>
      </w:tr>
      <w:tr>
        <w:trPr>
          <w:trHeight w:val="338"/>
        </w:trPr>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60,321</w:t>
            </w:r>
          </w:p>
        </w:tc>
        <w:tc>
          <w:tcPr>
            <w:tcW w:w="3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60,321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60,321</w:t>
            </w:r>
          </w:p>
        </w:tc>
        <w:tc>
          <w:tcPr>
            <w:tcW w:w="0" w:type="dxa"/>
            <w:vAlign w:val="bottom"/>
          </w:tcPr>
          <w:p>
            <w:pPr>
              <w:spacing w:after="0"/>
              <w:rPr>
                <w:sz w:val="1"/>
                <w:szCs w:val="1"/>
                <w:color w:val="auto"/>
              </w:rPr>
            </w:pPr>
          </w:p>
        </w:tc>
      </w:tr>
      <w:tr>
        <w:trPr>
          <w:trHeight w:val="203"/>
        </w:trPr>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1,229</w:t>
            </w:r>
          </w:p>
        </w:tc>
        <w:tc>
          <w:tcPr>
            <w:tcW w:w="3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0" w:type="dxa"/>
            <w:vAlign w:val="bottom"/>
          </w:tcPr>
          <w:p>
            <w:pPr>
              <w:spacing w:after="0"/>
              <w:rPr>
                <w:sz w:val="1"/>
                <w:szCs w:val="1"/>
                <w:color w:val="auto"/>
              </w:rPr>
            </w:pPr>
          </w:p>
        </w:tc>
      </w:tr>
      <w:tr>
        <w:trPr>
          <w:trHeight w:val="203"/>
        </w:trPr>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12,364</w:t>
            </w:r>
          </w:p>
        </w:tc>
        <w:tc>
          <w:tcPr>
            <w:tcW w:w="3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12,364</w:t>
            </w:r>
          </w:p>
        </w:tc>
        <w:tc>
          <w:tcPr>
            <w:tcW w:w="0" w:type="dxa"/>
            <w:vAlign w:val="bottom"/>
          </w:tcPr>
          <w:p>
            <w:pPr>
              <w:spacing w:after="0"/>
              <w:rPr>
                <w:sz w:val="1"/>
                <w:szCs w:val="1"/>
                <w:color w:val="auto"/>
              </w:rPr>
            </w:pPr>
          </w:p>
        </w:tc>
      </w:tr>
      <w:tr>
        <w:trPr>
          <w:trHeight w:val="203"/>
        </w:trPr>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(65,000)</w:t>
            </w:r>
          </w:p>
        </w:tc>
        <w:tc>
          <w:tcPr>
            <w:tcW w:w="3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(65,000)</w:t>
            </w:r>
          </w:p>
        </w:tc>
        <w:tc>
          <w:tcPr>
            <w:tcW w:w="0" w:type="dxa"/>
            <w:vAlign w:val="bottom"/>
          </w:tcPr>
          <w:p>
            <w:pPr>
              <w:spacing w:after="0"/>
              <w:rPr>
                <w:sz w:val="1"/>
                <w:szCs w:val="1"/>
                <w:color w:val="auto"/>
              </w:rPr>
            </w:pPr>
          </w:p>
        </w:tc>
      </w:tr>
      <w:tr>
        <w:trPr>
          <w:trHeight w:val="203"/>
        </w:trPr>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(5,310)</w:t>
            </w:r>
          </w:p>
        </w:tc>
        <w:tc>
          <w:tcPr>
            <w:tcW w:w="3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(5,310)</w:t>
            </w:r>
          </w:p>
        </w:tc>
        <w:tc>
          <w:tcPr>
            <w:tcW w:w="0" w:type="dxa"/>
            <w:vAlign w:val="bottom"/>
          </w:tcPr>
          <w:p>
            <w:pPr>
              <w:spacing w:after="0"/>
              <w:rPr>
                <w:sz w:val="1"/>
                <w:szCs w:val="1"/>
                <w:color w:val="auto"/>
              </w:rPr>
            </w:pPr>
          </w:p>
        </w:tc>
      </w:tr>
      <w:tr>
        <w:trPr>
          <w:trHeight w:val="203"/>
        </w:trPr>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3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203"/>
        </w:trPr>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203"/>
        </w:trPr>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(21,712)</w:t>
            </w:r>
          </w:p>
        </w:tc>
        <w:tc>
          <w:tcPr>
            <w:tcW w:w="3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(21,712)</w:t>
            </w:r>
          </w:p>
        </w:tc>
        <w:tc>
          <w:tcPr>
            <w:tcW w:w="0" w:type="dxa"/>
            <w:vAlign w:val="bottom"/>
          </w:tcPr>
          <w:p>
            <w:pPr>
              <w:spacing w:after="0"/>
              <w:rPr>
                <w:sz w:val="1"/>
                <w:szCs w:val="1"/>
                <w:color w:val="auto"/>
              </w:rPr>
            </w:pPr>
          </w:p>
        </w:tc>
      </w:tr>
      <w:tr>
        <w:trPr>
          <w:trHeight w:val="203"/>
        </w:trPr>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451</w:t>
            </w:r>
          </w:p>
        </w:tc>
        <w:tc>
          <w:tcPr>
            <w:tcW w:w="3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0" w:type="dxa"/>
            <w:vAlign w:val="bottom"/>
          </w:tcPr>
          <w:p>
            <w:pPr>
              <w:spacing w:after="0"/>
              <w:rPr>
                <w:sz w:val="1"/>
                <w:szCs w:val="1"/>
                <w:color w:val="auto"/>
              </w:rPr>
            </w:pPr>
          </w:p>
        </w:tc>
      </w:tr>
      <w:tr>
        <w:trPr>
          <w:trHeight w:val="23"/>
        </w:trPr>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99"/>
              </w:rPr>
              <w:t>3,083,173</w:t>
            </w: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20" w:type="dxa"/>
            <w:vAlign w:val="bottom"/>
            <w:vMerge w:val="continue"/>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13,354</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3,251,315</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67,950</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3,319,265</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-7620</wp:posOffset>
            </wp:positionV>
            <wp:extent cx="7029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-2879725</wp:posOffset>
            </wp:positionV>
            <wp:extent cx="7029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-2742565</wp:posOffset>
            </wp:positionV>
            <wp:extent cx="7029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60"/>
            <w:col w:w="5400"/>
          </w:cols>
          <w:pgMar w:left="320" w:top="12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6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Consolidated Statements of Capital</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2025</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Partner</w:t>
            </w: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200" w:type="dxa"/>
            <w:vAlign w:val="bottom"/>
          </w:tcPr>
          <w:p>
            <w:pPr>
              <w:spacing w:after="0"/>
              <w:rPr>
                <w:sz w:val="12"/>
                <w:szCs w:val="12"/>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80" w:type="dxa"/>
            <w:vAlign w:val="bottom"/>
            <w:vMerge w:val="restart"/>
          </w:tcPr>
          <w:p>
            <w:pPr>
              <w:spacing w:after="0"/>
              <w:rPr>
                <w:sz w:val="12"/>
                <w:szCs w:val="12"/>
                <w:color w:val="auto"/>
              </w:rPr>
            </w:pPr>
          </w:p>
        </w:tc>
        <w:tc>
          <w:tcPr>
            <w:tcW w:w="120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2"/>
                <w:szCs w:val="12"/>
                <w:color w:val="auto"/>
              </w:rPr>
            </w:pPr>
          </w:p>
        </w:tc>
        <w:tc>
          <w:tcPr>
            <w:tcW w:w="9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 Capital</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100" w:type="dxa"/>
            <w:vAlign w:val="bottom"/>
            <w:tcBorders>
              <w:bottom w:val="single" w:sz="8" w:color="auto"/>
            </w:tcBorders>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Partnerships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3,091,329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3,249,029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71,071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3,320,100</w:t>
            </w:r>
          </w:p>
        </w:tc>
        <w:tc>
          <w:tcPr>
            <w:tcW w:w="0" w:type="dxa"/>
            <w:vAlign w:val="bottom"/>
          </w:tcPr>
          <w:p>
            <w:pPr>
              <w:spacing w:after="0"/>
              <w:rPr>
                <w:sz w:val="1"/>
                <w:szCs w:val="1"/>
                <w:color w:val="auto"/>
              </w:rPr>
            </w:pPr>
          </w:p>
        </w:tc>
      </w:tr>
      <w:tr>
        <w:trPr>
          <w:trHeight w:val="139"/>
        </w:trPr>
        <w:tc>
          <w:tcPr>
            <w:tcW w:w="4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income, excluding $1,986 attributable to redeemable</w:t>
            </w:r>
          </w:p>
        </w:tc>
        <w:tc>
          <w:tcPr>
            <w:tcW w:w="3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59,641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61,649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864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62,513</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Other comprehensive loss - change in fair value of interest rate swaps,</w:t>
            </w:r>
          </w:p>
        </w:tc>
        <w:tc>
          <w:tcPr>
            <w:tcW w:w="3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excluding $29 attributable to redeemable noncontrolling interests</w:t>
            </w:r>
          </w:p>
        </w:tc>
        <w:tc>
          <w:tcPr>
            <w:tcW w:w="3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declared to common unit holders</w:t>
            </w:r>
          </w:p>
        </w:tc>
        <w:tc>
          <w:tcPr>
            <w:tcW w:w="3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(97,474)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(97,474)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(97,474)</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declared to preferred unit holders</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0" w:type="dxa"/>
            <w:vAlign w:val="bottom"/>
          </w:tcPr>
          <w:p>
            <w:pPr>
              <w:spacing w:after="0"/>
              <w:rPr>
                <w:sz w:val="1"/>
                <w:szCs w:val="1"/>
                <w:color w:val="auto"/>
              </w:rPr>
            </w:pPr>
          </w:p>
        </w:tc>
      </w:tr>
      <w:tr>
        <w:trPr>
          <w:trHeight w:val="139"/>
        </w:trPr>
        <w:tc>
          <w:tcPr>
            <w:tcW w:w="4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Distributions declared to noncontrolling interests in consolidated</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partnerships, excluding $2,464 attributable to redeemable</w:t>
            </w:r>
          </w:p>
        </w:tc>
        <w:tc>
          <w:tcPr>
            <w:tcW w:w="3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Common units issued as a result of common stock issued by Parent</w:t>
            </w:r>
          </w:p>
        </w:tc>
        <w:tc>
          <w:tcPr>
            <w:tcW w:w="3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 net of issuance costs</w:t>
            </w:r>
          </w:p>
        </w:tc>
        <w:tc>
          <w:tcPr>
            <w:tcW w:w="3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units issued under dividend reinvestment plan</w:t>
            </w:r>
          </w:p>
        </w:tc>
        <w:tc>
          <w:tcPr>
            <w:tcW w:w="3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 net of forfeitures</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3,691</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units withheld for employee taxes</w:t>
            </w:r>
          </w:p>
        </w:tc>
        <w:tc>
          <w:tcPr>
            <w:tcW w:w="3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146"/>
        </w:trPr>
        <w:tc>
          <w:tcPr>
            <w:tcW w:w="42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Redemption of downREIT OP units and purchase of noncontrolling</w:t>
            </w:r>
          </w:p>
        </w:tc>
        <w:tc>
          <w:tcPr>
            <w:tcW w:w="3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3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3,057,538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3,214,558</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70,587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3,285,145</w:t>
            </w:r>
          </w:p>
        </w:tc>
        <w:tc>
          <w:tcPr>
            <w:tcW w:w="0" w:type="dxa"/>
            <w:vAlign w:val="bottom"/>
          </w:tcPr>
          <w:p>
            <w:pPr>
              <w:spacing w:after="0"/>
              <w:rPr>
                <w:sz w:val="1"/>
                <w:szCs w:val="1"/>
                <w:color w:val="auto"/>
              </w:rPr>
            </w:pPr>
          </w:p>
        </w:tc>
      </w:tr>
      <w:tr>
        <w:trPr>
          <w:trHeight w:val="21"/>
        </w:trPr>
        <w:tc>
          <w:tcPr>
            <w:tcW w:w="4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4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3,012,066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3,171,594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72,550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3,244,144</w:t>
            </w:r>
          </w:p>
        </w:tc>
        <w:tc>
          <w:tcPr>
            <w:tcW w:w="0" w:type="dxa"/>
            <w:vAlign w:val="bottom"/>
          </w:tcPr>
          <w:p>
            <w:pPr>
              <w:spacing w:after="0"/>
              <w:rPr>
                <w:sz w:val="1"/>
                <w:szCs w:val="1"/>
                <w:color w:val="auto"/>
              </w:rPr>
            </w:pPr>
          </w:p>
        </w:tc>
      </w:tr>
      <w:tr>
        <w:trPr>
          <w:trHeight w:val="146"/>
        </w:trPr>
        <w:tc>
          <w:tcPr>
            <w:tcW w:w="42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Net income, excluding $6,002 attributable to redeemable</w:t>
            </w:r>
          </w:p>
        </w:tc>
        <w:tc>
          <w:tcPr>
            <w:tcW w:w="3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275,309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3,698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285,031</w:t>
            </w: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Other comprehensive loss - change in fair value of interest rate swaps,</w:t>
            </w:r>
          </w:p>
        </w:tc>
        <w:tc>
          <w:tcPr>
            <w:tcW w:w="3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excluding $196 attributable to redeemable noncontrolling interest</w:t>
            </w:r>
          </w:p>
        </w:tc>
        <w:tc>
          <w:tcPr>
            <w:tcW w:w="3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declared to common unit holders</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(287,282)</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declared to preferred unit holders</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0" w:type="dxa"/>
            <w:vAlign w:val="bottom"/>
          </w:tcPr>
          <w:p>
            <w:pPr>
              <w:spacing w:after="0"/>
              <w:rPr>
                <w:sz w:val="1"/>
                <w:szCs w:val="1"/>
                <w:color w:val="auto"/>
              </w:rPr>
            </w:pPr>
          </w:p>
        </w:tc>
      </w:tr>
      <w:tr>
        <w:trPr>
          <w:trHeight w:val="146"/>
        </w:trPr>
        <w:tc>
          <w:tcPr>
            <w:tcW w:w="42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Distributions declared to noncontrolling interests in consolidated</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partnerships, excluding $6,821 attributable to redeemable</w:t>
            </w:r>
          </w:p>
        </w:tc>
        <w:tc>
          <w:tcPr>
            <w:tcW w:w="3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(3,334)</w:t>
            </w: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units issued as a result of common stock issued by Parent</w:t>
            </w:r>
          </w:p>
        </w:tc>
        <w:tc>
          <w:tcPr>
            <w:tcW w:w="3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54,306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54,306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54,306</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 net of issuance costs</w:t>
            </w:r>
          </w:p>
        </w:tc>
        <w:tc>
          <w:tcPr>
            <w:tcW w:w="3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units issued under dividend reinvestment plan</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 net of forfeitures</w:t>
            </w:r>
          </w:p>
        </w:tc>
        <w:tc>
          <w:tcPr>
            <w:tcW w:w="3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11,634</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units withheld for employee taxes</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(4,856)</w:t>
            </w:r>
          </w:p>
        </w:tc>
        <w:tc>
          <w:tcPr>
            <w:tcW w:w="0" w:type="dxa"/>
            <w:vAlign w:val="bottom"/>
          </w:tcPr>
          <w:p>
            <w:pPr>
              <w:spacing w:after="0"/>
              <w:rPr>
                <w:sz w:val="1"/>
                <w:szCs w:val="1"/>
                <w:color w:val="auto"/>
              </w:rPr>
            </w:pPr>
          </w:p>
        </w:tc>
      </w:tr>
      <w:tr>
        <w:trPr>
          <w:trHeight w:val="139"/>
        </w:trPr>
        <w:tc>
          <w:tcPr>
            <w:tcW w:w="4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Conversion and redemption of downREIT OP units and purchase of</w:t>
            </w:r>
          </w:p>
        </w:tc>
        <w:tc>
          <w:tcPr>
            <w:tcW w:w="3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(2,327)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(7,334)</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3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3,057,538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3,214,558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70,587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3,285,145</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0"/>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242"/>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291,033</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270,464</w:t>
            </w:r>
          </w:p>
        </w:tc>
      </w:tr>
      <w:tr>
        <w:trPr>
          <w:trHeight w:val="230"/>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(77,672)</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from partnerships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New market tax credit transaction income</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(14,176)</w:t>
            </w:r>
          </w:p>
        </w:tc>
      </w:tr>
      <w:tr>
        <w:trPr>
          <w:trHeight w:val="230"/>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Straight-line rent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(21,529)</w:t>
            </w: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10,913</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 and dispositions: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 accounts receivable, net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w:t>
            </w:r>
          </w:p>
        </w:tc>
      </w:tr>
      <w:tr>
        <w:trPr>
          <w:trHeight w:val="230"/>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in prepaid expenses and other assets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in accounts payable and accrued expenses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23,566</w:t>
            </w:r>
          </w:p>
        </w:tc>
      </w:tr>
      <w:tr>
        <w:trPr>
          <w:trHeight w:val="229"/>
        </w:trPr>
        <w:tc>
          <w:tcPr>
            <w:tcW w:w="84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Increase (decrease) in security deposits and other liabilities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w:t>
            </w:r>
          </w:p>
        </w:tc>
      </w:tr>
      <w:tr>
        <w:trPr>
          <w:trHeight w:val="22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477,531</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real estate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(400,381)</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 - development and redevelopment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(128,091)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(115,472)</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 - other</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(81,733)</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141,151</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 from partnerships in excess of earnings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Leasing costs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(19,380)</w:t>
            </w:r>
          </w:p>
        </w:tc>
      </w:tr>
      <w:tr>
        <w:trPr>
          <w:trHeight w:val="223"/>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(473,509)</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(repayments) borrowings under revolving credit facility, net of costs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(316,841)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102,400</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senior notes, net of costs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senior notes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and extension of notes payable, net of costs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145,044</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mortgages, finance leases and notes payable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capped calls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units, net of costs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54,481</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units repurchased</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Distributions to common and preferred unit holders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(288,990)</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units withheld for employee taxes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to and redemptions of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(17,563)</w:t>
            </w:r>
          </w:p>
        </w:tc>
      </w:tr>
      <w:tr>
        <w:trPr>
          <w:trHeight w:val="223"/>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(397,823)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(11,781)</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117,706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135,443</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127,684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4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1—BUSINESS AND ORGANIZATION</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Federal Realty Investment Trust is a leader in the ownership, operation, and redevelopment of high-quality retail-based properties located primarily in major coastal markets and select underserved regions that we believe have strong economic and demographic fundamentals. Founded in 1962, our mission is to deliver long-term, sustainable growth through investing in communities where we believe retail demand exceeds supply. This includes a portfolio of open-air shopping centers and mixed-use destinations, which we believe reflect our ability to create distinctive, high-performing environments that serve as vibrant destinations for their communities.</w:t>
      </w:r>
    </w:p>
    <w:p>
      <w:pPr>
        <w:spacing w:after="0" w:line="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Parent Company, which is a REIT, conducts substantially all of its operations and owns substantially all of its assets through the Operating Partnership. The Parent Company owns 100% of the limited liability company interests of, is the sole member of and exercises exclusive control over Federal Realty GP LLC, which is the sole general partner of the Operating Partnership. The Parent Company does not expect to have substantial assets or liabilities other than through its investment in the Operating Partnership.</w:t>
      </w:r>
    </w:p>
    <w:p>
      <w:pPr>
        <w:spacing w:after="0" w:line="4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September 30, 2026, we owned or had a majority interest in community and neighborhood shopping centers and mixed-use properties which are operated as 102 predominantly retail real estate projects.</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operate in a manner intended to enable the Trust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Economic Conditions</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Significant uncertainty continues within the macro-economic and political environment including elevated inflation and interest rates, geopolitical instability, changes in tariffs and their impact on trade and prices, increases or decreases in federal and state government spending, and potentially worsening economic conditions, which presents risks for our business and tenants. We continue to monitor and address risks related to the general state of the economy. We believe the actions we have taken to maintain a strong financial position and reinforce our liquidity will continue to mitigate the negative short-term impacts of the current environment. The extent of the future effects on our business, results of operations, cash flows, and growth strategies is highly uncertain and will ultimately depend on future developments, none of which can be predicted.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of the Parent Company and Operating Partnership have been prepared pursuant to the rules and regulations of the Securities and Exchange Commission. Certain information and note disclosures normally included in annual financial statements prepared in accordance with GAAP have been omitted pursuant to those rules and regulations, although we believe that the disclosures made are adequate to make the information not misleading. It is suggested that these financial statements be read in conjunction with the financial statements and notes thereto included in our latest Annual Report on Form 10-K. In the opinion of management, all adjustments (consisting of normal, recurring adjustments) necessary for a fair presentation for the periods presented have been included. The results of operations for the three and nine months ended September 30, 2026 are not necessarily indicative of the results that may be expected for the full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As discussed in the </w:t>
      </w:r>
      <w:r>
        <w:rPr>
          <w:rFonts w:ascii="Times New Roman" w:cs="Times New Roman" w:eastAsia="Times New Roman" w:hAnsi="Times New Roman"/>
          <w:sz w:val="18"/>
          <w:szCs w:val="18"/>
          <w:u w:val="single" w:color="auto"/>
          <w:color w:val="0000FF"/>
        </w:rPr>
        <w:t>Explanatory Note</w:t>
      </w:r>
      <w:r>
        <w:rPr>
          <w:rFonts w:ascii="Times New Roman" w:cs="Times New Roman" w:eastAsia="Times New Roman" w:hAnsi="Times New Roman"/>
          <w:sz w:val="18"/>
          <w:szCs w:val="18"/>
          <w:color w:val="auto"/>
        </w:rPr>
        <w:t>, we have combined the quarterly reports on Form 10-Q of the Parent Company and the Operating Partnership into this single report. As a result, we present two sets of consolidated financial statements. Both sets of consolidated financial statements include the accounts of the entity, its corporate subsidiaries, and all entities in which it has a controlling interest or has been determined to be the primary beneficiary of a variable interest entity. The Parent Company's consolidated financial statements include the accounts of the Operating Partnership and its subsidiaries as the Parent Company, through its ownership and control over the General Partner, exercises exclusive control over the Operating Partnership. The equity interests of other investors are reflected as noncontrolling interests or redeemable noncontrolling interests. All significant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intercompany transactions and balances are eliminated in consolidation. We account for our interests in joint ventures which we do not control using the equity method of accounting.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94"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0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have one reportable segment. We evaluate financial performance using property operating income ("POI"), a non-GAAP measure which consists of rental income, other property income, and mortgage interest income, less rental expenses and real estate taxes. Our chief operating decision maker ("CODM") uses POI to assess the operating performance of our properties and to determine how to reinvest profits for recurring capital expenditures, property redevelopments, or into other parts of the business, such as property acquisitions or to pay higher dividends.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property operating income to consolidated net income: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2280" w:type="dxa"/>
            <w:vAlign w:val="bottom"/>
            <w:gridSpan w:val="4"/>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6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6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6"/>
        </w:trPr>
        <w:tc>
          <w:tcPr>
            <w:tcW w:w="6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7"/>
                <w:szCs w:val="17"/>
                <w:color w:val="auto"/>
              </w:rPr>
            </w:pPr>
          </w:p>
        </w:tc>
      </w:tr>
      <w:tr>
        <w:trPr>
          <w:trHeight w:val="23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229,896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216,594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689,450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634,610</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(34,449)</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(270,464)</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77,672</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market tax credit transaction income</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14,176</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interest income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(134,692)</w:t>
            </w:r>
          </w:p>
        </w:tc>
      </w:tr>
      <w:tr>
        <w:trPr>
          <w:trHeight w:val="230"/>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partnerships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318,608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291,033</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present significant expense disclosures for our reportable segment as operating segment level expenses are not regularly provided to our CODM.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real estate tax expense is presented on the face of the consolidated statement of comprehensive income.</w:t>
      </w:r>
    </w:p>
    <w:p>
      <w:pPr>
        <w:spacing w:after="0" w:line="15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do not present a reconciliation of our reportable segment's assets to consolidated assets, as asset information by operating segment is not used by our CODM to allocate resources and capital or assess performance.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ectPr>
          <w:pgSz w:w="11900" w:h="16838" w:orient="portrait"/>
          <w:cols w:equalWidth="0" w:num="1">
            <w:col w:w="11240"/>
          </w:cols>
          <w:pgMar w:left="320" w:top="124" w:right="339" w:bottom="1440" w:gutter="0" w:footer="0" w:header="0"/>
        </w:sect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4916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Adopted in 2026:</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ASU 2024-04, November 2024,</w:t>
      </w:r>
    </w:p>
    <w:p>
      <w:pPr>
        <w:jc w:val="both"/>
        <w:ind w:left="20"/>
        <w:spacing w:after="0" w:line="207" w:lineRule="auto"/>
        <w:rPr>
          <w:sz w:val="20"/>
          <w:szCs w:val="20"/>
          <w:color w:val="auto"/>
        </w:rPr>
      </w:pPr>
      <w:r>
        <w:rPr>
          <w:rFonts w:ascii="Times New Roman" w:cs="Times New Roman" w:eastAsia="Times New Roman" w:hAnsi="Times New Roman"/>
          <w:sz w:val="17"/>
          <w:szCs w:val="17"/>
          <w:i w:val="1"/>
          <w:iCs w:val="1"/>
          <w:color w:val="auto"/>
        </w:rPr>
        <w:t>Debt—Debt with Conversion and Other Options (Subtopic 470-20),</w:t>
      </w:r>
    </w:p>
    <w:p>
      <w:pPr>
        <w:ind w:left="20" w:right="280"/>
        <w:spacing w:after="0" w:line="233" w:lineRule="auto"/>
        <w:rPr>
          <w:sz w:val="20"/>
          <w:szCs w:val="20"/>
          <w:color w:val="auto"/>
        </w:rPr>
      </w:pPr>
      <w:r>
        <w:rPr>
          <w:rFonts w:ascii="Times New Roman" w:cs="Times New Roman" w:eastAsia="Times New Roman" w:hAnsi="Times New Roman"/>
          <w:sz w:val="17"/>
          <w:szCs w:val="17"/>
          <w:i w:val="1"/>
          <w:iCs w:val="1"/>
          <w:color w:val="auto"/>
        </w:rPr>
        <w:t>Induced Conversions of Convertible Debt Instruments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19685</wp:posOffset>
            </wp:positionV>
            <wp:extent cx="33947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295"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6"/>
          <w:szCs w:val="16"/>
          <w:color w:val="auto"/>
        </w:rPr>
        <w:t>This ASU clarifies the requirements for determining whether to account for certain early settlements of convertible debt instruments as induced conversions or extinguishments.</w:t>
      </w:r>
    </w:p>
    <w:p>
      <w:pPr>
        <w:spacing w:after="0" w:line="114"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6"/>
          <w:szCs w:val="16"/>
          <w:color w:val="auto"/>
        </w:rPr>
        <w:t>Entities have the option to apply the guidance either (1) prospectively to settlements of convertible debt instruments that occur during fiscal years (and interim periods within those fiscal years) beginning after the effective date or (2) retrospectively. This is effective for all entities for fiscal years beginning after December 15, 2025, and interim periods within those fiscal years.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520"/>
        <w:spacing w:after="0" w:line="239" w:lineRule="auto"/>
        <w:rPr>
          <w:sz w:val="20"/>
          <w:szCs w:val="20"/>
          <w:color w:val="auto"/>
        </w:rPr>
      </w:pPr>
      <w:r>
        <w:rPr>
          <w:rFonts w:ascii="Times New Roman" w:cs="Times New Roman" w:eastAsia="Times New Roman" w:hAnsi="Times New Roman"/>
          <w:sz w:val="18"/>
          <w:szCs w:val="18"/>
          <w:b w:val="1"/>
          <w:bCs w:val="1"/>
          <w:color w:val="auto"/>
        </w:rPr>
        <w:t>Effect on the financial statements or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9525</wp:posOffset>
            </wp:positionV>
            <wp:extent cx="21088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278"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16"/>
          <w:szCs w:val="16"/>
          <w:color w:val="auto"/>
        </w:rPr>
        <w:t>We adopted this ASU as of January 1, 2026. The implementation of this ASU did not have an impact on our consolidated financial statements.</w:t>
      </w:r>
    </w:p>
    <w:p>
      <w:pPr>
        <w:spacing w:after="0" w:line="1169" w:lineRule="exact"/>
        <w:rPr>
          <w:sz w:val="20"/>
          <w:szCs w:val="20"/>
          <w:color w:val="auto"/>
        </w:rPr>
      </w:pPr>
    </w:p>
    <w:p>
      <w:pPr>
        <w:sectPr>
          <w:pgSz w:w="11900" w:h="16838" w:orient="portrait"/>
          <w:cols w:equalWidth="0" w:num="3">
            <w:col w:w="2340" w:space="140"/>
            <w:col w:w="5240" w:space="220"/>
            <w:col w:w="3300"/>
          </w:cols>
          <w:pgMar w:left="320" w:top="124" w:right="339"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ectPr>
          <w:pgSz w:w="11900" w:h="16838" w:orient="portrait"/>
          <w:cols w:equalWidth="0" w:num="1">
            <w:col w:w="11140"/>
          </w:cols>
          <w:pgMar w:left="320" w:top="12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4998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Issued in 2025:</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ASU 2025-01, January 2025, and</w:t>
      </w:r>
    </w:p>
    <w:p>
      <w:pPr>
        <w:ind w:left="20"/>
        <w:spacing w:after="0" w:line="198" w:lineRule="auto"/>
        <w:rPr>
          <w:sz w:val="20"/>
          <w:szCs w:val="20"/>
          <w:color w:val="auto"/>
        </w:rPr>
      </w:pPr>
      <w:r>
        <w:rPr>
          <w:rFonts w:ascii="Times New Roman" w:cs="Times New Roman" w:eastAsia="Times New Roman" w:hAnsi="Times New Roman"/>
          <w:sz w:val="17"/>
          <w:szCs w:val="17"/>
          <w:color w:val="auto"/>
        </w:rPr>
        <w:t>ASU 2024-03, November 2024,</w:t>
      </w:r>
    </w:p>
    <w:p>
      <w:pPr>
        <w:ind w:left="20"/>
        <w:spacing w:after="0" w:line="216" w:lineRule="auto"/>
        <w:rPr>
          <w:sz w:val="20"/>
          <w:szCs w:val="20"/>
          <w:color w:val="auto"/>
        </w:rPr>
      </w:pPr>
      <w:r>
        <w:rPr>
          <w:rFonts w:ascii="Times New Roman" w:cs="Times New Roman" w:eastAsia="Times New Roman" w:hAnsi="Times New Roman"/>
          <w:sz w:val="17"/>
          <w:szCs w:val="17"/>
          <w:i w:val="1"/>
          <w:iCs w:val="1"/>
          <w:color w:val="auto"/>
        </w:rPr>
        <w:t>Income Statement—Reporting</w:t>
      </w:r>
    </w:p>
    <w:p>
      <w:pPr>
        <w:ind w:left="20"/>
        <w:spacing w:after="0" w:line="215" w:lineRule="auto"/>
        <w:rPr>
          <w:sz w:val="20"/>
          <w:szCs w:val="20"/>
          <w:color w:val="auto"/>
        </w:rPr>
      </w:pPr>
      <w:r>
        <w:rPr>
          <w:rFonts w:ascii="Times New Roman" w:cs="Times New Roman" w:eastAsia="Times New Roman" w:hAnsi="Times New Roman"/>
          <w:sz w:val="17"/>
          <w:szCs w:val="17"/>
          <w:i w:val="1"/>
          <w:iCs w:val="1"/>
          <w:color w:val="auto"/>
        </w:rPr>
        <w:t>Comprehensive Income —</w:t>
      </w:r>
    </w:p>
    <w:p>
      <w:pPr>
        <w:ind w:left="20"/>
        <w:spacing w:after="0" w:line="199" w:lineRule="auto"/>
        <w:rPr>
          <w:sz w:val="20"/>
          <w:szCs w:val="20"/>
          <w:color w:val="auto"/>
        </w:rPr>
      </w:pPr>
      <w:r>
        <w:rPr>
          <w:rFonts w:ascii="Times New Roman" w:cs="Times New Roman" w:eastAsia="Times New Roman" w:hAnsi="Times New Roman"/>
          <w:sz w:val="17"/>
          <w:szCs w:val="17"/>
          <w:i w:val="1"/>
          <w:iCs w:val="1"/>
          <w:color w:val="auto"/>
        </w:rPr>
        <w:t>Expense Disaggregation</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Disclosures (Subtopic 220-40)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33858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254"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6"/>
          <w:szCs w:val="16"/>
          <w:color w:val="auto"/>
        </w:rPr>
        <w:t>This ASU requires the disaggregation of specific natural expense categories within relevant income statement captions. Public business entities are required to provide tabular disclosures which disaggregate expenses such as purchases of inventory, employee compensation, depreciation and amortization. A separate total of an entity's selling expenses is also required, along with the disclosure of how the company determines them.</w:t>
      </w:r>
    </w:p>
    <w:p>
      <w:pPr>
        <w:spacing w:after="0" w:line="117"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6"/>
          <w:szCs w:val="16"/>
          <w:color w:val="auto"/>
        </w:rPr>
        <w:t>The guidance is required to be applied prospectively, but may be applied retrospectively for annual reporting periods beginning after December 15, 2026, and interim periods within annual reporting periods beginning after December 15, 2027. Early adoption is permitted.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420"/>
        <w:spacing w:after="0" w:line="239" w:lineRule="auto"/>
        <w:rPr>
          <w:sz w:val="20"/>
          <w:szCs w:val="20"/>
          <w:color w:val="auto"/>
        </w:rPr>
      </w:pPr>
      <w:r>
        <w:rPr>
          <w:rFonts w:ascii="Times New Roman" w:cs="Times New Roman" w:eastAsia="Times New Roman" w:hAnsi="Times New Roman"/>
          <w:sz w:val="18"/>
          <w:szCs w:val="18"/>
          <w:b w:val="1"/>
          <w:bCs w:val="1"/>
          <w:color w:val="auto"/>
        </w:rPr>
        <w:t>Effect on the financial statements or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9525</wp:posOffset>
            </wp:positionV>
            <wp:extent cx="2108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38"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6"/>
          <w:szCs w:val="16"/>
          <w:color w:val="auto"/>
        </w:rPr>
        <w:t>We are assessing the impact of this ASU on our consolidated financial statements.</w:t>
      </w:r>
    </w:p>
    <w:p>
      <w:pPr>
        <w:spacing w:after="0" w:line="1506" w:lineRule="exact"/>
        <w:rPr>
          <w:sz w:val="20"/>
          <w:szCs w:val="20"/>
          <w:color w:val="auto"/>
        </w:rPr>
      </w:pPr>
    </w:p>
    <w:p>
      <w:pPr>
        <w:sectPr>
          <w:pgSz w:w="11900" w:h="16838" w:orient="portrait"/>
          <w:cols w:equalWidth="0" w:num="3">
            <w:col w:w="2320" w:space="180"/>
            <w:col w:w="5200" w:space="240"/>
            <w:col w:w="3200"/>
          </w:cols>
          <w:pgMar w:left="320" w:top="124" w:right="439" w:bottom="1440" w:gutter="0" w:footer="0" w:header="0"/>
          <w:type w:val="continuous"/>
        </w:sectPr>
      </w:pPr>
    </w:p>
    <w:p>
      <w:pPr>
        <w:ind w:left="20" w:right="80"/>
        <w:spacing w:after="0" w:line="218" w:lineRule="auto"/>
        <w:rPr>
          <w:sz w:val="20"/>
          <w:szCs w:val="20"/>
          <w:color w:val="auto"/>
        </w:rPr>
      </w:pPr>
      <w:r>
        <w:rPr>
          <w:rFonts w:ascii="Times New Roman" w:cs="Times New Roman" w:eastAsia="Times New Roman" w:hAnsi="Times New Roman"/>
          <w:sz w:val="17"/>
          <w:szCs w:val="17"/>
          <w:color w:val="auto"/>
        </w:rPr>
        <w:t xml:space="preserve">ASU 2025-09, November 2025, This ASU amends certain aspects of hedge accounting in ASC 815. The </w:t>
      </w:r>
      <w:r>
        <w:rPr>
          <w:rFonts w:ascii="Times New Roman" w:cs="Times New Roman" w:eastAsia="Times New Roman" w:hAnsi="Times New Roman"/>
          <w:sz w:val="17"/>
          <w:szCs w:val="17"/>
          <w:i w:val="1"/>
          <w:iCs w:val="1"/>
          <w:color w:val="auto"/>
        </w:rPr>
        <w:t xml:space="preserve">Derivatives and Hedging (Topic </w:t>
      </w:r>
      <w:r>
        <w:rPr>
          <w:rFonts w:ascii="Times New Roman" w:cs="Times New Roman" w:eastAsia="Times New Roman" w:hAnsi="Times New Roman"/>
          <w:sz w:val="17"/>
          <w:szCs w:val="17"/>
          <w:color w:val="auto"/>
        </w:rPr>
        <w:t>main amendments relate to cash flow hedging, but some of the amendments</w:t>
      </w:r>
    </w:p>
    <w:p>
      <w:pPr>
        <w:ind w:left="20"/>
        <w:spacing w:after="0" w:line="215" w:lineRule="auto"/>
        <w:tabs>
          <w:tab w:leader="none" w:pos="2480" w:val="left"/>
        </w:tabs>
        <w:rPr>
          <w:sz w:val="20"/>
          <w:szCs w:val="20"/>
          <w:color w:val="auto"/>
        </w:rPr>
      </w:pPr>
      <w:r>
        <w:rPr>
          <w:rFonts w:ascii="Times New Roman" w:cs="Times New Roman" w:eastAsia="Times New Roman" w:hAnsi="Times New Roman"/>
          <w:sz w:val="17"/>
          <w:szCs w:val="17"/>
          <w:i w:val="1"/>
          <w:iCs w:val="1"/>
          <w:color w:val="auto"/>
        </w:rPr>
        <w:t>815), Hedge Accounting</w:t>
      </w:r>
      <w:r>
        <w:rPr>
          <w:sz w:val="20"/>
          <w:szCs w:val="20"/>
          <w:color w:val="auto"/>
        </w:rPr>
        <w:tab/>
      </w:r>
      <w:r>
        <w:rPr>
          <w:rFonts w:ascii="Times New Roman" w:cs="Times New Roman" w:eastAsia="Times New Roman" w:hAnsi="Times New Roman"/>
          <w:sz w:val="17"/>
          <w:szCs w:val="17"/>
          <w:color w:val="auto"/>
        </w:rPr>
        <w:t>affect certain fair value and net investment hedges. The key changes include:</w:t>
      </w:r>
    </w:p>
    <w:p>
      <w:pPr>
        <w:ind w:left="20"/>
        <w:spacing w:after="0" w:line="216" w:lineRule="auto"/>
        <w:tabs>
          <w:tab w:leader="none" w:pos="2480" w:val="left"/>
        </w:tabs>
        <w:rPr>
          <w:sz w:val="20"/>
          <w:szCs w:val="20"/>
          <w:color w:val="auto"/>
        </w:rPr>
      </w:pPr>
      <w:r>
        <w:rPr>
          <w:rFonts w:ascii="Times New Roman" w:cs="Times New Roman" w:eastAsia="Times New Roman" w:hAnsi="Times New Roman"/>
          <w:sz w:val="17"/>
          <w:szCs w:val="17"/>
          <w:i w:val="1"/>
          <w:iCs w:val="1"/>
          <w:color w:val="auto"/>
        </w:rPr>
        <w:t>Improvements</w:t>
      </w:r>
      <w:r>
        <w:rPr>
          <w:sz w:val="20"/>
          <w:szCs w:val="20"/>
          <w:color w:val="auto"/>
        </w:rPr>
        <w:tab/>
      </w:r>
      <w:r>
        <w:rPr>
          <w:rFonts w:ascii="Times New Roman" w:cs="Times New Roman" w:eastAsia="Times New Roman" w:hAnsi="Times New Roman"/>
          <w:sz w:val="17"/>
          <w:szCs w:val="17"/>
          <w:color w:val="auto"/>
        </w:rPr>
        <w:t>(1) Allows individual forecasted transactions to be hedged in a group if they</w:t>
      </w:r>
    </w:p>
    <w:p>
      <w:pPr>
        <w:ind w:left="2500" w:right="240"/>
        <w:spacing w:after="0" w:line="207" w:lineRule="auto"/>
        <w:rPr>
          <w:sz w:val="20"/>
          <w:szCs w:val="20"/>
          <w:color w:val="auto"/>
        </w:rPr>
      </w:pPr>
      <w:r>
        <w:rPr>
          <w:rFonts w:ascii="Times New Roman" w:cs="Times New Roman" w:eastAsia="Times New Roman" w:hAnsi="Times New Roman"/>
          <w:sz w:val="17"/>
          <w:szCs w:val="17"/>
          <w:color w:val="auto"/>
        </w:rPr>
        <w:t>have similar risk exposure for cash flow hedges. (2) Establishes a model borrowers can use in cash flow hedges of forecasted interest payments on</w:t>
      </w:r>
    </w:p>
    <w:p>
      <w:pPr>
        <w:ind w:left="2500"/>
        <w:spacing w:after="0" w:line="215" w:lineRule="auto"/>
        <w:rPr>
          <w:sz w:val="20"/>
          <w:szCs w:val="20"/>
          <w:color w:val="auto"/>
        </w:rPr>
      </w:pPr>
      <w:r>
        <w:rPr>
          <w:rFonts w:ascii="Times New Roman" w:cs="Times New Roman" w:eastAsia="Times New Roman" w:hAnsi="Times New Roman"/>
          <w:sz w:val="17"/>
          <w:szCs w:val="17"/>
          <w:color w:val="auto"/>
        </w:rPr>
        <w:t>choose-your-rate debt instruments. (3) Expands hedge accounting for</w:t>
      </w:r>
    </w:p>
    <w:p>
      <w:pPr>
        <w:ind w:left="2500"/>
        <w:spacing w:after="0" w:line="199" w:lineRule="auto"/>
        <w:rPr>
          <w:sz w:val="20"/>
          <w:szCs w:val="20"/>
          <w:color w:val="auto"/>
        </w:rPr>
      </w:pPr>
      <w:r>
        <w:rPr>
          <w:rFonts w:ascii="Times New Roman" w:cs="Times New Roman" w:eastAsia="Times New Roman" w:hAnsi="Times New Roman"/>
          <w:sz w:val="17"/>
          <w:szCs w:val="17"/>
          <w:color w:val="auto"/>
        </w:rPr>
        <w:t>forecasted purchases and sales of nonfinancial assets. (4) Eliminates the</w:t>
      </w:r>
    </w:p>
    <w:p>
      <w:pPr>
        <w:ind w:left="2500"/>
        <w:spacing w:after="0" w:line="216" w:lineRule="auto"/>
        <w:rPr>
          <w:sz w:val="20"/>
          <w:szCs w:val="20"/>
          <w:color w:val="auto"/>
        </w:rPr>
      </w:pPr>
      <w:r>
        <w:rPr>
          <w:rFonts w:ascii="Times New Roman" w:cs="Times New Roman" w:eastAsia="Times New Roman" w:hAnsi="Times New Roman"/>
          <w:sz w:val="17"/>
          <w:szCs w:val="17"/>
          <w:color w:val="auto"/>
        </w:rPr>
        <w:t>requirement for the net written option test in certain instances to</w:t>
      </w:r>
    </w:p>
    <w:p>
      <w:pPr>
        <w:ind w:left="2500"/>
        <w:spacing w:after="0" w:line="215" w:lineRule="auto"/>
        <w:rPr>
          <w:sz w:val="20"/>
          <w:szCs w:val="20"/>
          <w:color w:val="auto"/>
        </w:rPr>
      </w:pPr>
      <w:r>
        <w:rPr>
          <w:rFonts w:ascii="Times New Roman" w:cs="Times New Roman" w:eastAsia="Times New Roman" w:hAnsi="Times New Roman"/>
          <w:sz w:val="17"/>
          <w:szCs w:val="17"/>
          <w:color w:val="auto"/>
        </w:rPr>
        <w:t>accommodate differences in the loan and swap markets that resulted from</w:t>
      </w:r>
    </w:p>
    <w:p>
      <w:pPr>
        <w:ind w:left="2500"/>
        <w:spacing w:after="0" w:line="199" w:lineRule="auto"/>
        <w:rPr>
          <w:sz w:val="20"/>
          <w:szCs w:val="20"/>
          <w:color w:val="auto"/>
        </w:rPr>
      </w:pPr>
      <w:r>
        <w:rPr>
          <w:rFonts w:ascii="Times New Roman" w:cs="Times New Roman" w:eastAsia="Times New Roman" w:hAnsi="Times New Roman"/>
          <w:sz w:val="17"/>
          <w:szCs w:val="17"/>
          <w:color w:val="auto"/>
        </w:rPr>
        <w:t>reference rate reform. (5) Eliminates the recognition and presentation</w:t>
      </w:r>
    </w:p>
    <w:p>
      <w:pPr>
        <w:ind w:left="2500" w:right="580"/>
        <w:spacing w:after="0" w:line="233" w:lineRule="auto"/>
        <w:rPr>
          <w:sz w:val="20"/>
          <w:szCs w:val="20"/>
          <w:color w:val="auto"/>
        </w:rPr>
      </w:pPr>
      <w:r>
        <w:rPr>
          <w:rFonts w:ascii="Times New Roman" w:cs="Times New Roman" w:eastAsia="Times New Roman" w:hAnsi="Times New Roman"/>
          <w:sz w:val="17"/>
          <w:szCs w:val="17"/>
          <w:color w:val="auto"/>
        </w:rPr>
        <w:t>mismatch for foreign currency-denominated debt used as both a net investment hedge instrument and a hedged item for interest rate risk.</w:t>
      </w:r>
    </w:p>
    <w:p>
      <w:pPr>
        <w:spacing w:after="0" w:line="100"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The guidance is applied prospectively for all hedging relationships as of the</w:t>
      </w:r>
    </w:p>
    <w:p>
      <w:pPr>
        <w:ind w:left="2500"/>
        <w:spacing w:after="0" w:line="215" w:lineRule="auto"/>
        <w:rPr>
          <w:sz w:val="20"/>
          <w:szCs w:val="20"/>
          <w:color w:val="auto"/>
        </w:rPr>
      </w:pPr>
      <w:r>
        <w:rPr>
          <w:rFonts w:ascii="Times New Roman" w:cs="Times New Roman" w:eastAsia="Times New Roman" w:hAnsi="Times New Roman"/>
          <w:sz w:val="17"/>
          <w:szCs w:val="17"/>
          <w:color w:val="auto"/>
        </w:rPr>
        <w:t>date of adoption. The guidance applies to all public entities and is effective</w:t>
      </w:r>
    </w:p>
    <w:p>
      <w:pPr>
        <w:ind w:left="2500" w:right="360"/>
        <w:spacing w:after="0" w:line="233" w:lineRule="auto"/>
        <w:rPr>
          <w:sz w:val="20"/>
          <w:szCs w:val="20"/>
          <w:color w:val="auto"/>
        </w:rPr>
      </w:pPr>
      <w:r>
        <w:rPr>
          <w:rFonts w:ascii="Times New Roman" w:cs="Times New Roman" w:eastAsia="Times New Roman" w:hAnsi="Times New Roman"/>
          <w:sz w:val="17"/>
          <w:szCs w:val="17"/>
          <w:color w:val="auto"/>
        </w:rPr>
        <w:t>for fiscal years beginning after December 15, 2026, and interim periods within those fiscal years. Early adoption is permitted.</w:t>
      </w:r>
    </w:p>
    <w:p>
      <w:pPr>
        <w:spacing w:after="0" w:line="48" w:lineRule="exact"/>
        <w:rPr>
          <w:sz w:val="20"/>
          <w:szCs w:val="20"/>
          <w:color w:val="auto"/>
        </w:rPr>
      </w:pPr>
    </w:p>
    <w:p>
      <w:pPr>
        <w:ind w:left="20" w:right="60"/>
        <w:spacing w:after="0" w:line="218" w:lineRule="auto"/>
        <w:rPr>
          <w:sz w:val="20"/>
          <w:szCs w:val="20"/>
          <w:color w:val="auto"/>
        </w:rPr>
      </w:pPr>
      <w:r>
        <w:rPr>
          <w:rFonts w:ascii="Times New Roman" w:cs="Times New Roman" w:eastAsia="Times New Roman" w:hAnsi="Times New Roman"/>
          <w:sz w:val="17"/>
          <w:szCs w:val="17"/>
          <w:color w:val="auto"/>
        </w:rPr>
        <w:t xml:space="preserve">ASU 2025-10, December 2025, This ASU establishes guidance on the recognition, measurement, and </w:t>
      </w:r>
      <w:r>
        <w:rPr>
          <w:rFonts w:ascii="Times New Roman" w:cs="Times New Roman" w:eastAsia="Times New Roman" w:hAnsi="Times New Roman"/>
          <w:sz w:val="17"/>
          <w:szCs w:val="17"/>
          <w:i w:val="1"/>
          <w:iCs w:val="1"/>
          <w:color w:val="auto"/>
        </w:rPr>
        <w:t xml:space="preserve">Government Grants (Topic 832), </w:t>
      </w:r>
      <w:r>
        <w:rPr>
          <w:rFonts w:ascii="Times New Roman" w:cs="Times New Roman" w:eastAsia="Times New Roman" w:hAnsi="Times New Roman"/>
          <w:sz w:val="17"/>
          <w:szCs w:val="17"/>
          <w:color w:val="auto"/>
        </w:rPr>
        <w:t>presentation of government grants received by business entities. ASU 2025-</w:t>
      </w:r>
    </w:p>
    <w:p>
      <w:pPr>
        <w:ind w:left="20"/>
        <w:spacing w:after="0" w:line="215" w:lineRule="auto"/>
        <w:tabs>
          <w:tab w:leader="none" w:pos="2480" w:val="left"/>
        </w:tabs>
        <w:rPr>
          <w:sz w:val="20"/>
          <w:szCs w:val="20"/>
          <w:color w:val="auto"/>
        </w:rPr>
      </w:pPr>
      <w:r>
        <w:rPr>
          <w:rFonts w:ascii="Times New Roman" w:cs="Times New Roman" w:eastAsia="Times New Roman" w:hAnsi="Times New Roman"/>
          <w:sz w:val="17"/>
          <w:szCs w:val="17"/>
          <w:i w:val="1"/>
          <w:iCs w:val="1"/>
          <w:color w:val="auto"/>
        </w:rPr>
        <w:t>Accounting for Government</w:t>
      </w:r>
      <w:r>
        <w:rPr>
          <w:sz w:val="20"/>
          <w:szCs w:val="20"/>
          <w:color w:val="auto"/>
        </w:rPr>
        <w:tab/>
      </w:r>
      <w:r>
        <w:rPr>
          <w:rFonts w:ascii="Times New Roman" w:cs="Times New Roman" w:eastAsia="Times New Roman" w:hAnsi="Times New Roman"/>
          <w:sz w:val="17"/>
          <w:szCs w:val="17"/>
          <w:color w:val="auto"/>
        </w:rPr>
        <w:t>10 introduces specific recognition thresholds (probability of compliance and</w:t>
      </w:r>
    </w:p>
    <w:p>
      <w:pPr>
        <w:ind w:left="20"/>
        <w:spacing w:after="0" w:line="216" w:lineRule="auto"/>
        <w:tabs>
          <w:tab w:leader="none" w:pos="2480" w:val="left"/>
        </w:tabs>
        <w:rPr>
          <w:sz w:val="20"/>
          <w:szCs w:val="20"/>
          <w:color w:val="auto"/>
        </w:rPr>
      </w:pPr>
      <w:r>
        <w:rPr>
          <w:rFonts w:ascii="Times New Roman" w:cs="Times New Roman" w:eastAsia="Times New Roman" w:hAnsi="Times New Roman"/>
          <w:sz w:val="17"/>
          <w:szCs w:val="17"/>
          <w:i w:val="1"/>
          <w:iCs w:val="1"/>
          <w:color w:val="auto"/>
        </w:rPr>
        <w:t>Grants Received by Business</w:t>
      </w:r>
      <w:r>
        <w:rPr>
          <w:sz w:val="20"/>
          <w:szCs w:val="20"/>
          <w:color w:val="auto"/>
        </w:rPr>
        <w:tab/>
      </w:r>
      <w:r>
        <w:rPr>
          <w:rFonts w:ascii="Times New Roman" w:cs="Times New Roman" w:eastAsia="Times New Roman" w:hAnsi="Times New Roman"/>
          <w:sz w:val="17"/>
          <w:szCs w:val="17"/>
          <w:color w:val="auto"/>
        </w:rPr>
        <w:t>receipt) and detailed disclosures, aiming to improve consistency and</w:t>
      </w:r>
    </w:p>
    <w:p>
      <w:pPr>
        <w:ind w:left="20"/>
        <w:spacing w:after="0"/>
        <w:tabs>
          <w:tab w:leader="none" w:pos="2480" w:val="left"/>
        </w:tabs>
        <w:rPr>
          <w:sz w:val="20"/>
          <w:szCs w:val="20"/>
          <w:color w:val="auto"/>
        </w:rPr>
      </w:pPr>
      <w:r>
        <w:rPr>
          <w:rFonts w:ascii="Times New Roman" w:cs="Times New Roman" w:eastAsia="Times New Roman" w:hAnsi="Times New Roman"/>
          <w:sz w:val="17"/>
          <w:szCs w:val="17"/>
          <w:i w:val="1"/>
          <w:iCs w:val="1"/>
          <w:color w:val="auto"/>
        </w:rPr>
        <w:t>Entities</w:t>
      </w:r>
      <w:r>
        <w:rPr>
          <w:sz w:val="20"/>
          <w:szCs w:val="20"/>
          <w:color w:val="auto"/>
        </w:rPr>
        <w:tab/>
      </w:r>
      <w:r>
        <w:rPr>
          <w:rFonts w:ascii="Times New Roman" w:cs="Times New Roman" w:eastAsia="Times New Roman" w:hAnsi="Times New Roman"/>
          <w:sz w:val="17"/>
          <w:szCs w:val="17"/>
          <w:color w:val="auto"/>
        </w:rPr>
        <w:t>comparability in financial reporting for grants.</w:t>
      </w:r>
    </w:p>
    <w:p>
      <w:pPr>
        <w:spacing w:after="0" w:line="10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The new guidance is effective for public business entities in annual periods</w:t>
      </w:r>
    </w:p>
    <w:p>
      <w:pPr>
        <w:ind w:left="2500"/>
        <w:spacing w:after="0" w:line="215" w:lineRule="auto"/>
        <w:rPr>
          <w:sz w:val="20"/>
          <w:szCs w:val="20"/>
          <w:color w:val="auto"/>
        </w:rPr>
      </w:pPr>
      <w:r>
        <w:rPr>
          <w:rFonts w:ascii="Times New Roman" w:cs="Times New Roman" w:eastAsia="Times New Roman" w:hAnsi="Times New Roman"/>
          <w:sz w:val="17"/>
          <w:szCs w:val="17"/>
          <w:color w:val="auto"/>
        </w:rPr>
        <w:t>beginning after December 15, 2028 (including interim periods within), with</w:t>
      </w:r>
    </w:p>
    <w:p>
      <w:pPr>
        <w:ind w:left="2500"/>
        <w:spacing w:after="0" w:line="199" w:lineRule="auto"/>
        <w:rPr>
          <w:sz w:val="20"/>
          <w:szCs w:val="20"/>
          <w:color w:val="auto"/>
        </w:rPr>
      </w:pPr>
      <w:r>
        <w:rPr>
          <w:rFonts w:ascii="Times New Roman" w:cs="Times New Roman" w:eastAsia="Times New Roman" w:hAnsi="Times New Roman"/>
          <w:sz w:val="17"/>
          <w:szCs w:val="17"/>
          <w:color w:val="auto"/>
        </w:rPr>
        <w:t>early adoption permitted in any period for which financial statements have</w:t>
      </w:r>
    </w:p>
    <w:p>
      <w:pPr>
        <w:ind w:left="2500" w:right="100"/>
        <w:spacing w:after="0" w:line="233" w:lineRule="auto"/>
        <w:rPr>
          <w:sz w:val="20"/>
          <w:szCs w:val="20"/>
          <w:color w:val="auto"/>
        </w:rPr>
      </w:pPr>
      <w:r>
        <w:rPr>
          <w:rFonts w:ascii="Times New Roman" w:cs="Times New Roman" w:eastAsia="Times New Roman" w:hAnsi="Times New Roman"/>
          <w:sz w:val="17"/>
          <w:szCs w:val="17"/>
          <w:color w:val="auto"/>
        </w:rPr>
        <w:t>not yet been issued. The guidance can be applied on a modified prospective basis, a modified retrospective basis, or a full retrospective basis.</w:t>
      </w:r>
    </w:p>
    <w:p>
      <w:pPr>
        <w:spacing w:after="0" w:line="59" w:lineRule="exact"/>
        <w:rPr>
          <w:sz w:val="20"/>
          <w:szCs w:val="20"/>
          <w:color w:val="auto"/>
        </w:rPr>
      </w:pPr>
    </w:p>
    <w:p>
      <w:pPr>
        <w:ind w:left="20"/>
        <w:spacing w:after="0"/>
        <w:tabs>
          <w:tab w:leader="none" w:pos="2480" w:val="left"/>
        </w:tabs>
        <w:rPr>
          <w:sz w:val="20"/>
          <w:szCs w:val="20"/>
          <w:color w:val="auto"/>
        </w:rPr>
      </w:pPr>
      <w:r>
        <w:rPr>
          <w:rFonts w:ascii="Times New Roman" w:cs="Times New Roman" w:eastAsia="Times New Roman" w:hAnsi="Times New Roman"/>
          <w:sz w:val="17"/>
          <w:szCs w:val="17"/>
          <w:color w:val="auto"/>
        </w:rPr>
        <w:t>ASU 2025-11, December 2025,</w:t>
      </w:r>
      <w:r>
        <w:rPr>
          <w:sz w:val="20"/>
          <w:szCs w:val="20"/>
          <w:color w:val="auto"/>
        </w:rPr>
        <w:tab/>
      </w:r>
      <w:r>
        <w:rPr>
          <w:rFonts w:ascii="Times New Roman" w:cs="Times New Roman" w:eastAsia="Times New Roman" w:hAnsi="Times New Roman"/>
          <w:sz w:val="17"/>
          <w:szCs w:val="17"/>
          <w:color w:val="auto"/>
        </w:rPr>
        <w:t>This ASU clarifies interim disclosure requirements including the form and</w:t>
      </w:r>
    </w:p>
    <w:p>
      <w:pPr>
        <w:ind w:left="20"/>
        <w:spacing w:after="0" w:line="198" w:lineRule="auto"/>
        <w:tabs>
          <w:tab w:leader="none" w:pos="2480" w:val="left"/>
        </w:tabs>
        <w:rPr>
          <w:sz w:val="20"/>
          <w:szCs w:val="20"/>
          <w:color w:val="auto"/>
        </w:rPr>
      </w:pPr>
      <w:r>
        <w:rPr>
          <w:rFonts w:ascii="Times New Roman" w:cs="Times New Roman" w:eastAsia="Times New Roman" w:hAnsi="Times New Roman"/>
          <w:sz w:val="17"/>
          <w:szCs w:val="17"/>
          <w:i w:val="1"/>
          <w:iCs w:val="1"/>
          <w:color w:val="auto"/>
        </w:rPr>
        <w:t>Interim Reporting (Topic 270),</w:t>
      </w:r>
      <w:r>
        <w:rPr>
          <w:sz w:val="20"/>
          <w:szCs w:val="20"/>
          <w:color w:val="auto"/>
        </w:rPr>
        <w:tab/>
      </w:r>
      <w:r>
        <w:rPr>
          <w:rFonts w:ascii="Times New Roman" w:cs="Times New Roman" w:eastAsia="Times New Roman" w:hAnsi="Times New Roman"/>
          <w:sz w:val="17"/>
          <w:szCs w:val="17"/>
          <w:color w:val="auto"/>
        </w:rPr>
        <w:t>content of such financial statements, adds a comprehensive list of mandatory</w:t>
      </w:r>
    </w:p>
    <w:p>
      <w:pPr>
        <w:ind w:left="20"/>
        <w:spacing w:after="0" w:line="216" w:lineRule="auto"/>
        <w:tabs>
          <w:tab w:leader="none" w:pos="2480" w:val="left"/>
        </w:tabs>
        <w:rPr>
          <w:sz w:val="20"/>
          <w:szCs w:val="20"/>
          <w:color w:val="auto"/>
        </w:rPr>
      </w:pPr>
      <w:r>
        <w:rPr>
          <w:rFonts w:ascii="Times New Roman" w:cs="Times New Roman" w:eastAsia="Times New Roman" w:hAnsi="Times New Roman"/>
          <w:sz w:val="17"/>
          <w:szCs w:val="17"/>
          <w:i w:val="1"/>
          <w:iCs w:val="1"/>
          <w:color w:val="auto"/>
        </w:rPr>
        <w:t>Narrow-Scope Improvements</w:t>
      </w:r>
      <w:r>
        <w:rPr>
          <w:sz w:val="20"/>
          <w:szCs w:val="20"/>
          <w:color w:val="auto"/>
        </w:rPr>
        <w:tab/>
      </w:r>
      <w:r>
        <w:rPr>
          <w:rFonts w:ascii="Times New Roman" w:cs="Times New Roman" w:eastAsia="Times New Roman" w:hAnsi="Times New Roman"/>
          <w:sz w:val="17"/>
          <w:szCs w:val="17"/>
          <w:color w:val="auto"/>
        </w:rPr>
        <w:t>interim disclosures, and establishes a principle under which an entity must</w:t>
      </w:r>
    </w:p>
    <w:p>
      <w:pPr>
        <w:ind w:left="2500" w:right="160"/>
        <w:spacing w:after="0" w:line="233" w:lineRule="auto"/>
        <w:rPr>
          <w:sz w:val="20"/>
          <w:szCs w:val="20"/>
          <w:color w:val="auto"/>
        </w:rPr>
      </w:pPr>
      <w:r>
        <w:rPr>
          <w:rFonts w:ascii="Times New Roman" w:cs="Times New Roman" w:eastAsia="Times New Roman" w:hAnsi="Times New Roman"/>
          <w:sz w:val="17"/>
          <w:szCs w:val="17"/>
          <w:color w:val="auto"/>
        </w:rPr>
        <w:t>disclose events since the end of the last annual reporting period that have a material impact on the entity.</w:t>
      </w:r>
    </w:p>
    <w:p>
      <w:pPr>
        <w:spacing w:after="0" w:line="100"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The guidance can be applied either prospectively or retrospectively. The</w:t>
      </w:r>
    </w:p>
    <w:p>
      <w:pPr>
        <w:ind w:left="2500"/>
        <w:spacing w:after="0" w:line="215" w:lineRule="auto"/>
        <w:rPr>
          <w:sz w:val="20"/>
          <w:szCs w:val="20"/>
          <w:color w:val="auto"/>
        </w:rPr>
      </w:pPr>
      <w:r>
        <w:rPr>
          <w:rFonts w:ascii="Times New Roman" w:cs="Times New Roman" w:eastAsia="Times New Roman" w:hAnsi="Times New Roman"/>
          <w:sz w:val="17"/>
          <w:szCs w:val="17"/>
          <w:color w:val="auto"/>
        </w:rPr>
        <w:t>guidance applies to all public entities and is effective for interim reporting</w:t>
      </w:r>
    </w:p>
    <w:p>
      <w:pPr>
        <w:ind w:left="2500"/>
        <w:spacing w:after="0" w:line="199" w:lineRule="auto"/>
        <w:rPr>
          <w:sz w:val="20"/>
          <w:szCs w:val="20"/>
          <w:color w:val="auto"/>
        </w:rPr>
      </w:pPr>
      <w:r>
        <w:rPr>
          <w:rFonts w:ascii="Times New Roman" w:cs="Times New Roman" w:eastAsia="Times New Roman" w:hAnsi="Times New Roman"/>
          <w:sz w:val="17"/>
          <w:szCs w:val="17"/>
          <w:color w:val="auto"/>
        </w:rPr>
        <w:t>periods with annual reporting periods after December 15, 2027. Early</w:t>
      </w:r>
    </w:p>
    <w:p>
      <w:pPr>
        <w:ind w:left="2500"/>
        <w:spacing w:after="0"/>
        <w:rPr>
          <w:sz w:val="20"/>
          <w:szCs w:val="20"/>
          <w:color w:val="auto"/>
        </w:rPr>
      </w:pPr>
      <w:r>
        <w:rPr>
          <w:rFonts w:ascii="Times New Roman" w:cs="Times New Roman" w:eastAsia="Times New Roman" w:hAnsi="Times New Roman"/>
          <w:sz w:val="17"/>
          <w:szCs w:val="17"/>
          <w:color w:val="auto"/>
        </w:rPr>
        <w:t>adoption is permitted.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7" w:lineRule="auto"/>
        <w:rPr>
          <w:sz w:val="20"/>
          <w:szCs w:val="20"/>
          <w:color w:val="auto"/>
        </w:rPr>
      </w:pPr>
      <w:r>
        <w:rPr>
          <w:rFonts w:ascii="Times New Roman" w:cs="Times New Roman" w:eastAsia="Times New Roman" w:hAnsi="Times New Roman"/>
          <w:sz w:val="16"/>
          <w:szCs w:val="16"/>
          <w:color w:val="auto"/>
        </w:rPr>
        <w:t>We are assessing the impact of this ASU on our consolidated financial statements and do not expect this ASU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6"/>
          <w:szCs w:val="16"/>
          <w:color w:val="auto"/>
        </w:rPr>
        <w:t>We are assessing the impact of this ASU on our consolidated financial statements and do not expect this ASU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6"/>
          <w:szCs w:val="16"/>
          <w:color w:val="auto"/>
        </w:rPr>
        <w:t>We are assessing the impact of this ASU on our consolidated financial statements.</w:t>
      </w:r>
    </w:p>
    <w:p>
      <w:pPr>
        <w:sectPr>
          <w:pgSz w:w="11900" w:h="16838" w:orient="portrait"/>
          <w:cols w:equalWidth="0" w:num="2">
            <w:col w:w="7760" w:space="180"/>
            <w:col w:w="3200"/>
          </w:cols>
          <w:pgMar w:left="320" w:top="124" w:right="4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tabs>
          <w:tab w:leader="none" w:pos="2460" w:val="left"/>
        </w:tabs>
        <w:rPr>
          <w:sz w:val="20"/>
          <w:szCs w:val="20"/>
          <w:color w:val="auto"/>
        </w:rPr>
      </w:pPr>
      <w:r>
        <w:rPr>
          <w:rFonts w:ascii="Times New Roman" w:cs="Times New Roman" w:eastAsia="Times New Roman" w:hAnsi="Times New Roman"/>
          <w:sz w:val="18"/>
          <w:szCs w:val="18"/>
          <w:b w:val="1"/>
          <w:bCs w:val="1"/>
          <w:color w:val="auto"/>
        </w:rPr>
        <w:t>Standard</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49549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pacing w:after="0" w:line="55" w:lineRule="exact"/>
        <w:rPr>
          <w:sz w:val="20"/>
          <w:szCs w:val="20"/>
          <w:color w:val="auto"/>
        </w:rPr>
      </w:pPr>
    </w:p>
    <w:p>
      <w:pPr>
        <w:ind w:left="20"/>
        <w:spacing w:after="0"/>
        <w:tabs>
          <w:tab w:leader="none" w:pos="2460" w:val="left"/>
        </w:tabs>
        <w:rPr>
          <w:sz w:val="20"/>
          <w:szCs w:val="20"/>
          <w:color w:val="auto"/>
        </w:rPr>
      </w:pPr>
      <w:r>
        <w:rPr>
          <w:rFonts w:ascii="Times New Roman" w:cs="Times New Roman" w:eastAsia="Times New Roman" w:hAnsi="Times New Roman"/>
          <w:sz w:val="17"/>
          <w:szCs w:val="17"/>
          <w:color w:val="auto"/>
        </w:rPr>
        <w:t>ASU 2025-12, December 2025,</w:t>
      </w:r>
      <w:r>
        <w:rPr>
          <w:sz w:val="20"/>
          <w:szCs w:val="20"/>
          <w:color w:val="auto"/>
        </w:rPr>
        <w:tab/>
      </w:r>
      <w:r>
        <w:rPr>
          <w:rFonts w:ascii="Times New Roman" w:cs="Times New Roman" w:eastAsia="Times New Roman" w:hAnsi="Times New Roman"/>
          <w:sz w:val="17"/>
          <w:szCs w:val="17"/>
          <w:color w:val="auto"/>
        </w:rPr>
        <w:t>This ASU clarifies, corrects errors in and makes improvements to several</w:t>
      </w:r>
    </w:p>
    <w:p>
      <w:pPr>
        <w:ind w:left="2480" w:hanging="2456"/>
        <w:spacing w:after="0" w:line="207" w:lineRule="auto"/>
        <w:tabs>
          <w:tab w:leader="none" w:pos="2460" w:val="left"/>
        </w:tabs>
        <w:rPr>
          <w:sz w:val="20"/>
          <w:szCs w:val="20"/>
          <w:color w:val="auto"/>
        </w:rPr>
      </w:pPr>
      <w:r>
        <w:rPr>
          <w:rFonts w:ascii="Times New Roman" w:cs="Times New Roman" w:eastAsia="Times New Roman" w:hAnsi="Times New Roman"/>
          <w:sz w:val="17"/>
          <w:szCs w:val="17"/>
          <w:i w:val="1"/>
          <w:iCs w:val="1"/>
          <w:color w:val="auto"/>
        </w:rPr>
        <w:t>Codification Improvements</w:t>
      </w:r>
      <w:r>
        <w:rPr>
          <w:sz w:val="20"/>
          <w:szCs w:val="20"/>
          <w:color w:val="auto"/>
        </w:rPr>
        <w:tab/>
      </w:r>
      <w:r>
        <w:rPr>
          <w:rFonts w:ascii="Times New Roman" w:cs="Times New Roman" w:eastAsia="Times New Roman" w:hAnsi="Times New Roman"/>
          <w:sz w:val="17"/>
          <w:szCs w:val="17"/>
          <w:color w:val="auto"/>
        </w:rPr>
        <w:t>topics within the FASB Codification. The amendments are part of an ongoing FASB project to make non-substantive technical corrections, clarifications,</w:t>
      </w:r>
    </w:p>
    <w:p>
      <w:pPr>
        <w:ind w:left="2480" w:right="100"/>
        <w:spacing w:after="0" w:line="233" w:lineRule="auto"/>
        <w:rPr>
          <w:sz w:val="20"/>
          <w:szCs w:val="20"/>
          <w:color w:val="auto"/>
        </w:rPr>
      </w:pPr>
      <w:r>
        <w:rPr>
          <w:rFonts w:ascii="Times New Roman" w:cs="Times New Roman" w:eastAsia="Times New Roman" w:hAnsi="Times New Roman"/>
          <w:sz w:val="17"/>
          <w:szCs w:val="17"/>
          <w:color w:val="auto"/>
        </w:rPr>
        <w:t>and improvements to make standards more consistent and easier to interpret for preparers and users.</w:t>
      </w:r>
    </w:p>
    <w:p>
      <w:pPr>
        <w:spacing w:after="0" w:line="102" w:lineRule="exact"/>
        <w:rPr>
          <w:sz w:val="20"/>
          <w:szCs w:val="20"/>
          <w:color w:val="auto"/>
        </w:rPr>
      </w:pPr>
    </w:p>
    <w:p>
      <w:pPr>
        <w:ind w:left="2480" w:right="160"/>
        <w:spacing w:after="0" w:line="234" w:lineRule="auto"/>
        <w:rPr>
          <w:sz w:val="20"/>
          <w:szCs w:val="20"/>
          <w:color w:val="auto"/>
        </w:rPr>
      </w:pPr>
      <w:r>
        <w:rPr>
          <w:rFonts w:ascii="Times New Roman" w:cs="Times New Roman" w:eastAsia="Times New Roman" w:hAnsi="Times New Roman"/>
          <w:sz w:val="17"/>
          <w:szCs w:val="17"/>
          <w:color w:val="auto"/>
        </w:rPr>
        <w:t>The guidance applies to all public entities and is effective for fiscal years beginning after December 15, 2026, and interim periods within those fiscal years. Early adoption is permitted.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520"/>
        <w:spacing w:after="0" w:line="239" w:lineRule="auto"/>
        <w:rPr>
          <w:sz w:val="20"/>
          <w:szCs w:val="20"/>
          <w:color w:val="auto"/>
        </w:rPr>
      </w:pPr>
      <w:r>
        <w:rPr>
          <w:rFonts w:ascii="Times New Roman" w:cs="Times New Roman" w:eastAsia="Times New Roman" w:hAnsi="Times New Roman"/>
          <w:sz w:val="18"/>
          <w:szCs w:val="18"/>
          <w:b w:val="1"/>
          <w:bCs w:val="1"/>
          <w:color w:val="auto"/>
        </w:rPr>
        <w:t>Effect on the financial statements or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9525</wp:posOffset>
            </wp:positionV>
            <wp:extent cx="2108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49"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6"/>
          <w:szCs w:val="16"/>
          <w:color w:val="auto"/>
        </w:rPr>
        <w:t>We do not expect this ASU to have a material impact on our consolidated financial statements.</w:t>
      </w:r>
    </w:p>
    <w:p>
      <w:pPr>
        <w:spacing w:after="0" w:line="1400" w:lineRule="exact"/>
        <w:rPr>
          <w:sz w:val="20"/>
          <w:szCs w:val="20"/>
          <w:color w:val="auto"/>
        </w:rPr>
      </w:pPr>
    </w:p>
    <w:p>
      <w:pPr>
        <w:sectPr>
          <w:pgSz w:w="11900" w:h="16838" w:orient="portrait"/>
          <w:cols w:equalWidth="0" w:num="2">
            <w:col w:w="7780" w:space="160"/>
            <w:col w:w="3300"/>
          </w:cols>
          <w:pgMar w:left="320" w:top="124" w:right="339" w:bottom="1440" w:gutter="0" w:footer="0" w:header="0"/>
          <w:type w:val="continuous"/>
        </w:sect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Flows—Supplemental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supplemental disclosures related to the Consolidated Statements of Cash Flows: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gridSpan w:val="4"/>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0"/>
        </w:trPr>
        <w:tc>
          <w:tcPr>
            <w:tcW w:w="8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4"/>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2"/>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interest costs incurred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145,100</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 capitalized</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(10,408)</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134,692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135,387</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121,380</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TRANSACTIONS: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Mortgage note receivable repaid with property acquisition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shares repurchased but not yet settled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under dividend reinvestment plan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29"/>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DownREIT operating partnership units issued with acquisition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DownREIT operating partnership units redeemed for common shares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395"/>
        </w:trPr>
        <w:tc>
          <w:tcPr>
            <w:tcW w:w="8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24"/>
                <w:szCs w:val="24"/>
                <w:color w:val="auto"/>
              </w:rPr>
            </w:pPr>
          </w:p>
        </w:tc>
        <w:tc>
          <w:tcPr>
            <w:tcW w:w="11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4"/>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109,728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107,415</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 (1)</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10,291</w:t>
            </w:r>
          </w:p>
        </w:tc>
        <w:tc>
          <w:tcPr>
            <w:tcW w:w="0" w:type="dxa"/>
            <w:vAlign w:val="bottom"/>
          </w:tcPr>
          <w:p>
            <w:pPr>
              <w:spacing w:after="0"/>
              <w:rPr>
                <w:sz w:val="1"/>
                <w:szCs w:val="1"/>
                <w:color w:val="auto"/>
              </w:rPr>
            </w:pP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132,672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117,706</w:t>
            </w: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Restricted cash balances are included in "prepaid expenses and other assets" on our consolidated balance sheets.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3—REAL ESTATE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6, 2026, we purchased the fee interest under one of our ground leases at Bethesda Row for $2.5 million.</w:t>
      </w:r>
    </w:p>
    <w:p>
      <w:pPr>
        <w:spacing w:after="0" w:line="10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March 12, 2026, we acquired the fee interest in Congressional North Shopping Center, a 217,000 square foot, grocery-anchored shopping center in Rockville, Maryland for $72.3 million. This purchase was completed in a multi-step transaction, and was funded with a combination of cash and the issuance of 2,513 downREIT operating partnership units, net of the repayment of two mortgage notes receivable that were included on our consolidated balance sheets at December 31, 2025. Approximately $5.2 million and $0.1 million of net assets acquired were allocated to other assets for "acquired lease costs" and "above market leases," respectively, and $1.5 million of net assets acquired were allocated to other liabilities for "below market leases."</w:t>
      </w:r>
    </w:p>
    <w:p>
      <w:pPr>
        <w:spacing w:after="0" w:line="4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April 17, 2026, we acquired the fee interest in an 88,000 square foot retail building and a parking garage, which will be operated as part of Kingstowne Towne Center, for $19.7 million. Approximately $2.2 million and $0.2 million of net assets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acquired were allocated to other assets for "acquired lease costs" and "above market leases," respectively, and $2.8 million of net assets acquired were allocated to other liabilities for "below market leases."</w:t>
      </w:r>
    </w:p>
    <w:p>
      <w:pPr>
        <w:spacing w:after="0" w:line="27"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we sold a residential building at our Santana Row property, our Barcroft Plaza property, our Courthouse Center property, a building at our CocoWalk property, and our North Dartmouth property for a combined sales price of $227.1 million, resulting in a net gain of $113.3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4—DEBT</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February 19, 2026, we borrowed $250.0 million under the unsecured term loan agreement that we entered into on November 17, 2025. See Note 5 to the consolidated financial statements contained in our Annual Report on Form 10-K for the year ended December 31, 2025 for additional details regarding this term loan.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During the nine months ended September 30, 2026, we repaid the following debt, at par:</w:t>
            </w:r>
          </w:p>
        </w:tc>
        <w:tc>
          <w:tcPr>
            <w:tcW w:w="1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38"/>
        </w:trPr>
        <w:tc>
          <w:tcPr>
            <w:tcW w:w="6660" w:type="dxa"/>
            <w:vAlign w:val="bottom"/>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Payoff Amount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Repayment Date</w:t>
            </w:r>
          </w:p>
        </w:tc>
      </w:tr>
      <w:tr>
        <w:trPr>
          <w:trHeight w:val="208"/>
        </w:trPr>
        <w:tc>
          <w:tcPr>
            <w:tcW w:w="6660" w:type="dxa"/>
            <w:vAlign w:val="bottom"/>
          </w:tcPr>
          <w:p>
            <w:pPr>
              <w:spacing w:after="0"/>
              <w:rPr>
                <w:sz w:val="18"/>
                <w:szCs w:val="18"/>
                <w:color w:val="auto"/>
              </w:rPr>
            </w:pPr>
          </w:p>
        </w:tc>
        <w:tc>
          <w:tcPr>
            <w:tcW w:w="174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1.25% Senior Notes</w:t>
            </w:r>
          </w:p>
        </w:tc>
        <w:tc>
          <w:tcPr>
            <w:tcW w:w="1740" w:type="dxa"/>
            <w:vAlign w:val="bottom"/>
            <w:shd w:val="clear" w:color="auto" w:fill="CCEEFF"/>
          </w:tcPr>
          <w:p>
            <w:pPr>
              <w:jc w:val="right"/>
              <w:ind w:right="153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17, 2026</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Two Hoboken mortgage loans</w:t>
            </w:r>
          </w:p>
        </w:tc>
        <w:tc>
          <w:tcPr>
            <w:tcW w:w="1740" w:type="dxa"/>
            <w:vAlign w:val="bottom"/>
          </w:tcPr>
          <w:p>
            <w:pPr>
              <w:jc w:val="right"/>
              <w:ind w:right="153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2026</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Six Hoboken mortgage loans</w:t>
            </w:r>
          </w:p>
        </w:tc>
        <w:tc>
          <w:tcPr>
            <w:tcW w:w="1740" w:type="dxa"/>
            <w:vAlign w:val="bottom"/>
            <w:shd w:val="clear" w:color="auto" w:fill="CCEEFF"/>
          </w:tcPr>
          <w:p>
            <w:pPr>
              <w:jc w:val="right"/>
              <w:ind w:right="153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1, 2026</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Bell Gardens mortgage loan</w:t>
            </w:r>
          </w:p>
        </w:tc>
        <w:tc>
          <w:tcPr>
            <w:tcW w:w="1740" w:type="dxa"/>
            <w:vAlign w:val="bottom"/>
          </w:tcPr>
          <w:p>
            <w:pPr>
              <w:jc w:val="right"/>
              <w:ind w:right="153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30, 2026</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7.48% Debentures</w:t>
            </w:r>
          </w:p>
        </w:tc>
        <w:tc>
          <w:tcPr>
            <w:tcW w:w="1740" w:type="dxa"/>
            <w:vAlign w:val="bottom"/>
            <w:shd w:val="clear" w:color="auto" w:fill="CCEEFF"/>
          </w:tcPr>
          <w:p>
            <w:pPr>
              <w:jc w:val="right"/>
              <w:ind w:right="153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17, 2026</w:t>
            </w:r>
          </w:p>
        </w:tc>
      </w:tr>
    </w:tbl>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April 14, 2026, we amended and restated our revolving credit facility, increasing the borrowing capacity from $1.25 billion to $1.4 billion, lowering the spread over SOFR from 77.5 basis points to 72.5 basis points based on our current credit rating, and extending the maturity date to April 12, 2030, plus two six-month extensions, at our option. In addition, we have an option to increase the credit facility through an accordion feature to $2.0 billion. The revolving credit facility requires an annual facility fee which is $2.1 million under the amended credit agreement, based on our current credit rating.</w:t>
      </w:r>
    </w:p>
    <w:p>
      <w:pPr>
        <w:spacing w:after="0" w:line="4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maximum amount of borrowings outstanding under our revolving credit facility was $346.8 million and $699.5 million, respectively. The weighted average amount of borrowings outstanding was $141.7 million and $298.6 million, respectively, and the weighted average interest rate, before amortization of debt fees, was 4.3% and 4.4%, respectively, for the three and nine months ended September 30, 2026. At September 30, 2026, our revolving credit facility had no balance outstanding.</w:t>
      </w:r>
    </w:p>
    <w:p>
      <w:pPr>
        <w:spacing w:after="0" w:line="5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revolving credit facility, unsecured term loans, and certain notes require us to comply with various financial covenants, including the maintenance of minimum shareholders' equity and debt coverage ratios and a maximum ratio of debt to net worth. As of September 30, 2026, we were in compliance with all default-related debt covenants.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Exchangeable Senior Notes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2031 Exchangeable Senior Notes Issuance</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August 11, 2026, our Operating Partnership issued $460.0 million aggregate principal amount of 3.50% Exchangeable Senior Notes due 2031 (the "2031 Notes") in a private placement. The 2031 Notes bear interest at an annual rate of 3.50%, payable semiannually in arrears on February 15th and August 15th of each year, beginning February 15, 2027. The 2031 Notes mature on August 15, 2031, unless earlier exchanged, purchased, or redeemed. Net proceeds after the initial purchaser's discount and offering costs were approximately $450.8 million. Interest expense, including $0.3 million of debt issuance cost amortization, was $2.5 million related to the 2031 Notes for the three and nine months ended September 30, 2026. Including the debt issuance cost amortization, the current effective interest rate on the 2031 Notes is approximately 4.0%. The unamortized debt issuance costs related to the 2031 Notes were $9.0 million at September 30, 2026.</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Prior to May 15, 2031, the 2031 Notes will be exchangeable at the option of the holders only upon certain circumstances and during certain periods. On or after May 15, 2031, until the close of business on the second scheduled trading day immediately preceding the maturity date of the 2031 Notes, holders may exchange their 2031 Notes at any time. Exchanges will be settled by delivering cash up to the principal amount of the 2031 Notes exchanged, and if applicable, cash, common shares of the Trust, or a combination thereof at our option, in respect of the remainder, if any, of the exchange obligation in excess of the principal amount. If we elect to settle any portion of the exchange obligation in excess of the principal amount with shares of the Trust, an equivalent number of common units will be issued by the Operating Partnership to the Trust. The exchange rate initially equals 7.2179 common shares per $1,000 principal amount of the 2031 Notes (which is equivalent to an exchange price of approximately $138.54 per common share and reflects an exchange premium of approximately 17.5% based on the closing price of $117.91 on August 6, 2026). The initial exchange rate is subject to adjustment upon the occurrence of certain events,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in the event of a payment of a quarterly dividend in excess of $1.16 per share, but will not be adjusted for any accrued and unpaid interest.</w:t>
      </w:r>
    </w:p>
    <w:p>
      <w:pPr>
        <w:spacing w:after="0" w:line="17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Operating Partnership may redeem the 2031 Notes, at its option, in whole or in part, on or after August 20, 2029 if the last reported sales price of the common shares has been at least 130% of the exchange price then in effect for at least 20 trading days (whether or not consecutive) during any 30 day consecutive trading period (including the last trading day of such period) ending on, and including, the trading day immediately preceding the date on which the Operating Partnership provides notice of redemption. The redemption price will be equal to 100% of the principal amount of the 2031 Notes to be redeemed, plus accrued and unpaid interest, if any, to, but excluding, the redemption date.</w:t>
      </w:r>
    </w:p>
    <w:p>
      <w:pPr>
        <w:spacing w:after="0" w:line="1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connection with the 2031 Notes, we entered into privately negotiated capped call transactions with certain financial institutions. The capped call transactions cover, subject to customary adjustments, the number of our common shares that initially underlie the 2031 Notes. The capped call transactions are expected generally to reduce the potential dilution to our common shares upon exchange of any 2031 Notes and/or offset any cash payments we are required to make in excess of the principal amount of the 2031 Notes, with such reduction and/or offset subject to a cap. The cap price of the capped call transaction initially is approximately $165.07 per share, and is subject to certain adjustments under the terms of the capped call transactions. A portion of the proceeds from the 2031 Notes were used to pay the capped call premium of $21.7 million, which is recorded in shareholders' equity for the Trust and capital for the Partnership.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2029 Exchangeable Senior Notes</w:t>
      </w:r>
    </w:p>
    <w:p>
      <w:pPr>
        <w:spacing w:after="0" w:line="67"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The Operating Partnership has $485.0 million aggregate principal amount of 3.25% Exchangeable Senior Notes due 2029 (the “2029 Notes”) outstanding at September 30, 2026. Exchanges will be settled by delivering cash up to the principal amount of the 2029 Notes exchanged, and if applicable, cash, common shares of the Trust, or a combination thereof at our option, in respect of the remainder, if any, of the exchange obligation in excess of the principal amount. See Note 5 to our consolidated financial statements contained in our Annual Report on Form 10-K for the year ended December 31, 2025 for a complete description of the 2029 Notes, including the exchange, settlement and capped call terms. Interest expense related to the 2029 Notes was</w:t>
      </w:r>
    </w:p>
    <w:p>
      <w:pPr>
        <w:spacing w:after="0" w:line="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$4.6 million for both the three months ended September 30, 2026 and 2025, and includes debt issuance cost amortization of $0.7 million for both periods. Interest expense related to the 2029 Notes was $13.8 million for both the nine months ended September 30, 2026 and 2025, and includes debt issuance cost amortization of $2.0 million for both periods. Including the debt issuance cost amortization, the current effective interest rate on the 2029 Notes is approximately 3.9%. The unamortized debt issuance costs related to the 2029 Notes were $6.2 million at September 30, 2026.</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5—FAIR VALUE OF FINANCIAL INSTRUMENTS</w:t>
      </w:r>
    </w:p>
    <w:p>
      <w:pPr>
        <w:spacing w:after="0" w:line="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Pr>
          <w:p>
            <w:pPr>
              <w:spacing w:after="0"/>
              <w:rPr>
                <w:sz w:val="16"/>
                <w:szCs w:val="16"/>
                <w:color w:val="auto"/>
              </w:rPr>
            </w:pPr>
          </w:p>
        </w:tc>
        <w:tc>
          <w:tcPr>
            <w:tcW w:w="2520" w:type="dxa"/>
            <w:vAlign w:val="bottom"/>
            <w:gridSpan w:val="3"/>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339"/>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3"/>
                <w:szCs w:val="13"/>
                <w:color w:val="auto"/>
              </w:rPr>
            </w:pPr>
          </w:p>
        </w:tc>
        <w:tc>
          <w:tcPr>
            <w:tcW w:w="1120" w:type="dxa"/>
            <w:vAlign w:val="bottom"/>
          </w:tcPr>
          <w:p>
            <w:pPr>
              <w:jc w:val="right"/>
              <w:ind w:right="319"/>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3"/>
                <w:szCs w:val="13"/>
                <w:color w:val="auto"/>
              </w:rPr>
            </w:pPr>
          </w:p>
        </w:tc>
        <w:tc>
          <w:tcPr>
            <w:tcW w:w="110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4"/>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Mortgages and notes payable, net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1,493,815</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1,491,507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1,579,090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1,572,977</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and debentures,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2,459,917</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2,213,590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2,887,190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2,743,096</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Exchangeable senior notes, net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929,852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933,203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476,820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492,912</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our outstanding interest rate swap agreements as of September 30, 2026:</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Swap</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00" w:type="dxa"/>
            <w:vAlign w:val="bottom"/>
          </w:tcPr>
          <w:p>
            <w:pPr>
              <w:spacing w:after="0"/>
              <w:rPr>
                <w:sz w:val="13"/>
                <w:szCs w:val="13"/>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Maturity Date of Related Swap</w:t>
            </w:r>
          </w:p>
        </w:tc>
        <w:tc>
          <w:tcPr>
            <w:tcW w:w="13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3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Pr>
          <w:p>
            <w:pPr>
              <w:spacing w:after="0"/>
              <w:rPr>
                <w:sz w:val="13"/>
                <w:szCs w:val="13"/>
                <w:color w:val="auto"/>
              </w:rPr>
            </w:pPr>
          </w:p>
        </w:tc>
        <w:tc>
          <w:tcPr>
            <w:tcW w:w="90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2200" w:type="dxa"/>
            <w:vAlign w:val="bottom"/>
            <w:gridSpan w:val="2"/>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3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3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 million term loan</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2028</w:t>
            </w: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4.17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80" w:type="dxa"/>
            <w:vAlign w:val="bottom"/>
            <w:shd w:val="clear" w:color="auto" w:fill="CCEEFF"/>
          </w:tcPr>
          <w:p>
            <w:pPr>
              <w:spacing w:after="0"/>
              <w:rPr>
                <w:sz w:val="20"/>
                <w:szCs w:val="20"/>
                <w:color w:val="auto"/>
              </w:rPr>
            </w:pPr>
          </w:p>
        </w:tc>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2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Hoboken</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December 15, 2029</w:t>
            </w:r>
          </w:p>
        </w:tc>
        <w:tc>
          <w:tcPr>
            <w:tcW w:w="740" w:type="dxa"/>
            <w:vAlign w:val="bottom"/>
            <w:tcBorders>
              <w:bottom w:val="single" w:sz="8" w:color="CCEEFF"/>
            </w:tcBorders>
          </w:tcPr>
          <w:p>
            <w:pPr>
              <w:spacing w:after="0"/>
              <w:rPr>
                <w:sz w:val="19"/>
                <w:szCs w:val="19"/>
                <w:color w:val="auto"/>
              </w:rPr>
            </w:pPr>
          </w:p>
        </w:tc>
        <w:tc>
          <w:tcPr>
            <w:tcW w:w="39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3.67 %  Prepaid expenses and other assets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8"/>
        </w:trPr>
        <w:tc>
          <w:tcPr>
            <w:tcW w:w="2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CCEEFF"/>
            </w:tcBorders>
            <w:vMerge w:val="restart"/>
          </w:tcPr>
          <w:p>
            <w:pPr>
              <w:jc w:val="right"/>
              <w:ind w:right="442"/>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fair values of the interest rate swap agreements are based on the estimated amounts we would receive or pay to terminate the contracts at the reporting date and are determined using interest rate pricing models and interest rate related observable inputs. For the three and nine months ended September 30, 2026, the value of our interest rate swaps increased $3.9 million and $9.3 million, respectively (including $0.6 million and $1.9 million, respectively, reclassified from other comprehensive income as a decrease to interest expense). A summary of our net financial assets that are measured at fair value on a recurring basis, by level within the fair value hierarchy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0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1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0" w:type="dxa"/>
            <w:vAlign w:val="bottom"/>
          </w:tcPr>
          <w:p>
            <w:pPr>
              <w:spacing w:after="0"/>
              <w:rPr>
                <w:sz w:val="16"/>
                <w:szCs w:val="16"/>
                <w:color w:val="auto"/>
              </w:rPr>
            </w:pPr>
          </w:p>
        </w:tc>
      </w:tr>
      <w:tr>
        <w:trPr>
          <w:trHeight w:val="23"/>
        </w:trPr>
        <w:tc>
          <w:tcPr>
            <w:tcW w:w="28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282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3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2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72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   11,902</w:t>
            </w:r>
          </w:p>
        </w:tc>
        <w:tc>
          <w:tcPr>
            <w:tcW w:w="78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2,601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r>
    </w:tbl>
    <w:p>
      <w:pPr>
        <w:spacing w:after="0" w:line="15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Three of our equity method investees have interest rate swaps which qualify for cash flow hedge accounting. For the three and nine months ended September 30, 2026, our share of the change in fair value of the related swaps included in "accumulated other comprehensive income" was $1.2 million and $2.1 million,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6—COMMITMENTS AND CONTINGENCIES</w:t>
      </w:r>
    </w:p>
    <w:p>
      <w:pPr>
        <w:spacing w:after="0" w:line="10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3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Under the terms of certain partnership agreements, the partners have the right to exchange their operating partnership units for cash or common shares, at our option. As of September 30, 2026, a total of 526,408 downREIT operating partnership units were outstanding which had a total fair value of approximately $57.0 million, which is calculated by multiplying the outstanding number of downREIT partnership units by our closing stock price on September 30, 2026.</w:t>
      </w:r>
    </w:p>
    <w:p>
      <w:pPr>
        <w:spacing w:after="0" w:line="126"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On September 29, 2026, we acquired the approximately 10% noncontrolling interest in the partnership that owns our Fourth Street property for $1.8 million, bringing our ownership to 100%.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7—SHAREHOLDERS’ EQUITY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dividends declared and paid per share:</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8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
        </w:trPr>
        <w:tc>
          <w:tcPr>
            <w:tcW w:w="7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7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r>
      <w:tr>
        <w:trPr>
          <w:trHeight w:val="196"/>
        </w:trPr>
        <w:tc>
          <w:tcPr>
            <w:tcW w:w="7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Paid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200" w:type="dxa"/>
            <w:vAlign w:val="bottom"/>
          </w:tcPr>
          <w:p>
            <w:pPr>
              <w:spacing w:after="0"/>
              <w:rPr>
                <w:sz w:val="17"/>
                <w:szCs w:val="17"/>
                <w:color w:val="auto"/>
              </w:rPr>
            </w:pP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Paid</w:t>
            </w:r>
          </w:p>
        </w:tc>
      </w:tr>
      <w:tr>
        <w:trPr>
          <w:trHeight w:val="229"/>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r>
      <w:tr>
        <w:trPr>
          <w:trHeight w:val="230"/>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5.417% Series 1 Cumulative Convertible Preferred shares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3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3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 Series C Cumulative Redeemable Preferred shares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0.938</w:t>
            </w:r>
          </w:p>
        </w:tc>
        <w:tc>
          <w:tcPr>
            <w:tcW w:w="3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0.938</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Amount represents dividends per depository share, each representing 1/1000th of a share.</w:t>
      </w:r>
    </w:p>
    <w:p>
      <w:pPr>
        <w:spacing w:after="0" w:line="2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an at-the-market ("ATM") equity program under which we may from time to time offer and sell common shares up to an aggregate offering price of $750.0 million. Our ATM program also allows shares to be sold through forward sales contracts. We intend to use the net proceeds to fund potential acquisition opportunities, fund our development and redevelopment pipeline, repay indebtedness and/or for general corporate purposes.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During the nine months ended September 30, 2026, we issued 493,374 common shares at a weighted average price per share of $123.92 for net cash proceeds of $60.3 million including paying $0.6 million in commissions and $0.2 million in additional offering expenses related to the sales of these common shares. We have the remaining capacity to issue up to $688.9 million in common shares under our ATM equity program as of September 30, 2026.</w:t>
      </w:r>
    </w:p>
    <w:p>
      <w:pPr>
        <w:spacing w:after="0" w:line="3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April 10, 2025, we announced that our Board of Trustees had approved the repurchase of up to $300.0 million of our outstanding common shares. During the three and nine months ended September 30, 2026, we repurchased 591,113 common shares for $65.0 million (52,838 shares of which settled in October 2026), at a weighted average purchase price per share of $109.94. Common shares we repurchase are automatically retired and considered authorized, but unissued shares.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8—SHARE-BASED COMPENSATION PLANS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share-based compensation expense included in net income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20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6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7"/>
                <w:szCs w:val="17"/>
                <w:color w:val="auto"/>
              </w:rPr>
            </w:pPr>
          </w:p>
        </w:tc>
      </w:tr>
      <w:tr>
        <w:trPr>
          <w:trHeight w:val="23"/>
        </w:trPr>
        <w:tc>
          <w:tcPr>
            <w:tcW w:w="6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6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6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Grants of common shares, restricted stock units, and options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12,364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11,634</w:t>
            </w:r>
          </w:p>
        </w:tc>
      </w:tr>
      <w:tr>
        <w:trPr>
          <w:trHeight w:val="229"/>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share-based compensation</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11,691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10,913</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9—EARNINGS PER SHARE AND UNIT</w:t>
      </w:r>
    </w:p>
    <w:p>
      <w:pPr>
        <w:spacing w:after="0" w:line="108"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We have calculated earnings per share (“EPS”) and earnings per unit ("EPU") under the two-class method. The two-class method is an earnings allocation methodology whereby EPS and EPU for each class of common stock and partnership units, respectively, and participating securities is calculated according to dividends or distributions declared and participation rights in undistributed earnings. For the three and nine months ended September 30, 2026 and 2025, we had 0.3 million weighted average unvested shares and units outstanding, which are considered participating securities. Therefore, we have allocated our earnings for basic and diluted EPS and EPU between common shares and units and unvested shares and units; the portion of earnings allocated to the unvested shares and units is reflected as “earnings allocated to unvested shares” or "earnings allocated to unvested units" in the reconciliations below.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potentially issuable shares were excluded from the diluted EPS and EPU calculations because their impact is anti-dilutive:</w:t>
      </w:r>
    </w:p>
    <w:p>
      <w:pPr>
        <w:spacing w:after="0" w:line="63" w:lineRule="exact"/>
        <w:rPr>
          <w:sz w:val="20"/>
          <w:szCs w:val="20"/>
          <w:color w:val="auto"/>
        </w:rPr>
      </w:pPr>
    </w:p>
    <w:p>
      <w:pPr>
        <w:ind w:left="660" w:right="80" w:hanging="328"/>
        <w:spacing w:after="0" w:line="279"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exercise of 3,019 stock options for the three months ended September 30, 2025, and 1,190 stock options for the nine months ended September 30, 2026 and 2025,</w:t>
      </w:r>
    </w:p>
    <w:p>
      <w:pPr>
        <w:spacing w:after="0" w:line="4" w:lineRule="exact"/>
        <w:rPr>
          <w:rFonts w:ascii="Times New Roman" w:cs="Times New Roman" w:eastAsia="Times New Roman" w:hAnsi="Times New Roman"/>
          <w:sz w:val="18"/>
          <w:szCs w:val="18"/>
          <w:b w:val="1"/>
          <w:bCs w:val="1"/>
          <w:color w:val="auto"/>
        </w:rPr>
      </w:pPr>
    </w:p>
    <w:p>
      <w:pPr>
        <w:ind w:left="660" w:right="560" w:hanging="328"/>
        <w:spacing w:after="0" w:line="279"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conversions of downREIT operating partnership units for the three months ended September 30, 2026 and the three and nine months ended September 30, 2025,</w:t>
      </w:r>
    </w:p>
    <w:p>
      <w:pPr>
        <w:spacing w:after="0" w:line="4" w:lineRule="exact"/>
        <w:rPr>
          <w:rFonts w:ascii="Times New Roman" w:cs="Times New Roman" w:eastAsia="Times New Roman" w:hAnsi="Times New Roman"/>
          <w:sz w:val="18"/>
          <w:szCs w:val="18"/>
          <w:b w:val="1"/>
          <w:bCs w:val="1"/>
          <w:color w:val="auto"/>
        </w:rPr>
      </w:pPr>
    </w:p>
    <w:p>
      <w:pPr>
        <w:ind w:left="660" w:right="100" w:hanging="328"/>
        <w:spacing w:after="0" w:line="279"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conversions of 5.417% Series 1 Cumulative Convertible Preferred Shares and units for both the three and nine months ended September 30, 2026 and 2025, and</w:t>
      </w:r>
    </w:p>
    <w:p>
      <w:pPr>
        <w:spacing w:after="0" w:line="4" w:lineRule="exact"/>
        <w:rPr>
          <w:rFonts w:ascii="Times New Roman" w:cs="Times New Roman" w:eastAsia="Times New Roman" w:hAnsi="Times New Roman"/>
          <w:sz w:val="18"/>
          <w:szCs w:val="18"/>
          <w:b w:val="1"/>
          <w:bCs w:val="1"/>
          <w:color w:val="auto"/>
        </w:rPr>
      </w:pPr>
    </w:p>
    <w:p>
      <w:pPr>
        <w:ind w:left="660" w:right="260" w:hanging="328"/>
        <w:spacing w:after="0" w:line="281"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issuance of 0.5 million shares and units issuable under common share forward sales agreements for the period they were outstanding during the nine months ended September 30, 2025.</w:t>
      </w:r>
    </w:p>
    <w:p>
      <w:pPr>
        <w:spacing w:after="0" w:line="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Potentially issuable shares and units in exchange for the 3.50% Exchangeable Senior Notes due 2031 for the three and nine months ended September 30, 2026, and the 3.25% Exchangeable Senior Notes due 2029 for both the three and nine months ended September 30, 2026 and 2025, did not have a dilutive effect on the diluted EPS and EPU calculations.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Realty Investment Trust Earnings per Share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7"/>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6"/>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2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tcBorders>
              <w:top w:val="single" w:sz="8" w:color="auto"/>
              <w:bottom w:val="single" w:sz="8" w:color="auto"/>
            </w:tcBorders>
            <w:gridSpan w:val="3"/>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11"/>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64,499</w:t>
            </w:r>
          </w:p>
        </w:tc>
        <w:tc>
          <w:tcPr>
            <w:tcW w:w="10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291,033</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Preferred share dividends</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Income from operations attributable to noncontrolling interests</w:t>
            </w: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Earnings allocated to unvested shares</w:t>
            </w:r>
          </w:p>
        </w:tc>
        <w:tc>
          <w:tcPr>
            <w:tcW w:w="8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shareholders, basic</w:t>
            </w: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303,884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274,345</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Income attributable to downREIT operating partnership units</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shareholders, diluted</w:t>
            </w:r>
          </w:p>
        </w:tc>
        <w:tc>
          <w:tcPr>
            <w:tcW w:w="8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63,816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59,317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305,679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274,345</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85,978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86,262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85,808</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DownREIT operating partnership units</w:t>
            </w: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BASIC &amp; DILUTED:</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122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Federal Realty OP LP Earnings per Unit</w:t>
            </w:r>
          </w:p>
        </w:tc>
        <w:tc>
          <w:tcPr>
            <w:tcW w:w="8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5"/>
        </w:trPr>
        <w:tc>
          <w:tcPr>
            <w:tcW w:w="52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7"/>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6"/>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7"/>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6"/>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5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 unit data)</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68,985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64,499</w:t>
            </w:r>
          </w:p>
        </w:tc>
        <w:tc>
          <w:tcPr>
            <w:tcW w:w="3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318,608</w:t>
            </w:r>
          </w:p>
        </w:tc>
        <w:tc>
          <w:tcPr>
            <w:tcW w:w="20" w:type="dxa"/>
            <w:vAlign w:val="bottom"/>
          </w:tcPr>
          <w:p>
            <w:pPr>
              <w:spacing w:after="0"/>
              <w:rPr>
                <w:sz w:val="19"/>
                <w:szCs w:val="19"/>
                <w:color w:val="auto"/>
              </w:rPr>
            </w:pP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291,033</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Preferred unit distributions</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Income from operations attributable to noncontrolling interests</w:t>
            </w: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Earnings allocated to unvested units</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unit holders, basic</w:t>
            </w:r>
          </w:p>
        </w:tc>
        <w:tc>
          <w:tcPr>
            <w:tcW w:w="1220" w:type="dxa"/>
            <w:vAlign w:val="bottom"/>
            <w:gridSpan w:val="2"/>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63,816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59,317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303,884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274,345</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Income attributable to downREIT operating partnership units</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unit holders, diluted</w:t>
            </w:r>
          </w:p>
        </w:tc>
        <w:tc>
          <w:tcPr>
            <w:tcW w:w="122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63,816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59,317</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305,679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274,345</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units outstanding, basic</w:t>
            </w: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86,558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85,978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86,262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85,808</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DownREIT operating partnership units</w:t>
            </w: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units outstanding, diluted</w:t>
            </w: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86,789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UNIT, BASIC &amp; DILUTED:</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available for common unit holders</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3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3.52</w:t>
            </w:r>
          </w:p>
        </w:tc>
        <w:tc>
          <w:tcPr>
            <w:tcW w:w="20" w:type="dxa"/>
            <w:vAlign w:val="bottom"/>
          </w:tcPr>
          <w:p>
            <w:pPr>
              <w:spacing w:after="0"/>
              <w:rPr>
                <w:sz w:val="19"/>
                <w:szCs w:val="19"/>
                <w:color w:val="auto"/>
              </w:rPr>
            </w:pP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8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0"/>
        </w:trPr>
        <w:tc>
          <w:tcPr>
            <w:tcW w:w="526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10—SUBSEQUENT EVENTS</w:t>
      </w:r>
    </w:p>
    <w:p>
      <w:pPr>
        <w:spacing w:after="0" w:line="10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On October 1, 2026, we acquired the fee interest in The Summit, an 870,000 square foot retail shopping center in Birmingham, Alabama, for $508.0 million. The acquisition was funded on a short-term basis with cash on hand and our revolving credit facility.</w:t>
      </w:r>
    </w:p>
    <w:p>
      <w:pPr>
        <w:spacing w:after="0" w:line="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October 2026, we repurchased and retired an additional 278,635 common shares under our common share repurchase program for $29.7 million, at a weighted average purchase price per share of $106.44.</w:t>
      </w:r>
    </w:p>
    <w:p>
      <w:pPr>
        <w:spacing w:after="0" w:line="27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ind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discussion should be read in conjunction with the consolidated interim financial statements and notes thereto appearing in Item 1 of this report and the more detailed information contained in our Annual Report on </w:t>
      </w:r>
      <w:hyperlink r:id="rId60">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Securities and Exchange Commission (the “SEC”) on February 12, 2026.</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statements included in this Quarterly Report on Form 10-Q are forward-looking statements. Those statements include statements regarding the intent, belief or current expectations of the Company and members of our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w:t>
      </w:r>
    </w:p>
    <w:p>
      <w:pPr>
        <w:spacing w:after="0" w:line="6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following are some of the risks and uncertainties, although not all risks and uncertainties, that could cause our actual results to differ materially from those presented in our forward-looking statements:</w:t>
      </w:r>
    </w:p>
    <w:p>
      <w:pPr>
        <w:ind w:left="340" w:right="70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tenants will not pay rent, may vacate early or may file for bankruptcy or that we may be unable to renew leases or re-let space at favorable rents as leases expire or to fill existing vacancy;</w:t>
      </w:r>
    </w:p>
    <w:p>
      <w:pPr>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5"/>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Times New Roman" w:cs="Times New Roman" w:eastAsia="Times New Roman" w:hAnsi="Times New Roman"/>
          <w:sz w:val="18"/>
          <w:szCs w:val="18"/>
          <w:color w:val="212529"/>
        </w:rPr>
      </w:pPr>
    </w:p>
    <w:p>
      <w:pPr>
        <w:ind w:left="340" w:right="28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growth will be limited if we cannot obtain additional capital, or if the costs of capital we obtain are significantly higher than historical levels;</w:t>
      </w: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general economic conditions, including inflation, tariffs, and local economic conditions in our geographic markets;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ind w:left="340" w:right="52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Trust's status as a real estate investment trust, commonly referred to as a REIT, for federal income tax purposes, such as the existence of complex tax regulations relating to the Trust's status as a REIT, the effect of future changes in REIT requirements as a result of new legislation, and the adverse consequences of the failure to qualify as a REIT; and</w:t>
      </w:r>
    </w:p>
    <w:p>
      <w:pPr>
        <w:spacing w:after="0" w:line="1" w:lineRule="exact"/>
        <w:rPr>
          <w:rFonts w:ascii="Times New Roman" w:cs="Times New Roman" w:eastAsia="Times New Roman" w:hAnsi="Times New Roman"/>
          <w:sz w:val="18"/>
          <w:szCs w:val="18"/>
          <w:color w:val="auto"/>
        </w:rPr>
      </w:pPr>
    </w:p>
    <w:p>
      <w:pPr>
        <w:ind w:left="340" w:right="140" w:hanging="332"/>
        <w:spacing w:after="0" w:line="253"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natural disasters, climate change and public health crises (such as worldwide pandemics),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these uncertainties, readers are cautioned not to place undue reliance on any forward-looking statements that we make, including those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on Form 10-Q. You should carefully review the risks and the risk factors included in our Annual Report on Form 10-K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under Part II, Item 1A in this Quarterly Report on Form 10-Q, before making any investments in us.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Federal Realty Investment Trust is a leader in the ownership, operation, and redevelopment of high-quality retail-based properties located primarily in major coastal markets and select underserved regions that we believe have strong economic and demographic fundamentals. Founded in 1962, our mission is to deliver long-term, sustainable growth through investing in communities where we believe retail demand exceeds supply. This includes a portfolio of open-air shopping centers and mixed-use destinations, which we believe reflect our ability to create distinctive, high-performing environments that serve as vibrant destinations for their communities.</w:t>
      </w:r>
    </w:p>
    <w:p>
      <w:pPr>
        <w:spacing w:after="0" w:line="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Parent Company, which is a REIT, conducts substantially all of its operations and owns substantially all of its assets through the Operating Partnership. The Parent Company owns 100% of the limited liability company interests of, is the sole member of and exercises exclusive control over Federal Realty GP LLC, which is the sole general partner of the Operating Partnership. The Parent Company does not expect to have substantial assets or liabilities other than through its investment in the Operating Partnership. Unless stated otherwise or the context otherwise requires, "we," "our," and "us" means the Trust and its business and operations conducted through its directly and indirectly owned subsidiaries, including the Operating Partnership.</w:t>
      </w:r>
    </w:p>
    <w:p>
      <w:pPr>
        <w:spacing w:after="0" w:line="6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As of September 30, 2026, we owned or had a majority interest in community and neighborhood shopping centers and mixed-use properties which are operated as 102 predominantly retail real estate projects comprising approximately 28.8 million commercial square feet. In total, the real estate projects were 96.5% leased and 93.8% occupied at September 30,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Economic Conditions</w:t>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Significant uncertainty continues within the macro-economic and political environment including elevated inflation and interest rates, geopolitical instability, changes in tariffs and their impact on trade and prices, increases or decreases in federal and state government spending, and potentially worsening economic conditions, which presents risks for our business and tenants. We continue to monitor and address risks related to the general state of the economy. We believe the actions we have taken to maintain a strong financial position and reinforce our liquidity will continue to mitigate the negative short-term impacts of the current environment. The extent of the future effects on our business, results of operations, cash flows, and growth strategies is highly uncertain and will ultimately depend on future developments, none of which can be predicted.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further discussion of the impact of current economic conditions on our business throughout Item 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the critical accounting policies disclosed in “Management’s Discussion and Analysis of Financial Condition and Results of Operations” in our 2025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Acquisitions and Dispositions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6, 2026, we purchased the fee interest under one of our ground leases at Bethesda Row for $2.5 million.</w:t>
      </w:r>
    </w:p>
    <w:p>
      <w:pPr>
        <w:spacing w:after="0" w:line="9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March 12, 2026, we acquired the fee interest in Congressional North Shopping Center, a 217,000 square foot, grocery-anchored shopping center in Rockville, Maryland for $72.3 million. This purchase was completed in a multi-step transaction, and was funded with a combination of cash and the issuance of 2,513 downREIT operating partnership units, net of the repayment of two mortgage notes receivable that were included on our consolidated balance sheets at December 31, 2025. Approximately $5.2 million and $0.1 million of net assets acquired were allocated to other assets for "acquired lease costs" and "above market leases," respectively, and $1.5 million of net assets acquired were allocated to other liabilities for "below market leases."</w:t>
      </w:r>
    </w:p>
    <w:p>
      <w:pPr>
        <w:spacing w:after="0" w:line="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April 17, 2026, we acquired the fee interest in an 88,000 square foot retail building and a parking garage, which will be operated as part of Kingstowne Towne Center, for $19.7 million. Approximately $2.2 million and $0.2 million of net assets acquired were allocated to other assets for "acquired lease costs" and "above market leases," respectively, and $2.8 million of net assets acquired were allocated to other liabilities for "below market leases."</w:t>
      </w:r>
    </w:p>
    <w:p>
      <w:pPr>
        <w:spacing w:after="0" w:line="54"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we sold a residential building at our Santana Row property, our Barcroft Plaza property, our Courthouse Center property, a building at our CocoWalk property, and our North Dartmouth property for a combined sales price of $227.1 million, resulting in a net gain of $113.3 million.</w:t>
      </w:r>
    </w:p>
    <w:p>
      <w:pPr>
        <w:spacing w:after="0" w:line="4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 October 1, 2026, we acquired the fee interest in The Summit, an 870,000 square foot retail shopping center in Birmingham, Alabama, for $508.0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Transactions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February 19, 2026, we borrowed $250.0 million under the unsecured term loan agreement that we entered into on November 17, 2025. See Note 5 to the consolidated financial statements contained in our Annual Report on Form 10-K for the year ended December 31, 2025 for additional details regarding this term loan.</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During 2026, we repaid the following debt, at par:</w:t>
            </w:r>
          </w:p>
        </w:tc>
        <w:tc>
          <w:tcPr>
            <w:tcW w:w="1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38"/>
        </w:trPr>
        <w:tc>
          <w:tcPr>
            <w:tcW w:w="6660" w:type="dxa"/>
            <w:vAlign w:val="bottom"/>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Payoff Amount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Repayment Date</w:t>
            </w:r>
          </w:p>
        </w:tc>
      </w:tr>
      <w:tr>
        <w:trPr>
          <w:trHeight w:val="208"/>
        </w:trPr>
        <w:tc>
          <w:tcPr>
            <w:tcW w:w="6660" w:type="dxa"/>
            <w:vAlign w:val="bottom"/>
          </w:tcPr>
          <w:p>
            <w:pPr>
              <w:spacing w:after="0"/>
              <w:rPr>
                <w:sz w:val="18"/>
                <w:szCs w:val="18"/>
                <w:color w:val="auto"/>
              </w:rPr>
            </w:pPr>
          </w:p>
        </w:tc>
        <w:tc>
          <w:tcPr>
            <w:tcW w:w="174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1.25% Senior Notes</w:t>
            </w:r>
          </w:p>
        </w:tc>
        <w:tc>
          <w:tcPr>
            <w:tcW w:w="1740" w:type="dxa"/>
            <w:vAlign w:val="bottom"/>
            <w:shd w:val="clear" w:color="auto" w:fill="CCEEFF"/>
          </w:tcPr>
          <w:p>
            <w:pPr>
              <w:jc w:val="right"/>
              <w:ind w:right="153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17, 2026</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Two Hoboken mortgage loans</w:t>
            </w:r>
          </w:p>
        </w:tc>
        <w:tc>
          <w:tcPr>
            <w:tcW w:w="1740" w:type="dxa"/>
            <w:vAlign w:val="bottom"/>
          </w:tcPr>
          <w:p>
            <w:pPr>
              <w:jc w:val="right"/>
              <w:ind w:right="153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2026</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Six Hoboken mortgage loans</w:t>
            </w:r>
          </w:p>
        </w:tc>
        <w:tc>
          <w:tcPr>
            <w:tcW w:w="1740" w:type="dxa"/>
            <w:vAlign w:val="bottom"/>
            <w:shd w:val="clear" w:color="auto" w:fill="CCEEFF"/>
          </w:tcPr>
          <w:p>
            <w:pPr>
              <w:jc w:val="right"/>
              <w:ind w:right="153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1, 2026</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Bell Gardens mortgage loan</w:t>
            </w:r>
          </w:p>
        </w:tc>
        <w:tc>
          <w:tcPr>
            <w:tcW w:w="1740" w:type="dxa"/>
            <w:vAlign w:val="bottom"/>
          </w:tcPr>
          <w:p>
            <w:pPr>
              <w:jc w:val="right"/>
              <w:ind w:right="153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30, 2026</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7.48% Debentures</w:t>
            </w:r>
          </w:p>
        </w:tc>
        <w:tc>
          <w:tcPr>
            <w:tcW w:w="1740" w:type="dxa"/>
            <w:vAlign w:val="bottom"/>
            <w:shd w:val="clear" w:color="auto" w:fill="CCEEFF"/>
          </w:tcPr>
          <w:p>
            <w:pPr>
              <w:jc w:val="right"/>
              <w:ind w:right="153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August 17, 2026</w:t>
            </w:r>
          </w:p>
        </w:tc>
      </w:tr>
    </w:tbl>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April 14, 2026, we amended and restated our revolving credit facility, increasing the borrowing capacity from $1.25 billion to $1.4 billion, lowering the spread over SOFR from 77.5 basis points to 72.5 basis points based on our current credit rating, and extending the maturity date to April 12, 2030, plus two six-month extensions at our option. In addition, we have an option to increase the credit facility through an accordion feature to $2.0 billion. The revolving credit facility requires an annual facility fee which is $2.1 million under the amended credit agreement, based on our current credit rating. For additional information about the amendment and restatement of our revolving credit facility, see the Current Report on Form 8-K we filed on April 15, 2026.</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2026, the maximum amount of borrowings outstanding under our revolving credit facility was</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$699.5 million. The weighted average amount of borrowings outstanding was $298.6 million and the weighted average interest rate, before amortization of debt fees, was 4.4% for the nine months ended September 30, 2026. At September 30, 2026, our revolving credit facility had no balance outstanding.</w:t>
      </w:r>
    </w:p>
    <w:p>
      <w:pPr>
        <w:spacing w:after="0" w:line="6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revolving credit facility, unsecured term loans, and certain notes require us to comply with various financial covenants, including the maintenance of minimum shareholders' equity and debt coverage ratios and a maximum ratio of debt to net worth. As of September 30, 2026, we were in compliance with all default-related debt covenants.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Exchangeable Senior Notes Issuance</w:t>
      </w:r>
    </w:p>
    <w:p>
      <w:pPr>
        <w:spacing w:after="0" w:line="6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August 11, 2026, our Operating Partnership issued $460.0 million aggregate principal amount of 3.50% Exchangeable Senior Notes due 2031 (the "2031 Notes") in a private placement. The 2031 Notes bear interest at an annual rate of 3.50%, payable semiannually in arrears on February 15th and August 15th of each year, beginning February 15, 2027. The 2031 Notes mature on August 15, 2031, unless earlier exchanged, purchased, or redeemed. Net proceeds after the initial purchaser's discount and offering costs were approximately $450.8 million. Interest expense, including $0.3 million of debt issuance cost amortization, was $2.5 million related to the 2031 Notes for the three and nine months ended September 30, 2026. Including the debt issuance cost amortization, the current effective interest rate on the 2031 Notes is approximately 4.0%. The unamortized debt issuance costs related to the 2031 Notes were $9.0 million at September 30, 2026.</w:t>
      </w:r>
    </w:p>
    <w:p>
      <w:pPr>
        <w:spacing w:after="0" w:line="13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 portion of the proceeds from the 2031 Notes was used to enter into privately negotiated capped call transactions with certain financial institutions. The capped call premium of $21.7 million is recorded in shareholders' equity for the Trust and capital for the Partnership. The capped call transactions cover, subject to customary adjustments, the number of our common shares that initially underlie the 2031 Notes, and are expected generally to reduce the potential dilution to our common shares upon exchange of any 2031 Notes and/or offset any cash payments we are required to make in excess of the principal amount of the 2031 Notes, with such reduction and/or offset subject to a cap.</w:t>
      </w:r>
    </w:p>
    <w:p>
      <w:pPr>
        <w:spacing w:after="0" w:line="1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See Note 4 to our consolidated financial statements for additional information, including the exchange, redemption, and capped call terms for the 2031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Transactions</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an at-the-market ("ATM") equity program under which we may from time to time offer and sell common shares up to an aggregate offering price of $750.0 million. Our ATM program also allows shares to be sold through forward sales contracts. We intend to use the net proceeds to fund potential acquisition opportunities, fund our development and redevelopment pipeline, repay indebtedness and/or for general corporate purposes.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2026, we issued 493,374 common shares under the ATM program at a weighted average price per share of</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$123.92 for net cash proceeds of $60.3 million including paying $0.6 million in commissions and $0.2 million in additional offering expenses related to the sales of these common shares. We have the remaining capacity to issue up to $688.9 million in common shares under our ATM equity program as of September 30, 2026.</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April 10, 2025, we announced that our Board of Trustees had approved the repurchase of up to $300.0 million of our outstanding common shares. During the three and nine months ended September 30, 2026 and during October 2026, we have repurchased and retired a total of 869,748 common shares for $94.7 million, at a weighted average purchase price per share of $108.82. Common shares we repurchase are automatically retired and considered authorized, but unissued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Costs</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certain external and internal costs related to both development and redevelopment activities of $128 million and $6 million, respectively, for the nine months ended September 30, 2026, and $121 million and $6 million for the nine months ended September 30, 2025. We capitalized external and internal costs related to other property improvements of $80 million and $4 million, respectively, for the nine months ended September 30, 2026, and $72 million and $4 million, respectively, for the nine months ended September 30, 2025. We capitalized external and internal costs related to leasing activities of $12 million and $4 million, respectively, for the nine months ended September 30, 2026, and $15 million and $3 million, respectively, for the nine months ended September 30, 2025. The amount of capitalized internal costs for salaries and related benefits for development and redevelopment activities, other property improvements, and leasing activities were $6 million, $3 million, and $4 million, respectively, for the nine months ended September 30, 2026, and $6 million, $3 million, and $3 million, respectively, for the nine months ended September 30, 2025. Total capitalized costs were $234 million and $220 million for the nine months ended September 30, 2026 and 2025,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long-term growth strategy is focused on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our comparable property portfolio,</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portfolio through property acquisitions,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our portfolio from property redevelopments and expansions.</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Although general economic impacts of elevated levels of inflation and higher interest rates are impacting us in the short-term, our long-term focus has not changed. See our Annual Report on Form 10-K filed on February 12, 2026, for additional discussion of our long-term strategies.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12529"/>
        </w:rPr>
        <w:t xml:space="preserve">Our comparable property growth is primarily driven by increases in rental rates on new leases and lease renewals, changes in portfolio occupancy, and the redevelopment of those assets. Over the long-term, </w:t>
      </w:r>
      <w:r>
        <w:rPr>
          <w:rFonts w:ascii="Times New Roman" w:cs="Times New Roman" w:eastAsia="Times New Roman" w:hAnsi="Times New Roman"/>
          <w:sz w:val="18"/>
          <w:szCs w:val="18"/>
          <w:color w:val="000000"/>
        </w:rPr>
        <w:t>the infill nature and strong demographics of our properties provide a strategic advantage allowing us to</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maintain relatively high occupancy and generally increase rental rates. We continue to experience strong demand for our commercial space as evidenced by the </w:t>
      </w:r>
      <w:r>
        <w:rPr>
          <w:rFonts w:ascii="Times New Roman" w:cs="Times New Roman" w:eastAsia="Times New Roman" w:hAnsi="Times New Roman"/>
          <w:sz w:val="18"/>
          <w:szCs w:val="18"/>
          <w:color w:val="212529"/>
        </w:rPr>
        <w:t>2.6</w:t>
      </w:r>
      <w:r>
        <w:rPr>
          <w:rFonts w:ascii="Times New Roman" w:cs="Times New Roman" w:eastAsia="Times New Roman" w:hAnsi="Times New Roman"/>
          <w:sz w:val="18"/>
          <w:szCs w:val="18"/>
          <w:color w:val="000000"/>
        </w:rPr>
        <w:t xml:space="preserve"> million </w:t>
      </w:r>
      <w:r>
        <w:rPr>
          <w:rFonts w:ascii="Times New Roman" w:cs="Times New Roman" w:eastAsia="Times New Roman" w:hAnsi="Times New Roman"/>
          <w:sz w:val="18"/>
          <w:szCs w:val="18"/>
          <w:color w:val="212529"/>
        </w:rPr>
        <w:t>square feet of comparable space leasing we've completed in the last twelve months, and the</w:t>
      </w:r>
      <w:r>
        <w:rPr>
          <w:rFonts w:ascii="Times New Roman" w:cs="Times New Roman" w:eastAsia="Times New Roman" w:hAnsi="Times New Roman"/>
          <w:sz w:val="18"/>
          <w:szCs w:val="18"/>
          <w:color w:val="000000"/>
        </w:rPr>
        <w:t xml:space="preserve"> 2.7% </w:t>
      </w:r>
      <w:r>
        <w:rPr>
          <w:rFonts w:ascii="Times New Roman" w:cs="Times New Roman" w:eastAsia="Times New Roman" w:hAnsi="Times New Roman"/>
          <w:sz w:val="18"/>
          <w:szCs w:val="18"/>
          <w:color w:val="212529"/>
        </w:rPr>
        <w:t>spread between our leased rate of 96.5%</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and our occupied rate of 93.8%. </w:t>
      </w:r>
      <w:r>
        <w:rPr>
          <w:rFonts w:ascii="Times New Roman" w:cs="Times New Roman" w:eastAsia="Times New Roman" w:hAnsi="Times New Roman"/>
          <w:sz w:val="18"/>
          <w:szCs w:val="18"/>
          <w:color w:val="000000"/>
        </w:rPr>
        <w:t>However, the effects of inflationary pressures and elevated interest rates continue to negatively impact our business with</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 largest impacts being higher interest costs, increased material costs, and higher operating costs. Additionally, significant impacts from tariffs or supply chain disruptions could also result in extended time frames and/or increased costs for completion of our projects and tenant build-outs, which could delay the commencement of rent payments under new leases. Similarly, if our tenants experience unexpected impacts of tariffs supporting their own products, staffing issues due to labor shortages, significant disruptions in supply chains, or are otherwise impacted by worsening economic conditions, their ability to pay rent may be adversely affected. We continue to monitor these macroeconomic developments and are working with our tenants and our vendors to limit the overall impact to our business.</w:t>
      </w:r>
    </w:p>
    <w:p>
      <w:pPr>
        <w:spacing w:after="0" w:line="13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believe the locations and nature of our centers and diverse tenant base partially mitigate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have several development projects in process being delivered as follows:</w:t>
      </w:r>
    </w:p>
    <w:p>
      <w:pPr>
        <w:spacing w:after="0" w:line="27" w:lineRule="exact"/>
        <w:rPr>
          <w:sz w:val="20"/>
          <w:szCs w:val="20"/>
          <w:color w:val="auto"/>
        </w:rPr>
      </w:pPr>
    </w:p>
    <w:p>
      <w:pPr>
        <w:ind w:left="660" w:right="320" w:hanging="328"/>
        <w:spacing w:after="0" w:line="26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on Santana West includes an eight-story 369,000 square foot office building, which is expected to cost between $325 million and $335 million. All of the space is leased, of which 327,000 square feet is occupied.</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a 258-unit residential project at Santana Row, which is expected to cost between $140 million and $148 million.</w:t>
      </w:r>
    </w:p>
    <w:p>
      <w:pPr>
        <w:spacing w:after="0" w:line="27" w:lineRule="exact"/>
        <w:rPr>
          <w:rFonts w:ascii="Times New Roman" w:cs="Times New Roman" w:eastAsia="Times New Roman" w:hAnsi="Times New Roman"/>
          <w:sz w:val="18"/>
          <w:szCs w:val="18"/>
          <w:color w:val="auto"/>
        </w:rPr>
      </w:pPr>
    </w:p>
    <w:p>
      <w:pPr>
        <w:ind w:left="660" w:right="160" w:hanging="328"/>
        <w:spacing w:after="0" w:line="26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the portfolio, we currently have redevelopment projects underway with a projected total cost of approximately $321 million that we expect to stabilize over the next several years.</w:t>
      </w:r>
    </w:p>
    <w:p>
      <w:pPr>
        <w:spacing w:after="0" w:line="2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above includes our best estimates based on information currently known, however, the completion of construction, final costs, and the timing of leasing and openings may be further impacted by the current environment including the duration and severity of the economic impacts of broader, as well as local, economic conditions, higher interest rates, inflation, tariffs, and higher operating costs.</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development of future phases of Assembly Row, Pike &amp; Rose, Santana Row, and other properties will be pursued opportunistically based on, among other things, market conditions, tenant demand, and our evaluation of whether those phases will generate an appropriate financial return.</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continue to review acquisition opportunities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units in the Operating Partnership, as well as through assumed mortgages and property sales.</w:t>
      </w:r>
    </w:p>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September 30, 2026, the leasable commercial square feet in our properties was 96.5% leased and 93.8%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Rollovers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the third quarter of 2026, we signed leases for a total of 590,000 square feet of retail space including 532,000 square feet of comparable space leases (leases for which there was a prior tenant) at an average rental increase of 14% on a cash basis. New leases for comparable spaces were signed for 323,000 square feet, with an average rental increase of 20% on a cash basis. Renewals for comparable spaces were signed for 210,000 square feet at a 7% average rental increase on a cash basis. Tenant improvements and incentives for comparable spaces were $36.35 per square foot, of which $58.37 per square foot was for new leases and $2.44 per square foot was for renewals for the three months ended September 30, 2026.</w:t>
      </w:r>
    </w:p>
    <w:p>
      <w:pPr>
        <w:spacing w:after="0" w:line="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2026, we signed leases for a total of 2,103,000 square feet of retail space including 2,001,000 square feet of comparable space leases (leases for which there was a prior tenant) at an average rental increase of 14% on a cash basis. New leases for comparable spaces were signed for 941,000 square feet, with an average rental increase of 26% on a cash basis. Renewals for comparable spaces were signed for 1,059,000 square feet at a 6% average rental increase on a cash basis. Tenant improvements and incentives for comparable spaces were $27.88 per square foot, of which $57.38 per square foot was for new leases and $1.67 per square foot was for renewals for the nine months ended September 30, 2026.</w:t>
      </w:r>
    </w:p>
    <w:p>
      <w:pPr>
        <w:spacing w:after="0" w:line="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rental increases associated with comparable spaces generally include all leases signed for retail space in arm's-length transactions reflecting market leverage between landlords and tenants during the period, excluding leases at properties sold or under contract to be sold. The comparison between the rent for expiring leases and new leases is determined by including contractual rent on the expiring lease, including percentage rent considered to be part of base rent, and the comparable annual rent and in some instances, projections of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Incentives include amounts paid to tenants as an inducement to sign a lease that do not represent building improvements. Costs related to tenant improvements require judgment by management in determining what are costs specific to the tenant and not deferred maintenance on the space.</w:t>
      </w:r>
    </w:p>
    <w:p>
      <w:pPr>
        <w:spacing w:after="0" w:line="7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the past four years, we have executed comparable space leases for 2.0 to 2.4 million square feet of retail space each year and expect the volume in 2026 will be at the high end or above these historical averages. Although we expect overall positive</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increases in annual rent for comparable spaces, changes in annual rent for any individual lease or combinations of individual leases reported in any particular period may be positive or negative and we can provide no assurance that the annual rents on comparable space leases will continue to increase at historical levels, if at all. A decline in current economic conditions could adversely impact our volume of leasing activity and the amount of rent we are able to charge to new or renewing tenants.</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leases signed in 2026 generally become effective over the following two years though some may not become effective until 2029 and beyond. Further, there is risk that some new tenants will not ultimately take possession of their space and that tenants for both new and renewal leases may not pay all of their contractual rent due to operating, financing or other matters. However, our historical increases in rental rates do provide information about the tenant/landlord relationship and the potential increase we may achieve in rental income over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Properties</w:t>
      </w:r>
    </w:p>
    <w:p>
      <w:pPr>
        <w:spacing w:after="0" w:line="94"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three and nine months ended September 30, 2026, all or a portion of 96 properties and 94 properties, respectively, were considered comparable properties and seven properties were considered non-comparable properties. For the nine months ended September 30, 2026, three properties and two portions of properties were removed from comparable properties, as they were sold; all compared to the designations as of December 31, 2025.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on property operating income within the calendar</w:t>
      </w:r>
    </w:p>
    <w:p>
      <w:pPr>
        <w:spacing w:after="0" w:line="6"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year. Acquisitions are moved to comparable properties once we have owned the property for the entirety of comparable periods and the property is not under development or being repositioned for significant redevelopment and investment.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SEPTEMBER 30, 2026 AND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9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329,644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313,183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16,461</w:t>
            </w: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property income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interest income</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property revenue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16,771</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expenses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 estate taxes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expenses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109,128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operating income (1)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13,302</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3"/>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116,855</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110,668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interest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partnerships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net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(46,169)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40" w:right="220" w:hanging="332"/>
        <w:spacing w:after="0" w:line="282"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operating income is a non-GAAP measure that consists of total property revenue, less rental expenses and real estate taxes. This measure is used internally to evaluate the performance of property operations and we consider it to be a</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0" w:right="80"/>
        <w:spacing w:after="0" w:line="266" w:lineRule="auto"/>
        <w:rPr>
          <w:sz w:val="20"/>
          <w:szCs w:val="20"/>
          <w:color w:val="auto"/>
        </w:rPr>
      </w:pPr>
      <w:r>
        <w:rPr>
          <w:rFonts w:ascii="Times New Roman" w:cs="Times New Roman" w:eastAsia="Times New Roman" w:hAnsi="Times New Roman"/>
          <w:sz w:val="18"/>
          <w:szCs w:val="18"/>
          <w:color w:val="auto"/>
        </w:rPr>
        <w:t>significant measure. Property operating income should not be considered an alternative measure of operating results or cash flow from operations as determined in accordance with GAAP. The reconciliation of operating income to property operating income for the three months ended September 30, 2026 and 2025 is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r>
      <w:tr>
        <w:trPr>
          <w:trHeight w:val="23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116,855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110,668</w:t>
            </w:r>
          </w:p>
        </w:tc>
      </w:tr>
      <w:tr>
        <w:trPr>
          <w:trHeight w:val="229"/>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11,649</w:t>
            </w:r>
          </w:p>
        </w:tc>
      </w:tr>
      <w:tr>
        <w:trPr>
          <w:trHeight w:val="22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94,277</w:t>
            </w:r>
          </w:p>
        </w:tc>
      </w:tr>
      <w:tr>
        <w:trPr>
          <w:trHeight w:val="230"/>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216,594</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Revenues</w:t>
      </w:r>
    </w:p>
    <w:p>
      <w:pPr>
        <w:spacing w:after="0" w:line="94"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Total property revenue increased $16.8 million, or 5.2%, to $339.0 million in the three months ended September 30, 2026 compared to $322.3 million in the three months ended September 30, 2025. The percentage occupied at our shopping centers was 93.8% at both September 30, 2026 and 2025. Rental income consists primarily of minimum rent, cost reimbursements from tenants and percentage rent, and is net of collectibility related adjustments. Other property income includes revenue for our Pike &amp; Rose hotel, parking income, and other incidental income from our properties. The increase in property revenue is due primarily to the following:</w:t>
      </w:r>
    </w:p>
    <w:p>
      <w:pPr>
        <w:spacing w:after="0" w:line="21" w:lineRule="exact"/>
        <w:rPr>
          <w:sz w:val="20"/>
          <w:szCs w:val="20"/>
          <w:color w:val="auto"/>
        </w:rPr>
      </w:pPr>
    </w:p>
    <w:p>
      <w:pPr>
        <w:ind w:left="1140" w:hanging="241"/>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$12.8 million from acquisitions,</w:t>
      </w:r>
    </w:p>
    <w:p>
      <w:pPr>
        <w:spacing w:after="0" w:line="63" w:lineRule="exact"/>
        <w:rPr>
          <w:rFonts w:ascii="Times New Roman" w:cs="Times New Roman" w:eastAsia="Times New Roman" w:hAnsi="Times New Roman"/>
          <w:sz w:val="18"/>
          <w:szCs w:val="18"/>
          <w:color w:val="auto"/>
        </w:rPr>
      </w:pPr>
    </w:p>
    <w:p>
      <w:pPr>
        <w:jc w:val="both"/>
        <w:ind w:left="1140" w:right="40" w:hanging="241"/>
        <w:spacing w:after="0" w:line="266" w:lineRule="auto"/>
        <w:tabs>
          <w:tab w:leader="none" w:pos="11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$6.4 million from comparable properties primarily related to higher rental rates of approximately $2.7 million, a $2.1 million increase in recoveries from tenants on higher occupancy and expenses, higher average occupancy of approximately $1.8 million, and a $1.1 million increase in parking income, partially offset by a $0.9 million decrease in lease termination fee income, and</w:t>
      </w:r>
    </w:p>
    <w:p>
      <w:pPr>
        <w:spacing w:after="0" w:line="13"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$5.6 million from non-comparable properties primarily driven by occupancy increases,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 decrease of $7.6 million from property dispositions.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Expenses</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Total property expenses increased $3.5 million, or 3.3%, to $109.1 million in the three months ended September 30, 2026 compared to $105.7 million in the three months ended September 30, 2025. Changes in the components of property expenses are discussed below.</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Expenses</w:t>
      </w:r>
    </w:p>
    <w:p>
      <w:pPr>
        <w:spacing w:after="0" w:line="106"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Rental expenses increased $1.8 million, or 2.7%, to $69.3 million in the three months ended September 30, 2026 compared to $67.5 million in the three months ended September 30, 2025. This increase is primarily due to the following:</w:t>
      </w:r>
    </w:p>
    <w:p>
      <w:pPr>
        <w:spacing w:after="0" w:line="1" w:lineRule="exact"/>
        <w:rPr>
          <w:sz w:val="20"/>
          <w:szCs w:val="20"/>
          <w:color w:val="auto"/>
        </w:rPr>
      </w:pPr>
    </w:p>
    <w:p>
      <w:pPr>
        <w:ind w:left="1140" w:hanging="241"/>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$2.6 million from acquisitions, and</w:t>
      </w:r>
    </w:p>
    <w:p>
      <w:pPr>
        <w:spacing w:after="0" w:line="63" w:lineRule="exact"/>
        <w:rPr>
          <w:rFonts w:ascii="Times New Roman" w:cs="Times New Roman" w:eastAsia="Times New Roman" w:hAnsi="Times New Roman"/>
          <w:sz w:val="18"/>
          <w:szCs w:val="18"/>
          <w:color w:val="auto"/>
        </w:rPr>
      </w:pPr>
    </w:p>
    <w:p>
      <w:pPr>
        <w:ind w:left="1140" w:right="160" w:hanging="241"/>
        <w:spacing w:after="0" w:line="281"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$1.4 million from non-comparable properties due primarily to openings at Santana West and the residential building at Bala Cynwyd on City Avenue,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 decrease of $1.7 million from property dispositions.</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a result of the changes in rental income and rental expenses as discussed above, rental expenses as a percentage of rental income decreased to 21.0% in the three months ended September 30, 2026 from 21.5% in the three months ended September 30, 2025.</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Taxes</w:t>
      </w:r>
    </w:p>
    <w:p>
      <w:pPr>
        <w:spacing w:after="0" w:line="9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Real estate tax expense increased $1.6 million, or 4.3%, to $39.8 million in the three months ended September 30, 2026 compared to $38.2 million in the three months ended September 30, 2025. This increase is primarily due to the following:</w:t>
      </w:r>
    </w:p>
    <w:p>
      <w:pPr>
        <w:spacing w:after="0" w:line="1" w:lineRule="exact"/>
        <w:rPr>
          <w:sz w:val="20"/>
          <w:szCs w:val="20"/>
          <w:color w:val="auto"/>
        </w:rPr>
      </w:pPr>
    </w:p>
    <w:p>
      <w:pPr>
        <w:ind w:left="1140" w:hanging="241"/>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$1.4 million from comparable properties due primarily to higher assessments, and</w:t>
      </w:r>
    </w:p>
    <w:p>
      <w:pPr>
        <w:spacing w:after="0" w:line="63"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$1.1 million from acquisitions,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00"/>
        <w:spacing w:after="0"/>
        <w:tabs>
          <w:tab w:leader="none" w:pos="1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 decrease of $1.1 million from property dispositions.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Operating Income</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Property operating income increased $13.3 million, or 6.1%, to $229.9 million in the three months ended September 30, 2026 compared to $216.6 million in the three months ended September 30, 2025. This increase is primarily driven by acquisitions, higher rental rates and average occupancy, and openings at Santana West and Pike &amp; Rose Phase IV, partially offset by property dispositions.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0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increased $1.6 million, or 13.8%, to $13.3 million in the three months ended September 30, 2026 compared to $11.6 million in the three months ended September 30, 2025. This increase is due primarily to higher personnel related costs.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0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$6.0 million, or 6.3%, to $100.3 million in the three months ended September 30, 2026 compared to $94.3 million in the three months ended September 30, 2025. This increase is due primarily to acquisitions and openings at Santana West and the residential building at Bala Cynwyd on City Avenue, partially offset by property dispositions.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of Real Estate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$0.5 million gain on sale of real estate for the three months ended September 30, 2026 is primarily due to the sale of our North Dartmouth property.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Operating income increased $6.2 million, or 5.6%, to $116.9 million in the three months ended September 30, 2026 compared to $110.7 million in the three months ended September 30, 2025. This increase is primarily driven by higher rental rates and average occupancy, acquisitions, and openings at Santana West, partially offset by property dispositions.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0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Interest expense increased $2.1 million, or 4.5%, to $49.7 million in the three months ended September 30, 2026 compared to $47.6 million in the three months ended September 30, 2025. This increase is due primarily to the following:</w:t>
      </w:r>
    </w:p>
    <w:p>
      <w:pPr>
        <w:spacing w:after="0" w:line="40" w:lineRule="exact"/>
        <w:rPr>
          <w:sz w:val="20"/>
          <w:szCs w:val="20"/>
          <w:color w:val="auto"/>
        </w:rPr>
      </w:pPr>
    </w:p>
    <w:p>
      <w:pPr>
        <w:ind w:left="1140" w:hanging="241"/>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$1.4 million due to higher weighted average borrowings, and</w:t>
      </w:r>
    </w:p>
    <w:p>
      <w:pPr>
        <w:spacing w:after="0" w:line="90" w:lineRule="exact"/>
        <w:rPr>
          <w:rFonts w:ascii="Times New Roman" w:cs="Times New Roman" w:eastAsia="Times New Roman" w:hAnsi="Times New Roman"/>
          <w:sz w:val="18"/>
          <w:szCs w:val="18"/>
          <w:color w:val="auto"/>
        </w:rPr>
      </w:pPr>
    </w:p>
    <w:p>
      <w:pPr>
        <w:ind w:right="4060" w:firstLine="899"/>
        <w:spacing w:after="0" w:line="360" w:lineRule="auto"/>
        <w:tabs>
          <w:tab w:leader="none" w:pos="112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$1.0 million due to a higher overall weighted average borrowing rate, partially offset by</w:t>
      </w:r>
    </w:p>
    <w:p>
      <w:pPr>
        <w:ind w:left="1140" w:hanging="241"/>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$0.2 million in capitalized interest.</w:t>
      </w:r>
    </w:p>
    <w:p>
      <w:pPr>
        <w:spacing w:after="0" w:line="9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Gross interest costs were $52.5 million and $50.2 million in the three months ended September 30, 2026 and 2025, respectively. Capitalized interest was $2.8 million and $2.5 million for the three months ended September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 NINE MONTHS ENDED SEPTEMBER 30, 2026 AND 2025</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9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5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988,198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917,954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70,244</w:t>
            </w: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property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interest income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property revenue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1,015,814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942,930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72,884</w:t>
            </w:r>
          </w:p>
        </w:tc>
        <w:tc>
          <w:tcPr>
            <w:tcW w:w="4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expenses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 estate taxes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117,859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111,426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4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expenses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326,364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308,320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18,044</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operating income (1)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689,450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54,840</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(29,636)</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36,129</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46.5 %</w:t>
            </w: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market tax credit transaction income</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57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464,502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421,545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42,957</w:t>
            </w:r>
          </w:p>
        </w:tc>
        <w:tc>
          <w:tcPr>
            <w:tcW w:w="4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interest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(14,172)</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partnerships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4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net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(145,894)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(130,512)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(15,382)</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27,575</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310,970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281,333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29,637</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1"/>
        </w:trPr>
        <w:tc>
          <w:tcPr>
            <w:tcW w:w="5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right="20" w:hanging="332"/>
        <w:spacing w:after="0" w:line="261"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operating income is a non-GAAP measure that consists of total property revenue,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 The reconciliation of operating income to property operating income for the nine months ended September 30, 2026 and 2025 is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r>
      <w:tr>
        <w:trPr>
          <w:trHeight w:val="23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464,502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421,545</w:t>
            </w:r>
          </w:p>
        </w:tc>
      </w:tr>
      <w:tr>
        <w:trPr>
          <w:trHeight w:val="229"/>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34,449</w:t>
            </w:r>
          </w:p>
        </w:tc>
      </w:tr>
      <w:tr>
        <w:trPr>
          <w:trHeight w:val="23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270,464</w:t>
            </w:r>
          </w:p>
        </w:tc>
      </w:tr>
      <w:tr>
        <w:trPr>
          <w:trHeight w:val="23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(77,672)</w:t>
            </w:r>
          </w:p>
        </w:tc>
      </w:tr>
      <w:tr>
        <w:trPr>
          <w:trHeight w:val="23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market tax credit transaction income</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(14,176)</w:t>
            </w:r>
          </w:p>
        </w:tc>
      </w:tr>
      <w:tr>
        <w:trPr>
          <w:trHeight w:val="223"/>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689,450</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634,610</w:t>
            </w:r>
          </w:p>
        </w:tc>
      </w:tr>
      <w:tr>
        <w:trPr>
          <w:trHeight w:val="20"/>
        </w:trPr>
        <w:tc>
          <w:tcPr>
            <w:tcW w:w="8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Revenues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Total property revenue increased $72.9 million, or 7.7%, to $1.0 billion in the nine months ended September 30, 2026 compared to $942.9 million in the nine months ended September 30, 2025. The percentage occupied at our shopping centers was 93.8% at both September 30, 2026 and 2025. Rental income consists primarily of minimum rent, cost reimbursements from tenants and percentage rent, and is net of collectibility related adjustments. Other property income includes revenue for our Pike &amp; Rose hotel, parking income, and other incidental income from our properties. The increase in property revenues is due primarily to the following:</w:t>
      </w:r>
    </w:p>
    <w:p>
      <w:pPr>
        <w:spacing w:after="0" w:line="21" w:lineRule="exact"/>
        <w:rPr>
          <w:sz w:val="20"/>
          <w:szCs w:val="20"/>
          <w:color w:val="auto"/>
        </w:rPr>
      </w:pPr>
    </w:p>
    <w:p>
      <w:pPr>
        <w:ind w:left="1140" w:hanging="241"/>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$53.7 million from acquisitions,</w:t>
      </w:r>
    </w:p>
    <w:p>
      <w:pPr>
        <w:spacing w:after="0" w:line="63" w:lineRule="exact"/>
        <w:rPr>
          <w:rFonts w:ascii="Times New Roman" w:cs="Times New Roman" w:eastAsia="Times New Roman" w:hAnsi="Times New Roman"/>
          <w:sz w:val="18"/>
          <w:szCs w:val="18"/>
          <w:color w:val="auto"/>
        </w:rPr>
      </w:pPr>
    </w:p>
    <w:p>
      <w:pPr>
        <w:ind w:left="1140" w:right="440" w:hanging="241"/>
        <w:spacing w:after="0" w:line="282"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$26.4 million from comparable properties primarily related to higher rental rates of approximately $10.4 million, a $6.7 million increase in recoveries from tenants on higher occupancy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40" w:right="160"/>
        <w:spacing w:after="0" w:line="281" w:lineRule="auto"/>
        <w:rPr>
          <w:sz w:val="20"/>
          <w:szCs w:val="20"/>
          <w:color w:val="auto"/>
        </w:rPr>
      </w:pPr>
      <w:r>
        <w:rPr>
          <w:rFonts w:ascii="Times New Roman" w:cs="Times New Roman" w:eastAsia="Times New Roman" w:hAnsi="Times New Roman"/>
          <w:sz w:val="18"/>
          <w:szCs w:val="18"/>
          <w:color w:val="auto"/>
        </w:rPr>
        <w:t>expenses, higher average occupancy of approximately $4.1 million, a $3.6 million increase in parking income, and a $2.8 million increase in lease termination fee income, and</w:t>
      </w:r>
    </w:p>
    <w:p>
      <w:pPr>
        <w:spacing w:after="0" w:line="1" w:lineRule="exact"/>
        <w:rPr>
          <w:sz w:val="20"/>
          <w:szCs w:val="20"/>
          <w:color w:val="auto"/>
        </w:rPr>
      </w:pPr>
    </w:p>
    <w:p>
      <w:pPr>
        <w:ind w:right="2700" w:firstLine="899"/>
        <w:spacing w:after="0" w:line="313" w:lineRule="auto"/>
        <w:tabs>
          <w:tab w:leader="none" w:pos="112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$17.7 million from non-comparable properties primarily driven by occupancy increases, partially offset by</w:t>
      </w:r>
    </w:p>
    <w:p>
      <w:pPr>
        <w:ind w:left="1140" w:hanging="241"/>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$24.9 million from property dispositions.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Expenses</w:t>
      </w:r>
    </w:p>
    <w:p>
      <w:pPr>
        <w:spacing w:after="0" w:line="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Total property expenses increased $18.0 million, or 5.9%, to $326.4 million in the nine months ended September 30, 2026 compared to $308.3 million in the nine months ended September 30, 2025. Changes in the components of property expenses are discussed below.</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Expenses</w:t>
      </w:r>
    </w:p>
    <w:p>
      <w:pPr>
        <w:spacing w:after="0" w:line="106"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Rental expenses increased $11.6 million, or 5.9%, to $208.5 million in the nine months ended September 30, 2026 compared to $196.9 million in the nine months ended September 30, 2025 due primarily to the following:</w:t>
      </w:r>
    </w:p>
    <w:p>
      <w:pPr>
        <w:spacing w:after="0" w:line="1" w:lineRule="exact"/>
        <w:rPr>
          <w:sz w:val="20"/>
          <w:szCs w:val="20"/>
          <w:color w:val="auto"/>
        </w:rPr>
      </w:pPr>
    </w:p>
    <w:p>
      <w:pPr>
        <w:ind w:left="1140" w:hanging="241"/>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$9.0 million from acquisitions,</w:t>
      </w:r>
    </w:p>
    <w:p>
      <w:pPr>
        <w:spacing w:after="0" w:line="63"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$5.2 million from non-comparable properties due primarily to occupancy increases, and</w:t>
      </w:r>
    </w:p>
    <w:p>
      <w:pPr>
        <w:spacing w:after="0" w:line="63" w:lineRule="exact"/>
        <w:rPr>
          <w:rFonts w:ascii="Times New Roman" w:cs="Times New Roman" w:eastAsia="Times New Roman" w:hAnsi="Times New Roman"/>
          <w:sz w:val="18"/>
          <w:szCs w:val="18"/>
          <w:color w:val="auto"/>
        </w:rPr>
      </w:pPr>
    </w:p>
    <w:p>
      <w:pPr>
        <w:ind w:right="1520" w:firstLine="899"/>
        <w:spacing w:after="0" w:line="313" w:lineRule="auto"/>
        <w:tabs>
          <w:tab w:leader="none" w:pos="112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$5.2 million from comparable properties due primarily to higher snow removal costs and higher utilities, partially offset by</w:t>
      </w:r>
    </w:p>
    <w:p>
      <w:pPr>
        <w:ind w:left="1140" w:hanging="241"/>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$6.7 million from property dispositions.</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a result of the changes in rental income and rental expenses as discussed above, rental expenses as a percentage of rental income decreased to 21.1% in the nine months ended September 30, 2026 from 21.4% in the nine months ended September 30, 2025.</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Taxes</w:t>
      </w:r>
    </w:p>
    <w:p>
      <w:pPr>
        <w:spacing w:after="0" w:line="10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Real estate tax expense increased $6.4 million, or 5.8%, to $117.9 million in the nine months ended September 30, 2026 compared to $111.4 million in the nine months ended September 30, 2025 due primarily to the following:</w:t>
      </w:r>
    </w:p>
    <w:p>
      <w:pPr>
        <w:spacing w:after="0" w:line="40" w:lineRule="exact"/>
        <w:rPr>
          <w:sz w:val="20"/>
          <w:szCs w:val="20"/>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$5.7 million from acquisitions,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$3.3 million from comparable properties due primarily to higher assessments, and</w:t>
      </w:r>
    </w:p>
    <w:p>
      <w:pPr>
        <w:spacing w:after="0" w:line="63" w:lineRule="exact"/>
        <w:rPr>
          <w:rFonts w:ascii="Times New Roman" w:cs="Times New Roman" w:eastAsia="Times New Roman" w:hAnsi="Times New Roman"/>
          <w:sz w:val="18"/>
          <w:szCs w:val="18"/>
          <w:color w:val="auto"/>
        </w:rPr>
      </w:pPr>
    </w:p>
    <w:p>
      <w:pPr>
        <w:ind w:left="180" w:right="2520" w:firstLine="800"/>
        <w:spacing w:after="0" w:line="328" w:lineRule="auto"/>
        <w:tabs>
          <w:tab w:leader="none" w:pos="130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$0.9 million from non-comparable properties due primarily to openings at Santana West, partially offset by</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$3.6 million from property dispositions.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Operating Income</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Property operating income increased $54.8 million, or 8.6%, to $689.5 million in the nine months ended September 30, 2026 compared to $634.6 million in the nine months ended September 30, 2025. This increase is primarily driven by acquisitions, higher rental rates and average occupancy, openings at Santana West and Pike &amp; Rose Phase IV, and higher lease termination fee income, partially offset by property dispositions.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0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increased $4.2 million, or 12.2%, to $38.6 million in the nine months ended September 30, 2026 compared to $34.4 million in the nine months ended September 30, 2025. This increase is due primarily to higher personnel related costs.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0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$29.6 million, or 11.0%, to $300.1 million in the nine months ended September 30, 2026 compared to $270.5 million in the nine months ended September 30, 2025. This increase is due primarily to acquisitions, openings at Santana West and our residential building at Bala Cynwyd on City Avenue, and our investment in comparable properties, partially offset by property dispositions.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of Real Estate</w:t>
      </w:r>
    </w:p>
    <w:p>
      <w:pPr>
        <w:spacing w:after="0" w:line="10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$113.8 million gain on sale of real estate for the nine months ended September 30, 2026 is primarily due to the sale of a residential building at our Santana Row property, our Barcroft Plaza property, our Courthouse Center property, a building at our CocoWalk property, and our North Dartmouth property.</w:t>
      </w:r>
    </w:p>
    <w:p>
      <w:pPr>
        <w:spacing w:after="0" w:line="4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$77.7 million gain on sale of real estate for the nine months ended September 30, 2025 is primarily due to the sale of a residential building at Santana Row, our Hollywood Boulevard property, and a portion of our White Marsh Other property.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Market Tax Credit Transaction Income</w:t>
      </w:r>
    </w:p>
    <w:p>
      <w:pPr>
        <w:spacing w:after="0" w:line="10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$14.2 million new market tax credit transaction income for the nine months ended September 30, 2025 is primarily due to sale of new market tax credits related to Freedom Plaza.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Operating income increased $43.0 million, or 10.2%, to $464.5 million in the nine months ended September 30, 2026 compared to $421.5 million in the nine months ended September 30, 2025. This increase is primarily driven by higher gains on sale of real estate, higher rental rates and average occupancy, acquisitions, openings at Santana West, and higher lease termination fee income, partially offset by property dispositions, and income related to the sale of new market tax credits in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9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Interest expense increased $14.2 million, or 10.5%, to $148.9 million in the nine months ended September 30, 2026 compared to $134.7 million in the nine months ended September 30, 2025. This increase is due primarily to the following:</w:t>
      </w:r>
    </w:p>
    <w:p>
      <w:pPr>
        <w:spacing w:after="0" w:line="1" w:lineRule="exact"/>
        <w:rPr>
          <w:sz w:val="20"/>
          <w:szCs w:val="20"/>
          <w:color w:val="auto"/>
        </w:rPr>
      </w:pPr>
    </w:p>
    <w:p>
      <w:pPr>
        <w:ind w:left="1140" w:hanging="241"/>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$9.1 million due to higher weighted average borrowings,</w:t>
      </w:r>
    </w:p>
    <w:p>
      <w:pPr>
        <w:spacing w:after="0" w:line="63"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$3.1 million due to a higher overall weighted average borrowing rate, and</w:t>
      </w:r>
    </w:p>
    <w:p>
      <w:pPr>
        <w:spacing w:after="0" w:line="63"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$2.0 million in capitalized interest.</w:t>
      </w:r>
    </w:p>
    <w:p>
      <w:pPr>
        <w:spacing w:after="0" w:line="10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Gross interest costs were $157.3 million and $145.1 million in the nine months ended September 30, 2026 and 2025, respectively. Capitalized interest was $8.4 million and $10.4 million for the nine months ended September 30, 2026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partnerships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Income from partnerships decreased $1.4 million, or 82.3%, to $0.3 million in the nine months ended September 30, 2026 compared to $1.7 million in the nine months ended September 30, 2025. This decrease is primarily due to certain investments in partnerships that were written off during the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interests</w:t>
      </w:r>
    </w:p>
    <w:p>
      <w:pPr>
        <w:spacing w:after="0" w:line="10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Net income attributable to noncontrolling interests decreased $2.1 million, or 21.3%, to $7.6 million in the nine months ended September 30, 2026 compared to $9.7 million in the nine months ended September 30, 2025. This decrease is primarily attributable to the new market tax credit transaction income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Due to the nature of our business and strategy, we typically generate significant amounts of cash from operations which is largely paid to our common and preferred shareholders in the form of dividends because as a REIT, the Trust is generally required to make annual distributions to shareholders of at least 90% of our taxable income (cash dividends paid in the nine months ended September 30, 2026 were approximately $299.3 million). Remaining cash flow from operations after regular debt service requirements (including debt service relating to additional or replacement debt, as well as scheduled debt maturities) and dividend payments is used to fund recurring and non-recurring capital projects (such as tenant improvements and redevelopments). We maintain an unsecured $1.4 billion revolving credit facility to fund short-term cash flow needs and also look to the public and private debt and equity markets, joint venture relationships, and property dispositions to fund capital expenditures on a long-term basis.</w:t>
      </w:r>
    </w:p>
    <w:p>
      <w:pPr>
        <w:spacing w:after="0" w:line="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During 2026, we sold properties for net sales proceeds of $222.5 million. On April 14, 2026, we amended and restated our revolving credit facility increasing the borrowing capacity from $1.25 billion to $1.4 billion, lowering the spread over SOFR from 77.5 basis points to 72.5 basis points based on our current credit rating, and extending the maturity date to April 12, 2030, plus two six-month extensions, at our option. In addition, we have an option to increase the credit facility through an accordion feature to $2.0 billion. On August 11, 2026, we issued $460.0 million aggregate principal amount of 3.50% exchangeable senior notes that mature on August 15, 2031. As of September 30, 2026, we have $890.7 million of debt maturing in the next twelve months, of which $200.0 million is the mortgage loan secured by Bethesda Row, for which we have a one-year extension option to extend the maturity date to December 28, 2027.</w:t>
      </w:r>
    </w:p>
    <w:p>
      <w:pPr>
        <w:spacing w:after="0" w:line="6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September 30, 2026, we had cash and cash equivalents of $109.7 million and no balance outstanding on our $1.4 billion revolving credit facility. We also have the capacity to issue up to $688.9 million in common shares under our ATM equity program.</w:t>
      </w:r>
    </w:p>
    <w:p>
      <w:pPr>
        <w:spacing w:after="0" w:line="40" w:lineRule="exact"/>
        <w:rPr>
          <w:sz w:val="20"/>
          <w:szCs w:val="20"/>
          <w:color w:val="auto"/>
        </w:rPr>
      </w:pPr>
    </w:p>
    <w:p>
      <w:pPr>
        <w:ind w:right="110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2026, the weighted average amount of borrowings outstanding on our revolving credit facility was $298.6 million, and the weighted average interest rate, before amortization of debt fees, was 4.4%.</w:t>
      </w:r>
    </w:p>
    <w:p>
      <w:pPr>
        <w:spacing w:after="0" w:line="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October 1, 2026, we acquired The Summit, an 870,000 square foot retail shopping center in Birmingham, Alabama, for $508.0 million; the acquisition was funded on a short-term basis with cash on hand and our revolving credit facility. During October 2026, we repurchased and retired 331,473 common shares (52,838 shares of which consisted of settlements of repurchases effected in September 2026) under our common share repurchase program for $35.4 million.</w:t>
      </w:r>
    </w:p>
    <w:p>
      <w:pPr>
        <w:spacing w:after="0" w:line="5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overall capital requirements for the remainder of 2026 will depend on additional acquisition opportunities, the level and general timing of our redevelopment and development activities, and the overall economic environment. In addition, we currently have development and redevelopment projects in various stages of construction with remaining costs of $259 million. We expect to incur the majority of these costs in the next two years. We expect overall capital costs (excluding acquisitions) to be at levels consistent with 2025.</w:t>
      </w:r>
    </w:p>
    <w:p>
      <w:pPr>
        <w:spacing w:after="0" w:line="5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We believe cash flow from operations, the cash </w:t>
      </w:r>
      <w:r>
        <w:rPr>
          <w:rFonts w:ascii="Times New Roman" w:cs="Times New Roman" w:eastAsia="Times New Roman" w:hAnsi="Times New Roman"/>
          <w:sz w:val="18"/>
          <w:szCs w:val="18"/>
          <w:color w:val="212529"/>
        </w:rPr>
        <w:t>on our balance sheet, and our</w:t>
      </w:r>
      <w:r>
        <w:rPr>
          <w:rFonts w:ascii="Times New Roman" w:cs="Times New Roman" w:eastAsia="Times New Roman" w:hAnsi="Times New Roman"/>
          <w:sz w:val="18"/>
          <w:szCs w:val="18"/>
          <w:color w:val="auto"/>
        </w:rPr>
        <w:t xml:space="preserve"> $1.4 billion </w:t>
      </w:r>
      <w:r>
        <w:rPr>
          <w:rFonts w:ascii="Times New Roman" w:cs="Times New Roman" w:eastAsia="Times New Roman" w:hAnsi="Times New Roman"/>
          <w:sz w:val="18"/>
          <w:szCs w:val="18"/>
          <w:color w:val="212529"/>
        </w:rPr>
        <w:t>revolving credit facility will allow us to continue to operate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business in the short-term. </w:t>
      </w:r>
      <w:r>
        <w:rPr>
          <w:rFonts w:ascii="Times New Roman" w:cs="Times New Roman" w:eastAsia="Times New Roman" w:hAnsi="Times New Roman"/>
          <w:sz w:val="18"/>
          <w:szCs w:val="18"/>
          <w:color w:val="000000"/>
        </w:rPr>
        <w:t>Given our ability to access the capital markets, we also expect debt or equity financing to be available to us, although newly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issued debt would likely be at higher interest rates than the debt we are refinancing. We also have the ability to delay the timing of certain development and redevelopment projects as well as limit future acquisitions, reduce our operating expenditures, or re-evaluate our dividend policy. We expect these sources of liquidity and opportunities for operating flexibility to allow us to meet our financial obligations over the long term. We intend to operate with and to maintain our long-term commitment to a conservative capital structure that will allow us to maintain strong debt service coverage and fixed-charge coverage ratios as part of our commitment to investment-grade debt ratings.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Cash Flows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507,022</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477,531</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29,491</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(94,233)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(473,509)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379,276</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(397,823)</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(11,781)</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(386,042)</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22,725</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117,706</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135,443</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132,672</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127,684</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increased $29.5 million to $507.0 million during the nine months ended September 30, 2026 from $477.5 million during the nine months ended September 30, 2025. The increase was primarily due to higher net income after adjusting for non-cash items and gain on sale of real estate, offset by the timing of collections related to year end recovery billings.</w:t>
      </w:r>
    </w:p>
    <w:p>
      <w:pPr>
        <w:spacing w:after="0" w:line="136"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color w:val="auto"/>
        </w:rPr>
        <w:t>Net cash used in investing activities decreased $379.3 million to $94.2 million during the nine months ended September 30, 2026 from $473.5 million during the nine months ended September 30, 2025. The change was primarily attributable to:</w:t>
      </w:r>
    </w:p>
    <w:p>
      <w:pPr>
        <w:spacing w:after="0" w:line="5" w:lineRule="exact"/>
        <w:rPr>
          <w:sz w:val="20"/>
          <w:szCs w:val="20"/>
          <w:color w:val="auto"/>
        </w:rPr>
      </w:pPr>
    </w:p>
    <w:p>
      <w:pPr>
        <w:ind w:left="1140" w:hanging="241"/>
        <w:spacing w:after="0"/>
        <w:tabs>
          <w:tab w:leader="none" w:pos="11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$315.0 million decrease in acquisition of real estate, and</w:t>
      </w:r>
    </w:p>
    <w:p>
      <w:pPr>
        <w:spacing w:after="0" w:line="36" w:lineRule="exact"/>
        <w:rPr>
          <w:rFonts w:ascii="Times New Roman" w:cs="Times New Roman" w:eastAsia="Times New Roman" w:hAnsi="Times New Roman"/>
          <w:sz w:val="18"/>
          <w:szCs w:val="18"/>
          <w:b w:val="1"/>
          <w:bCs w:val="1"/>
          <w:color w:val="auto"/>
        </w:rPr>
      </w:pPr>
    </w:p>
    <w:p>
      <w:pPr>
        <w:ind w:left="1140" w:right="80" w:hanging="241"/>
        <w:spacing w:after="0" w:line="232"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$81.4 million increase in net proceeds from the sale of real estate primarily due to $222.5 million of net proceeds from the sale of a residential building at our Santana Row property, our Barcroft Plaza property, our Courthouse Center property, a building at our CocoWalk property, and our North Dartmouth property during the nine months ended September 30, 2026, as compared to $141.2 million of net proceeds from the sale of a residential building at Santana Row, our Hollywood Boulevard property, and a portion of our White Marsh Other property during the nine months ended September 30, 2025,</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50" w:lineRule="exact"/>
        <w:rPr>
          <w:sz w:val="20"/>
          <w:szCs w:val="20"/>
          <w:color w:val="auto"/>
        </w:rPr>
      </w:pPr>
    </w:p>
    <w:p>
      <w:pPr>
        <w:ind w:left="900"/>
        <w:spacing w:after="0"/>
        <w:tabs>
          <w:tab w:leader="none" w:pos="1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 $20.8 million increase in capital expenditures.</w:t>
      </w:r>
    </w:p>
    <w:p>
      <w:pPr>
        <w:spacing w:after="0" w:line="144"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Net cash used in financing activities increased $386.0 million to $397.8 million during the nine months ended September 30, 2026 from $11.8 million during the nine months ended September 30, 2025. The increase was primarily attributable to:</w:t>
      </w:r>
    </w:p>
    <w:p>
      <w:pPr>
        <w:spacing w:after="0" w:line="1" w:lineRule="exact"/>
        <w:rPr>
          <w:sz w:val="20"/>
          <w:szCs w:val="20"/>
          <w:color w:val="auto"/>
        </w:rPr>
      </w:pPr>
    </w:p>
    <w:p>
      <w:pPr>
        <w:ind w:left="1140" w:right="140" w:hanging="241"/>
        <w:spacing w:after="0" w:line="258" w:lineRule="auto"/>
        <w:tabs>
          <w:tab w:leader="none" w:pos="1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$429.2 million from the February 2026 repayment of our $400.0 million 1.25% senior unsecured notes and the August 2026 repayment of our $29.2 million 7.48% debentures, both at maturity,</w:t>
      </w:r>
    </w:p>
    <w:p>
      <w:pPr>
        <w:ind w:left="1140" w:right="80" w:hanging="241"/>
        <w:spacing w:after="0" w:line="236" w:lineRule="auto"/>
        <w:tabs>
          <w:tab w:leader="none" w:pos="1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$419.2 million related to our revolving credit facility due to $310.0 million of net repayments during the nine months ended September 30, 2026, as compared to $102.4 million of borrowings during the nine months ended September 30, 2025, as well as $6.8 million in costs related to the amendment and restatement of our revolving credit facility in April 2026 (see Note 4 of the consolidated financial statements for additional information),</w:t>
      </w:r>
    </w:p>
    <w:p>
      <w:pPr>
        <w:spacing w:after="0" w:line="9" w:lineRule="exact"/>
        <w:rPr>
          <w:rFonts w:ascii="Times New Roman" w:cs="Times New Roman" w:eastAsia="Times New Roman" w:hAnsi="Times New Roman"/>
          <w:sz w:val="18"/>
          <w:szCs w:val="18"/>
          <w:color w:val="auto"/>
        </w:rPr>
      </w:pPr>
    </w:p>
    <w:p>
      <w:pPr>
        <w:ind w:left="1140" w:hanging="241"/>
        <w:spacing w:after="0" w:line="250" w:lineRule="auto"/>
        <w:tabs>
          <w:tab w:leader="none" w:pos="1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$59.2 million from the repurchase and retirement of 538,275 common shares during the nine months ended September 30, 2026 (see Note 7 to the consolidated financial statements for additional information),</w:t>
      </w:r>
    </w:p>
    <w:p>
      <w:pPr>
        <w:spacing w:after="0" w:line="14" w:lineRule="exact"/>
        <w:rPr>
          <w:rFonts w:ascii="Times New Roman" w:cs="Times New Roman" w:eastAsia="Times New Roman" w:hAnsi="Times New Roman"/>
          <w:sz w:val="18"/>
          <w:szCs w:val="18"/>
          <w:color w:val="auto"/>
        </w:rPr>
      </w:pPr>
    </w:p>
    <w:p>
      <w:pPr>
        <w:ind w:left="1140" w:right="260" w:hanging="241"/>
        <w:spacing w:after="0" w:line="232" w:lineRule="auto"/>
        <w:tabs>
          <w:tab w:leader="none" w:pos="1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$21.9 million increase in repayment of mortgages, finance leases, and notes payable primarily due to the mortgage loan repayments on eight of the buildings at our Hoboken property for $12.6 million and one of the buildings at our Bell Gardens property for $10.7 million during the nine months ended September 30, 2026, as compared to the $1.2 million repayment on one of the buildings at our Hoboken property during the nine months ended September 30, 2025,</w:t>
      </w:r>
    </w:p>
    <w:p>
      <w:pPr>
        <w:spacing w:after="0" w:line="23" w:lineRule="exact"/>
        <w:rPr>
          <w:rFonts w:ascii="Times New Roman" w:cs="Times New Roman" w:eastAsia="Times New Roman" w:hAnsi="Times New Roman"/>
          <w:sz w:val="18"/>
          <w:szCs w:val="18"/>
          <w:color w:val="auto"/>
        </w:rPr>
      </w:pPr>
    </w:p>
    <w:p>
      <w:pPr>
        <w:ind w:left="1140" w:right="640" w:hanging="241"/>
        <w:spacing w:after="0" w:line="250" w:lineRule="auto"/>
        <w:tabs>
          <w:tab w:leader="none" w:pos="1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$21.7 million premium paid for the capped call transactions entered into in connection with the issuance of $460.0 million 3.50% exchangeable senior notes in August 2026, and</w:t>
      </w:r>
    </w:p>
    <w:p>
      <w:pPr>
        <w:ind w:left="1140" w:right="160" w:hanging="241"/>
        <w:spacing w:after="0" w:line="250" w:lineRule="auto"/>
        <w:tabs>
          <w:tab w:leader="none" w:pos="1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$9.2 million increase in dividends paid to common and preferred shareholders due to an increase to the common share dividend rate and an increase in the number of outstanding shares,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36" w:lineRule="exact"/>
        <w:rPr>
          <w:sz w:val="20"/>
          <w:szCs w:val="20"/>
          <w:color w:val="auto"/>
        </w:rPr>
      </w:pPr>
    </w:p>
    <w:p>
      <w:pPr>
        <w:ind w:left="1140" w:hanging="241"/>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$451.0 million in net proceeds from the issuance of $460.0 million 3.50% exchangeable senior notes in August 2026,</w:t>
      </w:r>
    </w:p>
    <w:p>
      <w:pPr>
        <w:spacing w:after="0" w:line="36" w:lineRule="exact"/>
        <w:rPr>
          <w:rFonts w:ascii="Times New Roman" w:cs="Times New Roman" w:eastAsia="Times New Roman" w:hAnsi="Times New Roman"/>
          <w:sz w:val="18"/>
          <w:szCs w:val="18"/>
          <w:color w:val="auto"/>
        </w:rPr>
      </w:pPr>
    </w:p>
    <w:p>
      <w:pPr>
        <w:jc w:val="both"/>
        <w:ind w:left="1140" w:right="100" w:hanging="241"/>
        <w:spacing w:after="0" w:line="250" w:lineRule="auto"/>
        <w:tabs>
          <w:tab w:leader="none" w:pos="1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$104.9 million increase in net proceeds from our unsecured term loan from $250.0 million in borrowings under our unsecured term loan in 2026 that we entered into during November 2025, as compared to $145.0 million in net proceeds from our unsecured term loan in 2025,</w:t>
      </w:r>
    </w:p>
    <w:p>
      <w:pPr>
        <w:spacing w:after="0" w:line="14" w:lineRule="exact"/>
        <w:rPr>
          <w:rFonts w:ascii="Times New Roman" w:cs="Times New Roman" w:eastAsia="Times New Roman" w:hAnsi="Times New Roman"/>
          <w:sz w:val="18"/>
          <w:szCs w:val="18"/>
          <w:color w:val="auto"/>
        </w:rPr>
      </w:pPr>
    </w:p>
    <w:p>
      <w:pPr>
        <w:ind w:left="1140" w:right="620" w:hanging="241"/>
        <w:spacing w:after="0" w:line="250" w:lineRule="auto"/>
        <w:tabs>
          <w:tab w:leader="none" w:pos="1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$7.5 million decrease in distributions to and redemptions of noncontrolling interests primarily related to the redemption of 77,983 downREIT operating partnership units for $7.0 million during the nine months ended September 30, 2025, and</w:t>
      </w:r>
    </w:p>
    <w:p>
      <w:pPr>
        <w:ind w:left="1140" w:hanging="241"/>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$6.0 million increase in net proceeds from the issuance of common shares under our ATM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Financing Arrangements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total debt outstanding as of September 30,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100" w:type="dxa"/>
            <w:vAlign w:val="bottom"/>
          </w:tcPr>
          <w:p>
            <w:pPr>
              <w:spacing w:after="0"/>
              <w:rPr>
                <w:sz w:val="13"/>
                <w:szCs w:val="13"/>
                <w:color w:val="auto"/>
              </w:rPr>
            </w:pPr>
          </w:p>
        </w:tc>
        <w:tc>
          <w:tcPr>
            <w:tcW w:w="2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Stated Interest Rate as of</w:t>
            </w: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Debt</w:t>
            </w:r>
          </w:p>
        </w:tc>
        <w:tc>
          <w:tcPr>
            <w:tcW w:w="1360" w:type="dxa"/>
            <w:vAlign w:val="bottom"/>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Debt</w:t>
            </w:r>
          </w:p>
        </w:tc>
        <w:tc>
          <w:tcPr>
            <w:tcW w:w="126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as of September 30,</w:t>
            </w:r>
          </w:p>
        </w:tc>
        <w:tc>
          <w:tcPr>
            <w:tcW w:w="10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980" w:type="dxa"/>
            <w:vAlign w:val="bottom"/>
            <w:vMerge w:val="restart"/>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98"/>
        </w:trPr>
        <w:tc>
          <w:tcPr>
            <w:tcW w:w="4480" w:type="dxa"/>
            <w:vAlign w:val="bottom"/>
            <w:vMerge w:val="continue"/>
          </w:tcPr>
          <w:p>
            <w:pPr>
              <w:spacing w:after="0"/>
              <w:rPr>
                <w:sz w:val="17"/>
                <w:szCs w:val="17"/>
                <w:color w:val="auto"/>
              </w:rPr>
            </w:pP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300" w:type="dxa"/>
            <w:vAlign w:val="bottom"/>
          </w:tcPr>
          <w:p>
            <w:pPr>
              <w:spacing w:after="0"/>
              <w:rPr>
                <w:sz w:val="17"/>
                <w:szCs w:val="17"/>
                <w:color w:val="auto"/>
              </w:rPr>
            </w:pPr>
          </w:p>
        </w:tc>
        <w:tc>
          <w:tcPr>
            <w:tcW w:w="9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80" w:type="dxa"/>
            <w:vAlign w:val="bottom"/>
          </w:tcPr>
          <w:p>
            <w:pPr>
              <w:spacing w:after="0"/>
              <w:rPr>
                <w:sz w:val="16"/>
                <w:szCs w:val="16"/>
                <w:color w:val="auto"/>
              </w:rPr>
            </w:pPr>
          </w:p>
        </w:tc>
        <w:tc>
          <w:tcPr>
            <w:tcW w:w="2620" w:type="dxa"/>
            <w:vAlign w:val="bottom"/>
            <w:tcBorders>
              <w:top w:val="single" w:sz="8" w:color="auto"/>
            </w:tcBorders>
            <w:gridSpan w:val="3"/>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Mortgages payable</w:t>
            </w: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Bethesda Row (1)</w:t>
            </w: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200,000</w:t>
            </w: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Pr>
          <w:p>
            <w:pPr>
              <w:spacing w:after="0"/>
              <w:rPr>
                <w:sz w:val="18"/>
                <w:szCs w:val="18"/>
                <w:color w:val="auto"/>
              </w:rPr>
            </w:pPr>
          </w:p>
        </w:tc>
        <w:tc>
          <w:tcPr>
            <w:tcW w:w="2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SOFR + 0.95%</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28, 2026</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Plaza El Segundo</w:t>
            </w:r>
          </w:p>
        </w:tc>
        <w:tc>
          <w:tcPr>
            <w:tcW w:w="136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125,000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5, 2027</w:t>
            </w:r>
          </w:p>
        </w:tc>
        <w:tc>
          <w:tcPr>
            <w:tcW w:w="0" w:type="dxa"/>
            <w:vAlign w:val="bottom"/>
          </w:tcPr>
          <w:p>
            <w:pPr>
              <w:spacing w:after="0"/>
              <w:rPr>
                <w:sz w:val="1"/>
                <w:szCs w:val="1"/>
                <w:color w:val="auto"/>
              </w:rPr>
            </w:pPr>
          </w:p>
        </w:tc>
      </w:tr>
      <w:tr>
        <w:trPr>
          <w:trHeight w:val="213"/>
        </w:trPr>
        <w:tc>
          <w:tcPr>
            <w:tcW w:w="4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The Grove at Shrewsbury (East)</w:t>
            </w: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43,600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43,600</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3.77 %</w:t>
            </w:r>
          </w:p>
        </w:tc>
        <w:tc>
          <w:tcPr>
            <w:tcW w:w="1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1, 2027</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Azalea (2)(3)</w:t>
            </w:r>
          </w:p>
        </w:tc>
        <w:tc>
          <w:tcPr>
            <w:tcW w:w="136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55,000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1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SOFR + 0.85%</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October 30, 2028</w:t>
            </w:r>
          </w:p>
        </w:tc>
        <w:tc>
          <w:tcPr>
            <w:tcW w:w="0" w:type="dxa"/>
            <w:vAlign w:val="bottom"/>
          </w:tcPr>
          <w:p>
            <w:pPr>
              <w:spacing w:after="0"/>
              <w:rPr>
                <w:sz w:val="1"/>
                <w:szCs w:val="1"/>
                <w:color w:val="auto"/>
              </w:rPr>
            </w:pPr>
          </w:p>
        </w:tc>
      </w:tr>
      <w:tr>
        <w:trPr>
          <w:trHeight w:val="213"/>
        </w:trPr>
        <w:tc>
          <w:tcPr>
            <w:tcW w:w="4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Brook 35</w:t>
            </w: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11,500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11,500</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4.65 %</w:t>
            </w:r>
          </w:p>
        </w:tc>
        <w:tc>
          <w:tcPr>
            <w:tcW w:w="1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July 1, 2029</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Hoboken (24 Buildings) (4)</w:t>
            </w:r>
          </w:p>
        </w:tc>
        <w:tc>
          <w:tcPr>
            <w:tcW w:w="136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56,450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49,357</w:t>
            </w:r>
          </w:p>
        </w:tc>
        <w:tc>
          <w:tcPr>
            <w:tcW w:w="1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SOFR + 1.95%</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December 15, 2029</w:t>
            </w:r>
          </w:p>
        </w:tc>
        <w:tc>
          <w:tcPr>
            <w:tcW w:w="0" w:type="dxa"/>
            <w:vAlign w:val="bottom"/>
          </w:tcPr>
          <w:p>
            <w:pPr>
              <w:spacing w:after="0"/>
              <w:rPr>
                <w:sz w:val="1"/>
                <w:szCs w:val="1"/>
                <w:color w:val="auto"/>
              </w:rPr>
            </w:pPr>
          </w:p>
        </w:tc>
      </w:tr>
      <w:tr>
        <w:trPr>
          <w:trHeight w:val="213"/>
        </w:trPr>
        <w:tc>
          <w:tcPr>
            <w:tcW w:w="4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Various Hoboken (4 Buildings)</w:t>
            </w: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rPr>
              <w:t>Acquired</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10,452</w:t>
            </w:r>
          </w:p>
        </w:tc>
        <w:tc>
          <w:tcPr>
            <w:tcW w:w="100" w:type="dxa"/>
            <w:vAlign w:val="bottom"/>
          </w:tcPr>
          <w:p>
            <w:pPr>
              <w:spacing w:after="0"/>
              <w:rPr>
                <w:sz w:val="18"/>
                <w:szCs w:val="18"/>
                <w:color w:val="auto"/>
              </w:rPr>
            </w:pPr>
          </w:p>
        </w:tc>
        <w:tc>
          <w:tcPr>
            <w:tcW w:w="2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4.88% to 5.76%</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Various through 2029</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Chelsea</w:t>
            </w:r>
          </w:p>
        </w:tc>
        <w:tc>
          <w:tcPr>
            <w:tcW w:w="136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rPr>
              <w:t>Acquired</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15, 2031</w:t>
            </w:r>
          </w:p>
        </w:tc>
        <w:tc>
          <w:tcPr>
            <w:tcW w:w="0" w:type="dxa"/>
            <w:vAlign w:val="bottom"/>
          </w:tcPr>
          <w:p>
            <w:pPr>
              <w:spacing w:after="0"/>
              <w:rPr>
                <w:sz w:val="1"/>
                <w:szCs w:val="1"/>
                <w:color w:val="auto"/>
              </w:rPr>
            </w:pPr>
          </w:p>
        </w:tc>
      </w:tr>
      <w:tr>
        <w:trPr>
          <w:trHeight w:val="207"/>
        </w:trPr>
        <w:tc>
          <w:tcPr>
            <w:tcW w:w="4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Subtotal</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497,588</w:t>
            </w: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Net unamortized debt issuance costs and discount</w:t>
            </w:r>
          </w:p>
        </w:tc>
        <w:tc>
          <w:tcPr>
            <w:tcW w:w="13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mortgages payable, net</w:t>
            </w:r>
          </w:p>
        </w:tc>
        <w:tc>
          <w:tcPr>
            <w:tcW w:w="13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496,694</w:t>
            </w:r>
          </w:p>
        </w:tc>
        <w:tc>
          <w:tcPr>
            <w:tcW w:w="100" w:type="dxa"/>
            <w:vAlign w:val="bottom"/>
            <w:tcBorders>
              <w:bottom w:val="single" w:sz="8" w:color="CCEEFF"/>
            </w:tcBorders>
          </w:tcPr>
          <w:p>
            <w:pPr>
              <w:spacing w:after="0"/>
              <w:rPr>
                <w:sz w:val="17"/>
                <w:szCs w:val="17"/>
                <w:color w:val="auto"/>
              </w:rPr>
            </w:pPr>
          </w:p>
        </w:tc>
        <w:tc>
          <w:tcPr>
            <w:tcW w:w="1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9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44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Notes payable</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$750 million term loan (2)(5)(7)</w:t>
            </w:r>
          </w:p>
        </w:tc>
        <w:tc>
          <w:tcPr>
            <w:tcW w:w="136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750,000</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1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SOFR + 0.85%</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March 20, 2028</w:t>
            </w:r>
          </w:p>
        </w:tc>
        <w:tc>
          <w:tcPr>
            <w:tcW w:w="0" w:type="dxa"/>
            <w:vAlign w:val="bottom"/>
          </w:tcPr>
          <w:p>
            <w:pPr>
              <w:spacing w:after="0"/>
              <w:rPr>
                <w:sz w:val="1"/>
                <w:szCs w:val="1"/>
                <w:color w:val="auto"/>
              </w:rPr>
            </w:pPr>
          </w:p>
        </w:tc>
      </w:tr>
      <w:tr>
        <w:trPr>
          <w:trHeight w:val="213"/>
        </w:trPr>
        <w:tc>
          <w:tcPr>
            <w:tcW w:w="4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Revolving credit facility (2)(5)</w:t>
            </w: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rPr>
              <w:t>(6)</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SOFR + 0.725%</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April 12, 2030</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$250 million term loan (2)(5)</w:t>
            </w:r>
          </w:p>
        </w:tc>
        <w:tc>
          <w:tcPr>
            <w:tcW w:w="136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250,000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SOFR + 0.85%</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31, 2031</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Various</w:t>
            </w:r>
          </w:p>
        </w:tc>
        <w:tc>
          <w:tcPr>
            <w:tcW w:w="1360" w:type="dxa"/>
            <w:vAlign w:val="bottom"/>
            <w:tcBorders>
              <w:bottom w:val="single" w:sz="8" w:color="CCEEFF"/>
            </w:tcBorders>
          </w:tcPr>
          <w:p>
            <w:pPr>
              <w:jc w:val="center"/>
              <w:ind w:right="40"/>
              <w:spacing w:after="0"/>
              <w:rPr>
                <w:sz w:val="20"/>
                <w:szCs w:val="20"/>
                <w:color w:val="auto"/>
              </w:rPr>
            </w:pPr>
            <w:r>
              <w:rPr>
                <w:rFonts w:ascii="Times New Roman" w:cs="Times New Roman" w:eastAsia="Times New Roman" w:hAnsi="Times New Roman"/>
                <w:sz w:val="16"/>
                <w:szCs w:val="16"/>
                <w:color w:val="auto"/>
                <w:w w:val="99"/>
              </w:rPr>
              <w:t>1,615</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100" w:type="dxa"/>
            <w:vAlign w:val="bottom"/>
            <w:tcBorders>
              <w:bottom w:val="single" w:sz="8" w:color="CCEEFF"/>
            </w:tcBorders>
          </w:tcPr>
          <w:p>
            <w:pPr>
              <w:spacing w:after="0"/>
              <w:rPr>
                <w:sz w:val="18"/>
                <w:szCs w:val="18"/>
                <w:color w:val="auto"/>
              </w:rPr>
            </w:pPr>
          </w:p>
        </w:tc>
        <w:tc>
          <w:tcPr>
            <w:tcW w:w="206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Various</w:t>
            </w:r>
          </w:p>
        </w:tc>
        <w:tc>
          <w:tcPr>
            <w:tcW w:w="1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Various through 2059</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Subtotal</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1,001,055</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6"/>
                <w:szCs w:val="16"/>
                <w:color w:val="auto"/>
              </w:rPr>
              <w:t>Net unamortized debt issuance costs</w:t>
            </w:r>
          </w:p>
        </w:tc>
        <w:tc>
          <w:tcPr>
            <w:tcW w:w="1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(3,934)</w:t>
            </w:r>
          </w:p>
        </w:tc>
        <w:tc>
          <w:tcPr>
            <w:tcW w:w="100" w:type="dxa"/>
            <w:vAlign w:val="bottom"/>
            <w:tcBorders>
              <w:bottom w:val="single" w:sz="8" w:color="CCEEFF"/>
            </w:tcBorders>
          </w:tcPr>
          <w:p>
            <w:pPr>
              <w:spacing w:after="0"/>
              <w:rPr>
                <w:sz w:val="18"/>
                <w:szCs w:val="18"/>
                <w:color w:val="auto"/>
              </w:rPr>
            </w:pPr>
          </w:p>
        </w:tc>
        <w:tc>
          <w:tcPr>
            <w:tcW w:w="1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9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notes payable, net</w:t>
            </w:r>
          </w:p>
        </w:tc>
        <w:tc>
          <w:tcPr>
            <w:tcW w:w="13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997,121</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Senior notes and debentures (5)</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Unsecured fixed rate</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3.25% notes</w:t>
            </w:r>
          </w:p>
        </w:tc>
        <w:tc>
          <w:tcPr>
            <w:tcW w:w="136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475,000</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475,000</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July 15, 2027</w:t>
            </w:r>
          </w:p>
        </w:tc>
        <w:tc>
          <w:tcPr>
            <w:tcW w:w="0" w:type="dxa"/>
            <w:vAlign w:val="bottom"/>
          </w:tcPr>
          <w:p>
            <w:pPr>
              <w:spacing w:after="0"/>
              <w:rPr>
                <w:sz w:val="1"/>
                <w:szCs w:val="1"/>
                <w:color w:val="auto"/>
              </w:rPr>
            </w:pPr>
          </w:p>
        </w:tc>
      </w:tr>
      <w:tr>
        <w:trPr>
          <w:trHeight w:val="213"/>
        </w:trPr>
        <w:tc>
          <w:tcPr>
            <w:tcW w:w="4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6.82% medium term notes</w:t>
            </w: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40,000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6.82 %</w:t>
            </w:r>
          </w:p>
        </w:tc>
        <w:tc>
          <w:tcPr>
            <w:tcW w:w="1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1, 2027</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5.375% notes</w:t>
            </w:r>
          </w:p>
        </w:tc>
        <w:tc>
          <w:tcPr>
            <w:tcW w:w="136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350,000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5.375 %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May 1, 2028</w:t>
            </w:r>
          </w:p>
        </w:tc>
        <w:tc>
          <w:tcPr>
            <w:tcW w:w="0" w:type="dxa"/>
            <w:vAlign w:val="bottom"/>
          </w:tcPr>
          <w:p>
            <w:pPr>
              <w:spacing w:after="0"/>
              <w:rPr>
                <w:sz w:val="1"/>
                <w:szCs w:val="1"/>
                <w:color w:val="auto"/>
              </w:rPr>
            </w:pPr>
          </w:p>
        </w:tc>
      </w:tr>
      <w:tr>
        <w:trPr>
          <w:trHeight w:val="213"/>
        </w:trPr>
        <w:tc>
          <w:tcPr>
            <w:tcW w:w="4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3.25% exchangeable notes</w:t>
            </w: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485,000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485,000</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1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15, 2029</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3.20% notes</w:t>
            </w:r>
          </w:p>
        </w:tc>
        <w:tc>
          <w:tcPr>
            <w:tcW w:w="136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400,000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15, 2029</w:t>
            </w:r>
          </w:p>
        </w:tc>
        <w:tc>
          <w:tcPr>
            <w:tcW w:w="0" w:type="dxa"/>
            <w:vAlign w:val="bottom"/>
          </w:tcPr>
          <w:p>
            <w:pPr>
              <w:spacing w:after="0"/>
              <w:rPr>
                <w:sz w:val="1"/>
                <w:szCs w:val="1"/>
                <w:color w:val="auto"/>
              </w:rPr>
            </w:pPr>
          </w:p>
        </w:tc>
      </w:tr>
      <w:tr>
        <w:trPr>
          <w:trHeight w:val="213"/>
        </w:trPr>
        <w:tc>
          <w:tcPr>
            <w:tcW w:w="4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3.50% notes</w:t>
            </w: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400,000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1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1, 2030</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3.50% exchangeable notes</w:t>
            </w:r>
          </w:p>
        </w:tc>
        <w:tc>
          <w:tcPr>
            <w:tcW w:w="136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460,000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15, 2031</w:t>
            </w:r>
          </w:p>
        </w:tc>
        <w:tc>
          <w:tcPr>
            <w:tcW w:w="0" w:type="dxa"/>
            <w:vAlign w:val="bottom"/>
          </w:tcPr>
          <w:p>
            <w:pPr>
              <w:spacing w:after="0"/>
              <w:rPr>
                <w:sz w:val="1"/>
                <w:szCs w:val="1"/>
                <w:color w:val="auto"/>
              </w:rPr>
            </w:pPr>
          </w:p>
        </w:tc>
      </w:tr>
      <w:tr>
        <w:trPr>
          <w:trHeight w:val="213"/>
        </w:trPr>
        <w:tc>
          <w:tcPr>
            <w:tcW w:w="4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4.50% notes</w:t>
            </w: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550,000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1, 2044</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3.625% notes</w:t>
            </w:r>
          </w:p>
        </w:tc>
        <w:tc>
          <w:tcPr>
            <w:tcW w:w="136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250,000</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1, 2046</w:t>
            </w:r>
          </w:p>
        </w:tc>
        <w:tc>
          <w:tcPr>
            <w:tcW w:w="0" w:type="dxa"/>
            <w:vAlign w:val="bottom"/>
          </w:tcPr>
          <w:p>
            <w:pPr>
              <w:spacing w:after="0"/>
              <w:rPr>
                <w:sz w:val="1"/>
                <w:szCs w:val="1"/>
                <w:color w:val="auto"/>
              </w:rPr>
            </w:pPr>
          </w:p>
        </w:tc>
      </w:tr>
      <w:tr>
        <w:trPr>
          <w:trHeight w:val="207"/>
        </w:trPr>
        <w:tc>
          <w:tcPr>
            <w:tcW w:w="4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Subtotal</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3,410,000</w:t>
            </w: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Net unamortized debt issuance costs and premium</w:t>
            </w:r>
          </w:p>
        </w:tc>
        <w:tc>
          <w:tcPr>
            <w:tcW w:w="13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(20,231)</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senior notes and debentures, net</w:t>
            </w:r>
          </w:p>
        </w:tc>
        <w:tc>
          <w:tcPr>
            <w:tcW w:w="13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3,389,769</w:t>
            </w:r>
          </w:p>
        </w:tc>
        <w:tc>
          <w:tcPr>
            <w:tcW w:w="100" w:type="dxa"/>
            <w:vAlign w:val="bottom"/>
            <w:tcBorders>
              <w:bottom w:val="single" w:sz="8" w:color="CCEEFF"/>
            </w:tcBorders>
          </w:tcPr>
          <w:p>
            <w:pPr>
              <w:spacing w:after="0"/>
              <w:rPr>
                <w:sz w:val="17"/>
                <w:szCs w:val="17"/>
                <w:color w:val="auto"/>
              </w:rPr>
            </w:pPr>
          </w:p>
        </w:tc>
        <w:tc>
          <w:tcPr>
            <w:tcW w:w="1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9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44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debt, net</w:t>
            </w:r>
          </w:p>
        </w:tc>
        <w:tc>
          <w:tcPr>
            <w:tcW w:w="136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4,883,584</w:t>
            </w: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1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448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40" w:hanging="632"/>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one one-year extension, at our option, to extend the maturity date of this mortgage loan to December 28, 2027.</w:t>
      </w:r>
    </w:p>
    <w:p>
      <w:pPr>
        <w:spacing w:after="0" w:line="63" w:lineRule="exact"/>
        <w:rPr>
          <w:rFonts w:ascii="Times New Roman" w:cs="Times New Roman" w:eastAsia="Times New Roman" w:hAnsi="Times New Roman"/>
          <w:sz w:val="18"/>
          <w:szCs w:val="18"/>
          <w:color w:val="auto"/>
        </w:rPr>
      </w:pPr>
    </w:p>
    <w:p>
      <w:pPr>
        <w:ind w:left="660" w:right="160" w:hanging="652"/>
        <w:spacing w:after="0" w:line="281"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Azalea mortgage loan, revolving credit facility SOFR loans, and our unsecured term loans bear interest at Daily Simple SOFR, as defined in the respective credit agreements, plus a spread, based on our current credit rating.</w:t>
      </w:r>
    </w:p>
    <w:p>
      <w:pPr>
        <w:spacing w:after="0" w:line="1" w:lineRule="exact"/>
        <w:rPr>
          <w:rFonts w:ascii="Times New Roman" w:cs="Times New Roman" w:eastAsia="Times New Roman" w:hAnsi="Times New Roman"/>
          <w:sz w:val="18"/>
          <w:szCs w:val="18"/>
          <w:color w:val="auto"/>
        </w:rPr>
      </w:pPr>
    </w:p>
    <w:p>
      <w:pPr>
        <w:ind w:left="660" w:right="360" w:hanging="652"/>
        <w:spacing w:after="0" w:line="281"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Partnership is a co-borrower on this mortgage loan. Additionally, we have two one-year extensions, at our option, to extend the maturity date of this mortgage loan to October 30, 2030.</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on this mortgage loan is fixed at 3.67% through two interest rate swap agreements.</w:t>
      </w:r>
    </w:p>
    <w:p>
      <w:pPr>
        <w:spacing w:after="0" w:line="63" w:lineRule="exact"/>
        <w:rPr>
          <w:rFonts w:ascii="Times New Roman" w:cs="Times New Roman" w:eastAsia="Times New Roman" w:hAnsi="Times New Roman"/>
          <w:sz w:val="18"/>
          <w:szCs w:val="18"/>
          <w:color w:val="auto"/>
        </w:rPr>
      </w:pPr>
    </w:p>
    <w:p>
      <w:pPr>
        <w:ind w:left="660" w:right="480" w:hanging="652"/>
        <w:spacing w:after="0" w:line="281"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Partnership is the named obligor under our revolving credit facility, term loans, senior notes and debentures. A wholly owned subsidiary of the Operating Partnership is also a co-obligor of the $750.0 million term loan.</w:t>
      </w:r>
    </w:p>
    <w:p>
      <w:pPr>
        <w:spacing w:after="0" w:line="1" w:lineRule="exact"/>
        <w:rPr>
          <w:rFonts w:ascii="Times New Roman" w:cs="Times New Roman" w:eastAsia="Times New Roman" w:hAnsi="Times New Roman"/>
          <w:sz w:val="18"/>
          <w:szCs w:val="18"/>
          <w:color w:val="auto"/>
        </w:rPr>
      </w:pPr>
    </w:p>
    <w:p>
      <w:pPr>
        <w:ind w:left="660" w:right="160" w:hanging="652"/>
        <w:spacing w:after="0" w:line="282"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drawn under our revolving credit facility during the three and nine months ended September 30, 2026 was $346.8 million and $699.5 million, respectively, and the weighted average interest rate on</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right="160"/>
        <w:spacing w:after="0" w:line="281" w:lineRule="auto"/>
        <w:rPr>
          <w:sz w:val="20"/>
          <w:szCs w:val="20"/>
          <w:color w:val="auto"/>
        </w:rPr>
      </w:pPr>
      <w:r>
        <w:rPr>
          <w:rFonts w:ascii="Times New Roman" w:cs="Times New Roman" w:eastAsia="Times New Roman" w:hAnsi="Times New Roman"/>
          <w:sz w:val="18"/>
          <w:szCs w:val="18"/>
          <w:color w:val="auto"/>
        </w:rPr>
        <w:t>borrowings under our revolving credit facility, before amortization of debt fees during the three and nine months ended September 30, 2026, was 4.3% and 4.4%, respectively.</w:t>
      </w:r>
    </w:p>
    <w:p>
      <w:pPr>
        <w:spacing w:after="0" w:line="1" w:lineRule="exact"/>
        <w:rPr>
          <w:sz w:val="20"/>
          <w:szCs w:val="20"/>
          <w:color w:val="auto"/>
        </w:rPr>
      </w:pPr>
    </w:p>
    <w:p>
      <w:pPr>
        <w:ind w:left="660" w:right="300" w:hanging="652"/>
        <w:spacing w:after="0" w:line="282"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on $450.0 million of our $750.0 million term loan is fixed at a weighted average interest rate of 4.17% through March 1, 2028 through interest rate swap agreements.</w:t>
      </w:r>
    </w:p>
    <w:p>
      <w:pPr>
        <w:spacing w:after="0" w:line="10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revolving credit facility, unsecured term loans, and other debt agreements include financial and other covenants that may limit our operating activities in the future. As of September 30, 2026, we were in compliance with all financial and other covenants related to our revolving credit facility, unsecured term loans, and senior notes. Additionally, we were in compliance with all of the financial and other covenants that could trigger a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scheduled principal repayments as of September 30, 2026:</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Secured</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Pr>
          <w:p>
            <w:pPr>
              <w:spacing w:after="0"/>
              <w:rPr>
                <w:sz w:val="16"/>
                <w:szCs w:val="16"/>
                <w:color w:val="auto"/>
              </w:rPr>
            </w:pPr>
          </w:p>
        </w:tc>
      </w:tr>
      <w:tr>
        <w:trPr>
          <w:trHeight w:val="23"/>
        </w:trPr>
        <w:tc>
          <w:tcPr>
            <w:tcW w:w="5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190"/>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3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200,618</w:t>
            </w:r>
          </w:p>
        </w:tc>
        <w:tc>
          <w:tcPr>
            <w:tcW w:w="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200,636</w:t>
            </w:r>
          </w:p>
        </w:tc>
        <w:tc>
          <w:tcPr>
            <w:tcW w:w="400" w:type="dxa"/>
            <w:vAlign w:val="bottom"/>
            <w:shd w:val="clear" w:color="auto" w:fill="CCEEFF"/>
          </w:tcPr>
          <w:p>
            <w:pPr>
              <w:spacing w:after="0"/>
              <w:rPr>
                <w:sz w:val="20"/>
                <w:szCs w:val="20"/>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515,037</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178,282</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693,319</w:t>
            </w:r>
          </w:p>
        </w:tc>
        <w:tc>
          <w:tcPr>
            <w:tcW w:w="400" w:type="dxa"/>
            <w:vAlign w:val="bottom"/>
          </w:tcPr>
          <w:p>
            <w:pPr>
              <w:spacing w:after="0"/>
              <w:rPr>
                <w:sz w:val="19"/>
                <w:szCs w:val="19"/>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5"/>
              </w:rPr>
              <w:t>(2)</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57,511</w:t>
            </w:r>
          </w:p>
        </w:tc>
        <w:tc>
          <w:tcPr>
            <w:tcW w:w="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1,157,511</w:t>
            </w:r>
          </w:p>
        </w:tc>
        <w:tc>
          <w:tcPr>
            <w:tcW w:w="400" w:type="dxa"/>
            <w:vAlign w:val="bottom"/>
            <w:shd w:val="clear" w:color="auto" w:fill="CCEEFF"/>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885,000</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60,434</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945,434</w:t>
            </w:r>
          </w:p>
        </w:tc>
        <w:tc>
          <w:tcPr>
            <w:tcW w:w="400" w:type="dxa"/>
            <w:vAlign w:val="bottom"/>
          </w:tcPr>
          <w:p>
            <w:pPr>
              <w:spacing w:after="0"/>
              <w:rPr>
                <w:sz w:val="19"/>
                <w:szCs w:val="19"/>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5"/>
              </w:rPr>
              <w:t>(4)</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400,684</w:t>
            </w:r>
          </w:p>
        </w:tc>
        <w:tc>
          <w:tcPr>
            <w:tcW w:w="400" w:type="dxa"/>
            <w:vAlign w:val="bottom"/>
            <w:shd w:val="clear" w:color="auto" w:fill="CCEEFF"/>
          </w:tcPr>
          <w:p>
            <w:pPr>
              <w:spacing w:after="0"/>
              <w:rPr>
                <w:sz w:val="19"/>
                <w:szCs w:val="19"/>
                <w:color w:val="auto"/>
              </w:rPr>
            </w:pPr>
          </w:p>
        </w:tc>
      </w:tr>
      <w:tr>
        <w:trPr>
          <w:trHeight w:val="23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1,511,000</w:t>
            </w:r>
          </w:p>
        </w:tc>
        <w:tc>
          <w:tcPr>
            <w:tcW w:w="4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1,511,059</w:t>
            </w:r>
          </w:p>
        </w:tc>
        <w:tc>
          <w:tcPr>
            <w:tcW w:w="400" w:type="dxa"/>
            <w:vAlign w:val="bottom"/>
            <w:tcBorders>
              <w:bottom w:val="single" w:sz="8" w:color="CCEEFF"/>
            </w:tcBorders>
          </w:tcPr>
          <w:p>
            <w:pPr>
              <w:spacing w:after="0"/>
              <w:rPr>
                <w:sz w:val="19"/>
                <w:szCs w:val="19"/>
                <w:color w:val="auto"/>
              </w:rPr>
            </w:pPr>
          </w:p>
        </w:tc>
      </w:tr>
      <w:tr>
        <w:trPr>
          <w:trHeight w:val="248"/>
        </w:trPr>
        <w:tc>
          <w:tcPr>
            <w:tcW w:w="5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4,411,055</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497,588</w:t>
            </w: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4,908,643</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5"/>
              </w:rPr>
              <w:t>(5)</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63" w:lineRule="exact"/>
        <w:rPr>
          <w:sz w:val="20"/>
          <w:szCs w:val="20"/>
          <w:color w:val="auto"/>
        </w:rPr>
      </w:pPr>
    </w:p>
    <w:p>
      <w:pPr>
        <w:ind w:left="580" w:right="740" w:hanging="572"/>
        <w:spacing w:after="0" w:line="281" w:lineRule="auto"/>
        <w:tabs>
          <w:tab w:leader="none" w:pos="5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$200.0 million mortgage loan secured by Bethesda Row matures on December 28, 2026, plus one one-year extension at our option to December 28, 2027.</w:t>
      </w:r>
    </w:p>
    <w:p>
      <w:pPr>
        <w:spacing w:after="0" w:line="1"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$750.0 million term loan matures on March 20, 2028, plus two one-year extensions at our option to March 20, 2030.</w:t>
      </w:r>
    </w:p>
    <w:p>
      <w:pPr>
        <w:spacing w:after="0" w:line="63"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$55.0 million mortgage loan secured by Azalea matures on October 30, 2028, plus two one-year extensions at our option to October 30, 2030.</w:t>
      </w:r>
    </w:p>
    <w:p>
      <w:pPr>
        <w:spacing w:after="0" w:line="63" w:lineRule="exact"/>
        <w:rPr>
          <w:rFonts w:ascii="Times New Roman" w:cs="Times New Roman" w:eastAsia="Times New Roman" w:hAnsi="Times New Roman"/>
          <w:sz w:val="18"/>
          <w:szCs w:val="18"/>
          <w:color w:val="auto"/>
        </w:rPr>
      </w:pPr>
    </w:p>
    <w:p>
      <w:pPr>
        <w:ind w:left="580" w:right="820" w:hanging="572"/>
        <w:spacing w:after="0" w:line="281" w:lineRule="auto"/>
        <w:tabs>
          <w:tab w:leader="none" w:pos="5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$1.4 billion revolving credit facility matures on April 12, 2030, plus two six-month extensions at our option to April 12, 2031. As of September 30, 2026, there was no balance outstanding under our revolving credit facility.</w:t>
      </w:r>
    </w:p>
    <w:p>
      <w:pPr>
        <w:spacing w:after="0" w:line="1" w:lineRule="exact"/>
        <w:rPr>
          <w:rFonts w:ascii="Times New Roman" w:cs="Times New Roman" w:eastAsia="Times New Roman" w:hAnsi="Times New Roman"/>
          <w:sz w:val="18"/>
          <w:szCs w:val="18"/>
          <w:color w:val="auto"/>
        </w:rPr>
      </w:pPr>
    </w:p>
    <w:p>
      <w:pPr>
        <w:ind w:left="580" w:right="600" w:hanging="572"/>
        <w:spacing w:after="0" w:line="282" w:lineRule="auto"/>
        <w:tabs>
          <w:tab w:leader="none" w:pos="5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debt maturities differ from the total reported on the consolidated balance sheets due to the unamortized net debt issuance costs and premium/discount on mortgage loans, notes payable, and senior notes as of September 30,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Hedging</w:t>
      </w:r>
    </w:p>
    <w:p>
      <w:pPr>
        <w:spacing w:after="0" w:line="10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which is included in "accumulated other comprehensive income (loss)" on the balance sheet and statement of shareholders' equity. Cash flow hedges become ineffective if critical terms of the hedging instrument and the debt instrument do not perfectly match such as notional amounts, settlement dates, reset dates, calculation period and SOFR rate. In addition, we evaluate the default risk of the counterparty by monitoring the credit-worthiness of the counterparty which includes reviewing debt ratings and financial performance. If a cash flow hedge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is deemed ineffective, the ineffective portion of changes in fair value of the interest rate swaps associated with cash flow hedges is recognized in earnings in the period affected.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we have interest rate swap agreements that effectively fix the rate on the following debt instruments: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Debt</w:t>
            </w:r>
          </w:p>
        </w:tc>
        <w:tc>
          <w:tcPr>
            <w:tcW w:w="100" w:type="dxa"/>
            <w:vAlign w:val="bottom"/>
            <w:vMerge w:val="restart"/>
          </w:tcPr>
          <w:p>
            <w:pPr>
              <w:spacing w:after="0"/>
              <w:rPr>
                <w:sz w:val="16"/>
                <w:szCs w:val="16"/>
                <w:color w:val="auto"/>
              </w:rPr>
            </w:pP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Notional Amount of Related</w:t>
            </w:r>
          </w:p>
        </w:tc>
        <w:tc>
          <w:tcPr>
            <w:tcW w:w="2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Average Fixed Rate</w:t>
            </w:r>
          </w:p>
        </w:tc>
        <w:tc>
          <w:tcPr>
            <w:tcW w:w="100" w:type="dxa"/>
            <w:vAlign w:val="bottom"/>
            <w:vMerge w:val="restart"/>
          </w:tcPr>
          <w:p>
            <w:pPr>
              <w:spacing w:after="0"/>
              <w:rPr>
                <w:sz w:val="16"/>
                <w:szCs w:val="16"/>
                <w:color w:val="auto"/>
              </w:rPr>
            </w:pPr>
          </w:p>
        </w:tc>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Maturity Date of Related</w:t>
            </w:r>
          </w:p>
        </w:tc>
        <w:tc>
          <w:tcPr>
            <w:tcW w:w="0" w:type="dxa"/>
            <w:vAlign w:val="bottom"/>
          </w:tcPr>
          <w:p>
            <w:pPr>
              <w:spacing w:after="0"/>
              <w:rPr>
                <w:sz w:val="1"/>
                <w:szCs w:val="1"/>
                <w:color w:val="auto"/>
              </w:rPr>
            </w:pPr>
          </w:p>
        </w:tc>
      </w:tr>
      <w:tr>
        <w:trPr>
          <w:trHeight w:val="214"/>
        </w:trPr>
        <w:tc>
          <w:tcPr>
            <w:tcW w:w="35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Swap Agreements</w:t>
            </w:r>
          </w:p>
        </w:tc>
        <w:tc>
          <w:tcPr>
            <w:tcW w:w="100" w:type="dxa"/>
            <w:vAlign w:val="bottom"/>
          </w:tcPr>
          <w:p>
            <w:pPr>
              <w:spacing w:after="0"/>
              <w:rPr>
                <w:sz w:val="18"/>
                <w:szCs w:val="18"/>
                <w:color w:val="auto"/>
              </w:rPr>
            </w:pPr>
          </w:p>
        </w:tc>
        <w:tc>
          <w:tcPr>
            <w:tcW w:w="21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9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Swap Agreements</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Consolidated Debt</w:t>
            </w:r>
          </w:p>
        </w:tc>
        <w:tc>
          <w:tcPr>
            <w:tcW w:w="240" w:type="dxa"/>
            <w:vAlign w:val="bottom"/>
          </w:tcPr>
          <w:p>
            <w:pPr>
              <w:spacing w:after="0"/>
              <w:rPr>
                <w:sz w:val="17"/>
                <w:szCs w:val="17"/>
                <w:color w:val="auto"/>
              </w:rPr>
            </w:pPr>
          </w:p>
        </w:tc>
        <w:tc>
          <w:tcPr>
            <w:tcW w:w="1740" w:type="dxa"/>
            <w:vAlign w:val="bottom"/>
          </w:tcPr>
          <w:p>
            <w:pPr>
              <w:jc w:val="right"/>
              <w:ind w:right="493"/>
              <w:spacing w:after="0"/>
              <w:rPr>
                <w:sz w:val="20"/>
                <w:szCs w:val="20"/>
                <w:color w:val="auto"/>
              </w:rPr>
            </w:pPr>
            <w:r>
              <w:rPr>
                <w:rFonts w:ascii="Times New Roman" w:cs="Times New Roman" w:eastAsia="Times New Roman" w:hAnsi="Times New Roman"/>
                <w:sz w:val="16"/>
                <w:szCs w:val="16"/>
                <w:color w:val="auto"/>
              </w:rPr>
              <w:t>(In millions)</w:t>
            </w:r>
          </w:p>
        </w:tc>
        <w:tc>
          <w:tcPr>
            <w:tcW w:w="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66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 million term loan</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10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2028</w:t>
            </w:r>
          </w:p>
        </w:tc>
        <w:tc>
          <w:tcPr>
            <w:tcW w:w="0" w:type="dxa"/>
            <w:vAlign w:val="bottom"/>
          </w:tcPr>
          <w:p>
            <w:pPr>
              <w:spacing w:after="0"/>
              <w:rPr>
                <w:sz w:val="1"/>
                <w:szCs w:val="1"/>
                <w:color w:val="auto"/>
              </w:rPr>
            </w:pPr>
          </w:p>
        </w:tc>
      </w:tr>
      <w:tr>
        <w:trPr>
          <w:trHeight w:val="23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Hoboken mortgage loan</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00" w:type="dxa"/>
            <w:vAlign w:val="bottom"/>
          </w:tcPr>
          <w:p>
            <w:pPr>
              <w:spacing w:after="0"/>
              <w:rPr>
                <w:sz w:val="19"/>
                <w:szCs w:val="19"/>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15, 2029</w:t>
            </w: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Unconsolidated Debt</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Assembly Row Hotel</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100" w:type="dxa"/>
            <w:vAlign w:val="bottom"/>
          </w:tcPr>
          <w:p>
            <w:pPr>
              <w:spacing w:after="0"/>
              <w:rPr>
                <w:sz w:val="19"/>
                <w:szCs w:val="19"/>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30, 2028</w:t>
            </w: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Chandler Festival</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10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4, 2030</w:t>
            </w:r>
          </w:p>
        </w:tc>
        <w:tc>
          <w:tcPr>
            <w:tcW w:w="0" w:type="dxa"/>
            <w:vAlign w:val="bottom"/>
          </w:tcPr>
          <w:p>
            <w:pPr>
              <w:spacing w:after="0"/>
              <w:rPr>
                <w:sz w:val="1"/>
                <w:szCs w:val="1"/>
                <w:color w:val="auto"/>
              </w:rPr>
            </w:pPr>
          </w:p>
        </w:tc>
      </w:tr>
      <w:tr>
        <w:trPr>
          <w:trHeight w:val="234"/>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Chandler Gateway</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100" w:type="dxa"/>
            <w:vAlign w:val="bottom"/>
          </w:tcPr>
          <w:p>
            <w:pPr>
              <w:spacing w:after="0"/>
              <w:rPr>
                <w:sz w:val="20"/>
                <w:szCs w:val="20"/>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4, 2030</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1440"/>
        <w:spacing w:after="0" w:line="391" w:lineRule="auto"/>
        <w:rPr>
          <w:sz w:val="20"/>
          <w:szCs w:val="20"/>
          <w:color w:val="auto"/>
        </w:rPr>
      </w:pPr>
      <w:r>
        <w:rPr>
          <w:rFonts w:ascii="Times New Roman" w:cs="Times New Roman" w:eastAsia="Times New Roman" w:hAnsi="Times New Roman"/>
          <w:sz w:val="18"/>
          <w:szCs w:val="18"/>
          <w:color w:val="auto"/>
        </w:rPr>
        <w:t xml:space="preserve">All swaps were designated and qualify as cash flow hedges. Hedge ineffectiveness has not impacted earnings as of September 30, 2026. </w:t>
      </w:r>
      <w:r>
        <w:rPr>
          <w:rFonts w:ascii="Times New Roman" w:cs="Times New Roman" w:eastAsia="Times New Roman" w:hAnsi="Times New Roman"/>
          <w:sz w:val="18"/>
          <w:szCs w:val="18"/>
          <w:i w:val="1"/>
          <w:iCs w:val="1"/>
          <w:color w:val="auto"/>
        </w:rPr>
        <w:t>REIT Qualification</w:t>
      </w:r>
    </w:p>
    <w:p>
      <w:pPr>
        <w:spacing w:after="0" w:line="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intend to maintain the Trust's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Nareit Funds From Operations (“Nareit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Nareit FFO in accordance with the Nareit definition, and we have historically reported our Nareit FFO available for common shareholders in addition to our net income and net cash provided by operating activities. It should be noted that Nareit FFO:</w:t>
      </w:r>
    </w:p>
    <w:p>
      <w:pPr>
        <w:spacing w:after="0" w:line="25" w:lineRule="exact"/>
        <w:rPr>
          <w:sz w:val="20"/>
          <w:szCs w:val="20"/>
          <w:color w:val="auto"/>
        </w:rPr>
      </w:pPr>
    </w:p>
    <w:p>
      <w:pPr>
        <w:ind w:left="1700" w:right="280" w:hanging="801"/>
        <w:spacing w:after="0" w:line="281" w:lineRule="auto"/>
        <w:tabs>
          <w:tab w:leader="none" w:pos="1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1"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not be considered an alternative to net income as an indication of our performance;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necessarily indicative of cash flow as a measure of liquidity or ability to fund cash needs, including the payment of dividends.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consider Nareit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Nareit FFO primarily as one of several means of assessing our operating performance in comparison with other REITs. Comparison of our presentation of Nareit FFO to similarly titled measures for other REITs may not necessarily be meaningful due to possible differences in the application of the Nareit definition used by such REITs.</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An increase or decrease in Nareit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Nareit FFO will generally require an increase in distributions to shareholders although not necessarily on a proportionate basis.</w:t>
      </w:r>
    </w:p>
    <w:p>
      <w:pPr>
        <w:spacing w:after="0" w:line="12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Core Funds From Operations ("Core FFO") is a supplemental non-GAAP financial measure of performance that adjusts Nareit FFO to exclude the impact of certain items that management considers are not indicative of the Company’s ongoing operating and financial performance. These adjustments include, when applicable, (1) gains or losses on early extinguishment of debt, (2) new market tax credit transaction income, (3) executive transition costs, (4) collection of prior period rents which were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contractually deferred or payments renegotiated related to the COVID-19 pandemic, and (5) other items as determined by management. Management believes Core FFO provides enhanced comparability across periods and additional insight into the Company’s underlying operating results, by excluding items that may reflect short-term fluctuations in net income and Nareit FFO. Core FFO is not intended to be a substitute for net income or Nareit FFO. Comparison of our presentation of Core FFO to similarly titled measures for other REITs may not be meaningful due to possible differences in the way Core FFO is defined or applied by other REITs.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net income to Nareit FFO and Core FFO available to common shareholders is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12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96"/>
        </w:trPr>
        <w:tc>
          <w:tcPr>
            <w:tcW w:w="6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net income to Nareit FFO available to common shareholders</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68,985</w:t>
            </w:r>
          </w:p>
        </w:tc>
        <w:tc>
          <w:tcPr>
            <w:tcW w:w="100" w:type="dxa"/>
            <w:vAlign w:val="bottom"/>
          </w:tcPr>
          <w:p>
            <w:pPr>
              <w:spacing w:after="0"/>
              <w:rPr>
                <w:sz w:val="19"/>
                <w:szCs w:val="19"/>
                <w:color w:val="auto"/>
              </w:rPr>
            </w:pP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318,608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291,033</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(77,672)</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236,251</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initial direct costs of leases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30,464</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Funds from operations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470,376</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on preferred shares (1)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downREIT operating partnership units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attributable to unvested shares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21"/>
        </w:trPr>
        <w:tc>
          <w:tcPr>
            <w:tcW w:w="6440" w:type="dxa"/>
            <w:vAlign w:val="bottom"/>
            <w:tcBorders>
              <w:bottom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Nareit FFO</w:t>
            </w: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162,995</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93"/>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153,045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488,343</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465,061</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diluted (1)(2)</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4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87,178</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86,599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86,883</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86,463</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Nareit FFO, per diluted share (2)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70"/>
        </w:trPr>
        <w:tc>
          <w:tcPr>
            <w:tcW w:w="64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Nareit FFO to Core FFO</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Nareit FFO</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465,061</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market tax credit transaction income, net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(13,004)</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Collection of prior period rents deferred during COVID</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48"/>
        </w:trPr>
        <w:tc>
          <w:tcPr>
            <w:tcW w:w="6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Core FFO</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451,848</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Core FFO per diluted share (2)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97"/>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60" w:hanging="652"/>
        <w:spacing w:after="0" w:line="266"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September 30, 2026 and 2025, dividends on our Series 1 preferred stock were not deducted in the calculation of FFO available to common shareholders, as the related shares were dilutive and included in "weighted average number of common shares, diluted."</w:t>
      </w:r>
    </w:p>
    <w:p>
      <w:pPr>
        <w:spacing w:after="0" w:line="1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common shares used to compute Nareit and Core FFO per diluted common share includes downREIT operating partnership units that were excluded from the computation of diluted EPS for both the three months ended September 30, 2026 and 2025, and the nine months ended September 30, 2025. Conversion of these operating partnership units is dilutive in the computation of Nareit and Core FFO per diluted share for all periods presented.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9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Interest Rate Debt</w:t>
      </w:r>
    </w:p>
    <w:p>
      <w:pPr>
        <w:spacing w:after="0" w:line="1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majority of our outstanding debt obligations (maturing at various times through 2059) have fixed interest rates which limit the risk of fluctuating interest rates. However, interest rate fluctuations may affect the fair value of our fixed rate debt instruments. At September 30, 2026, we had $4.1 billion of fixed-rate debt outstanding, including $450.0 million of our $750.0 million unsecured term loan and $49.4 million of mortgage payables for which the rate is effectively fixed by interest rate swap agreements. If market interest rates used to calculate the fair value on our fixed-rate debt instruments at September 30, 2026 had been 1.0% higher, the fair value of those debt instruments on that date would have decreased by approximately $127.8 million. If market interest rates used to calculate the fair value on our fixed-rate debt instruments at September 30, 2026 had been 1.0% lower, the fair value of those debt instruments on that date would have increased by approximately $141.1 million.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Rate Debt</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Generally, we believe that our primary interest rate risk is due to fluctuations in interest rates on our outstanding variable rate debt. At September 30, 2026, we had $805.0 million of variable rate debt outstanding, comprised of $550.0 million of our unsecured term loans, no balance outstanding on our revolving credit facility, our $200.0 million mortgage loan at Bethesda Row, and our $55.0 million mortgage loan at Azalea. Based upon this amount of variable rate debt and the specific terms, if market interest rates increased 1.0%, our annual interest expense would increase approximately $8.1 million with a corresponding decrease in our net income and cash flows for the year. Conversely, if market interest rates decreased 1.0%, our annual interest expense would decrease by approximately $8.1 million with a corresponding increase in our net income and cash flows for the year.</w:t>
      </w:r>
    </w:p>
    <w:p>
      <w:pPr>
        <w:spacing w:after="0" w:line="22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 (Federal Realty Investment Trust)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Periodic Evaluation and Conclusion of Disclosure Controls and Procedures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evaluation has been performed, under the supervision and with the participation of our management, including our Chief Executive Officer and Chief Financial Officer, of the effectiveness of the design and operation of the Trust's disclosure controls and procedures as of September 30, 2026. Based on this evaluation, our management, including our Chief Executive Officer and Chief Financial Officer, concluded that the Trust's disclosure controls and procedures were effective as of September 30, 2026 to provide reasonable assurance that information required to be disclosed in the Trust's reports filed or submitted under the Securities Exchange Act of 1934 is (i) recorded, processed, summarized and reported within the time periods specified in the rules and forms of the SEC and (ii) accumulated and communicated to the Trust’s management including its principal executive and principal financial officer as appropriate to allow timely decisions regarding required disclosure.</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has been no change in the Trust's internal control over financial reporting during the quarterly period covered by this report that materially affected, or is reasonably likely to materially affect, the Trust's internal control over financial reporting.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 (Federal Realty OP LP)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Periodic Evaluation and Conclusion of Disclosure Controls and Procedures</w:t>
      </w:r>
    </w:p>
    <w:p>
      <w:pPr>
        <w:spacing w:after="0" w:line="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 evaluation has been performed, under the supervision and with the participation of our management, including our Chief Executive Officer and Chief Financial Officer, of the effectiveness of the design and operation of the Operating Partnership's disclosure controls and procedures as of September 30, 2026. Based on this evaluation, our management, including our Chief Executive Officer and Chief Financial Officer, concluded that the Operating Partnership's disclosure controls and procedures were effective as of September 30, 2026 to provide reasonable assurance that information required to be disclosed in our reports filed or submitted under the Securities Exchange Act of 1934 is (i) recorded, processed, summarized and reported within the time periods specified in the rules and forms of the SEC and (ii) accumulated and communicated to the Operating Partnership’s management including its principal executive and principal financial officer as appropriate to allow timely decisions regarding required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There has been no change in the Operating Partnership's internal control over financial reporting during the quarterly period covered by this report that materially affected, or is reasonably likely to materially affect, the Operating Partnership's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4"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30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have been no material developments in any of our legal proceedings since the disclosure contained in our Annual Report on Form 10-K for the fiscal year ended December 31, 2025 filed with the SEC on February 12, 2026.</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on Form 10-K for the year ended December 31, 2025 filed with the SEC on February 12, 2026.</w:t>
      </w:r>
    </w:p>
    <w:p>
      <w:pPr>
        <w:spacing w:after="0" w:line="2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April 10, 2025, we announced that our Board of Trustees had approved a common share repurchase program, under which we are authorized to purchase up to $300.0 million of our outstanding common shares of beneficial interest, $0.01 par value per share, from time to time using a variety of methods, including open market, privately negotiated transactions or otherwise. The specific timing and amount of common share repurchases, if any, will depend on a number of factors, including prevailing share prices, trading volume and general market conditions, along with our working capital requirements, cash flow, and other factors. The program does not have an expiration date, does not require us to repurchase any dollar amount or number of common shares and may be suspended or discontinued at any time. The following table represents the number and average price of shares purchased during the three months ended September 30, 2026:</w:t>
      </w:r>
    </w:p>
    <w:tbl>
      <w:tblPr>
        <w:tblLayout w:type="fixed"/>
        <w:tblInd w:w="0" w:type="dxa"/>
        <w:tblCellMar>
          <w:top w:w="0" w:type="dxa"/>
          <w:left w:w="0" w:type="dxa"/>
          <w:bottom w:w="0" w:type="dxa"/>
          <w:right w:w="0" w:type="dxa"/>
        </w:tblCellMar>
      </w:tblPr>
      <w:tr>
        <w:trPr>
          <w:trHeight w:val="198"/>
        </w:trPr>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17"/>
                <w:szCs w:val="17"/>
                <w:color w:val="auto"/>
              </w:rPr>
            </w:pPr>
          </w:p>
        </w:tc>
        <w:tc>
          <w:tcPr>
            <w:tcW w:w="162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0" w:type="dxa"/>
            <w:vAlign w:val="bottom"/>
          </w:tcPr>
          <w:p>
            <w:pPr>
              <w:spacing w:after="0"/>
              <w:rPr>
                <w:sz w:val="1"/>
                <w:szCs w:val="1"/>
                <w:color w:val="auto"/>
              </w:rPr>
            </w:pPr>
          </w:p>
        </w:tc>
      </w:tr>
      <w:tr>
        <w:trPr>
          <w:trHeight w:val="184"/>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Common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8"/>
              </w:rPr>
              <w:t>Value of Common</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00" w:type="dxa"/>
            <w:vAlign w:val="bottom"/>
          </w:tcPr>
          <w:p>
            <w:pPr>
              <w:spacing w:after="0"/>
              <w:rPr>
                <w:sz w:val="15"/>
                <w:szCs w:val="15"/>
                <w:color w:val="auto"/>
              </w:rPr>
            </w:pP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6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Shares That May</w:t>
            </w:r>
          </w:p>
        </w:tc>
        <w:tc>
          <w:tcPr>
            <w:tcW w:w="0" w:type="dxa"/>
            <w:vAlign w:val="bottom"/>
          </w:tcPr>
          <w:p>
            <w:pPr>
              <w:spacing w:after="0"/>
              <w:rPr>
                <w:sz w:val="1"/>
                <w:szCs w:val="1"/>
                <w:color w:val="auto"/>
              </w:rPr>
            </w:pPr>
          </w:p>
        </w:tc>
      </w:tr>
      <w:tr>
        <w:trPr>
          <w:trHeight w:val="180"/>
        </w:trPr>
        <w:tc>
          <w:tcPr>
            <w:tcW w:w="4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6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of Publicly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center"/>
              <w:ind w:right="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Yet be Purchased</w:t>
            </w:r>
          </w:p>
        </w:tc>
        <w:tc>
          <w:tcPr>
            <w:tcW w:w="0" w:type="dxa"/>
            <w:vAlign w:val="bottom"/>
          </w:tcPr>
          <w:p>
            <w:pPr>
              <w:spacing w:after="0"/>
              <w:rPr>
                <w:sz w:val="1"/>
                <w:szCs w:val="1"/>
                <w:color w:val="auto"/>
              </w:rPr>
            </w:pPr>
          </w:p>
        </w:tc>
      </w:tr>
      <w:tr>
        <w:trPr>
          <w:trHeight w:val="184"/>
        </w:trPr>
        <w:tc>
          <w:tcPr>
            <w:tcW w:w="4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Common Shares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Paid Per</w:t>
            </w:r>
          </w:p>
        </w:tc>
        <w:tc>
          <w:tcPr>
            <w:tcW w:w="16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Under the Plan or</w:t>
            </w:r>
          </w:p>
        </w:tc>
        <w:tc>
          <w:tcPr>
            <w:tcW w:w="0" w:type="dxa"/>
            <w:vAlign w:val="bottom"/>
          </w:tcPr>
          <w:p>
            <w:pPr>
              <w:spacing w:after="0"/>
              <w:rPr>
                <w:sz w:val="1"/>
                <w:szCs w:val="1"/>
                <w:color w:val="auto"/>
              </w:rPr>
            </w:pPr>
          </w:p>
        </w:tc>
      </w:tr>
      <w:tr>
        <w:trPr>
          <w:trHeight w:val="230"/>
        </w:trPr>
        <w:tc>
          <w:tcPr>
            <w:tcW w:w="4840" w:type="dxa"/>
            <w:vAlign w:val="bottom"/>
            <w:gridSpan w:val="2"/>
            <w:vMerge w:val="continue"/>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0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Program</w:t>
            </w:r>
          </w:p>
        </w:tc>
        <w:tc>
          <w:tcPr>
            <w:tcW w:w="0" w:type="dxa"/>
            <w:vAlign w:val="bottom"/>
          </w:tcPr>
          <w:p>
            <w:pPr>
              <w:spacing w:after="0"/>
              <w:rPr>
                <w:sz w:val="1"/>
                <w:szCs w:val="1"/>
                <w:color w:val="auto"/>
              </w:rPr>
            </w:pPr>
          </w:p>
        </w:tc>
      </w:tr>
      <w:tr>
        <w:trPr>
          <w:trHeight w:val="223"/>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2026 - July 31, 2026</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300,000,000</w:t>
            </w:r>
          </w:p>
        </w:tc>
        <w:tc>
          <w:tcPr>
            <w:tcW w:w="0" w:type="dxa"/>
            <w:vAlign w:val="bottom"/>
          </w:tcPr>
          <w:p>
            <w:pPr>
              <w:spacing w:after="0"/>
              <w:rPr>
                <w:sz w:val="1"/>
                <w:szCs w:val="1"/>
                <w:color w:val="auto"/>
              </w:rPr>
            </w:pPr>
          </w:p>
        </w:tc>
      </w:tr>
      <w:tr>
        <w:trPr>
          <w:trHeight w:val="230"/>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2026 - August 31, 2026</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300,000,000</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2026 - September 30, 2026</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235,011,844</w:t>
            </w:r>
          </w:p>
        </w:tc>
        <w:tc>
          <w:tcPr>
            <w:tcW w:w="0" w:type="dxa"/>
            <w:vAlign w:val="bottom"/>
          </w:tcPr>
          <w:p>
            <w:pPr>
              <w:spacing w:after="0"/>
              <w:rPr>
                <w:sz w:val="1"/>
                <w:szCs w:val="1"/>
                <w:color w:val="auto"/>
              </w:rPr>
            </w:pPr>
          </w:p>
        </w:tc>
      </w:tr>
      <w:tr>
        <w:trPr>
          <w:trHeight w:val="223"/>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591,113</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8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591,113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Under the terms of various partnership agreements of certain of our affiliated limited partnerships, the interests of limited partners in those limited partnerships may be redeemed, subject to certain conditions, for cash or common shares, at our option.</w:t>
      </w:r>
    </w:p>
    <w:p>
      <w:pPr>
        <w:spacing w:after="0" w:line="40" w:lineRule="exact"/>
        <w:rPr>
          <w:sz w:val="20"/>
          <w:szCs w:val="20"/>
          <w:color w:val="auto"/>
        </w:rPr>
      </w:pPr>
    </w:p>
    <w:p>
      <w:pPr>
        <w:ind w:right="2100"/>
        <w:spacing w:after="0" w:line="282" w:lineRule="auto"/>
        <w:rPr>
          <w:sz w:val="20"/>
          <w:szCs w:val="20"/>
          <w:color w:val="auto"/>
        </w:rPr>
      </w:pPr>
      <w:r>
        <w:rPr>
          <w:rFonts w:ascii="Times New Roman" w:cs="Times New Roman" w:eastAsia="Times New Roman" w:hAnsi="Times New Roman"/>
          <w:sz w:val="18"/>
          <w:szCs w:val="18"/>
          <w:color w:val="auto"/>
        </w:rPr>
        <w:t>From time to time, we could be deemed to have repurchased shares as a result of shares withheld for tax purposes upon a stock compensation related vesting event.</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40" w:type="dxa"/>
            <w:vAlign w:val="bottom"/>
            <w:gridSpan w:val="3"/>
          </w:tcPr>
          <w:p>
            <w:pPr>
              <w:ind w:left="2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28"/>
        </w:trPr>
        <w:tc>
          <w:tcPr>
            <w:tcW w:w="2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r>
      <w:tr>
        <w:trPr>
          <w:trHeight w:val="209"/>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5"/>
              </w:rPr>
              <w:t>10.1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Registration Rights Agreement dated August 11, 2026, by and among the Operating Partnership, the Trust, and the representatives of the</w:t>
            </w: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20" w:type="dxa"/>
            <w:vAlign w:val="bottom"/>
            <w:gridSpan w:val="4"/>
          </w:tcPr>
          <w:p>
            <w:pPr>
              <w:ind w:left="2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initial purchasers named therein (previously filed as </w:t>
            </w:r>
            <w:hyperlink r:id="rId81">
              <w:r>
                <w:rPr>
                  <w:rFonts w:ascii="Times New Roman" w:cs="Times New Roman" w:eastAsia="Times New Roman" w:hAnsi="Times New Roman"/>
                  <w:sz w:val="18"/>
                  <w:szCs w:val="18"/>
                  <w:color w:val="0000FF"/>
                </w:rPr>
                <w:t>Exhibit 10.1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Trust's Current Report on Form 8-K filed on August 11, 2026 and</w:t>
            </w:r>
          </w:p>
        </w:tc>
      </w:tr>
      <w:tr>
        <w:trPr>
          <w:trHeight w:val="214"/>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880" w:type="dxa"/>
            <w:vAlign w:val="bottom"/>
            <w:tcBorders>
              <w:top w:val="single" w:sz="8" w:color="0000FF"/>
            </w:tcBorders>
          </w:tcPr>
          <w:p>
            <w:pPr>
              <w:spacing w:after="0"/>
              <w:rPr>
                <w:sz w:val="18"/>
                <w:szCs w:val="18"/>
                <w:color w:val="auto"/>
              </w:rPr>
            </w:pPr>
          </w:p>
        </w:tc>
        <w:tc>
          <w:tcPr>
            <w:tcW w:w="534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Rule 13a-14(a) Certification of Chief Executive Officer - Federal Realty Investment Trust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Rule 13a-14(a) Certification of Chief Financial Officer - Federal Realty Investment Trust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3</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Rule 13a-14(a) Certification of Chief Executive Officer - Federal Realty OP LP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4</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Rule 13a-14(a) Certification of Chief Financial Officer - Federal Realty OP LP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Section 1350 Certification of Chief Executive Officer - Federal Realty Investment Trust (filed herewith)</w:t>
            </w:r>
          </w:p>
        </w:tc>
      </w:tr>
      <w:tr>
        <w:trPr>
          <w:trHeight w:val="264"/>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Section 1350</w:t>
            </w:r>
          </w:p>
        </w:tc>
        <w:tc>
          <w:tcPr>
            <w:tcW w:w="9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 Federal Realty Investment Trust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3</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Section 1350</w:t>
            </w:r>
          </w:p>
        </w:tc>
        <w:tc>
          <w:tcPr>
            <w:tcW w:w="9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 Federal Realty OP LP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4</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Section 1350</w:t>
            </w:r>
          </w:p>
        </w:tc>
        <w:tc>
          <w:tcPr>
            <w:tcW w:w="9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 Federal Realty OP LP (filed herewith)</w:t>
            </w:r>
          </w:p>
        </w:tc>
      </w:tr>
    </w:tbl>
    <w:p>
      <w:pPr>
        <w:spacing w:after="0" w:line="76" w:lineRule="exact"/>
        <w:rPr>
          <w:sz w:val="20"/>
          <w:szCs w:val="20"/>
          <w:color w:val="auto"/>
        </w:rPr>
      </w:pPr>
    </w:p>
    <w:p>
      <w:pPr>
        <w:ind w:left="1140" w:right="40" w:hanging="1114"/>
        <w:spacing w:after="0" w:line="220"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Federal Realty Investment Trust and Federal Realty OP LP’s Quarterly Report on Form 10-Q for the quarter ended September 30, 2026, formatted in XBRL (Extensible Business Reporting Language): (1) the Consolidated Balance Sheets, (2) the Consolidated Statements of Comprehensive Income, (3) the Consolidated Statements of Shareholders’ Equity, (4) the Consolidated Statements of Capital, (5) the Consolidated Statements of Cash Flows, and (6) Notes to Consolidated Financial Statements that have been detail tagged.</w:t>
      </w:r>
    </w:p>
    <w:p>
      <w:pPr>
        <w:spacing w:after="0" w:line="64" w:lineRule="exact"/>
        <w:rPr>
          <w:sz w:val="20"/>
          <w:szCs w:val="20"/>
          <w:color w:val="auto"/>
        </w:rPr>
      </w:pPr>
    </w:p>
    <w:p>
      <w:pPr>
        <w:ind w:left="1140" w:hanging="1114"/>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4"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of the Registrants has duly caused this report to be signed on its behalf by the undersigned thereunto authorized.</w:t>
      </w:r>
    </w:p>
    <w:p>
      <w:pPr>
        <w:spacing w:after="0" w:line="32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72" w:lineRule="exact"/>
        <w:rPr>
          <w:sz w:val="20"/>
          <w:szCs w:val="20"/>
          <w:color w:val="auto"/>
        </w:rPr>
      </w:pPr>
    </w:p>
    <w:p>
      <w:pPr>
        <w:ind w:left="20"/>
        <w:spacing w:after="0"/>
        <w:tabs>
          <w:tab w:leader="none" w:pos="7780" w:val="left"/>
        </w:tabs>
        <w:rPr>
          <w:sz w:val="20"/>
          <w:szCs w:val="20"/>
          <w:color w:val="auto"/>
        </w:rPr>
      </w:pPr>
      <w:r>
        <w:rPr>
          <w:rFonts w:ascii="Times New Roman" w:cs="Times New Roman" w:eastAsia="Times New Roman" w:hAnsi="Times New Roman"/>
          <w:sz w:val="18"/>
          <w:szCs w:val="18"/>
          <w:color w:val="auto"/>
        </w:rPr>
        <w:t>October 30, 2026</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Chief Executive Officer and Trustee</w:t>
      </w:r>
    </w:p>
    <w:p>
      <w:pPr>
        <w:spacing w:after="0" w:line="23"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31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72" w:lineRule="exact"/>
        <w:rPr>
          <w:sz w:val="20"/>
          <w:szCs w:val="20"/>
          <w:color w:val="auto"/>
        </w:rPr>
      </w:pPr>
    </w:p>
    <w:p>
      <w:pPr>
        <w:ind w:left="20"/>
        <w:spacing w:after="0"/>
        <w:tabs>
          <w:tab w:leader="none" w:pos="7640" w:val="left"/>
        </w:tabs>
        <w:rPr>
          <w:sz w:val="20"/>
          <w:szCs w:val="20"/>
          <w:color w:val="auto"/>
        </w:rPr>
      </w:pPr>
      <w:r>
        <w:rPr>
          <w:rFonts w:ascii="Times New Roman" w:cs="Times New Roman" w:eastAsia="Times New Roman" w:hAnsi="Times New Roman"/>
          <w:sz w:val="18"/>
          <w:szCs w:val="18"/>
          <w:color w:val="auto"/>
        </w:rPr>
        <w:t>October 30, 2026</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Executive Vice President</w:t>
      </w:r>
    </w:p>
    <w:p>
      <w:pPr>
        <w:spacing w:after="0" w:line="23"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23"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320" w:top="124" w:right="5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Donald C. Wood</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780" w:hanging="327"/>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Investment Trust;</w:t>
      </w:r>
    </w:p>
    <w:p>
      <w:pPr>
        <w:spacing w:after="0" w:line="90" w:lineRule="exact"/>
        <w:rPr>
          <w:rFonts w:ascii="Times New Roman" w:cs="Times New Roman" w:eastAsia="Times New Roman" w:hAnsi="Times New Roman"/>
          <w:sz w:val="18"/>
          <w:szCs w:val="18"/>
          <w:color w:val="auto"/>
        </w:rPr>
      </w:pPr>
    </w:p>
    <w:p>
      <w:pPr>
        <w:ind w:left="860" w:right="200" w:hanging="407"/>
        <w:spacing w:after="0" w:line="266" w:lineRule="auto"/>
        <w:tabs>
          <w:tab w:leader="none" w:pos="7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860" w:right="220" w:hanging="407"/>
        <w:spacing w:after="0" w:line="282" w:lineRule="auto"/>
        <w:tabs>
          <w:tab w:leader="none" w:pos="7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center"/>
        <w:ind w:left="860" w:right="200" w:hanging="407"/>
        <w:spacing w:after="0" w:line="276" w:lineRule="auto"/>
        <w:tabs>
          <w:tab w:leader="none" w:pos="782"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71" w:lineRule="exact"/>
        <w:rPr>
          <w:rFonts w:ascii="Times New Roman" w:cs="Times New Roman" w:eastAsia="Times New Roman" w:hAnsi="Times New Roman"/>
          <w:sz w:val="17"/>
          <w:szCs w:val="17"/>
          <w:color w:val="auto"/>
        </w:rPr>
      </w:pPr>
    </w:p>
    <w:p>
      <w:pPr>
        <w:ind w:left="1420" w:hanging="400"/>
        <w:spacing w:after="0" w:line="266" w:lineRule="auto"/>
        <w:tabs>
          <w:tab w:leader="none" w:pos="133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420" w:right="120" w:hanging="400"/>
        <w:spacing w:after="0" w:line="266" w:lineRule="auto"/>
        <w:tabs>
          <w:tab w:leader="none" w:pos="134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420" w:right="80" w:hanging="400"/>
        <w:spacing w:after="0" w:line="282" w:lineRule="auto"/>
        <w:tabs>
          <w:tab w:leader="none" w:pos="133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240" w:hanging="400"/>
        <w:spacing w:after="0" w:line="266" w:lineRule="auto"/>
        <w:tabs>
          <w:tab w:leader="none" w:pos="134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860" w:right="160" w:hanging="407"/>
        <w:spacing w:after="0" w:line="282" w:lineRule="auto"/>
        <w:tabs>
          <w:tab w:leader="none" w:pos="78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460" w:hanging="400"/>
        <w:spacing w:after="0" w:line="282" w:lineRule="auto"/>
        <w:tabs>
          <w:tab w:leader="none" w:pos="133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160" w:hanging="400"/>
        <w:spacing w:after="0" w:line="282" w:lineRule="auto"/>
        <w:tabs>
          <w:tab w:leader="none" w:pos="134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0"/>
        <w:spacing w:after="0"/>
        <w:tabs>
          <w:tab w:leader="none" w:pos="7760" w:val="left"/>
        </w:tabs>
        <w:rPr>
          <w:sz w:val="20"/>
          <w:szCs w:val="20"/>
          <w:color w:val="auto"/>
        </w:rPr>
      </w:pPr>
      <w:r>
        <w:rPr>
          <w:rFonts w:ascii="Times New Roman" w:cs="Times New Roman" w:eastAsia="Times New Roman" w:hAnsi="Times New Roman"/>
          <w:sz w:val="18"/>
          <w:szCs w:val="18"/>
          <w:color w:val="auto"/>
        </w:rPr>
        <w:t>October 30, 2026</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3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Daniel Guglielmone</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780" w:hanging="327"/>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Investment Trust;</w:t>
      </w:r>
    </w:p>
    <w:p>
      <w:pPr>
        <w:spacing w:after="0" w:line="90" w:lineRule="exact"/>
        <w:rPr>
          <w:rFonts w:ascii="Times New Roman" w:cs="Times New Roman" w:eastAsia="Times New Roman" w:hAnsi="Times New Roman"/>
          <w:sz w:val="18"/>
          <w:szCs w:val="18"/>
          <w:color w:val="auto"/>
        </w:rPr>
      </w:pPr>
    </w:p>
    <w:p>
      <w:pPr>
        <w:ind w:left="860" w:right="200" w:hanging="407"/>
        <w:spacing w:after="0" w:line="266" w:lineRule="auto"/>
        <w:tabs>
          <w:tab w:leader="none" w:pos="7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860" w:right="220" w:hanging="407"/>
        <w:spacing w:after="0" w:line="282" w:lineRule="auto"/>
        <w:tabs>
          <w:tab w:leader="none" w:pos="7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center"/>
        <w:ind w:left="860" w:right="200" w:hanging="407"/>
        <w:spacing w:after="0" w:line="276" w:lineRule="auto"/>
        <w:tabs>
          <w:tab w:leader="none" w:pos="782"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71" w:lineRule="exact"/>
        <w:rPr>
          <w:rFonts w:ascii="Times New Roman" w:cs="Times New Roman" w:eastAsia="Times New Roman" w:hAnsi="Times New Roman"/>
          <w:sz w:val="17"/>
          <w:szCs w:val="17"/>
          <w:color w:val="auto"/>
        </w:rPr>
      </w:pPr>
    </w:p>
    <w:p>
      <w:pPr>
        <w:ind w:left="1420" w:hanging="400"/>
        <w:spacing w:after="0" w:line="266" w:lineRule="auto"/>
        <w:tabs>
          <w:tab w:leader="none" w:pos="133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420" w:right="120" w:hanging="400"/>
        <w:spacing w:after="0" w:line="266" w:lineRule="auto"/>
        <w:tabs>
          <w:tab w:leader="none" w:pos="134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420" w:right="80" w:hanging="400"/>
        <w:spacing w:after="0" w:line="282" w:lineRule="auto"/>
        <w:tabs>
          <w:tab w:leader="none" w:pos="133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240" w:hanging="400"/>
        <w:spacing w:after="0" w:line="266" w:lineRule="auto"/>
        <w:tabs>
          <w:tab w:leader="none" w:pos="134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860" w:right="160" w:hanging="407"/>
        <w:spacing w:after="0" w:line="282" w:lineRule="auto"/>
        <w:tabs>
          <w:tab w:leader="none" w:pos="78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460" w:hanging="400"/>
        <w:spacing w:after="0" w:line="282" w:lineRule="auto"/>
        <w:tabs>
          <w:tab w:leader="none" w:pos="133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160" w:hanging="400"/>
        <w:spacing w:after="0" w:line="282" w:lineRule="auto"/>
        <w:tabs>
          <w:tab w:leader="none" w:pos="134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0"/>
        <w:spacing w:after="0"/>
        <w:tabs>
          <w:tab w:leader="none" w:pos="7640" w:val="left"/>
        </w:tabs>
        <w:rPr>
          <w:sz w:val="20"/>
          <w:szCs w:val="20"/>
          <w:color w:val="auto"/>
        </w:rPr>
      </w:pPr>
      <w:r>
        <w:rPr>
          <w:rFonts w:ascii="Times New Roman" w:cs="Times New Roman" w:eastAsia="Times New Roman" w:hAnsi="Times New Roman"/>
          <w:sz w:val="18"/>
          <w:szCs w:val="18"/>
          <w:color w:val="auto"/>
        </w:rPr>
        <w:t>October 30, 2026</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1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Donald C. Wood</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780" w:hanging="327"/>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OP LP;</w:t>
      </w:r>
    </w:p>
    <w:p>
      <w:pPr>
        <w:spacing w:after="0" w:line="90" w:lineRule="exact"/>
        <w:rPr>
          <w:rFonts w:ascii="Times New Roman" w:cs="Times New Roman" w:eastAsia="Times New Roman" w:hAnsi="Times New Roman"/>
          <w:sz w:val="18"/>
          <w:szCs w:val="18"/>
          <w:color w:val="auto"/>
        </w:rPr>
      </w:pPr>
    </w:p>
    <w:p>
      <w:pPr>
        <w:ind w:left="860" w:right="200" w:hanging="407"/>
        <w:spacing w:after="0" w:line="266" w:lineRule="auto"/>
        <w:tabs>
          <w:tab w:leader="none" w:pos="7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860" w:right="220" w:hanging="407"/>
        <w:spacing w:after="0" w:line="282" w:lineRule="auto"/>
        <w:tabs>
          <w:tab w:leader="none" w:pos="7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center"/>
        <w:ind w:left="860" w:right="200" w:hanging="407"/>
        <w:spacing w:after="0" w:line="276" w:lineRule="auto"/>
        <w:tabs>
          <w:tab w:leader="none" w:pos="782"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71" w:lineRule="exact"/>
        <w:rPr>
          <w:rFonts w:ascii="Times New Roman" w:cs="Times New Roman" w:eastAsia="Times New Roman" w:hAnsi="Times New Roman"/>
          <w:sz w:val="17"/>
          <w:szCs w:val="17"/>
          <w:color w:val="auto"/>
        </w:rPr>
      </w:pPr>
    </w:p>
    <w:p>
      <w:pPr>
        <w:ind w:left="1420" w:hanging="400"/>
        <w:spacing w:after="0" w:line="266" w:lineRule="auto"/>
        <w:tabs>
          <w:tab w:leader="none" w:pos="133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420" w:right="120" w:hanging="400"/>
        <w:spacing w:after="0" w:line="266" w:lineRule="auto"/>
        <w:tabs>
          <w:tab w:leader="none" w:pos="134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420" w:right="80" w:hanging="400"/>
        <w:spacing w:after="0" w:line="282" w:lineRule="auto"/>
        <w:tabs>
          <w:tab w:leader="none" w:pos="133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240" w:hanging="400"/>
        <w:spacing w:after="0" w:line="266" w:lineRule="auto"/>
        <w:tabs>
          <w:tab w:leader="none" w:pos="134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860" w:right="160" w:hanging="407"/>
        <w:spacing w:after="0" w:line="282" w:lineRule="auto"/>
        <w:tabs>
          <w:tab w:leader="none" w:pos="78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460" w:hanging="400"/>
        <w:spacing w:after="0" w:line="282" w:lineRule="auto"/>
        <w:tabs>
          <w:tab w:leader="none" w:pos="133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160" w:hanging="400"/>
        <w:spacing w:after="0" w:line="282" w:lineRule="auto"/>
        <w:tabs>
          <w:tab w:leader="none" w:pos="134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7740" w:val="left"/>
        </w:tabs>
        <w:rPr>
          <w:sz w:val="20"/>
          <w:szCs w:val="20"/>
          <w:color w:val="auto"/>
        </w:rPr>
      </w:pPr>
      <w:r>
        <w:rPr>
          <w:rFonts w:ascii="Times New Roman" w:cs="Times New Roman" w:eastAsia="Times New Roman" w:hAnsi="Times New Roman"/>
          <w:sz w:val="18"/>
          <w:szCs w:val="18"/>
          <w:color w:val="auto"/>
        </w:rPr>
        <w:t>October 30, 2026</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3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Daniel Guglielmone</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780" w:hanging="327"/>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OP LP;</w:t>
      </w:r>
    </w:p>
    <w:p>
      <w:pPr>
        <w:spacing w:after="0" w:line="90" w:lineRule="exact"/>
        <w:rPr>
          <w:rFonts w:ascii="Times New Roman" w:cs="Times New Roman" w:eastAsia="Times New Roman" w:hAnsi="Times New Roman"/>
          <w:sz w:val="18"/>
          <w:szCs w:val="18"/>
          <w:color w:val="auto"/>
        </w:rPr>
      </w:pPr>
    </w:p>
    <w:p>
      <w:pPr>
        <w:ind w:left="860" w:right="200" w:hanging="407"/>
        <w:spacing w:after="0" w:line="266" w:lineRule="auto"/>
        <w:tabs>
          <w:tab w:leader="none" w:pos="7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860" w:right="220" w:hanging="407"/>
        <w:spacing w:after="0" w:line="282" w:lineRule="auto"/>
        <w:tabs>
          <w:tab w:leader="none" w:pos="7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center"/>
        <w:ind w:left="860" w:right="200" w:hanging="407"/>
        <w:spacing w:after="0" w:line="276" w:lineRule="auto"/>
        <w:tabs>
          <w:tab w:leader="none" w:pos="78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71" w:lineRule="exact"/>
        <w:rPr>
          <w:rFonts w:ascii="Times New Roman" w:cs="Times New Roman" w:eastAsia="Times New Roman" w:hAnsi="Times New Roman"/>
          <w:sz w:val="17"/>
          <w:szCs w:val="17"/>
          <w:color w:val="auto"/>
        </w:rPr>
      </w:pPr>
    </w:p>
    <w:p>
      <w:pPr>
        <w:ind w:left="1420" w:hanging="400"/>
        <w:spacing w:after="0" w:line="266" w:lineRule="auto"/>
        <w:tabs>
          <w:tab w:leader="none" w:pos="133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420" w:right="120" w:hanging="400"/>
        <w:spacing w:after="0" w:line="266" w:lineRule="auto"/>
        <w:tabs>
          <w:tab w:leader="none" w:pos="134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420" w:right="80" w:hanging="400"/>
        <w:spacing w:after="0" w:line="282" w:lineRule="auto"/>
        <w:tabs>
          <w:tab w:leader="none" w:pos="133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240" w:hanging="400"/>
        <w:spacing w:after="0" w:line="266" w:lineRule="auto"/>
        <w:tabs>
          <w:tab w:leader="none" w:pos="134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860" w:right="160" w:hanging="407"/>
        <w:spacing w:after="0" w:line="282" w:lineRule="auto"/>
        <w:tabs>
          <w:tab w:leader="none" w:pos="78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460" w:hanging="400"/>
        <w:spacing w:after="0" w:line="282" w:lineRule="auto"/>
        <w:tabs>
          <w:tab w:leader="none" w:pos="133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160" w:hanging="400"/>
        <w:spacing w:after="0" w:line="282" w:lineRule="auto"/>
        <w:tabs>
          <w:tab w:leader="none" w:pos="134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7620" w:val="left"/>
        </w:tabs>
        <w:rPr>
          <w:sz w:val="20"/>
          <w:szCs w:val="20"/>
          <w:color w:val="auto"/>
        </w:rPr>
      </w:pPr>
      <w:r>
        <w:rPr>
          <w:rFonts w:ascii="Times New Roman" w:cs="Times New Roman" w:eastAsia="Times New Roman" w:hAnsi="Times New Roman"/>
          <w:sz w:val="18"/>
          <w:szCs w:val="18"/>
          <w:color w:val="auto"/>
        </w:rPr>
        <w:t>October 30, 2026</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2"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1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September 30, 2026 (the “Report”). The undersigned hereby certifies, to the best of his knowledge, that:</w:t>
      </w:r>
    </w:p>
    <w:p>
      <w:pPr>
        <w:spacing w:after="0" w:line="68" w:lineRule="exact"/>
        <w:rPr>
          <w:sz w:val="20"/>
          <w:szCs w:val="20"/>
          <w:color w:val="auto"/>
        </w:rPr>
      </w:pPr>
    </w:p>
    <w:p>
      <w:pPr>
        <w:ind w:left="1300" w:hanging="887"/>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340" w:hanging="887"/>
        <w:spacing w:after="0" w:line="282" w:lineRule="auto"/>
        <w:tabs>
          <w:tab w:leader="none" w:pos="129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20"/>
        <w:spacing w:after="0"/>
        <w:tabs>
          <w:tab w:leader="none" w:pos="7760" w:val="left"/>
        </w:tabs>
        <w:rPr>
          <w:sz w:val="20"/>
          <w:szCs w:val="20"/>
          <w:color w:val="auto"/>
        </w:rPr>
      </w:pPr>
      <w:r>
        <w:rPr>
          <w:rFonts w:ascii="Times New Roman" w:cs="Times New Roman" w:eastAsia="Times New Roman" w:hAnsi="Times New Roman"/>
          <w:sz w:val="18"/>
          <w:szCs w:val="18"/>
          <w:color w:val="auto"/>
        </w:rPr>
        <w:t>October 30, 2026</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3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220" w:firstLine="445"/>
        <w:spacing w:after="0" w:line="289" w:lineRule="auto"/>
        <w:rPr>
          <w:sz w:val="20"/>
          <w:szCs w:val="20"/>
          <w:color w:val="auto"/>
        </w:rPr>
      </w:pPr>
      <w:r>
        <w:rPr>
          <w:rFonts w:ascii="Times New Roman" w:cs="Times New Roman" w:eastAsia="Times New Roman" w:hAnsi="Times New Roman"/>
          <w:sz w:val="17"/>
          <w:szCs w:val="17"/>
          <w:color w:val="auto"/>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September 30, 2026 (the “Report”). The undersigned hereby certifies, to the best of his knowledge, that:</w:t>
      </w:r>
    </w:p>
    <w:p>
      <w:pPr>
        <w:spacing w:after="0" w:line="50" w:lineRule="exact"/>
        <w:rPr>
          <w:sz w:val="20"/>
          <w:szCs w:val="20"/>
          <w:color w:val="auto"/>
        </w:rPr>
      </w:pPr>
    </w:p>
    <w:p>
      <w:pPr>
        <w:ind w:left="1300" w:hanging="887"/>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340" w:hanging="887"/>
        <w:spacing w:after="0" w:line="282" w:lineRule="auto"/>
        <w:tabs>
          <w:tab w:leader="none" w:pos="129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20"/>
        <w:spacing w:after="0"/>
        <w:tabs>
          <w:tab w:leader="none" w:pos="7640" w:val="left"/>
        </w:tabs>
        <w:rPr>
          <w:sz w:val="20"/>
          <w:szCs w:val="20"/>
          <w:color w:val="auto"/>
        </w:rPr>
      </w:pPr>
      <w:r>
        <w:rPr>
          <w:rFonts w:ascii="Times New Roman" w:cs="Times New Roman" w:eastAsia="Times New Roman" w:hAnsi="Times New Roman"/>
          <w:sz w:val="18"/>
          <w:szCs w:val="18"/>
          <w:color w:val="auto"/>
        </w:rPr>
        <w:t>October 30, 2026</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1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88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1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The undersigned, Donald C. Wood, the President and Chief Executive Officer of Federal Realty OP LP (the “Company”), has executed this certification in connection with the filing with the Securities and Exchange Commission of the Company’s Quarterly Report on Form 10-Q for the period ended September 30, 2026 (the “Report”). The undersigned hereby certifies, to the best of his knowledge, that:</w:t>
      </w:r>
    </w:p>
    <w:p>
      <w:pPr>
        <w:spacing w:after="0" w:line="68" w:lineRule="exact"/>
        <w:rPr>
          <w:sz w:val="20"/>
          <w:szCs w:val="20"/>
          <w:color w:val="auto"/>
        </w:rPr>
      </w:pPr>
    </w:p>
    <w:p>
      <w:pPr>
        <w:ind w:left="1300" w:hanging="887"/>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340" w:hanging="887"/>
        <w:spacing w:after="0" w:line="282" w:lineRule="auto"/>
        <w:tabs>
          <w:tab w:leader="none" w:pos="129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7" w:lineRule="exact"/>
        <w:rPr>
          <w:sz w:val="20"/>
          <w:szCs w:val="20"/>
          <w:color w:val="auto"/>
        </w:rPr>
      </w:pPr>
    </w:p>
    <w:p>
      <w:pPr>
        <w:ind w:left="20"/>
        <w:spacing w:after="0"/>
        <w:tabs>
          <w:tab w:leader="none" w:pos="7740" w:val="left"/>
        </w:tabs>
        <w:rPr>
          <w:sz w:val="20"/>
          <w:szCs w:val="20"/>
          <w:color w:val="auto"/>
        </w:rPr>
      </w:pPr>
      <w:r>
        <w:rPr>
          <w:rFonts w:ascii="Times New Roman" w:cs="Times New Roman" w:eastAsia="Times New Roman" w:hAnsi="Times New Roman"/>
          <w:sz w:val="18"/>
          <w:szCs w:val="18"/>
          <w:color w:val="auto"/>
        </w:rPr>
        <w:t>October 30, 2026</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3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32.4</w:t>
      </w:r>
    </w:p>
    <w:p>
      <w:pPr>
        <w:spacing w:after="0" w:line="1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undersigned, Daniel Guglielmone, the Executive Vice President and Chief Financial Officer and Treasurer of Federal Realty OP LP (the “Company”), has executed this certification in connection with the filing with the Securities and Exchange Commission of the Company’s Quarterly Report on Form 10-Q for the period ended September 30, 2026 (the “Report”). The undersigned hereby certifies, to the best of his knowledge, that:</w:t>
      </w:r>
    </w:p>
    <w:p>
      <w:pPr>
        <w:spacing w:after="0" w:line="68" w:lineRule="exact"/>
        <w:rPr>
          <w:sz w:val="20"/>
          <w:szCs w:val="20"/>
          <w:color w:val="auto"/>
        </w:rPr>
      </w:pPr>
    </w:p>
    <w:p>
      <w:pPr>
        <w:ind w:left="1300" w:hanging="887"/>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340" w:hanging="887"/>
        <w:spacing w:after="0" w:line="282" w:lineRule="auto"/>
        <w:tabs>
          <w:tab w:leader="none" w:pos="129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7" w:lineRule="exact"/>
        <w:rPr>
          <w:sz w:val="20"/>
          <w:szCs w:val="20"/>
          <w:color w:val="auto"/>
        </w:rPr>
      </w:pPr>
    </w:p>
    <w:p>
      <w:pPr>
        <w:ind w:left="20"/>
        <w:spacing w:after="0"/>
        <w:tabs>
          <w:tab w:leader="none" w:pos="7620" w:val="left"/>
        </w:tabs>
        <w:rPr>
          <w:sz w:val="20"/>
          <w:szCs w:val="20"/>
          <w:color w:val="auto"/>
        </w:rPr>
      </w:pPr>
      <w:r>
        <w:rPr>
          <w:rFonts w:ascii="Times New Roman" w:cs="Times New Roman" w:eastAsia="Times New Roman" w:hAnsi="Times New Roman"/>
          <w:sz w:val="18"/>
          <w:szCs w:val="18"/>
          <w:color w:val="auto"/>
        </w:rPr>
        <w:t>October 30, 2026</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1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7"/>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01"/>
    </w:lvl>
  </w:abstractNum>
  <w:abstractNum w:abstractNumId="28">
    <w:nsid w:val="4516DDE9"/>
    <w:multiLevelType w:val="hybridMultilevel"/>
    <w:lvl w:ilvl="0">
      <w:lvlJc w:val="left"/>
      <w:lvlText w:val="%1"/>
      <w:numFmt w:val="decimal"/>
      <w:start w:val="104"/>
    </w:lvl>
  </w:abstractNum>
  <w:abstractNum w:abstractNumId="29">
    <w:nsid w:val="3006C83E"/>
    <w:multiLevelType w:val="hybridMultilevel"/>
    <w:lvl w:ilvl="0">
      <w:lvlJc w:val="left"/>
      <w:lvlText w:val="%1)"/>
      <w:numFmt w:val="decimal"/>
      <w:start w:val="1"/>
    </w:lvl>
    <w:lvl w:ilvl="1">
      <w:lvlJc w:val="left"/>
      <w:lvlText w:val="%2)"/>
      <w:numFmt w:val="lowerLetter"/>
      <w:start w:val="1"/>
    </w:lvl>
  </w:abstractNum>
  <w:abstractNum w:abstractNumId="30">
    <w:nsid w:val="614FD4A1"/>
    <w:multiLevelType w:val="hybridMultilevel"/>
    <w:lvl w:ilvl="0">
      <w:lvlJc w:val="left"/>
      <w:lvlText w:val="%1)"/>
      <w:numFmt w:val="decimal"/>
      <w:start w:val="1"/>
    </w:lvl>
    <w:lvl w:ilvl="1">
      <w:lvlJc w:val="left"/>
      <w:lvlText w:val="%2)"/>
      <w:numFmt w:val="lowerLetter"/>
      <w:start w:val="1"/>
    </w:lvl>
  </w:abstractNum>
  <w:abstractNum w:abstractNumId="31">
    <w:nsid w:val="419AC241"/>
    <w:multiLevelType w:val="hybridMultilevel"/>
    <w:lvl w:ilvl="0">
      <w:lvlJc w:val="left"/>
      <w:lvlText w:val="%1)"/>
      <w:numFmt w:val="decimal"/>
      <w:start w:val="1"/>
    </w:lvl>
    <w:lvl w:ilvl="1">
      <w:lvlJc w:val="left"/>
      <w:lvlText w:val="%2)"/>
      <w:numFmt w:val="lowerLetter"/>
      <w:start w:val="1"/>
    </w:lvl>
  </w:abstractNum>
  <w:abstractNum w:abstractNumId="32">
    <w:nsid w:val="5577F8E1"/>
    <w:multiLevelType w:val="hybridMultilevel"/>
    <w:lvl w:ilvl="0">
      <w:lvlJc w:val="left"/>
      <w:lvlText w:val="%1)"/>
      <w:numFmt w:val="decimal"/>
      <w:start w:val="1"/>
    </w:lvl>
    <w:lvl w:ilvl="1">
      <w:lvlJc w:val="left"/>
      <w:lvlText w:val="%2)"/>
      <w:numFmt w:val="lowerLetter"/>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60" Type="http://schemas.openxmlformats.org/officeDocument/2006/relationships/hyperlink" Target="https://www.sec.gov/ix?doc=/Archives/edgar/data/34903/000003490326000017/frt-20251231.htm" TargetMode="External"/><Relationship Id="rId81" Type="http://schemas.openxmlformats.org/officeDocument/2006/relationships/hyperlink" Target="https://www.sec.gov/Archives/edgar/data/34903/000119312526344547/d11764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2026-10-30T06:37:00Z</dcterms:created>
  <dcterms:modified xsi:type="dcterms:W3CDTF">2026-10-30T06:37:00Z</dcterms:modified>
</cp:coreProperties>
</file>