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85" w:lineRule="exact"/>
        <w:rPr>
          <w:sz w:val="20"/>
          <w:szCs w:val="20"/>
          <w:color w:val="auto"/>
        </w:rPr>
      </w:pPr>
    </w:p>
    <w:p>
      <w:pPr>
        <w:ind w:left="4100" w:right="2380" w:hanging="1706"/>
        <w:spacing w:after="0" w:line="277" w:lineRule="auto"/>
        <w:tabs>
          <w:tab w:leader="none" w:pos="26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 Transition report pursuant to Section 13 or 15(d) of the Securities Exchange Act of 1934</w:t>
      </w:r>
    </w:p>
    <w:p>
      <w:pPr>
        <w:spacing w:after="0" w:line="23" w:lineRule="exact"/>
        <w:rPr>
          <w:sz w:val="20"/>
          <w:szCs w:val="20"/>
          <w:color w:val="auto"/>
        </w:rPr>
      </w:pPr>
    </w:p>
    <w:p>
      <w:pPr>
        <w:ind w:left="36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-19050</wp:posOffset>
            </wp:positionV>
            <wp:extent cx="1231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1-07533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FEDERAL REALTY INVESTMENT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20" w:type="dxa"/>
            <w:vAlign w:val="bottom"/>
          </w:tcPr>
          <w:p>
            <w:pPr>
              <w:jc w:val="center"/>
              <w:spacing w:after="0"/>
              <w:rPr>
                <w:sz w:val="20"/>
                <w:szCs w:val="20"/>
                <w:color w:val="auto"/>
              </w:rPr>
            </w:pPr>
            <w:r>
              <w:rPr>
                <w:rFonts w:ascii="Arial" w:cs="Arial" w:eastAsia="Arial" w:hAnsi="Arial"/>
                <w:sz w:val="18"/>
                <w:szCs w:val="18"/>
                <w:color w:val="auto"/>
                <w:w w:val="94"/>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color w:val="auto"/>
              </w:rPr>
              <w:t>52-0782497</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(State of Organization)</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8"/>
        </w:trPr>
        <w:tc>
          <w:tcPr>
            <w:tcW w:w="5420" w:type="dxa"/>
            <w:vAlign w:val="bottom"/>
          </w:tcPr>
          <w:p>
            <w:pPr>
              <w:jc w:val="center"/>
              <w:spacing w:after="0"/>
              <w:rPr>
                <w:sz w:val="20"/>
                <w:szCs w:val="20"/>
                <w:color w:val="auto"/>
              </w:rPr>
            </w:pPr>
            <w:r>
              <w:rPr>
                <w:rFonts w:ascii="Arial" w:cs="Arial" w:eastAsia="Arial" w:hAnsi="Arial"/>
                <w:sz w:val="18"/>
                <w:szCs w:val="18"/>
                <w:color w:val="auto"/>
                <w:w w:val="91"/>
              </w:rPr>
              <w:t>1626 East Jefferson Street, Rockville, Maryland</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color w:val="auto"/>
              </w:rPr>
              <w:t>20852</w:t>
            </w:r>
          </w:p>
        </w:tc>
      </w:tr>
      <w:tr>
        <w:trPr>
          <w:trHeight w:val="230"/>
        </w:trPr>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20"/>
                <w:szCs w:val="20"/>
                <w:color w:val="auto"/>
              </w:rPr>
            </w:pPr>
          </w:p>
        </w:tc>
        <w:tc>
          <w:tcPr>
            <w:tcW w:w="5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(301) 998-8100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23495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1900"/>
              <w:spacing w:after="0"/>
              <w:rPr>
                <w:sz w:val="20"/>
                <w:szCs w:val="20"/>
                <w:color w:val="auto"/>
              </w:rPr>
            </w:pPr>
            <w:r>
              <w:rPr>
                <w:rFonts w:ascii="Arial" w:cs="Arial" w:eastAsia="Arial" w:hAnsi="Arial"/>
                <w:sz w:val="18"/>
                <w:szCs w:val="18"/>
                <w:color w:val="auto"/>
              </w:rPr>
              <w:t>Title of Each Class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81"/>
        </w:trPr>
        <w:tc>
          <w:tcPr>
            <w:tcW w:w="428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1140" w:type="dxa"/>
            <w:vAlign w:val="bottom"/>
          </w:tcPr>
          <w:p>
            <w:pPr>
              <w:spacing w:after="0"/>
              <w:rPr>
                <w:sz w:val="7"/>
                <w:szCs w:val="7"/>
                <w:color w:val="auto"/>
              </w:rPr>
            </w:pPr>
          </w:p>
        </w:tc>
        <w:tc>
          <w:tcPr>
            <w:tcW w:w="5120" w:type="dxa"/>
            <w:vAlign w:val="bottom"/>
            <w:tcBorders>
              <w:bottom w:val="single" w:sz="8" w:color="808080"/>
            </w:tcBorders>
          </w:tcPr>
          <w:p>
            <w:pPr>
              <w:spacing w:after="0"/>
              <w:rPr>
                <w:sz w:val="7"/>
                <w:szCs w:val="7"/>
                <w:color w:val="auto"/>
              </w:rPr>
            </w:pPr>
          </w:p>
        </w:tc>
      </w:tr>
      <w:tr>
        <w:trPr>
          <w:trHeight w:val="290"/>
        </w:trPr>
        <w:tc>
          <w:tcPr>
            <w:tcW w:w="4280" w:type="dxa"/>
            <w:vAlign w:val="bottom"/>
          </w:tcPr>
          <w:p>
            <w:pPr>
              <w:spacing w:after="0"/>
              <w:rPr>
                <w:sz w:val="20"/>
                <w:szCs w:val="20"/>
                <w:color w:val="auto"/>
              </w:rPr>
            </w:pPr>
            <w:r>
              <w:rPr>
                <w:rFonts w:ascii="Arial" w:cs="Arial" w:eastAsia="Arial" w:hAnsi="Arial"/>
                <w:sz w:val="18"/>
                <w:szCs w:val="18"/>
                <w:color w:val="auto"/>
                <w:w w:val="92"/>
              </w:rPr>
              <w:t>Common Shares of Beneficial Interest, $.01 par value per</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w w:val="89"/>
              </w:rPr>
              <w:t>share, with associated Common Share Purchase Rights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280" w:type="dxa"/>
            <w:vAlign w:val="bottom"/>
          </w:tcPr>
          <w:p>
            <w:pPr>
              <w:spacing w:after="0"/>
              <w:rPr>
                <w:sz w:val="20"/>
                <w:szCs w:val="20"/>
                <w:color w:val="auto"/>
              </w:rPr>
            </w:pPr>
            <w:r>
              <w:rPr>
                <w:rFonts w:ascii="Arial" w:cs="Arial" w:eastAsia="Arial" w:hAnsi="Arial"/>
                <w:sz w:val="18"/>
                <w:szCs w:val="18"/>
                <w:color w:val="auto"/>
                <w:w w:val="92"/>
              </w:rPr>
              <w:t>8.5% Series B Cumulative Redeemable Preferred Shares</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216"/>
        </w:trPr>
        <w:tc>
          <w:tcPr>
            <w:tcW w:w="4280" w:type="dxa"/>
            <w:vAlign w:val="bottom"/>
          </w:tcPr>
          <w:p>
            <w:pPr>
              <w:ind w:left="260"/>
              <w:spacing w:after="0"/>
              <w:rPr>
                <w:sz w:val="20"/>
                <w:szCs w:val="20"/>
                <w:color w:val="auto"/>
              </w:rPr>
            </w:pPr>
            <w:r>
              <w:rPr>
                <w:rFonts w:ascii="Arial" w:cs="Arial" w:eastAsia="Arial" w:hAnsi="Arial"/>
                <w:sz w:val="18"/>
                <w:szCs w:val="18"/>
                <w:color w:val="auto"/>
              </w:rPr>
              <w:t>of Beneficial Interest, par value $.01 per share,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20" w:type="dxa"/>
            <w:vAlign w:val="bottom"/>
          </w:tcPr>
          <w:p>
            <w:pPr>
              <w:spacing w:after="0"/>
              <w:rPr>
                <w:sz w:val="18"/>
                <w:szCs w:val="18"/>
                <w:color w:val="auto"/>
              </w:rPr>
            </w:pPr>
          </w:p>
        </w:tc>
      </w:tr>
      <w:tr>
        <w:trPr>
          <w:trHeight w:val="230"/>
        </w:trPr>
        <w:tc>
          <w:tcPr>
            <w:tcW w:w="4280" w:type="dxa"/>
            <w:vAlign w:val="bottom"/>
          </w:tcPr>
          <w:p>
            <w:pPr>
              <w:ind w:left="260"/>
              <w:spacing w:after="0"/>
              <w:rPr>
                <w:sz w:val="20"/>
                <w:szCs w:val="20"/>
                <w:color w:val="auto"/>
              </w:rPr>
            </w:pPr>
            <w:r>
              <w:rPr>
                <w:rFonts w:ascii="Arial" w:cs="Arial" w:eastAsia="Arial" w:hAnsi="Arial"/>
                <w:sz w:val="18"/>
                <w:szCs w:val="18"/>
                <w:color w:val="auto"/>
              </w:rPr>
              <w:t>(Liquidation Preference $25.00 per share)</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92"/>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12(g) of the Act:</w:t>
            </w:r>
          </w:p>
        </w:tc>
        <w:tc>
          <w:tcPr>
            <w:tcW w:w="7140" w:type="dxa"/>
            <w:vAlign w:val="bottom"/>
            <w:gridSpan w:val="3"/>
          </w:tcPr>
          <w:p>
            <w:pPr>
              <w:ind w:left="60"/>
              <w:spacing w:after="0"/>
              <w:rPr>
                <w:sz w:val="20"/>
                <w:szCs w:val="20"/>
                <w:color w:val="auto"/>
              </w:rPr>
            </w:pPr>
            <w:r>
              <w:rPr>
                <w:rFonts w:ascii="Arial" w:cs="Arial" w:eastAsia="Arial" w:hAnsi="Arial"/>
                <w:sz w:val="18"/>
                <w:szCs w:val="18"/>
                <w:color w:val="auto"/>
              </w:rPr>
              <w:t>None</w:t>
            </w:r>
          </w:p>
        </w:tc>
      </w:tr>
    </w:tbl>
    <w:p>
      <w:pPr>
        <w:spacing w:after="0" w:line="16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16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43" w:lineRule="exact"/>
        <w:rPr>
          <w:sz w:val="20"/>
          <w:szCs w:val="20"/>
          <w:color w:val="auto"/>
        </w:rPr>
      </w:pPr>
    </w:p>
    <w:p>
      <w:pPr>
        <w:spacing w:after="0" w:line="207" w:lineRule="exact"/>
        <w:tabs>
          <w:tab w:leader="none" w:pos="8140" w:val="left"/>
        </w:tabs>
        <w:rPr>
          <w:sz w:val="20"/>
          <w:szCs w:val="20"/>
          <w:color w:val="auto"/>
        </w:rPr>
      </w:pPr>
      <w:r>
        <w:rPr>
          <w:rFonts w:ascii="Arial" w:cs="Arial" w:eastAsia="Arial" w:hAnsi="Arial"/>
          <w:sz w:val="18"/>
          <w:szCs w:val="18"/>
          <w:color w:val="auto"/>
        </w:rPr>
        <w:t>Indicate by check mark whether the Registrant is an accelerated filer (as defined in Exchange Act Rule 12b-2).</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  o No</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2003 was $1.569 billion.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Registrant’s common shares outstanding on March 9, 2004 was 49,221,894.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its 2004 annual meeting of shareholders to be held in May 2004 are incorporated by reference into Part III hereof.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10"/>
            <w:shd w:val="clear" w:color="auto" w:fill="EEEEEE"/>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PART-I</w:t>
              </w:r>
            </w:hyperlink>
          </w:p>
        </w:tc>
        <w:tc>
          <w:tcPr>
            <w:tcW w:w="180" w:type="dxa"/>
            <w:vAlign w:val="bottom"/>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2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6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26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0000EE"/>
            </w:tcBorders>
            <w:gridSpan w:val="3"/>
            <w:shd w:val="clear" w:color="auto" w:fill="EEEEEE"/>
          </w:tcPr>
          <w:p>
            <w:pPr>
              <w:spacing w:after="0" w:line="176" w:lineRule="exact"/>
              <w:rPr>
                <w:sz w:val="20"/>
                <w:szCs w:val="20"/>
                <w:color w:val="auto"/>
              </w:rPr>
            </w:pPr>
            <w:r>
              <w:rPr>
                <w:rFonts w:ascii="Arial" w:cs="Arial" w:eastAsia="Arial" w:hAnsi="Arial"/>
                <w:sz w:val="18"/>
                <w:szCs w:val="18"/>
                <w:color w:val="0000EE"/>
                <w:w w:val="90"/>
              </w:rPr>
              <w:t>Item 2.</w:t>
            </w:r>
          </w:p>
        </w:tc>
        <w:tc>
          <w:tcPr>
            <w:tcW w:w="620" w:type="dxa"/>
            <w:vAlign w:val="bottom"/>
            <w:tcBorders>
              <w:bottom w:val="single" w:sz="8" w:color="EEEEEE"/>
            </w:tcBorders>
            <w:gridSpan w:val="6"/>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740" w:type="dxa"/>
            <w:vAlign w:val="bottom"/>
            <w:tcBorders>
              <w:bottom w:val="single" w:sz="8" w:color="0000EE"/>
            </w:tcBorders>
            <w:gridSpan w:val="2"/>
            <w:shd w:val="clear" w:color="auto" w:fill="EEEEEE"/>
          </w:tcPr>
          <w:p>
            <w:pPr>
              <w:spacing w:after="0" w:line="176" w:lineRule="exact"/>
              <w:rPr>
                <w:sz w:val="20"/>
                <w:szCs w:val="20"/>
                <w:color w:val="auto"/>
              </w:rPr>
            </w:pPr>
            <w:r>
              <w:rPr>
                <w:rFonts w:ascii="Arial" w:cs="Arial" w:eastAsia="Arial" w:hAnsi="Arial"/>
                <w:sz w:val="18"/>
                <w:szCs w:val="18"/>
                <w:color w:val="0000EE"/>
                <w:w w:val="87"/>
              </w:rPr>
              <w:t>Properties</w:t>
            </w:r>
          </w:p>
        </w:tc>
        <w:tc>
          <w:tcPr>
            <w:tcW w:w="6560" w:type="dxa"/>
            <w:vAlign w:val="bottom"/>
            <w:tcBorders>
              <w:bottom w:val="single" w:sz="8" w:color="EEEEEE"/>
            </w:tcBorders>
            <w:gridSpan w:val="18"/>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ind w:left="1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0000EE"/>
            </w:tcBorders>
            <w:gridSpan w:val="3"/>
            <w:shd w:val="clear" w:color="auto" w:fill="EEEEEE"/>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620" w:type="dxa"/>
            <w:vAlign w:val="bottom"/>
            <w:tcBorders>
              <w:bottom w:val="single" w:sz="8" w:color="EEEEEE"/>
            </w:tcBorders>
            <w:gridSpan w:val="6"/>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500" w:type="dxa"/>
            <w:vAlign w:val="bottom"/>
            <w:tcBorders>
              <w:bottom w:val="single" w:sz="8" w:color="0000EE"/>
            </w:tcBorders>
            <w:gridSpan w:val="14"/>
            <w:shd w:val="clear" w:color="auto" w:fill="EEEEEE"/>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Submission of Matters to a Vote of Shareholders</w:t>
              </w:r>
            </w:hyperlink>
          </w:p>
        </w:tc>
        <w:tc>
          <w:tcPr>
            <w:tcW w:w="3800" w:type="dxa"/>
            <w:vAlign w:val="bottom"/>
            <w:tcBorders>
              <w:bottom w:val="single" w:sz="8" w:color="EEEEEE"/>
            </w:tcBorders>
            <w:gridSpan w:val="6"/>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0000EE"/>
            </w:tcBorders>
            <w:gridSpan w:val="3"/>
            <w:shd w:val="clear" w:color="auto" w:fill="EEEEEE"/>
          </w:tcPr>
          <w:p>
            <w:pPr>
              <w:spacing w:after="0" w:line="17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620" w:type="dxa"/>
            <w:vAlign w:val="bottom"/>
            <w:tcBorders>
              <w:bottom w:val="single" w:sz="8" w:color="EEEEEE"/>
            </w:tcBorders>
            <w:gridSpan w:val="6"/>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4760" w:type="dxa"/>
            <w:vAlign w:val="bottom"/>
            <w:tcBorders>
              <w:bottom w:val="single" w:sz="8" w:color="0000EE"/>
            </w:tcBorders>
            <w:gridSpan w:val="16"/>
            <w:shd w:val="clear" w:color="auto" w:fill="EEEEEE"/>
          </w:tcPr>
          <w:p>
            <w:pPr>
              <w:spacing w:after="0" w:line="17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Market for Our Common Equity and Related Shareholder Matters</w:t>
              </w:r>
            </w:hyperlink>
          </w:p>
        </w:tc>
        <w:tc>
          <w:tcPr>
            <w:tcW w:w="2540" w:type="dxa"/>
            <w:vAlign w:val="bottom"/>
            <w:tcBorders>
              <w:bottom w:val="single" w:sz="8" w:color="EEEEEE"/>
            </w:tcBorders>
            <w:gridSpan w:val="4"/>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ind w:left="1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6.</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Information</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20" w:type="dxa"/>
            <w:vAlign w:val="bottom"/>
            <w:gridSpan w:val="3"/>
            <w:shd w:val="clear" w:color="auto" w:fill="EEEEEE"/>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7.</w:t>
              </w:r>
            </w:hyperlink>
          </w:p>
        </w:tc>
        <w:tc>
          <w:tcPr>
            <w:tcW w:w="620" w:type="dxa"/>
            <w:vAlign w:val="bottom"/>
            <w:gridSpan w:val="6"/>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300" w:type="dxa"/>
            <w:vAlign w:val="bottom"/>
            <w:gridSpan w:val="20"/>
            <w:shd w:val="clear" w:color="auto" w:fill="EEEEEE"/>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266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6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6460" w:type="dxa"/>
            <w:vAlign w:val="bottom"/>
            <w:tcBorders>
              <w:top w:val="single" w:sz="8" w:color="0000EE"/>
            </w:tcBorders>
            <w:gridSpan w:val="18"/>
          </w:tcPr>
          <w:p>
            <w:pPr>
              <w:spacing w:after="0"/>
              <w:rPr>
                <w:sz w:val="20"/>
                <w:szCs w:val="20"/>
                <w:color w:val="auto"/>
              </w:rPr>
            </w:pPr>
            <w:r>
              <w:rPr>
                <w:rFonts w:ascii="Arial" w:cs="Arial" w:eastAsia="Arial" w:hAnsi="Arial"/>
                <w:sz w:val="18"/>
                <w:szCs w:val="18"/>
                <w:color w:val="auto"/>
              </w:rPr>
              <w:t>Recent Developments</w:t>
            </w:r>
          </w:p>
        </w:tc>
        <w:tc>
          <w:tcPr>
            <w:tcW w:w="840" w:type="dxa"/>
            <w:vAlign w:val="bottom"/>
            <w:tcBorders>
              <w:top w:val="single" w:sz="8" w:color="EEEEEE"/>
            </w:tcBorders>
            <w:gridSpan w:val="2"/>
          </w:tcPr>
          <w:p>
            <w:pPr>
              <w:spacing w:after="0"/>
              <w:rPr>
                <w:sz w:val="18"/>
                <w:szCs w:val="18"/>
                <w:color w:val="auto"/>
              </w:rPr>
            </w:pPr>
          </w:p>
        </w:tc>
        <w:tc>
          <w:tcPr>
            <w:tcW w:w="2660" w:type="dxa"/>
            <w:vAlign w:val="bottom"/>
            <w:tcBorders>
              <w:top w:val="single" w:sz="8" w:color="EEEEEE"/>
            </w:tcBorders>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2220" w:type="dxa"/>
            <w:vAlign w:val="bottom"/>
            <w:tcBorders>
              <w:bottom w:val="single" w:sz="8" w:color="0000EE"/>
            </w:tcBorders>
            <w:gridSpan w:val="7"/>
            <w:shd w:val="clear" w:color="auto" w:fill="EEEEEE"/>
          </w:tcPr>
          <w:p>
            <w:pPr>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2003 Financing Developments</w:t>
              </w:r>
            </w:hyperlink>
          </w:p>
        </w:tc>
        <w:tc>
          <w:tcPr>
            <w:tcW w:w="5080" w:type="dxa"/>
            <w:vAlign w:val="bottom"/>
            <w:tcBorders>
              <w:bottom w:val="single" w:sz="8" w:color="EEEEEE"/>
            </w:tcBorders>
            <w:gridSpan w:val="13"/>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21"/>
          </w:tcPr>
          <w:p>
            <w:pPr>
              <w:ind w:left="1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Results of Operations</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40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60" w:type="dxa"/>
            <w:vAlign w:val="bottom"/>
            <w:tcBorders>
              <w:bottom w:val="single" w:sz="8" w:color="EEEEEE"/>
            </w:tcBorders>
            <w:shd w:val="clear" w:color="auto" w:fill="EEEEEE"/>
          </w:tcPr>
          <w:p>
            <w:pPr>
              <w:spacing w:after="0"/>
              <w:rPr>
                <w:sz w:val="17"/>
                <w:szCs w:val="17"/>
                <w:color w:val="auto"/>
              </w:rPr>
            </w:pPr>
          </w:p>
        </w:tc>
        <w:tc>
          <w:tcPr>
            <w:tcW w:w="4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2340" w:type="dxa"/>
            <w:vAlign w:val="bottom"/>
            <w:tcBorders>
              <w:bottom w:val="single" w:sz="8" w:color="0000EE"/>
            </w:tcBorders>
            <w:gridSpan w:val="10"/>
            <w:shd w:val="clear" w:color="auto" w:fill="EEEEEE"/>
          </w:tcPr>
          <w:p>
            <w:pPr>
              <w:spacing w:after="0" w:line="17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Liquidity and Capital Resources</w:t>
              </w:r>
            </w:hyperlink>
          </w:p>
        </w:tc>
        <w:tc>
          <w:tcPr>
            <w:tcW w:w="4960" w:type="dxa"/>
            <w:vAlign w:val="bottom"/>
            <w:tcBorders>
              <w:bottom w:val="single" w:sz="8" w:color="EEEEEE"/>
            </w:tcBorders>
            <w:gridSpan w:val="10"/>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ind w:left="1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7A.</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20" w:type="dxa"/>
            <w:vAlign w:val="bottom"/>
            <w:tcBorders>
              <w:bottom w:val="single" w:sz="8" w:color="0000EE"/>
            </w:tcBorders>
            <w:gridSpan w:val="3"/>
            <w:shd w:val="clear" w:color="auto" w:fill="EEEEEE"/>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Item 8.</w:t>
              </w:r>
            </w:hyperlink>
          </w:p>
        </w:tc>
        <w:tc>
          <w:tcPr>
            <w:tcW w:w="620" w:type="dxa"/>
            <w:vAlign w:val="bottom"/>
            <w:tcBorders>
              <w:bottom w:val="single" w:sz="8" w:color="EEEEEE"/>
            </w:tcBorders>
            <w:gridSpan w:val="6"/>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3340" w:type="dxa"/>
            <w:vAlign w:val="bottom"/>
            <w:tcBorders>
              <w:bottom w:val="single" w:sz="8" w:color="0000EE"/>
            </w:tcBorders>
            <w:gridSpan w:val="12"/>
            <w:shd w:val="clear" w:color="auto" w:fill="EEEEEE"/>
          </w:tcPr>
          <w:p>
            <w:pPr>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Financial Statements and Supplementary Data</w:t>
              </w:r>
            </w:hyperlink>
          </w:p>
        </w:tc>
        <w:tc>
          <w:tcPr>
            <w:tcW w:w="3960" w:type="dxa"/>
            <w:vAlign w:val="bottom"/>
            <w:tcBorders>
              <w:bottom w:val="single" w:sz="8" w:color="EEEEEE"/>
            </w:tcBorders>
            <w:gridSpan w:val="8"/>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ind w:left="1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9.</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Changes In and Disagreements with Accountants on Accounting and Financial Disclosure</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720" w:type="dxa"/>
            <w:vAlign w:val="bottom"/>
            <w:tcBorders>
              <w:bottom w:val="single" w:sz="8" w:color="0000EE"/>
            </w:tcBorders>
            <w:gridSpan w:val="7"/>
            <w:shd w:val="clear" w:color="auto" w:fill="EEEEEE"/>
          </w:tcPr>
          <w:p>
            <w:pPr>
              <w:spacing w:after="0" w:line="176" w:lineRule="exact"/>
              <w:rPr>
                <w:rFonts w:ascii="Arial" w:cs="Arial" w:eastAsia="Arial" w:hAnsi="Arial"/>
                <w:sz w:val="18"/>
                <w:szCs w:val="18"/>
                <w:color w:val="0000EE"/>
                <w:w w:val="91"/>
              </w:rPr>
            </w:pPr>
            <w:hyperlink w:anchor="page90">
              <w:r>
                <w:rPr>
                  <w:rFonts w:ascii="Arial" w:cs="Arial" w:eastAsia="Arial" w:hAnsi="Arial"/>
                  <w:sz w:val="18"/>
                  <w:szCs w:val="18"/>
                  <w:color w:val="0000EE"/>
                  <w:w w:val="91"/>
                </w:rPr>
                <w:t>Items 9A.</w:t>
              </w:r>
            </w:hyperlink>
          </w:p>
        </w:tc>
        <w:tc>
          <w:tcPr>
            <w:tcW w:w="42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780" w:type="dxa"/>
            <w:vAlign w:val="bottom"/>
            <w:tcBorders>
              <w:bottom w:val="single" w:sz="8" w:color="0000EE"/>
            </w:tcBorders>
            <w:gridSpan w:val="5"/>
            <w:shd w:val="clear" w:color="auto" w:fill="EEEEEE"/>
          </w:tcPr>
          <w:p>
            <w:pPr>
              <w:spacing w:after="0" w:line="17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Controls and Procedures</w:t>
              </w:r>
            </w:hyperlink>
          </w:p>
        </w:tc>
        <w:tc>
          <w:tcPr>
            <w:tcW w:w="5520" w:type="dxa"/>
            <w:vAlign w:val="bottom"/>
            <w:tcBorders>
              <w:bottom w:val="single" w:sz="8" w:color="EEEEEE"/>
            </w:tcBorders>
            <w:gridSpan w:val="15"/>
            <w:shd w:val="clear" w:color="auto" w:fill="EEEEEE"/>
          </w:tcPr>
          <w:p>
            <w:pPr>
              <w:spacing w:after="0"/>
              <w:rPr>
                <w:sz w:val="17"/>
                <w:szCs w:val="17"/>
                <w:color w:val="auto"/>
              </w:rPr>
            </w:pPr>
          </w:p>
        </w:tc>
        <w:tc>
          <w:tcPr>
            <w:tcW w:w="2660" w:type="dxa"/>
            <w:vAlign w:val="bottom"/>
            <w:tcBorders>
              <w:bottom w:val="single" w:sz="8" w:color="EEEEEE"/>
            </w:tcBorders>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10"/>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PART III</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140" w:type="dxa"/>
            <w:vAlign w:val="bottom"/>
            <w:gridSpan w:val="9"/>
            <w:shd w:val="clear" w:color="auto" w:fill="EEEEEE"/>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10.</w:t>
              </w:r>
            </w:hyperlink>
          </w:p>
        </w:tc>
        <w:tc>
          <w:tcPr>
            <w:tcW w:w="7480" w:type="dxa"/>
            <w:vAlign w:val="bottom"/>
            <w:gridSpan w:val="21"/>
            <w:shd w:val="clear" w:color="auto" w:fill="EEEEEE"/>
          </w:tcPr>
          <w:p>
            <w:pPr>
              <w:ind w:left="18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Trustees and Executive Officers</w:t>
              </w:r>
            </w:hyperlink>
          </w:p>
        </w:tc>
        <w:tc>
          <w:tcPr>
            <w:tcW w:w="266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600" w:type="dxa"/>
            <w:vAlign w:val="bottom"/>
            <w:tcBorders>
              <w:top w:val="single" w:sz="8" w:color="0000EE"/>
            </w:tcBorders>
            <w:gridSpan w:val="5"/>
          </w:tcPr>
          <w:p>
            <w:pPr>
              <w:spacing w:after="0" w:line="17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Item 11.</w:t>
              </w:r>
            </w:hyperlink>
          </w:p>
        </w:tc>
        <w:tc>
          <w:tcPr>
            <w:tcW w:w="540" w:type="dxa"/>
            <w:vAlign w:val="bottom"/>
            <w:tcBorders>
              <w:top w:val="single" w:sz="8" w:color="EEEEEE"/>
            </w:tcBorders>
            <w:gridSpan w:val="4"/>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32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4980" w:type="dxa"/>
            <w:vAlign w:val="bottom"/>
            <w:tcBorders>
              <w:top w:val="single" w:sz="8" w:color="EEEEEE"/>
            </w:tcBorders>
            <w:gridSpan w:val="11"/>
          </w:tcPr>
          <w:p>
            <w:pPr>
              <w:spacing w:after="0"/>
              <w:rPr>
                <w:sz w:val="15"/>
                <w:szCs w:val="15"/>
                <w:color w:val="auto"/>
              </w:rPr>
            </w:pPr>
          </w:p>
        </w:tc>
        <w:tc>
          <w:tcPr>
            <w:tcW w:w="2660" w:type="dxa"/>
            <w:vAlign w:val="bottom"/>
            <w:tcBorders>
              <w:top w:val="single" w:sz="8" w:color="EEEEEE"/>
            </w:tcBorders>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140" w:type="dxa"/>
            <w:vAlign w:val="bottom"/>
            <w:gridSpan w:val="9"/>
            <w:shd w:val="clear" w:color="auto" w:fill="EEEEEE"/>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12.</w:t>
              </w:r>
            </w:hyperlink>
          </w:p>
        </w:tc>
        <w:tc>
          <w:tcPr>
            <w:tcW w:w="7480" w:type="dxa"/>
            <w:vAlign w:val="bottom"/>
            <w:gridSpan w:val="21"/>
            <w:shd w:val="clear" w:color="auto" w:fill="EEEEEE"/>
          </w:tcPr>
          <w:p>
            <w:pPr>
              <w:ind w:left="180"/>
              <w:spacing w:after="0" w:line="17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Security Ownership of Certain Beneficial Owners and Management and Related Shareholder Matters</w:t>
              </w:r>
            </w:hyperlink>
          </w:p>
        </w:tc>
        <w:tc>
          <w:tcPr>
            <w:tcW w:w="266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6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800" w:type="dxa"/>
            <w:vAlign w:val="bottom"/>
            <w:tcBorders>
              <w:top w:val="single" w:sz="8" w:color="0000EE"/>
            </w:tcBorders>
            <w:shd w:val="clear" w:color="auto" w:fill="EEEEEE"/>
          </w:tcPr>
          <w:p>
            <w:pPr>
              <w:spacing w:after="0" w:line="20" w:lineRule="exact"/>
              <w:rPr>
                <w:sz w:val="1"/>
                <w:szCs w:val="1"/>
                <w:color w:val="auto"/>
              </w:rPr>
            </w:pPr>
          </w:p>
        </w:tc>
        <w:tc>
          <w:tcPr>
            <w:tcW w:w="26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9"/>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13.</w:t>
              </w:r>
            </w:hyperlink>
          </w:p>
        </w:tc>
        <w:tc>
          <w:tcPr>
            <w:tcW w:w="7480" w:type="dxa"/>
            <w:vAlign w:val="bottom"/>
            <w:gridSpan w:val="21"/>
          </w:tcPr>
          <w:p>
            <w:pPr>
              <w:ind w:left="18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Certain Relationships and Related Transactions</w:t>
              </w:r>
            </w:hyperlink>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140" w:type="dxa"/>
            <w:vAlign w:val="bottom"/>
            <w:gridSpan w:val="9"/>
            <w:shd w:val="clear" w:color="auto" w:fill="EEEEEE"/>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14.</w:t>
              </w:r>
            </w:hyperlink>
          </w:p>
        </w:tc>
        <w:tc>
          <w:tcPr>
            <w:tcW w:w="7480" w:type="dxa"/>
            <w:vAlign w:val="bottom"/>
            <w:gridSpan w:val="21"/>
            <w:shd w:val="clear" w:color="auto" w:fill="EEEEEE"/>
          </w:tcPr>
          <w:p>
            <w:pPr>
              <w:ind w:left="18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266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6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26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10"/>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PART IV</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140" w:type="dxa"/>
            <w:vAlign w:val="bottom"/>
            <w:gridSpan w:val="9"/>
            <w:shd w:val="clear" w:color="auto" w:fill="EEEEEE"/>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15.</w:t>
              </w:r>
            </w:hyperlink>
          </w:p>
        </w:tc>
        <w:tc>
          <w:tcPr>
            <w:tcW w:w="7480" w:type="dxa"/>
            <w:vAlign w:val="bottom"/>
            <w:gridSpan w:val="21"/>
            <w:shd w:val="clear" w:color="auto" w:fill="EEEEEE"/>
          </w:tcPr>
          <w:p>
            <w:pPr>
              <w:ind w:left="18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Exhibits, Financial Statement Schedules, and Reports on Form 8-K</w:t>
              </w:r>
            </w:hyperlink>
          </w:p>
        </w:tc>
        <w:tc>
          <w:tcPr>
            <w:tcW w:w="2660" w:type="dxa"/>
            <w:vAlign w:val="bottom"/>
            <w:shd w:val="clear" w:color="auto" w:fill="EEEEEE"/>
          </w:tcPr>
          <w:p>
            <w:pPr>
              <w:jc w:val="right"/>
              <w:ind w:right="130"/>
              <w:spacing w:after="0" w:line="17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520" w:type="dxa"/>
            <w:vAlign w:val="bottom"/>
            <w:tcBorders>
              <w:top w:val="single" w:sz="8" w:color="0000EE"/>
            </w:tcBorders>
            <w:shd w:val="clear" w:color="auto" w:fill="EEEEEE"/>
          </w:tcPr>
          <w:p>
            <w:pPr>
              <w:spacing w:after="0" w:line="20" w:lineRule="exact"/>
              <w:rPr>
                <w:sz w:val="1"/>
                <w:szCs w:val="1"/>
                <w:color w:val="auto"/>
              </w:rPr>
            </w:pPr>
          </w:p>
        </w:tc>
        <w:tc>
          <w:tcPr>
            <w:tcW w:w="4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6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6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26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60" w:type="dxa"/>
            <w:vAlign w:val="bottom"/>
            <w:gridSpan w:val="10"/>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16"/>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 w:lineRule="exact"/>
        <w:rPr>
          <w:sz w:val="20"/>
          <w:szCs w:val="20"/>
          <w:color w:val="auto"/>
        </w:rPr>
      </w:pPr>
    </w:p>
    <w:p>
      <w:pPr>
        <w:ind w:right="100" w:firstLine="225"/>
        <w:spacing w:after="0" w:line="261"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December 31, 2003, we owned or had an interest in 62 community and neighborhood shopping centers comprising approximately 13.5 million square feet, primarily located in densely populated and affluent communities throughout the Northeast and Mid-Atlantic United States. In addition, we owned 49 urban and retail mixed-use properties comprising over 2.7 million square feet and one apartment complex, primarily located in strategic metropolitan markets in the Northeast and Mid-Atlantic regions and California. In total, our properties were 93.1% leased at December 31, 2003. We have paid quarterly dividends to our shareholders continuously since our founding in 1962, and have increased our dividend rate for 36 consecutive years.</w:t>
      </w:r>
    </w:p>
    <w:p>
      <w:pPr>
        <w:spacing w:after="0" w:line="138"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operate our business on an asset management model, where small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w:t>
      </w:r>
    </w:p>
    <w:p>
      <w:pPr>
        <w:spacing w:after="0" w:line="106"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 xml:space="preserve">Our principal executive offices are located at 1626 East Jefferson Street, Rockville, Maryland 20852 and our telephone number is (301) 998-8100. Our Web site address is </w:t>
      </w:r>
      <w:r>
        <w:rPr>
          <w:rFonts w:ascii="Arial" w:cs="Arial" w:eastAsia="Arial" w:hAnsi="Arial"/>
          <w:sz w:val="18"/>
          <w:szCs w:val="18"/>
          <w:u w:val="single" w:color="auto"/>
          <w:color w:val="auto"/>
        </w:rPr>
        <w:t>www.federalrealty.com</w:t>
      </w:r>
      <w:r>
        <w:rPr>
          <w:rFonts w:ascii="Arial" w:cs="Arial" w:eastAsia="Arial" w:hAnsi="Arial"/>
          <w:sz w:val="18"/>
          <w:szCs w:val="18"/>
          <w:color w:val="auto"/>
        </w:rPr>
        <w:t>. The information contained on our Web site is not a part of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202"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Our primary business objective is to own, manage, acquire and redevelop a portfolio of commercial retail properties, with the dominant property type being grocery anchored community and neighborhood shopping centers, that will:</w:t>
      </w:r>
    </w:p>
    <w:p>
      <w:pPr>
        <w:spacing w:after="0" w:line="170" w:lineRule="exact"/>
        <w:rPr>
          <w:sz w:val="20"/>
          <w:szCs w:val="20"/>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increasing cash flow for quarterly distributions to shareholders;</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potential for capital appreciation;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 higher internal growth than our peers.</w:t>
      </w:r>
    </w:p>
    <w:p>
      <w:pPr>
        <w:spacing w:after="0" w:line="21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Our traditional focus has been on grocery anchored community and neighborhood shopping centers. Late in 1994, recognizing a trend of increased consumer acceptance and retailer expansion to main streets, we expanded our investment strategy to include “street retail” and “mixed-use” properties. The mixed-use properties are typically centered around a retail component but may also include office, residential and hotel components in established main street shopping areas. In addition, from 1997 through 2001 we undertook the ground-up development in urban areas of mixed-use projects that center around the retail component. 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February 28, 2002, our Board of Trustees approved the adoption of a business plan which returned our primary focus to our traditional business of owning, managing, redeveloping and acquiring community and neighborhood shopping centers anchored by grocery stores, drug stores or high volume, value oriented retailers that provide consumer necessities. We will complete our mixed-use projects in San Jose, California and Bethesda, Maryland, but will not pursue any new, large-scale, ground-up development projects.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189" w:lineRule="exact"/>
        <w:rPr>
          <w:sz w:val="20"/>
          <w:szCs w:val="20"/>
          <w:color w:val="auto"/>
        </w:rPr>
      </w:pPr>
    </w:p>
    <w:p>
      <w:pPr>
        <w:jc w:val="both"/>
        <w:ind w:right="60" w:firstLine="225"/>
        <w:spacing w:after="0" w:line="276" w:lineRule="auto"/>
        <w:rPr>
          <w:sz w:val="20"/>
          <w:szCs w:val="20"/>
          <w:color w:val="auto"/>
        </w:rPr>
      </w:pPr>
      <w:r>
        <w:rPr>
          <w:rFonts w:ascii="Arial" w:cs="Arial" w:eastAsia="Arial" w:hAnsi="Arial"/>
          <w:sz w:val="17"/>
          <w:szCs w:val="17"/>
          <w:color w:val="auto"/>
        </w:rPr>
        <w:t>Our core operating strategy is to actively manage our properties to maximize rents and maintain high occupancy levels by attracting and retaining a strong and diverse base of tenants. Our properties are generally located in some of the most densely populated and affluent areas of the country. In addition, because of the in-fill nature of our locations, our centers generally face less competition per capita than centers owned by our peers. These strong demographics help our tenants generate higher sales which has enabled us to maintain high occupancy rates, high rental rates, and consistent rental rate growth, all of which has lead to increased value of our portfolio. Our operating strategies also include:</w:t>
      </w:r>
    </w:p>
    <w:p>
      <w:pPr>
        <w:spacing w:after="0" w:line="173" w:lineRule="exact"/>
        <w:rPr>
          <w:sz w:val="20"/>
          <w:szCs w:val="20"/>
          <w:color w:val="auto"/>
        </w:rPr>
      </w:pP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difficulties;</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monitoring the credit mix of our tenant base to achieve a balance of strong national and regional credit tenants with more local specialty tenants;</w:t>
      </w:r>
    </w:p>
    <w:p>
      <w:pPr>
        <w:spacing w:after="0" w:line="20" w:lineRule="exact"/>
        <w:rPr>
          <w:rFonts w:ascii="Arial" w:cs="Arial" w:eastAsia="Arial" w:hAnsi="Arial"/>
          <w:sz w:val="17"/>
          <w:szCs w:val="17"/>
          <w:color w:val="auto"/>
        </w:rPr>
      </w:pP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 w:lineRule="exact"/>
        <w:rPr>
          <w:rFonts w:ascii="Arial" w:cs="Arial" w:eastAsia="Arial" w:hAnsi="Arial"/>
          <w:sz w:val="18"/>
          <w:szCs w:val="18"/>
          <w:color w:val="auto"/>
        </w:rPr>
      </w:pPr>
    </w:p>
    <w:p>
      <w:pPr>
        <w:ind w:left="460" w:right="540" w:hanging="177"/>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monitoring the physical appearance of our properties and the construction quality, condition and design of the buildings and other improvements located on our properties to maximize our ability to generate high rental and occupancy rates;</w:t>
      </w: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 w:lineRule="exact"/>
        <w:rPr>
          <w:rFonts w:ascii="Arial" w:cs="Arial" w:eastAsia="Arial" w:hAnsi="Arial"/>
          <w:sz w:val="18"/>
          <w:szCs w:val="18"/>
          <w:color w:val="auto"/>
        </w:rPr>
      </w:pPr>
    </w:p>
    <w:p>
      <w:pPr>
        <w:ind w:left="460" w:right="320" w:hanging="177"/>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w:t>
      </w: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rental rates through the renewal or releasing of expiring leases at higher rental rates and limiting vacancy and down-time;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exceptional customer service.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Strategies</w:t>
      </w:r>
    </w:p>
    <w:p>
      <w:pPr>
        <w:spacing w:after="0" w:line="18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investment strategy calls for deploying capital at risk-adjusted rates of return that exceed our weighted average cost of capital in projects that have potential for going-forward net income growth equal to, or in excess of, that of our core portfolio of properties. Our investments primarily fall into one of the following four categories:</w:t>
      </w:r>
    </w:p>
    <w:p>
      <w:pPr>
        <w:spacing w:after="0" w:line="181" w:lineRule="exact"/>
        <w:rPr>
          <w:sz w:val="20"/>
          <w:szCs w:val="20"/>
          <w:color w:val="auto"/>
        </w:rPr>
      </w:pPr>
    </w:p>
    <w:p>
      <w:pPr>
        <w:ind w:left="460" w:right="240" w:hanging="177"/>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our internal growth rate;</w:t>
      </w:r>
    </w:p>
    <w:p>
      <w:pPr>
        <w:spacing w:after="0" w:line="1" w:lineRule="exact"/>
        <w:rPr>
          <w:rFonts w:ascii="Arial" w:cs="Arial" w:eastAsia="Arial" w:hAnsi="Arial"/>
          <w:sz w:val="18"/>
          <w:szCs w:val="18"/>
          <w:color w:val="auto"/>
        </w:rPr>
      </w:pPr>
    </w:p>
    <w:p>
      <w:pPr>
        <w:ind w:left="460" w:hanging="177"/>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renovating or expanding tenant spaces for tenants capable of producing higher sales, and therefore, paying higher rents, including expanding an existing tenant that is performing well but is operating out of an old or otherwise inefficient store format;</w:t>
      </w:r>
    </w:p>
    <w:p>
      <w:pPr>
        <w:ind w:left="460" w:right="320" w:hanging="177"/>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acquiring community and neighborhood shopping centers, located in densely populated or growing affluent areas where barriers to entry for further development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are high, and that have possibilities for enhancing operating performance through renovation, expansion, reconfiguration and/or retenanting; and</w:t>
      </w:r>
    </w:p>
    <w:p>
      <w:pPr>
        <w:spacing w:after="0" w:line="35" w:lineRule="exact"/>
        <w:rPr>
          <w:sz w:val="20"/>
          <w:szCs w:val="20"/>
          <w:color w:val="auto"/>
        </w:rPr>
      </w:pPr>
    </w:p>
    <w:p>
      <w:pPr>
        <w:ind w:left="460" w:right="340" w:hanging="177"/>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acquiring stable community and neighborhood shopping centers, located in densely populated or growing affluent areas where barriers to entry for further development are high, in partnership with longer term investors who contribute a substantial portion of the equity needed to acquire those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When we evaluate potential redevelopment, retenanting, expansion and acquisition opportunities, we consider such factors as:</w:t>
      </w:r>
    </w:p>
    <w:p>
      <w:pPr>
        <w:spacing w:after="0" w:line="225" w:lineRule="exact"/>
        <w:rPr>
          <w:sz w:val="20"/>
          <w:szCs w:val="20"/>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returns in relation to our cost of capital as well as the anticipated risk we will face in achieving the expected returns;</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 w:lineRule="exact"/>
        <w:rPr>
          <w:rFonts w:ascii="Arial" w:cs="Arial" w:eastAsia="Arial" w:hAnsi="Arial"/>
          <w:sz w:val="18"/>
          <w:szCs w:val="18"/>
          <w:color w:val="auto"/>
        </w:rPr>
      </w:pPr>
    </w:p>
    <w:p>
      <w:pPr>
        <w:ind w:left="460" w:right="20" w:hanging="177"/>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density and income trends in that geographic area;</w:t>
      </w:r>
    </w:p>
    <w:p>
      <w:pPr>
        <w:ind w:left="460" w:right="700" w:hanging="177"/>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to create competing properties through redevelopment, new construction or renovation;</w:t>
      </w:r>
    </w:p>
    <w:p>
      <w:pPr>
        <w:ind w:left="460" w:right="160" w:hanging="177"/>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to and visibility of the property from and potential for new, widened or realigned, roadways within the property’s trade area, which may affect access and commuting and shopping patterns;</w:t>
      </w: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Strategies</w:t>
      </w:r>
    </w:p>
    <w:p>
      <w:pPr>
        <w:spacing w:after="0" w:line="18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Our financing strategies are designed to maintain a strong balance sheet while maintaining sufficient flexibility to fund our operating and investing activities in the most cost efficient way possible. Our financing strategies include:</w:t>
      </w:r>
    </w:p>
    <w:p>
      <w:pPr>
        <w:spacing w:after="0" w:line="170" w:lineRule="exact"/>
        <w:rPr>
          <w:sz w:val="20"/>
          <w:szCs w:val="20"/>
          <w:color w:val="auto"/>
        </w:rPr>
      </w:pPr>
    </w:p>
    <w:p>
      <w:pPr>
        <w:ind w:left="460" w:hanging="1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adequate pool of unencumbered properties;</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actively managing our exposure to variable-rate debt;</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32" w:lineRule="exact"/>
        <w:rPr>
          <w:rFonts w:ascii="Arial" w:cs="Arial" w:eastAsia="Arial" w:hAnsi="Arial"/>
          <w:sz w:val="16"/>
          <w:szCs w:val="16"/>
          <w:color w:val="auto"/>
        </w:rPr>
      </w:pPr>
    </w:p>
    <w:p>
      <w:pPr>
        <w:ind w:left="680" w:hanging="168"/>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sale of equity or debt securities through public offerings or private placements,</w:t>
      </w:r>
    </w:p>
    <w:p>
      <w:pPr>
        <w:spacing w:after="0" w:line="9" w:lineRule="exact"/>
        <w:rPr>
          <w:rFonts w:ascii="Arial" w:cs="Arial" w:eastAsia="Arial" w:hAnsi="Arial"/>
          <w:sz w:val="18"/>
          <w:szCs w:val="18"/>
          <w:color w:val="auto"/>
        </w:rPr>
      </w:pPr>
    </w:p>
    <w:p>
      <w:pPr>
        <w:ind w:left="680" w:hanging="168"/>
        <w:spacing w:after="0"/>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incurrence of indebtedness through secured or unsecured borrowings,</w:t>
      </w:r>
    </w:p>
    <w:p>
      <w:pPr>
        <w:spacing w:after="0" w:line="9" w:lineRule="exact"/>
        <w:rPr>
          <w:rFonts w:ascii="Arial" w:cs="Arial" w:eastAsia="Arial" w:hAnsi="Arial"/>
          <w:sz w:val="18"/>
          <w:szCs w:val="18"/>
          <w:color w:val="auto"/>
        </w:rPr>
      </w:pPr>
    </w:p>
    <w:p>
      <w:pPr>
        <w:ind w:left="680" w:right="180" w:hanging="168"/>
        <w:spacing w:after="0" w:line="261" w:lineRule="auto"/>
        <w:tabs>
          <w:tab w:leader="none" w:pos="6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issuance of operating units in one of our “downREIT partnerships,” which generally receive the same distributions as our common shares and may be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convertible into our common shares, in exchange for a tax deferred contribution of property, or</w:t>
      </w:r>
    </w:p>
    <w:p>
      <w:pPr>
        <w:spacing w:after="0" w:line="23" w:lineRule="exact"/>
        <w:rPr>
          <w:sz w:val="20"/>
          <w:szCs w:val="20"/>
          <w:color w:val="auto"/>
        </w:rPr>
      </w:pPr>
    </w:p>
    <w:p>
      <w:pPr>
        <w:ind w:left="680" w:hanging="168"/>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and</w:t>
      </w:r>
    </w:p>
    <w:p>
      <w:pPr>
        <w:spacing w:after="0" w:line="9" w:lineRule="exact"/>
        <w:rPr>
          <w:rFonts w:ascii="Arial" w:cs="Arial" w:eastAsia="Arial" w:hAnsi="Arial"/>
          <w:sz w:val="18"/>
          <w:szCs w:val="18"/>
          <w:color w:val="auto"/>
        </w:rPr>
      </w:pPr>
    </w:p>
    <w:p>
      <w:pPr>
        <w:ind w:left="460" w:right="360" w:hanging="177"/>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At December 31, 2003, we had 283 full-time employees and 153 part-time employees. None of the employees is represented by a collective bargaining unit. We believe that our relationship with our employees is good.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189"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elected under Section 856(c) of the Internal Revenue Code of 1986, as amended, which we refer to as the Code, to be taxed as a REIT under the Code beginning with our taxable year ended December 31, 1962. As a REIT we are generally not subject to federal income tax on REIT taxable income that we distribute to our shareholders. Under the Code, REITs are subject to numerous organizational and operational requirements, including the requirement to distribute at least 90% of REIT taxable income each year. We will be subject to federal income tax on our REIT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 In addition, certain of our subsidiaries are subject to federal, state and local income taxes.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including:</w:t>
      </w:r>
    </w:p>
    <w:p>
      <w:pPr>
        <w:spacing w:after="0" w:line="225" w:lineRule="exact"/>
        <w:rPr>
          <w:sz w:val="20"/>
          <w:szCs w:val="20"/>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application of these laws to a specific property that we own will be dependent on a variety of property-specific circumstances, including the former uses of the property, the building materials used at each property and the physical layout of each property. Under certain environmental laws, principally CERCLA, we, as the owner or operator of our current properties or properties we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the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5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Our compliance with existing environmental, health, safety and similar laws has not had a material adverse effect on our financial condition and results of operations, and management does not believe it will have such an impact in the future. In addition, we have not incurred, and do not expect to incur, any material costs or liabilities due to environmental contamination at properties we currently own or have owned in the past. However, we cannot predict the impact of new or changed laws or regulations on our current properties or on properties that we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Numerous commercial developers and real estate companies compete with us for tenants and properties to acquire. Some of these competitors may possess greater capital resources than we do, although no single competitor or group of competitors in any of the markets where our properties are located is believed to be dominant in that market. This competition may:</w:t>
      </w:r>
    </w:p>
    <w:p>
      <w:pPr>
        <w:spacing w:after="0" w:line="181" w:lineRule="exact"/>
        <w:rPr>
          <w:sz w:val="20"/>
          <w:szCs w:val="20"/>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23" w:lineRule="exact"/>
        <w:rPr>
          <w:rFonts w:ascii="Arial" w:cs="Arial" w:eastAsia="Arial" w:hAnsi="Arial"/>
          <w:sz w:val="18"/>
          <w:szCs w:val="18"/>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211"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and other forms of marketing of goods and services, such as direct mail, internet marketing and telemarketing. This competition could contribute to lease defaults and insolvency of tenants.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02"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6"/>
          <w:szCs w:val="16"/>
          <w:u w:val="single" w:color="auto"/>
          <w:color w:val="auto"/>
        </w:rPr>
        <w:t>www.federalrealty.com</w:t>
      </w:r>
      <w:r>
        <w:rPr>
          <w:rFonts w:ascii="Arial" w:cs="Arial" w:eastAsia="Arial" w:hAnsi="Arial"/>
          <w:sz w:val="16"/>
          <w:szCs w:val="16"/>
          <w:color w:val="auto"/>
        </w:rPr>
        <w:t xml:space="preserve"> as soon as reasonably practicable after we electronically file the material with, or furnish the material to, the SEC.</w:t>
      </w:r>
    </w:p>
    <w:p>
      <w:pPr>
        <w:spacing w:after="0" w:line="106"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25" w:lineRule="exact"/>
        <w:rPr>
          <w:sz w:val="20"/>
          <w:szCs w:val="20"/>
          <w:color w:val="auto"/>
        </w:rPr>
      </w:pPr>
    </w:p>
    <w:p>
      <w:pPr>
        <w:ind w:right="200" w:firstLine="218"/>
        <w:spacing w:after="0" w:line="277" w:lineRule="auto"/>
        <w:rPr>
          <w:sz w:val="20"/>
          <w:szCs w:val="20"/>
          <w:color w:val="auto"/>
        </w:rPr>
      </w:pPr>
      <w:r>
        <w:rPr>
          <w:rFonts w:ascii="Arial" w:cs="Arial" w:eastAsia="Arial" w:hAnsi="Arial"/>
          <w:sz w:val="18"/>
          <w:szCs w:val="18"/>
          <w:color w:val="auto"/>
        </w:rPr>
        <w:t>You may obtain a printed copy of any of the foregoing materials from us by writing to us at Federal Realty Investment Trust, 1626 East Jefferson Street, Rockville, Maryland 20852.</w:t>
      </w:r>
    </w:p>
    <w:p>
      <w:pPr>
        <w:spacing w:after="0" w:line="143"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of December 31, 2003, we owned or had an interest in 62 community and neighborhood shopping centers comprising approximately 13.5 million square feet, primarily located in densely populated and affluent communities throughout the Northeast and Mid-Atlantic United States. In addition, we owned 49 urban and retail mixed-use properties comprising over 2.7 million square feet and one apartment complex, primarily located in strategic metropolitan markets in the Northeast and Mid-Atlantic regions and California. No single property accounted for over 10% of our 2003 total revenue or net income.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138"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We operate our business on an asset management model, where small, focused teams are responsible for a portfolio of assets. We have divided our portfolio of properties into three operating regions: the Northeast, Mid-Atlantic and West. Each region is operated under the direction of an asset manager, with dedicated leasing, property management and financial staff, and operates largely autonomously with respect to day to day operating decisions.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202"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As of December 31, 2003, we had approximately 2,200 tenants, ranging from sole proprietors to major national retailers. No one tenant or affiliated group of tenants accounted for more than 2.3% of our annualized base rent as of December 31, 2003. As a result of our tenant diversification, we believe our exposure to recent and future bankruptcy filings in the retail sector has not been and will not be significant.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202" w:lineRule="exact"/>
        <w:rPr>
          <w:sz w:val="20"/>
          <w:szCs w:val="20"/>
          <w:color w:val="auto"/>
        </w:rPr>
      </w:pPr>
    </w:p>
    <w:p>
      <w:pPr>
        <w:ind w:right="220" w:firstLine="225"/>
        <w:spacing w:after="0" w:line="342" w:lineRule="auto"/>
        <w:rPr>
          <w:sz w:val="20"/>
          <w:szCs w:val="20"/>
          <w:color w:val="auto"/>
        </w:rPr>
      </w:pPr>
      <w:r>
        <w:rPr>
          <w:rFonts w:ascii="Arial" w:cs="Arial" w:eastAsia="Arial" w:hAnsi="Arial"/>
          <w:sz w:val="16"/>
          <w:szCs w:val="16"/>
          <w:color w:val="auto"/>
        </w:rPr>
        <w:t>Our 111 properties are located in 14 states and the District of Columbia. The following table shows, by region and state within the region, the number of properties, the gross leasable area (in square feet) and the percentage of total portfolio gross leasable area in each state as of December 31, 2003.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4"/>
          </w:tcPr>
          <w:p>
            <w:pPr>
              <w:ind w:left="44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Percentage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560"/>
              <w:spacing w:after="0"/>
              <w:rPr>
                <w:sz w:val="20"/>
                <w:szCs w:val="20"/>
                <w:color w:val="auto"/>
              </w:rPr>
            </w:pPr>
            <w:r>
              <w:rPr>
                <w:rFonts w:ascii="Arial" w:cs="Arial" w:eastAsia="Arial" w:hAnsi="Arial"/>
                <w:sz w:val="18"/>
                <w:szCs w:val="18"/>
                <w:b w:val="1"/>
                <w:bCs w:val="1"/>
                <w:color w:val="auto"/>
              </w:rPr>
              <w:t>Region and State</w:t>
            </w:r>
          </w:p>
        </w:tc>
        <w:tc>
          <w:tcPr>
            <w:tcW w:w="280" w:type="dxa"/>
            <w:vAlign w:val="bottom"/>
          </w:tcPr>
          <w:p>
            <w:pPr>
              <w:spacing w:after="0"/>
              <w:rPr>
                <w:sz w:val="20"/>
                <w:szCs w:val="20"/>
                <w:color w:val="auto"/>
              </w:rPr>
            </w:pPr>
          </w:p>
        </w:tc>
        <w:tc>
          <w:tcPr>
            <w:tcW w:w="1720" w:type="dxa"/>
            <w:vAlign w:val="bottom"/>
            <w:gridSpan w:val="4"/>
          </w:tcPr>
          <w:p>
            <w:pPr>
              <w:ind w:left="460"/>
              <w:spacing w:after="0"/>
              <w:rPr>
                <w:sz w:val="20"/>
                <w:szCs w:val="20"/>
                <w:color w:val="auto"/>
              </w:rPr>
            </w:pPr>
            <w:r>
              <w:rPr>
                <w:rFonts w:ascii="Arial" w:cs="Arial" w:eastAsia="Arial" w:hAnsi="Arial"/>
                <w:sz w:val="18"/>
                <w:szCs w:val="18"/>
                <w:b w:val="1"/>
                <w:bCs w:val="1"/>
                <w:color w:val="auto"/>
              </w:rPr>
              <w:t>Properties</w:t>
            </w:r>
          </w:p>
        </w:tc>
        <w:tc>
          <w:tcPr>
            <w:tcW w:w="280" w:type="dxa"/>
            <w:vAlign w:val="bottom"/>
          </w:tcPr>
          <w:p>
            <w:pPr>
              <w:spacing w:after="0"/>
              <w:rPr>
                <w:sz w:val="20"/>
                <w:szCs w:val="20"/>
                <w:color w:val="auto"/>
              </w:rPr>
            </w:pPr>
          </w:p>
        </w:tc>
        <w:tc>
          <w:tcPr>
            <w:tcW w:w="2400" w:type="dxa"/>
            <w:vAlign w:val="bottom"/>
            <w:gridSpan w:val="3"/>
          </w:tcPr>
          <w:p>
            <w:pPr>
              <w:ind w:left="400"/>
              <w:spacing w:after="0"/>
              <w:rPr>
                <w:sz w:val="20"/>
                <w:szCs w:val="20"/>
                <w:color w:val="auto"/>
              </w:rPr>
            </w:pPr>
            <w:r>
              <w:rPr>
                <w:rFonts w:ascii="Arial" w:cs="Arial" w:eastAsia="Arial" w:hAnsi="Arial"/>
                <w:sz w:val="18"/>
                <w:szCs w:val="18"/>
                <w:b w:val="1"/>
                <w:bCs w:val="1"/>
                <w:color w:val="auto"/>
              </w:rPr>
              <w:t>Gross Leasable Area</w:t>
            </w:r>
          </w:p>
        </w:tc>
        <w:tc>
          <w:tcPr>
            <w:tcW w:w="280" w:type="dxa"/>
            <w:vAlign w:val="bottom"/>
          </w:tcPr>
          <w:p>
            <w:pPr>
              <w:spacing w:after="0"/>
              <w:rPr>
                <w:sz w:val="20"/>
                <w:szCs w:val="20"/>
                <w:color w:val="auto"/>
              </w:rPr>
            </w:pPr>
          </w:p>
        </w:tc>
        <w:tc>
          <w:tcPr>
            <w:tcW w:w="2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9"/>
              </w:rPr>
              <w:t>Gross Leasable Area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Northeast</w:t>
            </w: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8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Connecticut</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384,000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Illinois</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767,000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Massachusetts</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565,000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Michigan</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218,000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New Jersey</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2,488,000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New York</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w:t>
            </w: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996,000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Pennsylvania</w:t>
            </w:r>
          </w:p>
        </w:tc>
        <w:tc>
          <w:tcPr>
            <w:tcW w:w="1020" w:type="dxa"/>
            <w:vAlign w:val="bottom"/>
            <w:gridSpan w:val="2"/>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2,268,000</w:t>
            </w:r>
          </w:p>
        </w:tc>
        <w:tc>
          <w:tcPr>
            <w:tcW w:w="8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jc w:val="right"/>
              <w:ind w:right="3290"/>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EEEEEE"/>
            </w:tcBorders>
            <w:gridSpan w:val="2"/>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7,686,000</w:t>
            </w:r>
          </w:p>
        </w:tc>
        <w:tc>
          <w:tcPr>
            <w:tcW w:w="800" w:type="dxa"/>
            <w:vAlign w:val="bottom"/>
            <w:tcBorders>
              <w:left w:val="single" w:sz="8" w:color="EEEEEE"/>
            </w:tcBorders>
            <w:shd w:val="clear" w:color="auto" w:fill="EEEEEE"/>
          </w:tcPr>
          <w:p>
            <w:pPr>
              <w:spacing w:after="0"/>
              <w:rPr>
                <w:sz w:val="18"/>
                <w:szCs w:val="18"/>
                <w:color w:val="auto"/>
              </w:rPr>
            </w:pPr>
          </w:p>
        </w:tc>
        <w:tc>
          <w:tcPr>
            <w:tcW w:w="1100" w:type="dxa"/>
            <w:vAlign w:val="bottom"/>
            <w:tcBorders>
              <w:right w:val="single" w:sz="8" w:color="EEEEEE"/>
            </w:tcBorders>
            <w:gridSpan w:val="2"/>
            <w:shd w:val="clear" w:color="auto" w:fill="EEEEEE"/>
          </w:tcPr>
          <w:p>
            <w:pPr>
              <w:spacing w:after="0"/>
              <w:rPr>
                <w:sz w:val="18"/>
                <w:szCs w:val="18"/>
                <w:color w:val="auto"/>
              </w:rPr>
            </w:pPr>
          </w:p>
        </w:tc>
        <w:tc>
          <w:tcPr>
            <w:tcW w:w="11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Mid-Atlantic</w:t>
            </w: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District of Columbia</w:t>
            </w:r>
          </w:p>
        </w:tc>
        <w:tc>
          <w:tcPr>
            <w:tcW w:w="130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w:t>
            </w: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Florida</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28,000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Maryland</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3,174,000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North Carolina</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159,000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Virginia</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3,279,000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jc w:val="right"/>
              <w:ind w:right="3290"/>
              <w:spacing w:after="0"/>
              <w:rPr>
                <w:sz w:val="20"/>
                <w:szCs w:val="20"/>
                <w:color w:val="auto"/>
              </w:rPr>
            </w:pPr>
            <w:r>
              <w:rPr>
                <w:rFonts w:ascii="Arial" w:cs="Arial" w:eastAsia="Arial" w:hAnsi="Arial"/>
                <w:sz w:val="18"/>
                <w:szCs w:val="18"/>
                <w:color w:val="auto"/>
              </w:rPr>
              <w:t>Subtotal</w:t>
            </w:r>
          </w:p>
        </w:tc>
        <w:tc>
          <w:tcPr>
            <w:tcW w:w="1020" w:type="dxa"/>
            <w:vAlign w:val="bottom"/>
            <w:gridSpan w:val="2"/>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vMerge w:val="continue"/>
          </w:tcPr>
          <w:p>
            <w:pPr>
              <w:spacing w:after="0"/>
              <w:rPr>
                <w:sz w:val="20"/>
                <w:szCs w:val="20"/>
                <w:color w:val="auto"/>
              </w:rPr>
            </w:pPr>
          </w:p>
        </w:tc>
        <w:tc>
          <w:tcPr>
            <w:tcW w:w="102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6,809,000</w:t>
            </w:r>
          </w:p>
        </w:tc>
        <w:tc>
          <w:tcPr>
            <w:tcW w:w="80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West</w:t>
            </w: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shd w:val="clear" w:color="auto" w:fill="EEEEEE"/>
          </w:tcPr>
          <w:p>
            <w:pPr>
              <w:spacing w:after="0"/>
              <w:rPr>
                <w:sz w:val="18"/>
                <w:szCs w:val="18"/>
                <w:color w:val="auto"/>
              </w:rPr>
            </w:pPr>
          </w:p>
        </w:tc>
        <w:tc>
          <w:tcPr>
            <w:tcW w:w="260" w:type="dxa"/>
            <w:vAlign w:val="bottom"/>
            <w:tcBorders>
              <w:top w:val="single" w:sz="8" w:color="808080"/>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top w:val="single" w:sz="8" w:color="808080"/>
            </w:tcBorders>
            <w:shd w:val="clear" w:color="auto" w:fill="EEEEEE"/>
          </w:tcPr>
          <w:p>
            <w:pPr>
              <w:spacing w:after="0"/>
              <w:rPr>
                <w:sz w:val="18"/>
                <w:szCs w:val="18"/>
                <w:color w:val="auto"/>
              </w:rPr>
            </w:pPr>
          </w:p>
        </w:tc>
        <w:tc>
          <w:tcPr>
            <w:tcW w:w="8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tcBorders>
              <w:right w:val="single" w:sz="8" w:color="EEEEEE"/>
            </w:tcBorders>
            <w:shd w:val="clear" w:color="auto" w:fill="EEEEEE"/>
          </w:tcPr>
          <w:p>
            <w:pPr>
              <w:spacing w:after="0"/>
              <w:rPr>
                <w:sz w:val="18"/>
                <w:szCs w:val="18"/>
                <w:color w:val="auto"/>
              </w:rPr>
            </w:pPr>
          </w:p>
        </w:tc>
        <w:tc>
          <w:tcPr>
            <w:tcW w:w="380" w:type="dxa"/>
            <w:vAlign w:val="bottom"/>
            <w:tcBorders>
              <w:top w:val="single" w:sz="8" w:color="808080"/>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Arizona</w:t>
            </w:r>
          </w:p>
        </w:tc>
        <w:tc>
          <w:tcPr>
            <w:tcW w:w="130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800" w:type="dxa"/>
            <w:vAlign w:val="bottom"/>
          </w:tcPr>
          <w:p>
            <w:pPr>
              <w:spacing w:after="0"/>
              <w:rPr>
                <w:sz w:val="18"/>
                <w:szCs w:val="18"/>
                <w:color w:val="auto"/>
              </w:rPr>
            </w:pPr>
          </w:p>
        </w:tc>
        <w:tc>
          <w:tcPr>
            <w:tcW w:w="2280" w:type="dxa"/>
            <w:vAlign w:val="bottom"/>
            <w:gridSpan w:val="4"/>
          </w:tcPr>
          <w:p>
            <w:pPr>
              <w:jc w:val="right"/>
              <w:ind w:right="6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California</w:t>
            </w: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1,529,000</w:t>
            </w:r>
          </w:p>
        </w:tc>
        <w:tc>
          <w:tcPr>
            <w:tcW w:w="800" w:type="dxa"/>
            <w:vAlign w:val="bottom"/>
            <w:tcBorders>
              <w:left w:val="single" w:sz="8" w:color="EEEEEE"/>
            </w:tcBorders>
            <w:shd w:val="clear" w:color="auto" w:fill="EEEEEE"/>
          </w:tcPr>
          <w:p>
            <w:pPr>
              <w:spacing w:after="0"/>
              <w:rPr>
                <w:sz w:val="18"/>
                <w:szCs w:val="18"/>
                <w:color w:val="auto"/>
              </w:rPr>
            </w:pPr>
          </w:p>
        </w:tc>
        <w:tc>
          <w:tcPr>
            <w:tcW w:w="228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ind w:left="260"/>
              <w:spacing w:after="0"/>
              <w:rPr>
                <w:sz w:val="20"/>
                <w:szCs w:val="20"/>
                <w:color w:val="auto"/>
              </w:rPr>
            </w:pPr>
            <w:r>
              <w:rPr>
                <w:rFonts w:ascii="Arial" w:cs="Arial" w:eastAsia="Arial" w:hAnsi="Arial"/>
                <w:sz w:val="18"/>
                <w:szCs w:val="18"/>
                <w:color w:val="auto"/>
              </w:rPr>
              <w:t>Texas</w:t>
            </w:r>
          </w:p>
        </w:tc>
        <w:tc>
          <w:tcPr>
            <w:tcW w:w="1020" w:type="dxa"/>
            <w:vAlign w:val="bottom"/>
            <w:gridSpan w:val="2"/>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170,000</w:t>
            </w:r>
          </w:p>
        </w:tc>
        <w:tc>
          <w:tcPr>
            <w:tcW w:w="8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shd w:val="clear" w:color="auto" w:fill="80808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80808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jc w:val="right"/>
              <w:ind w:right="3290"/>
              <w:spacing w:after="0"/>
              <w:rPr>
                <w:sz w:val="20"/>
                <w:szCs w:val="20"/>
                <w:color w:val="auto"/>
              </w:rPr>
            </w:pPr>
            <w:r>
              <w:rPr>
                <w:rFonts w:ascii="Arial" w:cs="Arial" w:eastAsia="Arial" w:hAnsi="Arial"/>
                <w:sz w:val="18"/>
                <w:szCs w:val="18"/>
                <w:color w:val="auto"/>
              </w:rPr>
              <w:t>Subtotal</w:t>
            </w:r>
          </w:p>
        </w:tc>
        <w:tc>
          <w:tcPr>
            <w:tcW w:w="1020" w:type="dxa"/>
            <w:vAlign w:val="bottom"/>
            <w:tcBorders>
              <w:right w:val="single" w:sz="8" w:color="EEEEEE"/>
            </w:tcBorders>
            <w:gridSpan w:val="2"/>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1,739,000</w:t>
            </w:r>
          </w:p>
        </w:tc>
        <w:tc>
          <w:tcPr>
            <w:tcW w:w="800" w:type="dxa"/>
            <w:vAlign w:val="bottom"/>
            <w:tcBorders>
              <w:left w:val="single" w:sz="8" w:color="EEEEEE"/>
            </w:tcBorders>
            <w:shd w:val="clear" w:color="auto" w:fill="EEEEEE"/>
          </w:tcPr>
          <w:p>
            <w:pPr>
              <w:spacing w:after="0"/>
              <w:rPr>
                <w:sz w:val="18"/>
                <w:szCs w:val="18"/>
                <w:color w:val="auto"/>
              </w:rPr>
            </w:pPr>
          </w:p>
        </w:tc>
        <w:tc>
          <w:tcPr>
            <w:tcW w:w="1100" w:type="dxa"/>
            <w:vAlign w:val="bottom"/>
            <w:tcBorders>
              <w:right w:val="single" w:sz="8" w:color="EEEEEE"/>
            </w:tcBorders>
            <w:gridSpan w:val="2"/>
            <w:shd w:val="clear" w:color="auto" w:fill="EEEEEE"/>
          </w:tcPr>
          <w:p>
            <w:pPr>
              <w:spacing w:after="0"/>
              <w:rPr>
                <w:sz w:val="18"/>
                <w:szCs w:val="18"/>
                <w:color w:val="auto"/>
              </w:rPr>
            </w:pPr>
          </w:p>
        </w:tc>
        <w:tc>
          <w:tcPr>
            <w:tcW w:w="11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jc w:val="right"/>
              <w:ind w:right="329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80" w:type="dxa"/>
            <w:vAlign w:val="bottom"/>
            <w:tcBorders>
              <w:bottom w:val="single" w:sz="8" w:color="808080"/>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1020" w:type="dxa"/>
            <w:vAlign w:val="bottom"/>
            <w:gridSpan w:val="2"/>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111</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16,234,000</w:t>
            </w:r>
          </w:p>
        </w:tc>
        <w:tc>
          <w:tcPr>
            <w:tcW w:w="80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20" w:type="dxa"/>
            <w:vAlign w:val="bottom"/>
            <w:tcBorders>
              <w:right w:val="single" w:sz="8" w:color="808080"/>
            </w:tcBorders>
            <w:gridSpan w:val="2"/>
          </w:tcPr>
          <w:p>
            <w:pPr>
              <w:spacing w:after="0"/>
              <w:rPr>
                <w:sz w:val="5"/>
                <w:szCs w:val="5"/>
                <w:color w:val="auto"/>
              </w:rPr>
            </w:pPr>
          </w:p>
        </w:tc>
        <w:tc>
          <w:tcPr>
            <w:tcW w:w="280" w:type="dxa"/>
            <w:vAlign w:val="bottom"/>
            <w:gridSpan w:val="2"/>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0" w:type="dxa"/>
            <w:vAlign w:val="bottom"/>
            <w:gridSpan w:val="5"/>
          </w:tcPr>
          <w:p>
            <w:pPr>
              <w:jc w:val="right"/>
              <w:ind w:right="60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202" w:lineRule="exact"/>
        <w:rPr>
          <w:sz w:val="20"/>
          <w:szCs w:val="20"/>
          <w:color w:val="auto"/>
        </w:rPr>
      </w:pPr>
    </w:p>
    <w:p>
      <w:pPr>
        <w:ind w:right="340" w:firstLine="225"/>
        <w:spacing w:after="0" w:line="312" w:lineRule="auto"/>
        <w:rPr>
          <w:sz w:val="20"/>
          <w:szCs w:val="20"/>
          <w:color w:val="auto"/>
        </w:rPr>
      </w:pPr>
      <w:r>
        <w:rPr>
          <w:rFonts w:ascii="Arial" w:cs="Arial" w:eastAsia="Arial" w:hAnsi="Arial"/>
          <w:sz w:val="16"/>
          <w:szCs w:val="16"/>
          <w:color w:val="auto"/>
        </w:rPr>
        <w:t>Our leases are classified as operating leases and typically are structured to include the monthly payment in advance of minimum rents with periodic increases, percentage rents based on our tenants’ gross sales volumes and reimbursement of a majority of on-site operating expenses and real estate taxes. These features in our leases reduce our exposure to higher costs caused by inflation and allow us to participate in improved tenant sales.</w:t>
      </w:r>
    </w:p>
    <w:p>
      <w:pPr>
        <w:spacing w:after="0" w:line="10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Leases on apartments are generally for a period of one year or less and, in 2003, represented approximately 2.6% of total revenues. Commercial property leases generally range from 3 to 10 years; however certain leases with anchor tenants may be longer. Many of the leases contain provisions allowing the tenant the option of extending the term of the lease at expiration at rates which often include fixed rent increases, consumer price index adjustments or other market rate adjustments from the prior base rent.</w:t>
      </w:r>
    </w:p>
    <w:p>
      <w:pPr>
        <w:spacing w:after="0" w:line="146" w:lineRule="exact"/>
        <w:rPr>
          <w:sz w:val="20"/>
          <w:szCs w:val="20"/>
          <w:color w:val="auto"/>
        </w:rPr>
      </w:pPr>
    </w:p>
    <w:p>
      <w:pPr>
        <w:ind w:right="320" w:firstLine="222"/>
        <w:spacing w:after="0" w:line="264"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2003 for each of the 10 years beginning with 2004, assuming that none of the tenants exercise their future renewal options. Annualized base rents reflect in-place contractual rents as of December 31, 2003.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Leased</w:t>
            </w:r>
          </w:p>
        </w:tc>
        <w:tc>
          <w:tcPr>
            <w:tcW w:w="34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Percentage of</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1"/>
              </w:rPr>
              <w:t>Annualized</w:t>
            </w:r>
          </w:p>
        </w:tc>
        <w:tc>
          <w:tcPr>
            <w:tcW w:w="340" w:type="dxa"/>
            <w:vAlign w:val="bottom"/>
          </w:tcPr>
          <w:p>
            <w:pPr>
              <w:spacing w:after="0"/>
              <w:rPr>
                <w:sz w:val="18"/>
                <w:szCs w:val="18"/>
                <w:color w:val="auto"/>
              </w:rPr>
            </w:pPr>
          </w:p>
        </w:tc>
        <w:tc>
          <w:tcPr>
            <w:tcW w:w="2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Percentage of Annualized</w:t>
            </w:r>
          </w:p>
        </w:tc>
      </w:t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Year of Lease</w:t>
            </w:r>
          </w:p>
        </w:tc>
        <w:tc>
          <w:tcPr>
            <w:tcW w:w="320" w:type="dxa"/>
            <w:vAlign w:val="bottom"/>
          </w:tcPr>
          <w:p>
            <w:pPr>
              <w:spacing w:after="0"/>
              <w:rPr>
                <w:sz w:val="18"/>
                <w:szCs w:val="18"/>
                <w:color w:val="auto"/>
              </w:rPr>
            </w:pPr>
          </w:p>
        </w:tc>
        <w:tc>
          <w:tcPr>
            <w:tcW w:w="2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Square Footage</w:t>
            </w:r>
          </w:p>
        </w:tc>
        <w:tc>
          <w:tcPr>
            <w:tcW w:w="34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Leased Square</w:t>
            </w:r>
          </w:p>
        </w:tc>
        <w:tc>
          <w:tcPr>
            <w:tcW w:w="340" w:type="dxa"/>
            <w:vAlign w:val="bottom"/>
          </w:tcPr>
          <w:p>
            <w:pPr>
              <w:spacing w:after="0"/>
              <w:rPr>
                <w:sz w:val="18"/>
                <w:szCs w:val="18"/>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Base Rent Represented</w:t>
            </w:r>
          </w:p>
        </w:tc>
        <w:tc>
          <w:tcPr>
            <w:tcW w:w="340" w:type="dxa"/>
            <w:vAlign w:val="bottom"/>
          </w:tcPr>
          <w:p>
            <w:pPr>
              <w:spacing w:after="0"/>
              <w:rPr>
                <w:sz w:val="18"/>
                <w:szCs w:val="18"/>
                <w:color w:val="auto"/>
              </w:rPr>
            </w:pPr>
          </w:p>
        </w:tc>
        <w:tc>
          <w:tcPr>
            <w:tcW w:w="2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Base Rent Represented by</w:t>
            </w:r>
          </w:p>
        </w:tc>
      </w:tr>
      <w:tr>
        <w:trPr>
          <w:trHeight w:val="234"/>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4"/>
              </w:rPr>
              <w:t>Expiring</w:t>
            </w:r>
          </w:p>
        </w:tc>
        <w:tc>
          <w:tcPr>
            <w:tcW w:w="34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Footage Expiring</w:t>
            </w:r>
          </w:p>
        </w:tc>
        <w:tc>
          <w:tcPr>
            <w:tcW w:w="340" w:type="dxa"/>
            <w:vAlign w:val="bottom"/>
          </w:tcPr>
          <w:p>
            <w:pPr>
              <w:spacing w:after="0"/>
              <w:rPr>
                <w:sz w:val="20"/>
                <w:szCs w:val="20"/>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by Expiring Leases</w:t>
            </w:r>
          </w:p>
        </w:tc>
        <w:tc>
          <w:tcPr>
            <w:tcW w:w="340" w:type="dxa"/>
            <w:vAlign w:val="bottom"/>
          </w:tcPr>
          <w:p>
            <w:pPr>
              <w:spacing w:after="0"/>
              <w:rPr>
                <w:sz w:val="20"/>
                <w:szCs w:val="20"/>
                <w:color w:val="auto"/>
              </w:rPr>
            </w:pPr>
          </w:p>
        </w:tc>
        <w:tc>
          <w:tcPr>
            <w:tcW w:w="2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Expiring Leases</w:t>
            </w:r>
          </w:p>
        </w:tc>
      </w:tr>
      <w:tr>
        <w:trPr>
          <w:trHeight w:val="81"/>
        </w:trPr>
        <w:tc>
          <w:tcPr>
            <w:tcW w:w="146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r>
      <w:tr>
        <w:trPr>
          <w:trHeight w:val="88"/>
        </w:trPr>
        <w:tc>
          <w:tcPr>
            <w:tcW w:w="1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r>
      <w:tr>
        <w:trPr>
          <w:trHeight w:val="216"/>
        </w:trPr>
        <w:tc>
          <w:tcPr>
            <w:tcW w:w="146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2004</w:t>
            </w:r>
          </w:p>
        </w:tc>
        <w:tc>
          <w:tcPr>
            <w:tcW w:w="1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1,155,000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8%</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16,748,000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6%</w:t>
            </w:r>
          </w:p>
        </w:tc>
      </w:tr>
      <w:tr>
        <w:trPr>
          <w:trHeight w:val="216"/>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2005</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1,402,000</w:t>
            </w:r>
          </w:p>
        </w:tc>
        <w:tc>
          <w:tcPr>
            <w:tcW w:w="780" w:type="dxa"/>
            <w:vAlign w:val="bottom"/>
          </w:tcPr>
          <w:p>
            <w:pPr>
              <w:spacing w:after="0"/>
              <w:rPr>
                <w:sz w:val="18"/>
                <w:szCs w:val="18"/>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26,602,000</w:t>
            </w:r>
          </w:p>
        </w:tc>
        <w:tc>
          <w:tcPr>
            <w:tcW w:w="84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10%</w:t>
            </w:r>
          </w:p>
        </w:tc>
      </w:tr>
      <w:tr>
        <w:trPr>
          <w:trHeight w:val="216"/>
        </w:trPr>
        <w:tc>
          <w:tcPr>
            <w:tcW w:w="146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2006</w:t>
            </w:r>
          </w:p>
        </w:tc>
        <w:tc>
          <w:tcPr>
            <w:tcW w:w="1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1,350,000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9%</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25,780,000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10%</w:t>
            </w:r>
          </w:p>
        </w:tc>
      </w:tr>
      <w:tr>
        <w:trPr>
          <w:trHeight w:val="216"/>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1,699,000</w:t>
            </w:r>
          </w:p>
        </w:tc>
        <w:tc>
          <w:tcPr>
            <w:tcW w:w="780" w:type="dxa"/>
            <w:vAlign w:val="bottom"/>
          </w:tcPr>
          <w:p>
            <w:pPr>
              <w:spacing w:after="0"/>
              <w:rPr>
                <w:sz w:val="18"/>
                <w:szCs w:val="18"/>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12%</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30,297,000</w:t>
            </w:r>
          </w:p>
        </w:tc>
        <w:tc>
          <w:tcPr>
            <w:tcW w:w="84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12%</w:t>
            </w:r>
          </w:p>
        </w:tc>
      </w:tr>
      <w:tr>
        <w:trPr>
          <w:trHeight w:val="216"/>
        </w:trPr>
        <w:tc>
          <w:tcPr>
            <w:tcW w:w="146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2008</w:t>
            </w:r>
          </w:p>
        </w:tc>
        <w:tc>
          <w:tcPr>
            <w:tcW w:w="1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1,605,000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11%</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28,330,000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11%</w:t>
            </w:r>
          </w:p>
        </w:tc>
      </w:tr>
      <w:tr>
        <w:trPr>
          <w:trHeight w:val="216"/>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2009</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1,399,000</w:t>
            </w:r>
          </w:p>
        </w:tc>
        <w:tc>
          <w:tcPr>
            <w:tcW w:w="780" w:type="dxa"/>
            <w:vAlign w:val="bottom"/>
          </w:tcPr>
          <w:p>
            <w:pPr>
              <w:spacing w:after="0"/>
              <w:rPr>
                <w:sz w:val="18"/>
                <w:szCs w:val="18"/>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23,845,000</w:t>
            </w:r>
          </w:p>
        </w:tc>
        <w:tc>
          <w:tcPr>
            <w:tcW w:w="84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9%</w:t>
            </w:r>
          </w:p>
        </w:tc>
      </w:tr>
      <w:tr>
        <w:trPr>
          <w:trHeight w:val="216"/>
        </w:trPr>
        <w:tc>
          <w:tcPr>
            <w:tcW w:w="146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2010</w:t>
            </w:r>
          </w:p>
        </w:tc>
        <w:tc>
          <w:tcPr>
            <w:tcW w:w="1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536,000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4%</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9,705,000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4%</w:t>
            </w:r>
          </w:p>
        </w:tc>
      </w:tr>
      <w:tr>
        <w:trPr>
          <w:trHeight w:val="216"/>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2011</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767,000</w:t>
            </w:r>
          </w:p>
        </w:tc>
        <w:tc>
          <w:tcPr>
            <w:tcW w:w="780" w:type="dxa"/>
            <w:vAlign w:val="bottom"/>
          </w:tcPr>
          <w:p>
            <w:pPr>
              <w:spacing w:after="0"/>
              <w:rPr>
                <w:sz w:val="18"/>
                <w:szCs w:val="18"/>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5%</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18,614,000</w:t>
            </w:r>
          </w:p>
        </w:tc>
        <w:tc>
          <w:tcPr>
            <w:tcW w:w="84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7%</w:t>
            </w:r>
          </w:p>
        </w:tc>
      </w:tr>
      <w:tr>
        <w:trPr>
          <w:trHeight w:val="216"/>
        </w:trPr>
        <w:tc>
          <w:tcPr>
            <w:tcW w:w="1460" w:type="dxa"/>
            <w:vAlign w:val="bottom"/>
            <w:shd w:val="clear" w:color="auto" w:fill="EEEEEE"/>
          </w:tcPr>
          <w:p>
            <w:pPr>
              <w:jc w:val="center"/>
              <w:ind w:left="170"/>
              <w:spacing w:after="0"/>
              <w:rPr>
                <w:sz w:val="20"/>
                <w:szCs w:val="20"/>
                <w:color w:val="auto"/>
              </w:rPr>
            </w:pPr>
            <w:r>
              <w:rPr>
                <w:rFonts w:ascii="Arial" w:cs="Arial" w:eastAsia="Arial" w:hAnsi="Arial"/>
                <w:sz w:val="18"/>
                <w:szCs w:val="18"/>
                <w:color w:val="auto"/>
                <w:w w:val="89"/>
              </w:rPr>
              <w:t>2012</w:t>
            </w:r>
          </w:p>
        </w:tc>
        <w:tc>
          <w:tcPr>
            <w:tcW w:w="1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940,000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6%</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19,765,000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8%</w:t>
            </w:r>
          </w:p>
        </w:tc>
      </w:tr>
      <w:tr>
        <w:trPr>
          <w:trHeight w:val="216"/>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2013</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846,000</w:t>
            </w:r>
          </w:p>
        </w:tc>
        <w:tc>
          <w:tcPr>
            <w:tcW w:w="780" w:type="dxa"/>
            <w:vAlign w:val="bottom"/>
          </w:tcPr>
          <w:p>
            <w:pPr>
              <w:spacing w:after="0"/>
              <w:rPr>
                <w:sz w:val="18"/>
                <w:szCs w:val="18"/>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6%</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16,060,000</w:t>
            </w:r>
          </w:p>
        </w:tc>
        <w:tc>
          <w:tcPr>
            <w:tcW w:w="84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6%</w:t>
            </w:r>
          </w:p>
        </w:tc>
      </w:tr>
      <w:tr>
        <w:trPr>
          <w:trHeight w:val="216"/>
        </w:trPr>
        <w:tc>
          <w:tcPr>
            <w:tcW w:w="1460" w:type="dxa"/>
            <w:vAlign w:val="bottom"/>
            <w:shd w:val="clear" w:color="auto" w:fill="EEEEEE"/>
          </w:tcPr>
          <w:p>
            <w:pPr>
              <w:jc w:val="center"/>
              <w:ind w:left="190"/>
              <w:spacing w:after="0"/>
              <w:rPr>
                <w:sz w:val="20"/>
                <w:szCs w:val="20"/>
                <w:color w:val="auto"/>
              </w:rPr>
            </w:pPr>
            <w:r>
              <w:rPr>
                <w:rFonts w:ascii="Arial" w:cs="Arial" w:eastAsia="Arial" w:hAnsi="Arial"/>
                <w:sz w:val="18"/>
                <w:szCs w:val="18"/>
                <w:color w:val="auto"/>
                <w:w w:val="89"/>
              </w:rPr>
              <w:t>Thereafter</w:t>
            </w:r>
          </w:p>
        </w:tc>
        <w:tc>
          <w:tcPr>
            <w:tcW w:w="980" w:type="dxa"/>
            <w:vAlign w:val="bottom"/>
            <w:gridSpan w:val="2"/>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2,899,000</w:t>
            </w:r>
          </w:p>
        </w:tc>
        <w:tc>
          <w:tcPr>
            <w:tcW w:w="780" w:type="dxa"/>
            <w:vAlign w:val="bottom"/>
            <w:tcBorders>
              <w:left w:val="single" w:sz="8" w:color="EEEEEE"/>
            </w:tcBorders>
            <w:shd w:val="clear" w:color="auto" w:fill="EEEEEE"/>
          </w:tcPr>
          <w:p>
            <w:pPr>
              <w:spacing w:after="0"/>
              <w:rPr>
                <w:sz w:val="18"/>
                <w:szCs w:val="18"/>
                <w:color w:val="auto"/>
              </w:rPr>
            </w:pPr>
          </w:p>
        </w:tc>
        <w:tc>
          <w:tcPr>
            <w:tcW w:w="2100" w:type="dxa"/>
            <w:vAlign w:val="bottom"/>
            <w:gridSpan w:val="4"/>
            <w:shd w:val="clear" w:color="auto" w:fill="EEEEEE"/>
          </w:tcPr>
          <w:p>
            <w:pPr>
              <w:jc w:val="right"/>
              <w:ind w:right="640"/>
              <w:spacing w:after="0"/>
              <w:rPr>
                <w:sz w:val="20"/>
                <w:szCs w:val="20"/>
                <w:color w:val="auto"/>
              </w:rPr>
            </w:pPr>
            <w:r>
              <w:rPr>
                <w:rFonts w:ascii="Arial" w:cs="Arial" w:eastAsia="Arial" w:hAnsi="Arial"/>
                <w:sz w:val="18"/>
                <w:szCs w:val="18"/>
                <w:color w:val="auto"/>
              </w:rPr>
              <w:t>19%</w:t>
            </w:r>
          </w:p>
        </w:tc>
        <w:tc>
          <w:tcPr>
            <w:tcW w:w="1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45,447,000</w:t>
            </w:r>
          </w:p>
        </w:tc>
        <w:tc>
          <w:tcPr>
            <w:tcW w:w="840" w:type="dxa"/>
            <w:vAlign w:val="bottom"/>
            <w:shd w:val="clear" w:color="auto" w:fill="EEEEEE"/>
          </w:tcPr>
          <w:p>
            <w:pPr>
              <w:spacing w:after="0"/>
              <w:rPr>
                <w:sz w:val="18"/>
                <w:szCs w:val="18"/>
                <w:color w:val="auto"/>
              </w:rPr>
            </w:pPr>
          </w:p>
        </w:tc>
        <w:tc>
          <w:tcPr>
            <w:tcW w:w="2480" w:type="dxa"/>
            <w:vAlign w:val="bottom"/>
            <w:gridSpan w:val="4"/>
            <w:shd w:val="clear" w:color="auto" w:fill="EEEEEE"/>
          </w:tcPr>
          <w:p>
            <w:pPr>
              <w:jc w:val="right"/>
              <w:ind w:right="840"/>
              <w:spacing w:after="0"/>
              <w:rPr>
                <w:sz w:val="20"/>
                <w:szCs w:val="20"/>
                <w:color w:val="auto"/>
              </w:rPr>
            </w:pPr>
            <w:r>
              <w:rPr>
                <w:rFonts w:ascii="Arial" w:cs="Arial" w:eastAsia="Arial" w:hAnsi="Arial"/>
                <w:sz w:val="18"/>
                <w:szCs w:val="18"/>
                <w:color w:val="auto"/>
              </w:rPr>
              <w:t>17%</w:t>
            </w:r>
          </w:p>
        </w:tc>
      </w:tr>
      <w:tr>
        <w:trPr>
          <w:trHeight w:val="20"/>
        </w:trPr>
        <w:tc>
          <w:tcPr>
            <w:tcW w:w="1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33"/>
        </w:trPr>
        <w:tc>
          <w:tcPr>
            <w:tcW w:w="1460" w:type="dxa"/>
            <w:vAlign w:val="bottom"/>
          </w:tcPr>
          <w:p>
            <w:pPr>
              <w:jc w:val="center"/>
              <w:ind w:left="170"/>
              <w:spacing w:after="0"/>
              <w:rPr>
                <w:sz w:val="20"/>
                <w:szCs w:val="20"/>
                <w:color w:val="auto"/>
              </w:rPr>
            </w:pPr>
            <w:r>
              <w:rPr>
                <w:rFonts w:ascii="Arial" w:cs="Arial" w:eastAsia="Arial" w:hAnsi="Arial"/>
                <w:sz w:val="18"/>
                <w:szCs w:val="18"/>
                <w:color w:val="auto"/>
                <w:w w:val="89"/>
              </w:rPr>
              <w:t>Total</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14,598,000</w:t>
            </w:r>
          </w:p>
        </w:tc>
        <w:tc>
          <w:tcPr>
            <w:tcW w:w="780" w:type="dxa"/>
            <w:vAlign w:val="bottom"/>
          </w:tcPr>
          <w:p>
            <w:pPr>
              <w:spacing w:after="0"/>
              <w:rPr>
                <w:sz w:val="20"/>
                <w:szCs w:val="20"/>
                <w:color w:val="auto"/>
              </w:rPr>
            </w:pPr>
          </w:p>
        </w:tc>
        <w:tc>
          <w:tcPr>
            <w:tcW w:w="2100" w:type="dxa"/>
            <w:vAlign w:val="bottom"/>
            <w:gridSpan w:val="4"/>
          </w:tcPr>
          <w:p>
            <w:pPr>
              <w:jc w:val="right"/>
              <w:ind w:right="640"/>
              <w:spacing w:after="0"/>
              <w:rPr>
                <w:sz w:val="20"/>
                <w:szCs w:val="20"/>
                <w:color w:val="auto"/>
              </w:rPr>
            </w:pPr>
            <w:r>
              <w:rPr>
                <w:rFonts w:ascii="Arial" w:cs="Arial" w:eastAsia="Arial" w:hAnsi="Arial"/>
                <w:sz w:val="18"/>
                <w:szCs w:val="18"/>
                <w:color w:val="auto"/>
              </w:rPr>
              <w:t>100%</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261,193,000</w:t>
            </w:r>
          </w:p>
        </w:tc>
        <w:tc>
          <w:tcPr>
            <w:tcW w:w="840" w:type="dxa"/>
            <w:vAlign w:val="bottom"/>
          </w:tcPr>
          <w:p>
            <w:pPr>
              <w:spacing w:after="0"/>
              <w:rPr>
                <w:sz w:val="20"/>
                <w:szCs w:val="20"/>
                <w:color w:val="auto"/>
              </w:rPr>
            </w:pPr>
          </w:p>
        </w:tc>
        <w:tc>
          <w:tcPr>
            <w:tcW w:w="2480" w:type="dxa"/>
            <w:vAlign w:val="bottom"/>
            <w:gridSpan w:val="4"/>
          </w:tcPr>
          <w:p>
            <w:pPr>
              <w:jc w:val="right"/>
              <w:ind w:right="840"/>
              <w:spacing w:after="0"/>
              <w:rPr>
                <w:sz w:val="20"/>
                <w:szCs w:val="20"/>
                <w:color w:val="auto"/>
              </w:rPr>
            </w:pPr>
            <w:r>
              <w:rPr>
                <w:rFonts w:ascii="Arial" w:cs="Arial" w:eastAsia="Arial" w:hAnsi="Arial"/>
                <w:sz w:val="18"/>
                <w:szCs w:val="18"/>
                <w:color w:val="auto"/>
              </w:rPr>
              <w:t>100%</w:t>
            </w:r>
          </w:p>
        </w:tc>
      </w:tr>
      <w:tr>
        <w:trPr>
          <w:trHeight w:val="61"/>
        </w:trPr>
        <w:tc>
          <w:tcPr>
            <w:tcW w:w="1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78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r>
      <w:tr>
        <w:trPr>
          <w:trHeight w:val="415"/>
        </w:trPr>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1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Properties</w:t>
      </w:r>
    </w:p>
    <w:p>
      <w:pPr>
        <w:spacing w:after="0" w:line="202"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information concerning each retail and mixed-use property in which we own an equity interest or have a leasehold interest as of December 31, 2003. Except as otherwise noted, retail properties are 100% owned in fee by us.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NORTHEAST REGION</w:t>
            </w:r>
          </w:p>
        </w:tc>
        <w:tc>
          <w:tcPr>
            <w:tcW w:w="3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1360" w:type="dxa"/>
            <w:vAlign w:val="bottom"/>
          </w:tcPr>
          <w:p>
            <w:pPr>
              <w:ind w:left="4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86"/>
        </w:trPr>
        <w:tc>
          <w:tcPr>
            <w:tcW w:w="432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3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3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320" w:type="dxa"/>
            <w:vAlign w:val="bottom"/>
          </w:tcPr>
          <w:p>
            <w:pPr>
              <w:spacing w:after="0"/>
              <w:rPr>
                <w:sz w:val="16"/>
                <w:szCs w:val="16"/>
                <w:color w:val="auto"/>
              </w:rPr>
            </w:pP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20" w:type="dxa"/>
            <w:vAlign w:val="bottom"/>
          </w:tcPr>
          <w:p>
            <w:pPr>
              <w:spacing w:after="0"/>
              <w:rPr>
                <w:sz w:val="16"/>
                <w:szCs w:val="16"/>
                <w:color w:val="auto"/>
              </w:rPr>
            </w:pPr>
          </w:p>
        </w:tc>
        <w:tc>
          <w:tcPr>
            <w:tcW w:w="1360" w:type="dxa"/>
            <w:vAlign w:val="bottom"/>
          </w:tcPr>
          <w:p>
            <w:pPr>
              <w:ind w:left="44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31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3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00" w:type="dxa"/>
            <w:vAlign w:val="bottom"/>
            <w:gridSpan w:val="2"/>
            <w:shd w:val="clear" w:color="auto" w:fill="EEEEEE"/>
          </w:tcPr>
          <w:p>
            <w:pPr>
              <w:spacing w:after="0" w:line="162" w:lineRule="exact"/>
              <w:rPr>
                <w:sz w:val="20"/>
                <w:szCs w:val="20"/>
                <w:color w:val="auto"/>
              </w:rPr>
            </w:pPr>
            <w:r>
              <w:rPr>
                <w:rFonts w:ascii="Arial" w:cs="Arial" w:eastAsia="Arial" w:hAnsi="Arial"/>
                <w:sz w:val="16"/>
                <w:szCs w:val="16"/>
                <w:color w:val="auto"/>
              </w:rPr>
              <w:t>Shopping Centers</w:t>
            </w:r>
          </w:p>
        </w:tc>
        <w:tc>
          <w:tcPr>
            <w:tcW w:w="34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10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02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36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auto"/>
            </w:tcBorders>
            <w:shd w:val="clear" w:color="auto" w:fill="EEEEEE"/>
          </w:tcPr>
          <w:p>
            <w:pPr>
              <w:spacing w:after="0" w:line="20" w:lineRule="exact"/>
              <w:rPr>
                <w:sz w:val="1"/>
                <w:szCs w:val="1"/>
                <w:color w:val="auto"/>
              </w:rPr>
            </w:pPr>
          </w:p>
        </w:tc>
        <w:tc>
          <w:tcPr>
            <w:tcW w:w="31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3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Allwood</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1958</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1988</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52,000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Clifton, NJ 07013 (3)</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Mandee’s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Andorra</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1953</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1988</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259,000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98%</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Acme Markets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Philadelphia, PA 19128 (4)</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Kohl’s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Staples</w:t>
            </w:r>
          </w:p>
        </w:tc>
        <w:tc>
          <w:tcPr>
            <w:tcW w:w="0" w:type="dxa"/>
            <w:vAlign w:val="bottom"/>
          </w:tcPr>
          <w:p>
            <w:pPr>
              <w:spacing w:after="0"/>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Bala Cynwyd</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1955</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1993</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281,000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Acme Markets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Bala Cynwyd, PA 19004</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Lord &amp; Taylor</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Blue Star</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1988</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407,000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97%</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Kohl’s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Watchung, NJ 07060 (3)</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Michael’s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Shop Rite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Marshall’s</w:t>
            </w:r>
          </w:p>
        </w:tc>
        <w:tc>
          <w:tcPr>
            <w:tcW w:w="0" w:type="dxa"/>
            <w:vAlign w:val="bottom"/>
          </w:tcPr>
          <w:p>
            <w:pPr>
              <w:spacing w:after="0"/>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Brick Plaza</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1958</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1989</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409,000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96%</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A&amp;P Supermarket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Brick Township, NJ 08723 (7)</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Barnes &amp; Noble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Loews Theatres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Sports Authority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Bristol</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1995</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280,000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94%</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260"/>
              <w:spacing w:after="0"/>
              <w:rPr>
                <w:sz w:val="20"/>
                <w:szCs w:val="20"/>
                <w:color w:val="auto"/>
              </w:rPr>
            </w:pPr>
            <w:r>
              <w:rPr>
                <w:rFonts w:ascii="Arial" w:cs="Arial" w:eastAsia="Arial" w:hAnsi="Arial"/>
                <w:sz w:val="16"/>
                <w:szCs w:val="16"/>
                <w:color w:val="auto"/>
              </w:rPr>
              <w:t>Bristol, CT 06010</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Brunswick</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1957</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1988</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303,000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99%</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A&amp;P Supermarket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North Brunswick, NJ 08902 (3)</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Clifton</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1988</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80,000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93%</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Acme Markets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Clifton, NJ 07013 (3)</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Drug Fair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1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Dollar Express</w:t>
            </w:r>
          </w:p>
        </w:tc>
        <w:tc>
          <w:tcPr>
            <w:tcW w:w="0" w:type="dxa"/>
            <w:vAlign w:val="bottom"/>
          </w:tcPr>
          <w:p>
            <w:pPr>
              <w:spacing w:after="0"/>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Crossroads</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1993</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173,000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97%</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Comp USA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Highland Park, IL 60035</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Golfsmith</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Guitar Center</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Dedham</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1993</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245,000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97%</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Pier 1 Imports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Dedham, MA 02026</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w w:val="90"/>
              </w:rPr>
              <w:t>Shaw’s Supermarket</w:t>
            </w:r>
          </w:p>
        </w:tc>
        <w:tc>
          <w:tcPr>
            <w:tcW w:w="0" w:type="dxa"/>
            <w:vAlign w:val="bottom"/>
          </w:tcPr>
          <w:p>
            <w:pPr>
              <w:spacing w:after="0"/>
              <w:rPr>
                <w:sz w:val="1"/>
                <w:szCs w:val="1"/>
                <w:color w:val="auto"/>
              </w:rPr>
            </w:pPr>
          </w:p>
        </w:tc>
      </w:tr>
      <w:tr>
        <w:trPr>
          <w:trHeight w:val="395"/>
        </w:trPr>
        <w:tc>
          <w:tcPr>
            <w:tcW w:w="4320" w:type="dxa"/>
            <w:vAlign w:val="bottom"/>
            <w:gridSpan w:val="3"/>
          </w:tcPr>
          <w:p>
            <w:pPr>
              <w:spacing w:after="0"/>
              <w:rPr>
                <w:sz w:val="20"/>
                <w:szCs w:val="20"/>
                <w:color w:val="auto"/>
              </w:rPr>
            </w:pPr>
            <w:r>
              <w:rPr>
                <w:rFonts w:ascii="Arial" w:cs="Arial" w:eastAsia="Arial" w:hAnsi="Arial"/>
                <w:sz w:val="16"/>
                <w:szCs w:val="16"/>
                <w:color w:val="auto"/>
              </w:rPr>
              <w:t>Ellisburg Circle</w:t>
            </w:r>
          </w:p>
        </w:tc>
        <w:tc>
          <w:tcPr>
            <w:tcW w:w="1340" w:type="dxa"/>
            <w:vAlign w:val="bottom"/>
            <w:gridSpan w:val="2"/>
          </w:tcPr>
          <w:p>
            <w:pPr>
              <w:jc w:val="center"/>
              <w:ind w:left="259"/>
              <w:spacing w:after="0"/>
              <w:rPr>
                <w:sz w:val="20"/>
                <w:szCs w:val="20"/>
                <w:color w:val="auto"/>
              </w:rPr>
            </w:pPr>
            <w:r>
              <w:rPr>
                <w:rFonts w:ascii="Arial" w:cs="Arial" w:eastAsia="Arial" w:hAnsi="Arial"/>
                <w:sz w:val="16"/>
                <w:szCs w:val="16"/>
                <w:color w:val="auto"/>
                <w:w w:val="89"/>
              </w:rPr>
              <w:t>1959</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1992</w:t>
            </w:r>
          </w:p>
        </w:tc>
        <w:tc>
          <w:tcPr>
            <w:tcW w:w="142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268,000</w:t>
            </w:r>
          </w:p>
        </w:tc>
        <w:tc>
          <w:tcPr>
            <w:tcW w:w="134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6"/>
                <w:szCs w:val="16"/>
                <w:color w:val="auto"/>
              </w:rPr>
              <w:t>Genuardi’s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tcPr>
          <w:p>
            <w:pPr>
              <w:ind w:left="120"/>
              <w:spacing w:after="0"/>
              <w:rPr>
                <w:sz w:val="20"/>
                <w:szCs w:val="20"/>
                <w:color w:val="auto"/>
              </w:rPr>
            </w:pPr>
            <w:r>
              <w:rPr>
                <w:rFonts w:ascii="Arial" w:cs="Arial" w:eastAsia="Arial" w:hAnsi="Arial"/>
                <w:sz w:val="16"/>
                <w:szCs w:val="16"/>
                <w:color w:val="auto"/>
              </w:rPr>
              <w:t>Cherry Hill, NJ 08034</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w w:val="92"/>
              </w:rPr>
              <w:t>Bed, Bath &amp; Beyond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6"/>
                <w:szCs w:val="16"/>
                <w:color w:val="auto"/>
                <w:w w:val="89"/>
              </w:rPr>
              <w:t>Ross Dress For Less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Feasterville</w:t>
            </w:r>
          </w:p>
        </w:tc>
        <w:tc>
          <w:tcPr>
            <w:tcW w:w="1340" w:type="dxa"/>
            <w:vAlign w:val="bottom"/>
            <w:gridSpan w:val="2"/>
            <w:shd w:val="clear" w:color="auto" w:fill="EEEEEE"/>
          </w:tcPr>
          <w:p>
            <w:pPr>
              <w:jc w:val="center"/>
              <w:ind w:left="259"/>
              <w:spacing w:after="0"/>
              <w:rPr>
                <w:sz w:val="20"/>
                <w:szCs w:val="20"/>
                <w:color w:val="auto"/>
              </w:rPr>
            </w:pPr>
            <w:r>
              <w:rPr>
                <w:rFonts w:ascii="Arial" w:cs="Arial" w:eastAsia="Arial" w:hAnsi="Arial"/>
                <w:sz w:val="16"/>
                <w:szCs w:val="16"/>
                <w:color w:val="auto"/>
                <w:w w:val="89"/>
              </w:rPr>
              <w:t>1958</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1980</w:t>
            </w:r>
          </w:p>
        </w:tc>
        <w:tc>
          <w:tcPr>
            <w:tcW w:w="14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6"/>
              </w:rPr>
              <w:t>111,000</w:t>
            </w:r>
          </w:p>
        </w:tc>
        <w:tc>
          <w:tcPr>
            <w:tcW w:w="134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Genuardi’s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0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Feasterville, PA 19047</w:t>
            </w:r>
          </w:p>
        </w:tc>
        <w:tc>
          <w:tcPr>
            <w:tcW w:w="3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6"/>
                <w:szCs w:val="16"/>
                <w:color w:val="auto"/>
              </w:rPr>
              <w:t>OfficeMax</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NORTHEAST REGION, Cont.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0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86"/>
        </w:trPr>
        <w:tc>
          <w:tcPr>
            <w:tcW w:w="4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3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30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00" w:type="dxa"/>
            <w:vAlign w:val="bottom"/>
          </w:tcPr>
          <w:p>
            <w:pPr>
              <w:spacing w:after="0"/>
              <w:rPr>
                <w:sz w:val="16"/>
                <w:szCs w:val="16"/>
                <w:color w:val="auto"/>
              </w:rPr>
            </w:pPr>
          </w:p>
        </w:tc>
        <w:tc>
          <w:tcPr>
            <w:tcW w:w="1720" w:type="dxa"/>
            <w:vAlign w:val="bottom"/>
          </w:tcPr>
          <w:p>
            <w:pPr>
              <w:ind w:left="6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1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Finley Square</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1974</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1995</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313,000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Downers Grove, IL 60515</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Sports Authority</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Flourtown</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1957</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1980</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187,000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54%</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Genuardi’s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Flourtown, PA 19031</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Fresh Meadows</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1949</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1997</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408,000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92%</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Cineplex Odeon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Queens, NY 11365</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Value City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Kohl’s</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Garden Market</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1958</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1994</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140,000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Dominick’s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Western Springs, IL 60558</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Walgreens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Gratiot Plaza</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1964</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1973</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218,000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86%</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Roseville, MI 48066</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Best Buy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Farmer Jack’s</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Greenlawn Plaza</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1975</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2000</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92,000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Waldbaum’s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Greenlawn, NY 11740</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Hamilton</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1961</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1988</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190,000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Shop Rite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Hamilton, NJ 08690 (3)</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Steven’s Furniture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A.C. Moore</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Hauppauge</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1963</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1998</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131,000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Shop Rite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Hauppauge, NY 11788</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Huntington</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1962</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1988</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279,000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90%</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Barnes &amp; Noble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Huntington, NY 11746 (3)</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Bed, Bath and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Buy Buy Baby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Lancaster</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1958</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1980</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107,000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97%</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Lancaster, PA 17601 (3)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Langhorne Square</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1966</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1985</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216,000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87%</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Marshalls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Levittown, PA 19056</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Redner’s Market</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Lawrence Park</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1972</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1980</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345,000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94%</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Acme Markets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Broomall, PA 19008</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CHI</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Mercer Mall</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1975</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2003</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360,000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86%</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Shop Rite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Lawrenceville, NJ 08648 (3)</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w w:val="88"/>
              </w:rPr>
              <w:t>Designer Shoe Warehouse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NORTHEAST REGION, Cont.</w:t>
            </w:r>
          </w:p>
        </w:tc>
        <w:tc>
          <w:tcPr>
            <w:tcW w:w="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c>
          <w:tcPr>
            <w:tcW w:w="1600" w:type="dxa"/>
            <w:vAlign w:val="bottom"/>
          </w:tcPr>
          <w:p>
            <w:pPr>
              <w:ind w:left="5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86"/>
        </w:trPr>
        <w:tc>
          <w:tcPr>
            <w:tcW w:w="42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3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3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300" w:type="dxa"/>
            <w:vAlign w:val="bottom"/>
          </w:tcPr>
          <w:p>
            <w:pPr>
              <w:spacing w:after="0"/>
              <w:rPr>
                <w:sz w:val="16"/>
                <w:szCs w:val="16"/>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00" w:type="dxa"/>
            <w:vAlign w:val="bottom"/>
          </w:tcPr>
          <w:p>
            <w:pPr>
              <w:spacing w:after="0"/>
              <w:rPr>
                <w:sz w:val="16"/>
                <w:szCs w:val="16"/>
                <w:color w:val="auto"/>
              </w:rPr>
            </w:pPr>
          </w:p>
        </w:tc>
        <w:tc>
          <w:tcPr>
            <w:tcW w:w="1600" w:type="dxa"/>
            <w:vAlign w:val="bottom"/>
          </w:tcPr>
          <w:p>
            <w:pPr>
              <w:ind w:left="56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26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500" w:type="dxa"/>
            <w:vAlign w:val="bottom"/>
          </w:tcPr>
          <w:p>
            <w:pPr>
              <w:spacing w:after="0"/>
              <w:rPr>
                <w:sz w:val="5"/>
                <w:szCs w:val="5"/>
                <w:color w:val="auto"/>
              </w:rPr>
            </w:pPr>
          </w:p>
        </w:tc>
        <w:tc>
          <w:tcPr>
            <w:tcW w:w="2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Northeast</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1959</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1983</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292,000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96%</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w w:val="93"/>
              </w:rPr>
              <w:t>Burlington Coat Factory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Philadelphia, PA 19114</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Marshalls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6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Tower Records</w:t>
            </w:r>
          </w:p>
        </w:tc>
        <w:tc>
          <w:tcPr>
            <w:tcW w:w="0" w:type="dxa"/>
            <w:vAlign w:val="bottom"/>
          </w:tcPr>
          <w:p>
            <w:pPr>
              <w:spacing w:after="0"/>
              <w:rPr>
                <w:sz w:val="1"/>
                <w:szCs w:val="1"/>
                <w:color w:val="auto"/>
              </w:rPr>
            </w:pPr>
          </w:p>
        </w:tc>
      </w:tr>
      <w:tr>
        <w:trPr>
          <w:trHeight w:val="395"/>
        </w:trPr>
        <w:tc>
          <w:tcPr>
            <w:tcW w:w="4200" w:type="dxa"/>
            <w:vAlign w:val="bottom"/>
            <w:gridSpan w:val="3"/>
          </w:tcPr>
          <w:p>
            <w:pPr>
              <w:spacing w:after="0"/>
              <w:rPr>
                <w:sz w:val="20"/>
                <w:szCs w:val="20"/>
                <w:color w:val="auto"/>
              </w:rPr>
            </w:pPr>
            <w:r>
              <w:rPr>
                <w:rFonts w:ascii="Arial" w:cs="Arial" w:eastAsia="Arial" w:hAnsi="Arial"/>
                <w:sz w:val="16"/>
                <w:szCs w:val="16"/>
                <w:color w:val="auto"/>
              </w:rPr>
              <w:t>North Lake Commons</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1989</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1994</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129,000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93%</w:t>
            </w:r>
          </w:p>
        </w:tc>
        <w:tc>
          <w:tcPr>
            <w:tcW w:w="3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Dominick’s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Lake Zurich, IL 60047</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Queen Anne Plaza</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1967</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1994</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149,000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Norwell, MA 02061</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Victory Markets</w:t>
            </w:r>
          </w:p>
        </w:tc>
        <w:tc>
          <w:tcPr>
            <w:tcW w:w="0" w:type="dxa"/>
            <w:vAlign w:val="bottom"/>
          </w:tcPr>
          <w:p>
            <w:pPr>
              <w:spacing w:after="0"/>
              <w:rPr>
                <w:sz w:val="1"/>
                <w:szCs w:val="1"/>
                <w:color w:val="auto"/>
              </w:rPr>
            </w:pPr>
          </w:p>
        </w:tc>
      </w:tr>
      <w:tr>
        <w:trPr>
          <w:trHeight w:val="395"/>
        </w:trPr>
        <w:tc>
          <w:tcPr>
            <w:tcW w:w="4200" w:type="dxa"/>
            <w:vAlign w:val="bottom"/>
            <w:gridSpan w:val="3"/>
          </w:tcPr>
          <w:p>
            <w:pPr>
              <w:spacing w:after="0"/>
              <w:rPr>
                <w:sz w:val="20"/>
                <w:szCs w:val="20"/>
                <w:color w:val="auto"/>
              </w:rPr>
            </w:pPr>
            <w:r>
              <w:rPr>
                <w:rFonts w:ascii="Arial" w:cs="Arial" w:eastAsia="Arial" w:hAnsi="Arial"/>
                <w:sz w:val="16"/>
                <w:szCs w:val="16"/>
                <w:color w:val="auto"/>
              </w:rPr>
              <w:t>Rutgers</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1973</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1988</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217,000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Franklin, N.J. 08873 (3)</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Kmart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Saugus Plaza</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1976</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1996</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171,000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Kmart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Saugus, MA 01906</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395"/>
        </w:trPr>
        <w:tc>
          <w:tcPr>
            <w:tcW w:w="4200" w:type="dxa"/>
            <w:vAlign w:val="bottom"/>
            <w:gridSpan w:val="3"/>
          </w:tcPr>
          <w:p>
            <w:pPr>
              <w:spacing w:after="0"/>
              <w:rPr>
                <w:sz w:val="20"/>
                <w:szCs w:val="20"/>
                <w:color w:val="auto"/>
              </w:rPr>
            </w:pPr>
            <w:r>
              <w:rPr>
                <w:rFonts w:ascii="Arial" w:cs="Arial" w:eastAsia="Arial" w:hAnsi="Arial"/>
                <w:sz w:val="16"/>
                <w:szCs w:val="16"/>
                <w:color w:val="auto"/>
              </w:rPr>
              <w:t>Troy</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1966</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1980</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202,000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Comp USA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Parsippany-Troy, NJ 07054</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Pathmark</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A. C. Moore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8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Willow Grove</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1953</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1984</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215,000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Barnes and Noble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Willow Grove, PA 19090</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Marshalls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26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395"/>
        </w:trPr>
        <w:tc>
          <w:tcPr>
            <w:tcW w:w="4200" w:type="dxa"/>
            <w:vAlign w:val="bottom"/>
            <w:gridSpan w:val="3"/>
          </w:tcPr>
          <w:p>
            <w:pPr>
              <w:spacing w:after="0"/>
              <w:rPr>
                <w:sz w:val="20"/>
                <w:szCs w:val="20"/>
                <w:color w:val="auto"/>
              </w:rPr>
            </w:pPr>
            <w:r>
              <w:rPr>
                <w:rFonts w:ascii="Arial" w:cs="Arial" w:eastAsia="Arial" w:hAnsi="Arial"/>
                <w:sz w:val="16"/>
                <w:szCs w:val="16"/>
                <w:color w:val="auto"/>
              </w:rPr>
              <w:t>Wynnewood</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1948</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1996</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255,000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6"/>
                <w:szCs w:val="16"/>
                <w:color w:val="auto"/>
                <w:w w:val="98"/>
              </w:rPr>
              <w:t>Bed, Bath and Beyond</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180" w:type="dxa"/>
            <w:vAlign w:val="bottom"/>
            <w:gridSpan w:val="2"/>
            <w:vMerge w:val="restart"/>
          </w:tcPr>
          <w:p>
            <w:pPr>
              <w:ind w:left="120"/>
              <w:spacing w:after="0"/>
              <w:rPr>
                <w:sz w:val="20"/>
                <w:szCs w:val="20"/>
                <w:color w:val="auto"/>
              </w:rPr>
            </w:pPr>
            <w:r>
              <w:rPr>
                <w:rFonts w:ascii="Arial" w:cs="Arial" w:eastAsia="Arial" w:hAnsi="Arial"/>
                <w:sz w:val="16"/>
                <w:szCs w:val="16"/>
                <w:color w:val="auto"/>
              </w:rPr>
              <w:t>Wynnewood, PA 19096</w:t>
            </w: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vMerge w:val="restart"/>
          </w:tcPr>
          <w:p>
            <w:pPr>
              <w:spacing w:after="0"/>
              <w:rPr>
                <w:sz w:val="20"/>
                <w:szCs w:val="20"/>
                <w:color w:val="auto"/>
              </w:rPr>
            </w:pPr>
            <w:r>
              <w:rPr>
                <w:rFonts w:ascii="Arial" w:cs="Arial" w:eastAsia="Arial" w:hAnsi="Arial"/>
                <w:sz w:val="16"/>
                <w:szCs w:val="16"/>
                <w:color w:val="auto"/>
              </w:rPr>
              <w:t>Borders Books</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Genuardi’s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Old Navy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520"/>
              <w:spacing w:after="0"/>
              <w:rPr>
                <w:sz w:val="20"/>
                <w:szCs w:val="20"/>
                <w:color w:val="auto"/>
              </w:rPr>
            </w:pPr>
            <w:r>
              <w:rPr>
                <w:rFonts w:ascii="Arial" w:cs="Arial" w:eastAsia="Arial" w:hAnsi="Arial"/>
                <w:sz w:val="16"/>
                <w:szCs w:val="16"/>
                <w:color w:val="auto"/>
              </w:rPr>
              <w:t>Total Northeast Shopping Centers</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7,484,000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95%</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6"/>
                <w:szCs w:val="16"/>
                <w:color w:val="auto"/>
              </w:rPr>
              <w:t>Street Retail Properties</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Five buildings in CT</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1"/>
              </w:rPr>
              <w:t>1900 - 1991</w:t>
            </w:r>
          </w:p>
        </w:tc>
        <w:tc>
          <w:tcPr>
            <w:tcW w:w="132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1"/>
              </w:rPr>
              <w:t>1994 - 1996</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104,000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81%</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Sak Fifth Avenue</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gridSpan w:val="2"/>
          </w:tcPr>
          <w:p>
            <w:pPr>
              <w:ind w:left="120"/>
              <w:spacing w:after="0"/>
              <w:rPr>
                <w:sz w:val="20"/>
                <w:szCs w:val="20"/>
                <w:color w:val="auto"/>
              </w:rPr>
            </w:pPr>
            <w:r>
              <w:rPr>
                <w:rFonts w:ascii="Arial" w:cs="Arial" w:eastAsia="Arial" w:hAnsi="Arial"/>
                <w:sz w:val="16"/>
                <w:szCs w:val="16"/>
                <w:color w:val="auto"/>
              </w:rPr>
              <w:t>One building in IL</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1"/>
              </w:rPr>
              <w:t>1920 - 1927</w:t>
            </w:r>
          </w:p>
        </w:tc>
        <w:tc>
          <w:tcPr>
            <w:tcW w:w="132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1995</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12,000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The Gap</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Three buildings in NY</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1"/>
              </w:rPr>
              <w:t>1937 - 1987</w:t>
            </w:r>
          </w:p>
        </w:tc>
        <w:tc>
          <w:tcPr>
            <w:tcW w:w="132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1997</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86,000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20"/>
                <w:szCs w:val="20"/>
                <w:color w:val="auto"/>
              </w:rPr>
            </w:pPr>
            <w:r>
              <w:rPr>
                <w:rFonts w:ascii="Arial" w:cs="Arial" w:eastAsia="Arial" w:hAnsi="Arial"/>
                <w:sz w:val="16"/>
                <w:szCs w:val="16"/>
                <w:color w:val="auto"/>
              </w:rPr>
              <w:t>Midway Theatre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vMerge w:val="restart"/>
          </w:tcPr>
          <w:p>
            <w:pPr>
              <w:spacing w:after="0"/>
              <w:rPr>
                <w:sz w:val="20"/>
                <w:szCs w:val="20"/>
                <w:color w:val="auto"/>
              </w:rPr>
            </w:pPr>
            <w:r>
              <w:rPr>
                <w:rFonts w:ascii="Arial" w:cs="Arial" w:eastAsia="Arial" w:hAnsi="Arial"/>
                <w:sz w:val="16"/>
                <w:szCs w:val="16"/>
                <w:color w:val="auto"/>
              </w:rPr>
              <w:t>Duane Reade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The Gap</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180" w:type="dxa"/>
            <w:vAlign w:val="bottom"/>
            <w:gridSpan w:val="2"/>
          </w:tcPr>
          <w:p>
            <w:pPr>
              <w:ind w:left="520"/>
              <w:spacing w:after="0"/>
              <w:rPr>
                <w:sz w:val="20"/>
                <w:szCs w:val="20"/>
                <w:color w:val="auto"/>
              </w:rPr>
            </w:pPr>
            <w:r>
              <w:rPr>
                <w:rFonts w:ascii="Arial" w:cs="Arial" w:eastAsia="Arial" w:hAnsi="Arial"/>
                <w:sz w:val="16"/>
                <w:szCs w:val="16"/>
                <w:color w:val="auto"/>
              </w:rPr>
              <w:t>Total Northeast Street Retail Properties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202,000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90%</w:t>
            </w: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shd w:val="clear" w:color="auto" w:fill="EEEEEE"/>
          </w:tcPr>
          <w:p>
            <w:pPr>
              <w:ind w:left="520"/>
              <w:spacing w:after="0"/>
              <w:rPr>
                <w:sz w:val="20"/>
                <w:szCs w:val="20"/>
                <w:color w:val="auto"/>
              </w:rPr>
            </w:pPr>
            <w:r>
              <w:rPr>
                <w:rFonts w:ascii="Arial" w:cs="Arial" w:eastAsia="Arial" w:hAnsi="Arial"/>
                <w:sz w:val="16"/>
                <w:szCs w:val="16"/>
                <w:b w:val="1"/>
                <w:bCs w:val="1"/>
                <w:color w:val="auto"/>
              </w:rPr>
              <w:t>Total Northeast Region</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b w:val="1"/>
                <w:bCs w:val="1"/>
                <w:color w:val="auto"/>
                <w:w w:val="92"/>
              </w:rPr>
              <w:t>7,686,000</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b w:val="1"/>
                <w:bCs w:val="1"/>
                <w:color w:val="auto"/>
                <w:w w:val="99"/>
              </w:rPr>
              <w:t>95%</w:t>
            </w:r>
          </w:p>
        </w:tc>
        <w:tc>
          <w:tcPr>
            <w:tcW w:w="30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MID-ATLANTIC REGION</w:t>
            </w:r>
          </w:p>
        </w:tc>
        <w:tc>
          <w:tcPr>
            <w:tcW w:w="3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2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86"/>
        </w:trPr>
        <w:tc>
          <w:tcPr>
            <w:tcW w:w="41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2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3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32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Tenants</w:t>
            </w:r>
          </w:p>
        </w:tc>
        <w:tc>
          <w:tcPr>
            <w:tcW w:w="0" w:type="dxa"/>
            <w:vAlign w:val="bottom"/>
          </w:tcPr>
          <w:p>
            <w:pPr>
              <w:spacing w:after="0"/>
              <w:rPr>
                <w:sz w:val="1"/>
                <w:szCs w:val="1"/>
                <w:color w:val="auto"/>
              </w:rPr>
            </w:pPr>
          </w:p>
        </w:tc>
      </w:tr>
      <w:tr>
        <w:trPr>
          <w:trHeight w:val="66"/>
        </w:trPr>
        <w:tc>
          <w:tcPr>
            <w:tcW w:w="1160" w:type="dxa"/>
            <w:vAlign w:val="bottom"/>
            <w:tcBorders>
              <w:bottom w:val="single" w:sz="8" w:color="808080"/>
            </w:tcBorders>
            <w:gridSpan w:val="2"/>
          </w:tcPr>
          <w:p>
            <w:pPr>
              <w:spacing w:after="0"/>
              <w:rPr>
                <w:sz w:val="5"/>
                <w:szCs w:val="5"/>
                <w:color w:val="auto"/>
              </w:rPr>
            </w:pPr>
          </w:p>
        </w:tc>
        <w:tc>
          <w:tcPr>
            <w:tcW w:w="30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6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160" w:type="dxa"/>
            <w:vAlign w:val="bottom"/>
            <w:gridSpan w:val="3"/>
          </w:tcPr>
          <w:p>
            <w:pPr>
              <w:spacing w:after="0"/>
              <w:rPr>
                <w:sz w:val="20"/>
                <w:szCs w:val="20"/>
                <w:color w:val="auto"/>
              </w:rPr>
            </w:pPr>
            <w:r>
              <w:rPr>
                <w:rFonts w:ascii="Arial" w:cs="Arial" w:eastAsia="Arial" w:hAnsi="Arial"/>
                <w:sz w:val="16"/>
                <w:szCs w:val="16"/>
                <w:color w:val="auto"/>
              </w:rPr>
              <w:t>Shopping Centers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Barracks Road</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1958</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1985</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483,000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99%</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Charlottesville, VA 22905</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Harris Teeter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Kroger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Barnes &amp; Noble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Old Navy</w:t>
            </w: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Congressional Plaza</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1965</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1965</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339,000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98%</w:t>
            </w: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Buy Buy Baby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Rockville, MD 20852 (5)</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Whole Foods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Tower Records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Container Store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Congressional Plaza Residential</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2003</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1965</w:t>
            </w: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92"/>
              </w:rPr>
              <w:t>146 units</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93%</w:t>
            </w:r>
          </w:p>
        </w:tc>
        <w:tc>
          <w:tcPr>
            <w:tcW w:w="32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Rockville, MD 20852 (5)</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Courthouse Center</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1970</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1997</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37,000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Rockville, MD 20852 (6)</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Eastgate</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1963</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1986</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159,000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90%</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Southern Season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Chapel Hill, NC 27514</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Stein Mart</w:t>
            </w: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Falls Plaza</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1962</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1967</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73,000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Falls Church, VA 22046</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Falls Plaza — East</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1960</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1972</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71,000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2"/>
              </w:rPr>
              <w:t>100%</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Falls Church, VA 22046</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Staples</w:t>
            </w: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Federal Plaza</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1970</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1989</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247,000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98%</w:t>
            </w: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Comp USA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Rockville, MD 20852</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Ross Dress For Less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Gaithersburg Square</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1966</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1993</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215,000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90%</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Gaithersburg, MD 20878</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w w:val="91"/>
              </w:rPr>
              <w:t>Borders Books and Music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Ross Dress For Less</w:t>
            </w: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Governor Plaza</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1963</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1985</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269,000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100%</w:t>
            </w: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Office Depot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Glen Burnie, MD 21961 (4)</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Syms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Comp USA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Bally’s Total Fitness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Idylwood Plaza</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1991</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1994</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73,000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97%</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Whole Foods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Falls Church, VA 22030</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160" w:type="dxa"/>
            <w:vAlign w:val="bottom"/>
            <w:gridSpan w:val="3"/>
          </w:tcPr>
          <w:p>
            <w:pPr>
              <w:spacing w:after="0"/>
              <w:rPr>
                <w:sz w:val="20"/>
                <w:szCs w:val="20"/>
                <w:color w:val="auto"/>
              </w:rPr>
            </w:pPr>
            <w:r>
              <w:rPr>
                <w:rFonts w:ascii="Arial" w:cs="Arial" w:eastAsia="Arial" w:hAnsi="Arial"/>
                <w:sz w:val="16"/>
                <w:szCs w:val="16"/>
                <w:color w:val="auto"/>
              </w:rPr>
              <w:t>Laurel Centre</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1956</w:t>
            </w:r>
          </w:p>
        </w:tc>
        <w:tc>
          <w:tcPr>
            <w:tcW w:w="126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1986</w:t>
            </w:r>
          </w:p>
        </w:tc>
        <w:tc>
          <w:tcPr>
            <w:tcW w:w="1400" w:type="dxa"/>
            <w:vAlign w:val="bottom"/>
            <w:gridSpan w:val="2"/>
          </w:tcPr>
          <w:p>
            <w:pPr>
              <w:jc w:val="center"/>
              <w:ind w:left="239"/>
              <w:spacing w:after="0"/>
              <w:rPr>
                <w:sz w:val="20"/>
                <w:szCs w:val="20"/>
                <w:color w:val="auto"/>
              </w:rPr>
            </w:pPr>
            <w:r>
              <w:rPr>
                <w:rFonts w:ascii="Arial" w:cs="Arial" w:eastAsia="Arial" w:hAnsi="Arial"/>
                <w:sz w:val="16"/>
                <w:szCs w:val="16"/>
                <w:color w:val="auto"/>
                <w:w w:val="89"/>
              </w:rPr>
              <w:t>384,000</w:t>
            </w:r>
          </w:p>
        </w:tc>
        <w:tc>
          <w:tcPr>
            <w:tcW w:w="1300" w:type="dxa"/>
            <w:vAlign w:val="bottom"/>
            <w:gridSpan w:val="2"/>
          </w:tcPr>
          <w:p>
            <w:pPr>
              <w:jc w:val="center"/>
              <w:ind w:left="239"/>
              <w:spacing w:after="0"/>
              <w:rPr>
                <w:sz w:val="20"/>
                <w:szCs w:val="20"/>
                <w:color w:val="auto"/>
              </w:rPr>
            </w:pPr>
            <w:r>
              <w:rPr>
                <w:rFonts w:ascii="Arial" w:cs="Arial" w:eastAsia="Arial" w:hAnsi="Arial"/>
                <w:sz w:val="16"/>
                <w:szCs w:val="16"/>
                <w:color w:val="auto"/>
                <w:w w:val="93"/>
              </w:rPr>
              <w:t>94%</w:t>
            </w: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tcPr>
          <w:p>
            <w:pPr>
              <w:ind w:left="120"/>
              <w:spacing w:after="0"/>
              <w:rPr>
                <w:sz w:val="20"/>
                <w:szCs w:val="20"/>
                <w:color w:val="auto"/>
              </w:rPr>
            </w:pPr>
            <w:r>
              <w:rPr>
                <w:rFonts w:ascii="Arial" w:cs="Arial" w:eastAsia="Arial" w:hAnsi="Arial"/>
                <w:sz w:val="16"/>
                <w:szCs w:val="16"/>
                <w:color w:val="auto"/>
              </w:rPr>
              <w:t>Laurel, MD 20707 (4)</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Marshalls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Leesburg Plaza</w:t>
            </w:r>
          </w:p>
        </w:tc>
        <w:tc>
          <w:tcPr>
            <w:tcW w:w="13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1967</w:t>
            </w:r>
          </w:p>
        </w:tc>
        <w:tc>
          <w:tcPr>
            <w:tcW w:w="126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1998</w:t>
            </w:r>
          </w:p>
        </w:tc>
        <w:tc>
          <w:tcPr>
            <w:tcW w:w="14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89"/>
              </w:rPr>
              <w:t>247,000</w:t>
            </w:r>
          </w:p>
        </w:tc>
        <w:tc>
          <w:tcPr>
            <w:tcW w:w="130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color w:val="auto"/>
                <w:w w:val="93"/>
              </w:rPr>
              <w:t>66%</w:t>
            </w: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Leesburg, VA 20176 (6)</w:t>
            </w:r>
          </w:p>
        </w:tc>
        <w:tc>
          <w:tcPr>
            <w:tcW w:w="3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0" w:type="dxa"/>
            <w:vAlign w:val="bottom"/>
            <w:gridSpan w:val="2"/>
            <w:shd w:val="clear" w:color="auto" w:fill="EEEEEE"/>
          </w:tcPr>
          <w:p>
            <w:pPr>
              <w:ind w:left="320"/>
              <w:spacing w:after="0"/>
              <w:rPr>
                <w:sz w:val="20"/>
                <w:szCs w:val="20"/>
                <w:color w:val="auto"/>
              </w:rPr>
            </w:pPr>
            <w:r>
              <w:rPr>
                <w:rFonts w:ascii="Arial" w:cs="Arial" w:eastAsia="Arial" w:hAnsi="Arial"/>
                <w:sz w:val="16"/>
                <w:szCs w:val="16"/>
                <w:color w:val="auto"/>
              </w:rPr>
              <w:t>Pier 1 Imports</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MID-ATLANTIC REGION, Cont.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0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86"/>
        </w:trPr>
        <w:tc>
          <w:tcPr>
            <w:tcW w:w="4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3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/Apartment Units</w:t>
            </w:r>
          </w:p>
        </w:tc>
        <w:tc>
          <w:tcPr>
            <w:tcW w:w="30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00" w:type="dxa"/>
            <w:vAlign w:val="bottom"/>
          </w:tcPr>
          <w:p>
            <w:pPr>
              <w:spacing w:after="0"/>
              <w:rPr>
                <w:sz w:val="16"/>
                <w:szCs w:val="16"/>
                <w:color w:val="auto"/>
              </w:rPr>
            </w:pPr>
          </w:p>
        </w:tc>
        <w:tc>
          <w:tcPr>
            <w:tcW w:w="1740" w:type="dxa"/>
            <w:vAlign w:val="bottom"/>
          </w:tcPr>
          <w:p>
            <w:pPr>
              <w:ind w:left="6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1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Loehmann’s Plaza</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1971</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1983</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242,000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98%</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Linens ’n Things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Fairfax, VA 22042 (6)</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Bally’s Total Fitness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w w:val="98"/>
              </w:rPr>
              <w:t>Loehmann’s Dress Shop</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Magruder’s Center</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1955</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1997</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109,000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98%</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Magruder’s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Rockville, MD 20852 (6)</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Mid-Pike Plaza</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1963</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1982</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304,000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Bally Total Fitness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Rockville, MD 20852 (3)</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Linens ’n Things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A. C. Moore</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Mount Vernon Plaza</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1972</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2003</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254,000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68%</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w w:val="87"/>
              </w:rPr>
              <w:t>Shoppers Food Warehouse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Alexandria, VA 22306 (6) (7)</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Old Keene Mill</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1968</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1976</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92,000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Whole Foods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Springfield, VA 22152</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Pan Am</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1979</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1993</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218,000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Michael’s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Fairfax, VA 22031</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Micro Center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Safeway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Perring Plaza</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1963</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1985</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402,000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90%</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Burlington Coat Factory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Baltimore, MD 21134 (4)</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Home Depot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w w:val="87"/>
              </w:rPr>
              <w:t>Shoppers Food Warehouse</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Pike 7 Plaza</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1968</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1997</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164,000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97%</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Staples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Vienna, VA 22180 (6)</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Tower Records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Plaza del Mercado</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1969</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2003</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96,000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95%</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Silver Spring, MD 20906</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Quince Orchard</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1975</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1993</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252,000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95%</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Circuit City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Gaithersburg, MD 20877 (7)</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Magruders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Staples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Rollingwood Apartments</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1960</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1971</w:t>
            </w: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92"/>
              </w:rPr>
              <w:t>282 units</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95%</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Silver Spring, MD 20910</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9 three-story buildings</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South Valley Shopping Center</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1966</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2003</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218,000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85%</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Home Depot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Alexandria, VA 22306 (6)</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Tower Shopping Center</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1960</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1998</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106,000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Virginia Fine Wine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Springfield, VA 22150</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Talbot’s</w:t>
            </w:r>
          </w:p>
        </w:tc>
        <w:tc>
          <w:tcPr>
            <w:tcW w:w="0" w:type="dxa"/>
            <w:vAlign w:val="bottom"/>
          </w:tcPr>
          <w:p>
            <w:pPr>
              <w:spacing w:after="0"/>
              <w:rPr>
                <w:sz w:val="1"/>
                <w:szCs w:val="1"/>
                <w:color w:val="auto"/>
              </w:rPr>
            </w:pPr>
          </w:p>
        </w:tc>
      </w:tr>
      <w:tr>
        <w:trPr>
          <w:trHeight w:val="395"/>
        </w:trPr>
        <w:tc>
          <w:tcPr>
            <w:tcW w:w="4180" w:type="dxa"/>
            <w:vAlign w:val="bottom"/>
            <w:gridSpan w:val="2"/>
          </w:tcPr>
          <w:p>
            <w:pPr>
              <w:spacing w:after="0"/>
              <w:rPr>
                <w:sz w:val="20"/>
                <w:szCs w:val="20"/>
                <w:color w:val="auto"/>
              </w:rPr>
            </w:pPr>
            <w:r>
              <w:rPr>
                <w:rFonts w:ascii="Arial" w:cs="Arial" w:eastAsia="Arial" w:hAnsi="Arial"/>
                <w:sz w:val="16"/>
                <w:szCs w:val="16"/>
                <w:color w:val="auto"/>
              </w:rPr>
              <w:t>Tysons Station</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1954</w:t>
            </w:r>
          </w:p>
        </w:tc>
        <w:tc>
          <w:tcPr>
            <w:tcW w:w="124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1978</w:t>
            </w:r>
          </w:p>
        </w:tc>
        <w:tc>
          <w:tcPr>
            <w:tcW w:w="140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50,000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85%</w:t>
            </w:r>
          </w:p>
        </w:tc>
        <w:tc>
          <w:tcPr>
            <w:tcW w:w="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6"/>
                <w:szCs w:val="16"/>
                <w:color w:val="auto"/>
              </w:rPr>
              <w:t>Trader Joe’s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20"/>
              <w:spacing w:after="0"/>
              <w:rPr>
                <w:sz w:val="20"/>
                <w:szCs w:val="20"/>
                <w:color w:val="auto"/>
              </w:rPr>
            </w:pPr>
            <w:r>
              <w:rPr>
                <w:rFonts w:ascii="Arial" w:cs="Arial" w:eastAsia="Arial" w:hAnsi="Arial"/>
                <w:sz w:val="16"/>
                <w:szCs w:val="16"/>
                <w:color w:val="auto"/>
              </w:rPr>
              <w:t>Falls Church, VA 22043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6"/>
                <w:szCs w:val="16"/>
                <w:color w:val="auto"/>
              </w:rPr>
              <w:t>Wildwood</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1958</w:t>
            </w:r>
          </w:p>
        </w:tc>
        <w:tc>
          <w:tcPr>
            <w:tcW w:w="124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1969</w:t>
            </w:r>
          </w:p>
        </w:tc>
        <w:tc>
          <w:tcPr>
            <w:tcW w:w="140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86,000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EEEEEE"/>
          </w:tcPr>
          <w:p>
            <w:pPr>
              <w:ind w:left="120"/>
              <w:spacing w:after="0"/>
              <w:rPr>
                <w:sz w:val="20"/>
                <w:szCs w:val="20"/>
                <w:color w:val="auto"/>
              </w:rPr>
            </w:pPr>
            <w:r>
              <w:rPr>
                <w:rFonts w:ascii="Arial" w:cs="Arial" w:eastAsia="Arial" w:hAnsi="Arial"/>
                <w:sz w:val="16"/>
                <w:szCs w:val="16"/>
                <w:color w:val="auto"/>
              </w:rPr>
              <w:t>Bethesda, MD 20814</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20"/>
                <w:szCs w:val="20"/>
                <w:color w:val="auto"/>
              </w:rPr>
            </w:pPr>
            <w:r>
              <w:rPr>
                <w:rFonts w:ascii="Arial" w:cs="Arial" w:eastAsia="Arial" w:hAnsi="Arial"/>
                <w:sz w:val="16"/>
                <w:szCs w:val="16"/>
                <w:color w:val="auto"/>
              </w:rPr>
              <w:t>Sutton Place Gourmet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MID-ATLANTIC REGION, Cont.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30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Arial" w:cs="Arial" w:eastAsia="Arial" w:hAnsi="Arial"/>
                <w:sz w:val="14"/>
                <w:szCs w:val="14"/>
                <w:b w:val="1"/>
                <w:bCs w:val="1"/>
                <w:color w:val="auto"/>
              </w:rPr>
              <w:t>Percentage</w:t>
            </w:r>
          </w:p>
        </w:tc>
        <w:tc>
          <w:tcPr>
            <w:tcW w:w="300" w:type="dxa"/>
            <w:vAlign w:val="bottom"/>
          </w:tcPr>
          <w:p>
            <w:pPr>
              <w:spacing w:after="0"/>
              <w:rPr>
                <w:sz w:val="14"/>
                <w:szCs w:val="14"/>
                <w:color w:val="auto"/>
              </w:rPr>
            </w:pP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86"/>
        </w:trPr>
        <w:tc>
          <w:tcPr>
            <w:tcW w:w="4180" w:type="dxa"/>
            <w:vAlign w:val="bottom"/>
            <w:gridSpan w:val="5"/>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Completed</w:t>
            </w:r>
          </w:p>
        </w:tc>
        <w:tc>
          <w:tcPr>
            <w:tcW w:w="3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3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300" w:type="dxa"/>
            <w:vAlign w:val="bottom"/>
          </w:tcPr>
          <w:p>
            <w:pPr>
              <w:spacing w:after="0"/>
              <w:rPr>
                <w:sz w:val="16"/>
                <w:szCs w:val="16"/>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Leased (2)</w:t>
            </w:r>
          </w:p>
        </w:tc>
        <w:tc>
          <w:tcPr>
            <w:tcW w:w="300" w:type="dxa"/>
            <w:vAlign w:val="bottom"/>
          </w:tcPr>
          <w:p>
            <w:pPr>
              <w:spacing w:after="0"/>
              <w:rPr>
                <w:sz w:val="16"/>
                <w:szCs w:val="16"/>
                <w:color w:val="auto"/>
              </w:rPr>
            </w:pPr>
          </w:p>
        </w:tc>
        <w:tc>
          <w:tcPr>
            <w:tcW w:w="1720" w:type="dxa"/>
            <w:vAlign w:val="bottom"/>
          </w:tcPr>
          <w:p>
            <w:pPr>
              <w:ind w:left="62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14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4"/>
            <w:shd w:val="clear" w:color="auto" w:fill="EEEEEE"/>
          </w:tcPr>
          <w:p>
            <w:pPr>
              <w:spacing w:after="0"/>
              <w:rPr>
                <w:sz w:val="20"/>
                <w:szCs w:val="20"/>
                <w:color w:val="auto"/>
              </w:rPr>
            </w:pPr>
            <w:r>
              <w:rPr>
                <w:rFonts w:ascii="Arial" w:cs="Arial" w:eastAsia="Arial" w:hAnsi="Arial"/>
                <w:sz w:val="16"/>
                <w:szCs w:val="16"/>
                <w:color w:val="auto"/>
              </w:rPr>
              <w:t>The Shops at Willow Lawn</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1957</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1983</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488,000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74%</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Tower Records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EEEEEE"/>
            </w:tcBorders>
            <w:shd w:val="clear" w:color="auto" w:fill="EEEEEE"/>
          </w:tcPr>
          <w:p>
            <w:pPr>
              <w:spacing w:after="0"/>
              <w:rPr>
                <w:sz w:val="7"/>
                <w:szCs w:val="7"/>
                <w:color w:val="auto"/>
              </w:rPr>
            </w:pPr>
          </w:p>
        </w:tc>
        <w:tc>
          <w:tcPr>
            <w:tcW w:w="20" w:type="dxa"/>
            <w:vAlign w:val="bottom"/>
            <w:tcBorders>
              <w:bottom w:val="single" w:sz="8" w:color="EEEEEE"/>
            </w:tcBorders>
            <w:shd w:val="clear" w:color="auto" w:fill="EEEEEE"/>
          </w:tcPr>
          <w:p>
            <w:pPr>
              <w:spacing w:after="0"/>
              <w:rPr>
                <w:sz w:val="7"/>
                <w:szCs w:val="7"/>
                <w:color w:val="auto"/>
              </w:rPr>
            </w:pPr>
          </w:p>
        </w:tc>
        <w:tc>
          <w:tcPr>
            <w:tcW w:w="340" w:type="dxa"/>
            <w:vAlign w:val="bottom"/>
            <w:tcBorders>
              <w:bottom w:val="single" w:sz="8" w:color="EEEEEE"/>
            </w:tcBorders>
            <w:shd w:val="clear" w:color="auto" w:fill="EEEEEE"/>
          </w:tcPr>
          <w:p>
            <w:pPr>
              <w:spacing w:after="0"/>
              <w:rPr>
                <w:sz w:val="7"/>
                <w:szCs w:val="7"/>
                <w:color w:val="auto"/>
              </w:rPr>
            </w:pPr>
          </w:p>
        </w:tc>
        <w:tc>
          <w:tcPr>
            <w:tcW w:w="2660" w:type="dxa"/>
            <w:vAlign w:val="bottom"/>
            <w:tcBorders>
              <w:bottom w:val="single" w:sz="8" w:color="EEEEEE"/>
            </w:tcBorders>
            <w:shd w:val="clear" w:color="auto" w:fill="EEEEEE"/>
          </w:tcPr>
          <w:p>
            <w:pPr>
              <w:spacing w:after="0"/>
              <w:rPr>
                <w:sz w:val="7"/>
                <w:szCs w:val="7"/>
                <w:color w:val="auto"/>
              </w:rPr>
            </w:pPr>
          </w:p>
        </w:tc>
        <w:tc>
          <w:tcPr>
            <w:tcW w:w="300" w:type="dxa"/>
            <w:vAlign w:val="bottom"/>
            <w:tcBorders>
              <w:bottom w:val="single" w:sz="8" w:color="EEEEEE"/>
            </w:tcBorders>
            <w:shd w:val="clear" w:color="auto" w:fill="EEEEEE"/>
          </w:tcPr>
          <w:p>
            <w:pPr>
              <w:spacing w:after="0"/>
              <w:rPr>
                <w:sz w:val="7"/>
                <w:szCs w:val="7"/>
                <w:color w:val="auto"/>
              </w:rPr>
            </w:pPr>
          </w:p>
        </w:tc>
        <w:tc>
          <w:tcPr>
            <w:tcW w:w="980" w:type="dxa"/>
            <w:vAlign w:val="bottom"/>
            <w:tcBorders>
              <w:bottom w:val="single" w:sz="8" w:color="EEEEEE"/>
            </w:tcBorders>
            <w:shd w:val="clear" w:color="auto" w:fill="EEEEEE"/>
          </w:tcPr>
          <w:p>
            <w:pPr>
              <w:spacing w:after="0"/>
              <w:rPr>
                <w:sz w:val="7"/>
                <w:szCs w:val="7"/>
                <w:color w:val="auto"/>
              </w:rPr>
            </w:pPr>
          </w:p>
        </w:tc>
        <w:tc>
          <w:tcPr>
            <w:tcW w:w="300" w:type="dxa"/>
            <w:vAlign w:val="bottom"/>
            <w:tcBorders>
              <w:bottom w:val="single" w:sz="8" w:color="EEEEEE"/>
            </w:tcBorders>
            <w:shd w:val="clear" w:color="auto" w:fill="EEEEEE"/>
          </w:tcPr>
          <w:p>
            <w:pPr>
              <w:spacing w:after="0"/>
              <w:rPr>
                <w:sz w:val="7"/>
                <w:szCs w:val="7"/>
                <w:color w:val="auto"/>
              </w:rPr>
            </w:pPr>
          </w:p>
        </w:tc>
        <w:tc>
          <w:tcPr>
            <w:tcW w:w="980" w:type="dxa"/>
            <w:vAlign w:val="bottom"/>
            <w:tcBorders>
              <w:bottom w:val="single" w:sz="8" w:color="EEEEEE"/>
            </w:tcBorders>
            <w:shd w:val="clear" w:color="auto" w:fill="EEEEEE"/>
          </w:tcPr>
          <w:p>
            <w:pPr>
              <w:spacing w:after="0"/>
              <w:rPr>
                <w:sz w:val="7"/>
                <w:szCs w:val="7"/>
                <w:color w:val="auto"/>
              </w:rPr>
            </w:pPr>
          </w:p>
        </w:tc>
        <w:tc>
          <w:tcPr>
            <w:tcW w:w="300" w:type="dxa"/>
            <w:vAlign w:val="bottom"/>
            <w:tcBorders>
              <w:bottom w:val="single" w:sz="8" w:color="EEEEEE"/>
            </w:tcBorders>
            <w:shd w:val="clear" w:color="auto" w:fill="EEEEEE"/>
          </w:tcPr>
          <w:p>
            <w:pPr>
              <w:spacing w:after="0"/>
              <w:rPr>
                <w:sz w:val="7"/>
                <w:szCs w:val="7"/>
                <w:color w:val="auto"/>
              </w:rPr>
            </w:pPr>
          </w:p>
        </w:tc>
        <w:tc>
          <w:tcPr>
            <w:tcW w:w="1080" w:type="dxa"/>
            <w:vAlign w:val="bottom"/>
            <w:tcBorders>
              <w:bottom w:val="single" w:sz="8" w:color="808080"/>
            </w:tcBorders>
            <w:shd w:val="clear" w:color="auto" w:fill="EEEEEE"/>
          </w:tcPr>
          <w:p>
            <w:pPr>
              <w:spacing w:after="0"/>
              <w:rPr>
                <w:sz w:val="7"/>
                <w:szCs w:val="7"/>
                <w:color w:val="auto"/>
              </w:rPr>
            </w:pPr>
          </w:p>
        </w:tc>
        <w:tc>
          <w:tcPr>
            <w:tcW w:w="300" w:type="dxa"/>
            <w:vAlign w:val="bottom"/>
            <w:tcBorders>
              <w:bottom w:val="single" w:sz="8" w:color="EEEEEE"/>
            </w:tcBorders>
            <w:shd w:val="clear" w:color="auto" w:fill="EEEEEE"/>
          </w:tcPr>
          <w:p>
            <w:pPr>
              <w:spacing w:after="0"/>
              <w:rPr>
                <w:sz w:val="7"/>
                <w:szCs w:val="7"/>
                <w:color w:val="auto"/>
              </w:rPr>
            </w:pPr>
          </w:p>
        </w:tc>
        <w:tc>
          <w:tcPr>
            <w:tcW w:w="980" w:type="dxa"/>
            <w:vAlign w:val="bottom"/>
            <w:tcBorders>
              <w:bottom w:val="single" w:sz="8" w:color="808080"/>
            </w:tcBorders>
            <w:shd w:val="clear" w:color="auto" w:fill="EEEEEE"/>
          </w:tcPr>
          <w:p>
            <w:pPr>
              <w:spacing w:after="0"/>
              <w:rPr>
                <w:sz w:val="7"/>
                <w:szCs w:val="7"/>
                <w:color w:val="auto"/>
              </w:rPr>
            </w:pPr>
          </w:p>
        </w:tc>
        <w:tc>
          <w:tcPr>
            <w:tcW w:w="300" w:type="dxa"/>
            <w:vAlign w:val="bottom"/>
            <w:tcBorders>
              <w:bottom w:val="single" w:sz="8" w:color="EEEEEE"/>
            </w:tcBorders>
            <w:shd w:val="clear" w:color="auto" w:fill="EEEEEE"/>
          </w:tcPr>
          <w:p>
            <w:pPr>
              <w:spacing w:after="0"/>
              <w:rPr>
                <w:sz w:val="7"/>
                <w:szCs w:val="7"/>
                <w:color w:val="auto"/>
              </w:rPr>
            </w:pPr>
          </w:p>
        </w:tc>
        <w:tc>
          <w:tcPr>
            <w:tcW w:w="1720" w:type="dxa"/>
            <w:vAlign w:val="bottom"/>
            <w:tcBorders>
              <w:bottom w:val="single" w:sz="8" w:color="EEEEEE"/>
            </w:tcBorders>
            <w:vMerge w:val="restart"/>
            <w:shd w:val="clear" w:color="auto" w:fill="EEEEEE"/>
          </w:tcPr>
          <w:p>
            <w:pPr>
              <w:spacing w:after="0"/>
              <w:rPr>
                <w:sz w:val="20"/>
                <w:szCs w:val="20"/>
                <w:color w:val="auto"/>
              </w:rPr>
            </w:pPr>
            <w:r>
              <w:rPr>
                <w:rFonts w:ascii="Arial" w:cs="Arial" w:eastAsia="Arial" w:hAnsi="Arial"/>
                <w:sz w:val="16"/>
                <w:szCs w:val="16"/>
                <w:color w:val="auto"/>
              </w:rPr>
              <w:t>Kroger</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140" w:type="dxa"/>
            <w:vAlign w:val="bottom"/>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340" w:type="dxa"/>
            <w:vAlign w:val="bottom"/>
            <w:shd w:val="clear" w:color="auto" w:fill="EEEEEE"/>
          </w:tcPr>
          <w:p>
            <w:pPr>
              <w:spacing w:after="0"/>
              <w:rPr>
                <w:sz w:val="7"/>
                <w:szCs w:val="7"/>
                <w:color w:val="auto"/>
              </w:rPr>
            </w:pPr>
          </w:p>
        </w:tc>
        <w:tc>
          <w:tcPr>
            <w:tcW w:w="2660" w:type="dxa"/>
            <w:vAlign w:val="bottom"/>
            <w:shd w:val="clear" w:color="auto" w:fill="EEEEEE"/>
          </w:tcPr>
          <w:p>
            <w:pPr>
              <w:spacing w:after="0"/>
              <w:rPr>
                <w:sz w:val="7"/>
                <w:szCs w:val="7"/>
                <w:color w:val="auto"/>
              </w:rPr>
            </w:pPr>
          </w:p>
        </w:tc>
        <w:tc>
          <w:tcPr>
            <w:tcW w:w="300" w:type="dxa"/>
            <w:vAlign w:val="bottom"/>
            <w:shd w:val="clear" w:color="auto" w:fill="EEEEEE"/>
          </w:tcPr>
          <w:p>
            <w:pPr>
              <w:spacing w:after="0"/>
              <w:rPr>
                <w:sz w:val="7"/>
                <w:szCs w:val="7"/>
                <w:color w:val="auto"/>
              </w:rPr>
            </w:pPr>
          </w:p>
        </w:tc>
        <w:tc>
          <w:tcPr>
            <w:tcW w:w="980" w:type="dxa"/>
            <w:vAlign w:val="bottom"/>
            <w:shd w:val="clear" w:color="auto" w:fill="EEEEEE"/>
          </w:tcPr>
          <w:p>
            <w:pPr>
              <w:spacing w:after="0"/>
              <w:rPr>
                <w:sz w:val="7"/>
                <w:szCs w:val="7"/>
                <w:color w:val="auto"/>
              </w:rPr>
            </w:pPr>
          </w:p>
        </w:tc>
        <w:tc>
          <w:tcPr>
            <w:tcW w:w="300" w:type="dxa"/>
            <w:vAlign w:val="bottom"/>
            <w:shd w:val="clear" w:color="auto" w:fill="EEEEEE"/>
          </w:tcPr>
          <w:p>
            <w:pPr>
              <w:spacing w:after="0"/>
              <w:rPr>
                <w:sz w:val="7"/>
                <w:szCs w:val="7"/>
                <w:color w:val="auto"/>
              </w:rPr>
            </w:pPr>
          </w:p>
        </w:tc>
        <w:tc>
          <w:tcPr>
            <w:tcW w:w="980" w:type="dxa"/>
            <w:vAlign w:val="bottom"/>
            <w:shd w:val="clear" w:color="auto" w:fill="EEEEEE"/>
          </w:tcPr>
          <w:p>
            <w:pPr>
              <w:spacing w:after="0"/>
              <w:rPr>
                <w:sz w:val="7"/>
                <w:szCs w:val="7"/>
                <w:color w:val="auto"/>
              </w:rPr>
            </w:pPr>
          </w:p>
        </w:tc>
        <w:tc>
          <w:tcPr>
            <w:tcW w:w="300" w:type="dxa"/>
            <w:vAlign w:val="bottom"/>
            <w:shd w:val="clear" w:color="auto" w:fill="EEEEEE"/>
          </w:tcPr>
          <w:p>
            <w:pPr>
              <w:spacing w:after="0"/>
              <w:rPr>
                <w:sz w:val="7"/>
                <w:szCs w:val="7"/>
                <w:color w:val="auto"/>
              </w:rPr>
            </w:pPr>
          </w:p>
        </w:tc>
        <w:tc>
          <w:tcPr>
            <w:tcW w:w="1080" w:type="dxa"/>
            <w:vAlign w:val="bottom"/>
            <w:shd w:val="clear" w:color="auto" w:fill="EEEEEE"/>
          </w:tcPr>
          <w:p>
            <w:pPr>
              <w:spacing w:after="0"/>
              <w:rPr>
                <w:sz w:val="7"/>
                <w:szCs w:val="7"/>
                <w:color w:val="auto"/>
              </w:rPr>
            </w:pPr>
          </w:p>
        </w:tc>
        <w:tc>
          <w:tcPr>
            <w:tcW w:w="300" w:type="dxa"/>
            <w:vAlign w:val="bottom"/>
            <w:shd w:val="clear" w:color="auto" w:fill="EEEEEE"/>
          </w:tcPr>
          <w:p>
            <w:pPr>
              <w:spacing w:after="0"/>
              <w:rPr>
                <w:sz w:val="7"/>
                <w:szCs w:val="7"/>
                <w:color w:val="auto"/>
              </w:rPr>
            </w:pPr>
          </w:p>
        </w:tc>
        <w:tc>
          <w:tcPr>
            <w:tcW w:w="980" w:type="dxa"/>
            <w:vAlign w:val="bottom"/>
            <w:shd w:val="clear" w:color="auto" w:fill="EEEEEE"/>
          </w:tcPr>
          <w:p>
            <w:pPr>
              <w:spacing w:after="0"/>
              <w:rPr>
                <w:sz w:val="7"/>
                <w:szCs w:val="7"/>
                <w:color w:val="auto"/>
              </w:rPr>
            </w:pPr>
          </w:p>
        </w:tc>
        <w:tc>
          <w:tcPr>
            <w:tcW w:w="300" w:type="dxa"/>
            <w:vAlign w:val="bottom"/>
            <w:shd w:val="clear" w:color="auto" w:fill="EEEEEE"/>
          </w:tcPr>
          <w:p>
            <w:pPr>
              <w:spacing w:after="0"/>
              <w:rPr>
                <w:sz w:val="7"/>
                <w:szCs w:val="7"/>
                <w:color w:val="auto"/>
              </w:rPr>
            </w:pPr>
          </w:p>
        </w:tc>
        <w:tc>
          <w:tcPr>
            <w:tcW w:w="1720" w:type="dxa"/>
            <w:vAlign w:val="bottom"/>
            <w:vMerge w:val="continue"/>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gridSpan w:val="4"/>
            <w:shd w:val="clear" w:color="auto" w:fill="EEEEEE"/>
          </w:tcPr>
          <w:p>
            <w:pPr>
              <w:ind w:left="120"/>
              <w:spacing w:after="0"/>
              <w:rPr>
                <w:sz w:val="20"/>
                <w:szCs w:val="20"/>
                <w:color w:val="auto"/>
              </w:rPr>
            </w:pPr>
            <w:r>
              <w:rPr>
                <w:rFonts w:ascii="Arial" w:cs="Arial" w:eastAsia="Arial" w:hAnsi="Arial"/>
                <w:sz w:val="16"/>
                <w:szCs w:val="16"/>
                <w:color w:val="auto"/>
              </w:rPr>
              <w:t>Richmond, VA 23230 (4)</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Old Navy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160" w:type="dxa"/>
            <w:vAlign w:val="bottom"/>
            <w:gridSpan w:val="4"/>
          </w:tcPr>
          <w:p>
            <w:pPr>
              <w:ind w:left="520"/>
              <w:spacing w:after="0"/>
              <w:rPr>
                <w:sz w:val="20"/>
                <w:szCs w:val="20"/>
                <w:color w:val="auto"/>
              </w:rPr>
            </w:pPr>
            <w:r>
              <w:rPr>
                <w:rFonts w:ascii="Arial" w:cs="Arial" w:eastAsia="Arial" w:hAnsi="Arial"/>
                <w:sz w:val="16"/>
                <w:szCs w:val="16"/>
                <w:color w:val="auto"/>
              </w:rPr>
              <w:t>Total Mid-Atlantic Shopping Centers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5,678,000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91%</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00" w:type="dxa"/>
            <w:vAlign w:val="bottom"/>
            <w:tcBorders>
              <w:bottom w:val="single" w:sz="8" w:color="auto"/>
            </w:tcBorders>
            <w:gridSpan w:val="3"/>
            <w:shd w:val="clear" w:color="auto" w:fill="EEEEEE"/>
          </w:tcPr>
          <w:p>
            <w:pPr>
              <w:spacing w:after="0" w:line="162" w:lineRule="exact"/>
              <w:rPr>
                <w:sz w:val="20"/>
                <w:szCs w:val="20"/>
                <w:color w:val="auto"/>
              </w:rPr>
            </w:pPr>
            <w:r>
              <w:rPr>
                <w:rFonts w:ascii="Arial" w:cs="Arial" w:eastAsia="Arial" w:hAnsi="Arial"/>
                <w:sz w:val="16"/>
                <w:szCs w:val="16"/>
                <w:color w:val="auto"/>
                <w:w w:val="89"/>
              </w:rPr>
              <w:t>Street Retail Properties</w:t>
            </w:r>
          </w:p>
        </w:tc>
        <w:tc>
          <w:tcPr>
            <w:tcW w:w="266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0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72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4180" w:type="dxa"/>
            <w:vAlign w:val="bottom"/>
            <w:gridSpan w:val="5"/>
          </w:tcPr>
          <w:p>
            <w:pPr>
              <w:spacing w:after="0"/>
              <w:rPr>
                <w:sz w:val="20"/>
                <w:szCs w:val="20"/>
                <w:color w:val="auto"/>
              </w:rPr>
            </w:pPr>
            <w:r>
              <w:rPr>
                <w:rFonts w:ascii="Arial" w:cs="Arial" w:eastAsia="Arial" w:hAnsi="Arial"/>
                <w:sz w:val="16"/>
                <w:szCs w:val="16"/>
                <w:color w:val="auto"/>
              </w:rPr>
              <w:t>Bethesda Row</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1"/>
              </w:rPr>
              <w:t>1945-1991,</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1"/>
              </w:rPr>
              <w:t>1993-1998</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434,000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Barnes and Noble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120"/>
              <w:spacing w:after="0"/>
              <w:rPr>
                <w:sz w:val="20"/>
                <w:szCs w:val="20"/>
                <w:color w:val="auto"/>
              </w:rPr>
            </w:pPr>
            <w:r>
              <w:rPr>
                <w:rFonts w:ascii="Arial" w:cs="Arial" w:eastAsia="Arial" w:hAnsi="Arial"/>
                <w:sz w:val="16"/>
                <w:szCs w:val="16"/>
                <w:color w:val="auto"/>
              </w:rPr>
              <w:t>Bethesda, MD 20814 (8)</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2001</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Giant Food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Landmark Theater</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4"/>
            <w:shd w:val="clear" w:color="auto" w:fill="EEEEEE"/>
          </w:tcPr>
          <w:p>
            <w:pPr>
              <w:spacing w:after="0"/>
              <w:rPr>
                <w:sz w:val="20"/>
                <w:szCs w:val="20"/>
                <w:color w:val="auto"/>
              </w:rPr>
            </w:pPr>
            <w:r>
              <w:rPr>
                <w:rFonts w:ascii="Arial" w:cs="Arial" w:eastAsia="Arial" w:hAnsi="Arial"/>
                <w:sz w:val="16"/>
                <w:szCs w:val="16"/>
                <w:color w:val="auto"/>
              </w:rPr>
              <w:t>Friendship Center</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1998</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2001</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119,000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Maggiano’s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EEEEE"/>
          </w:tcPr>
          <w:p>
            <w:pPr>
              <w:ind w:left="120"/>
              <w:spacing w:after="0"/>
              <w:rPr>
                <w:sz w:val="20"/>
                <w:szCs w:val="20"/>
                <w:color w:val="auto"/>
              </w:rPr>
            </w:pPr>
            <w:r>
              <w:rPr>
                <w:rFonts w:ascii="Arial" w:cs="Arial" w:eastAsia="Arial" w:hAnsi="Arial"/>
                <w:sz w:val="16"/>
                <w:szCs w:val="16"/>
                <w:color w:val="auto"/>
              </w:rPr>
              <w:t>Washington, D.C 20015</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Borders Books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Linens ’n Things</w:t>
            </w:r>
          </w:p>
        </w:tc>
        <w:tc>
          <w:tcPr>
            <w:tcW w:w="0" w:type="dxa"/>
            <w:vAlign w:val="bottom"/>
          </w:tcPr>
          <w:p>
            <w:pPr>
              <w:spacing w:after="0"/>
              <w:rPr>
                <w:sz w:val="1"/>
                <w:szCs w:val="1"/>
                <w:color w:val="auto"/>
              </w:rPr>
            </w:pPr>
          </w:p>
        </w:tc>
      </w:tr>
      <w:tr>
        <w:trPr>
          <w:trHeight w:val="395"/>
        </w:trPr>
        <w:tc>
          <w:tcPr>
            <w:tcW w:w="4180" w:type="dxa"/>
            <w:vAlign w:val="bottom"/>
            <w:gridSpan w:val="5"/>
          </w:tcPr>
          <w:p>
            <w:pPr>
              <w:spacing w:after="0"/>
              <w:rPr>
                <w:sz w:val="20"/>
                <w:szCs w:val="20"/>
                <w:color w:val="auto"/>
              </w:rPr>
            </w:pPr>
            <w:r>
              <w:rPr>
                <w:rFonts w:ascii="Arial" w:cs="Arial" w:eastAsia="Arial" w:hAnsi="Arial"/>
                <w:sz w:val="16"/>
                <w:szCs w:val="16"/>
                <w:color w:val="auto"/>
              </w:rPr>
              <w:t>Pentagon Row</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1"/>
              </w:rPr>
              <w:t>2001-2002</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1999</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296,000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Harris Teeter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tcPr>
          <w:p>
            <w:pPr>
              <w:ind w:left="120"/>
              <w:spacing w:after="0"/>
              <w:rPr>
                <w:sz w:val="20"/>
                <w:szCs w:val="20"/>
                <w:color w:val="auto"/>
              </w:rPr>
            </w:pPr>
            <w:r>
              <w:rPr>
                <w:rFonts w:ascii="Arial" w:cs="Arial" w:eastAsia="Arial" w:hAnsi="Arial"/>
                <w:sz w:val="16"/>
                <w:szCs w:val="16"/>
                <w:color w:val="auto"/>
              </w:rPr>
              <w:t>Arlington, VA 22202 (7)</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Bed, Bath &amp; Beyond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Cost Plus World Market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Bally’s Total Fitness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88"/>
              </w:rPr>
              <w:t>Designer Shoe Warehouse</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4"/>
            <w:shd w:val="clear" w:color="auto" w:fill="EEEEEE"/>
          </w:tcPr>
          <w:p>
            <w:pPr>
              <w:spacing w:after="0"/>
              <w:rPr>
                <w:sz w:val="20"/>
                <w:szCs w:val="20"/>
                <w:color w:val="auto"/>
              </w:rPr>
            </w:pPr>
            <w:r>
              <w:rPr>
                <w:rFonts w:ascii="Arial" w:cs="Arial" w:eastAsia="Arial" w:hAnsi="Arial"/>
                <w:sz w:val="16"/>
                <w:szCs w:val="16"/>
                <w:color w:val="auto"/>
              </w:rPr>
              <w:t>Sam’s Park &amp; Shop</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1930</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1995</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50,000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2"/>
              </w:rPr>
              <w:t>100%</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Petco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EEEEE"/>
          </w:tcPr>
          <w:p>
            <w:pPr>
              <w:ind w:left="120"/>
              <w:spacing w:after="0"/>
              <w:rPr>
                <w:sz w:val="20"/>
                <w:szCs w:val="20"/>
                <w:color w:val="auto"/>
              </w:rPr>
            </w:pPr>
            <w:r>
              <w:rPr>
                <w:rFonts w:ascii="Arial" w:cs="Arial" w:eastAsia="Arial" w:hAnsi="Arial"/>
                <w:sz w:val="16"/>
                <w:szCs w:val="16"/>
                <w:color w:val="auto"/>
              </w:rPr>
              <w:t>Washington, DC 20008</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180" w:type="dxa"/>
            <w:vAlign w:val="bottom"/>
            <w:gridSpan w:val="5"/>
          </w:tcPr>
          <w:p>
            <w:pPr>
              <w:spacing w:after="0"/>
              <w:rPr>
                <w:sz w:val="20"/>
                <w:szCs w:val="20"/>
                <w:color w:val="auto"/>
              </w:rPr>
            </w:pPr>
            <w:r>
              <w:rPr>
                <w:rFonts w:ascii="Arial" w:cs="Arial" w:eastAsia="Arial" w:hAnsi="Arial"/>
                <w:sz w:val="16"/>
                <w:szCs w:val="16"/>
                <w:color w:val="auto"/>
              </w:rPr>
              <w:t>Shirlington</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1940</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1995</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204,000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96%</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Carlyle Grand Cafe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gridSpan w:val="4"/>
          </w:tcPr>
          <w:p>
            <w:pPr>
              <w:ind w:left="120"/>
              <w:spacing w:after="0"/>
              <w:rPr>
                <w:sz w:val="20"/>
                <w:szCs w:val="20"/>
                <w:color w:val="auto"/>
              </w:rPr>
            </w:pPr>
            <w:r>
              <w:rPr>
                <w:rFonts w:ascii="Arial" w:cs="Arial" w:eastAsia="Arial" w:hAnsi="Arial"/>
                <w:sz w:val="16"/>
                <w:szCs w:val="16"/>
                <w:color w:val="auto"/>
              </w:rPr>
              <w:t>Arlington, VA 22206</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Cineplex Odeon</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4"/>
            <w:shd w:val="clear" w:color="auto" w:fill="EEEEEE"/>
          </w:tcPr>
          <w:p>
            <w:pPr>
              <w:spacing w:after="0"/>
              <w:rPr>
                <w:sz w:val="20"/>
                <w:szCs w:val="20"/>
                <w:color w:val="auto"/>
              </w:rPr>
            </w:pPr>
            <w:r>
              <w:rPr>
                <w:rFonts w:ascii="Arial" w:cs="Arial" w:eastAsia="Arial" w:hAnsi="Arial"/>
                <w:sz w:val="16"/>
                <w:szCs w:val="16"/>
                <w:color w:val="auto"/>
              </w:rPr>
              <w:t>Two buildings in Florida</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1920</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1996</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28,000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93%</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60" w:type="dxa"/>
            <w:vAlign w:val="bottom"/>
            <w:gridSpan w:val="4"/>
          </w:tcPr>
          <w:p>
            <w:pPr>
              <w:ind w:left="520"/>
              <w:spacing w:after="0"/>
              <w:rPr>
                <w:sz w:val="20"/>
                <w:szCs w:val="20"/>
                <w:color w:val="auto"/>
              </w:rPr>
            </w:pPr>
            <w:r>
              <w:rPr>
                <w:rFonts w:ascii="Arial" w:cs="Arial" w:eastAsia="Arial" w:hAnsi="Arial"/>
                <w:sz w:val="16"/>
                <w:szCs w:val="16"/>
                <w:color w:val="auto"/>
              </w:rPr>
              <w:t>Total Mid-Atlantic Street Retail Properties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1,131,000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99%</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top w:val="single" w:sz="8" w:color="808080"/>
            </w:tcBorders>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EEEEE"/>
          </w:tcPr>
          <w:p>
            <w:pPr>
              <w:ind w:left="520"/>
              <w:spacing w:after="0"/>
              <w:rPr>
                <w:sz w:val="20"/>
                <w:szCs w:val="20"/>
                <w:color w:val="auto"/>
              </w:rPr>
            </w:pPr>
            <w:r>
              <w:rPr>
                <w:rFonts w:ascii="Arial" w:cs="Arial" w:eastAsia="Arial" w:hAnsi="Arial"/>
                <w:sz w:val="16"/>
                <w:szCs w:val="16"/>
                <w:b w:val="1"/>
                <w:bCs w:val="1"/>
                <w:color w:val="auto"/>
              </w:rPr>
              <w:t>Total Mid-Atlantic Region</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b w:val="1"/>
                <w:bCs w:val="1"/>
                <w:color w:val="auto"/>
                <w:w w:val="89"/>
              </w:rPr>
              <w:t>6,809,000</w:t>
            </w:r>
          </w:p>
        </w:tc>
        <w:tc>
          <w:tcPr>
            <w:tcW w:w="1280" w:type="dxa"/>
            <w:vAlign w:val="bottom"/>
            <w:gridSpan w:val="2"/>
            <w:shd w:val="clear" w:color="auto" w:fill="EEEEEE"/>
          </w:tcPr>
          <w:p>
            <w:pPr>
              <w:jc w:val="center"/>
              <w:ind w:left="239"/>
              <w:spacing w:after="0"/>
              <w:rPr>
                <w:sz w:val="20"/>
                <w:szCs w:val="20"/>
                <w:color w:val="auto"/>
              </w:rPr>
            </w:pPr>
            <w:r>
              <w:rPr>
                <w:rFonts w:ascii="Arial" w:cs="Arial" w:eastAsia="Arial" w:hAnsi="Arial"/>
                <w:sz w:val="16"/>
                <w:szCs w:val="16"/>
                <w:b w:val="1"/>
                <w:bCs w:val="1"/>
                <w:color w:val="auto"/>
                <w:w w:val="99"/>
              </w:rPr>
              <w:t>93%</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60" w:type="dxa"/>
            <w:vAlign w:val="bottom"/>
            <w:tcBorders>
              <w:bottom w:val="single" w:sz="8" w:color="auto"/>
            </w:tcBorders>
            <w:gridSpan w:val="2"/>
            <w:shd w:val="clear" w:color="auto" w:fill="EEEEEE"/>
          </w:tcPr>
          <w:p>
            <w:pPr>
              <w:spacing w:after="0" w:line="162" w:lineRule="exact"/>
              <w:rPr>
                <w:sz w:val="20"/>
                <w:szCs w:val="20"/>
                <w:color w:val="auto"/>
              </w:rPr>
            </w:pPr>
            <w:r>
              <w:rPr>
                <w:rFonts w:ascii="Arial" w:cs="Arial" w:eastAsia="Arial" w:hAnsi="Arial"/>
                <w:sz w:val="16"/>
                <w:szCs w:val="16"/>
                <w:b w:val="1"/>
                <w:bCs w:val="1"/>
                <w:color w:val="auto"/>
              </w:rPr>
              <w:t>WEST REGION</w:t>
            </w:r>
          </w:p>
        </w:tc>
        <w:tc>
          <w:tcPr>
            <w:tcW w:w="3000" w:type="dxa"/>
            <w:vAlign w:val="bottom"/>
            <w:tcBorders>
              <w:bottom w:val="single" w:sz="8" w:color="EEEEEE"/>
            </w:tcBorders>
            <w:gridSpan w:val="2"/>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0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98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72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4180" w:type="dxa"/>
            <w:vAlign w:val="bottom"/>
            <w:gridSpan w:val="5"/>
          </w:tcPr>
          <w:p>
            <w:pPr>
              <w:spacing w:after="0"/>
              <w:rPr>
                <w:sz w:val="20"/>
                <w:szCs w:val="20"/>
                <w:color w:val="auto"/>
              </w:rPr>
            </w:pPr>
            <w:r>
              <w:rPr>
                <w:rFonts w:ascii="Arial" w:cs="Arial" w:eastAsia="Arial" w:hAnsi="Arial"/>
                <w:sz w:val="16"/>
                <w:szCs w:val="16"/>
                <w:color w:val="auto"/>
              </w:rPr>
              <w:t>Shopping Centers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gridSpan w:val="4"/>
            <w:shd w:val="clear" w:color="auto" w:fill="EEEEEE"/>
          </w:tcPr>
          <w:p>
            <w:pPr>
              <w:spacing w:after="0"/>
              <w:rPr>
                <w:sz w:val="20"/>
                <w:szCs w:val="20"/>
                <w:color w:val="auto"/>
              </w:rPr>
            </w:pPr>
            <w:r>
              <w:rPr>
                <w:rFonts w:ascii="Arial" w:cs="Arial" w:eastAsia="Arial" w:hAnsi="Arial"/>
                <w:sz w:val="16"/>
                <w:szCs w:val="16"/>
                <w:color w:val="auto"/>
              </w:rPr>
              <w:t>Escondido Promenade</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5"/>
              </w:rPr>
              <w:t>1987</w:t>
            </w:r>
          </w:p>
        </w:tc>
        <w:tc>
          <w:tcPr>
            <w:tcW w:w="1280" w:type="dxa"/>
            <w:vAlign w:val="bottom"/>
            <w:gridSpan w:val="2"/>
            <w:shd w:val="clear" w:color="auto" w:fill="EEEEEE"/>
          </w:tcPr>
          <w:p>
            <w:pPr>
              <w:jc w:val="center"/>
              <w:ind w:left="199"/>
              <w:spacing w:after="0"/>
              <w:rPr>
                <w:sz w:val="20"/>
                <w:szCs w:val="20"/>
                <w:color w:val="auto"/>
              </w:rPr>
            </w:pPr>
            <w:r>
              <w:rPr>
                <w:rFonts w:ascii="Arial" w:cs="Arial" w:eastAsia="Arial" w:hAnsi="Arial"/>
                <w:sz w:val="16"/>
                <w:szCs w:val="16"/>
                <w:color w:val="auto"/>
                <w:w w:val="89"/>
              </w:rPr>
              <w:t>1996</w:t>
            </w: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222,000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95%</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Toys R Us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EEEEE"/>
          </w:tcPr>
          <w:p>
            <w:pPr>
              <w:ind w:left="400"/>
              <w:spacing w:after="0"/>
              <w:rPr>
                <w:sz w:val="20"/>
                <w:szCs w:val="20"/>
                <w:color w:val="auto"/>
              </w:rPr>
            </w:pPr>
            <w:r>
              <w:rPr>
                <w:rFonts w:ascii="Arial" w:cs="Arial" w:eastAsia="Arial" w:hAnsi="Arial"/>
                <w:sz w:val="16"/>
                <w:szCs w:val="16"/>
                <w:color w:val="auto"/>
              </w:rPr>
              <w:t>Escondido, CA 92029 (9)</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TJ Maxx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6"/>
                <w:szCs w:val="16"/>
                <w:color w:val="auto"/>
              </w:rPr>
              <w:t>Cost Plus</w:t>
            </w:r>
          </w:p>
        </w:tc>
        <w:tc>
          <w:tcPr>
            <w:tcW w:w="0" w:type="dxa"/>
            <w:vAlign w:val="bottom"/>
          </w:tcPr>
          <w:p>
            <w:pPr>
              <w:spacing w:after="0"/>
              <w:rPr>
                <w:sz w:val="1"/>
                <w:szCs w:val="1"/>
                <w:color w:val="auto"/>
              </w:rPr>
            </w:pPr>
          </w:p>
        </w:tc>
      </w:tr>
      <w:tr>
        <w:trPr>
          <w:trHeight w:val="395"/>
        </w:trPr>
        <w:tc>
          <w:tcPr>
            <w:tcW w:w="4180" w:type="dxa"/>
            <w:vAlign w:val="bottom"/>
            <w:gridSpan w:val="5"/>
          </w:tcPr>
          <w:p>
            <w:pPr>
              <w:spacing w:after="0"/>
              <w:rPr>
                <w:sz w:val="20"/>
                <w:szCs w:val="20"/>
                <w:color w:val="auto"/>
              </w:rPr>
            </w:pPr>
            <w:r>
              <w:rPr>
                <w:rFonts w:ascii="Arial" w:cs="Arial" w:eastAsia="Arial" w:hAnsi="Arial"/>
                <w:sz w:val="16"/>
                <w:szCs w:val="16"/>
                <w:color w:val="auto"/>
              </w:rPr>
              <w:t>King’s Court</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5"/>
              </w:rPr>
              <w:t>1960</w:t>
            </w:r>
          </w:p>
        </w:tc>
        <w:tc>
          <w:tcPr>
            <w:tcW w:w="1280" w:type="dxa"/>
            <w:vAlign w:val="bottom"/>
            <w:gridSpan w:val="2"/>
          </w:tcPr>
          <w:p>
            <w:pPr>
              <w:jc w:val="center"/>
              <w:ind w:left="199"/>
              <w:spacing w:after="0"/>
              <w:rPr>
                <w:sz w:val="20"/>
                <w:szCs w:val="20"/>
                <w:color w:val="auto"/>
              </w:rPr>
            </w:pPr>
            <w:r>
              <w:rPr>
                <w:rFonts w:ascii="Arial" w:cs="Arial" w:eastAsia="Arial" w:hAnsi="Arial"/>
                <w:sz w:val="16"/>
                <w:szCs w:val="16"/>
                <w:color w:val="auto"/>
                <w:w w:val="89"/>
              </w:rPr>
              <w:t>1998</w:t>
            </w:r>
          </w:p>
        </w:tc>
        <w:tc>
          <w:tcPr>
            <w:tcW w:w="1380" w:type="dxa"/>
            <w:vAlign w:val="bottom"/>
            <w:gridSpan w:val="2"/>
          </w:tcPr>
          <w:p>
            <w:pPr>
              <w:jc w:val="center"/>
              <w:ind w:left="219"/>
              <w:spacing w:after="0"/>
              <w:rPr>
                <w:sz w:val="20"/>
                <w:szCs w:val="20"/>
                <w:color w:val="auto"/>
              </w:rPr>
            </w:pPr>
            <w:r>
              <w:rPr>
                <w:rFonts w:ascii="Arial" w:cs="Arial" w:eastAsia="Arial" w:hAnsi="Arial"/>
                <w:sz w:val="16"/>
                <w:szCs w:val="16"/>
                <w:color w:val="auto"/>
                <w:w w:val="89"/>
              </w:rPr>
              <w:t>79,000</w:t>
            </w:r>
          </w:p>
        </w:tc>
        <w:tc>
          <w:tcPr>
            <w:tcW w:w="1280" w:type="dxa"/>
            <w:vAlign w:val="bottom"/>
            <w:gridSpan w:val="2"/>
          </w:tcPr>
          <w:p>
            <w:pPr>
              <w:jc w:val="center"/>
              <w:ind w:left="219"/>
              <w:spacing w:after="0"/>
              <w:rPr>
                <w:sz w:val="20"/>
                <w:szCs w:val="20"/>
                <w:color w:val="auto"/>
              </w:rPr>
            </w:pPr>
            <w:r>
              <w:rPr>
                <w:rFonts w:ascii="Arial" w:cs="Arial" w:eastAsia="Arial" w:hAnsi="Arial"/>
                <w:sz w:val="16"/>
                <w:szCs w:val="16"/>
                <w:color w:val="auto"/>
                <w:w w:val="93"/>
              </w:rPr>
              <w:t>98%</w:t>
            </w:r>
          </w:p>
        </w:tc>
        <w:tc>
          <w:tcPr>
            <w:tcW w:w="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Lunardi’s Supermarket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4160" w:type="dxa"/>
            <w:vAlign w:val="bottom"/>
            <w:gridSpan w:val="4"/>
            <w:vMerge w:val="restart"/>
          </w:tcPr>
          <w:p>
            <w:pPr>
              <w:ind w:left="120"/>
              <w:spacing w:after="0"/>
              <w:rPr>
                <w:sz w:val="20"/>
                <w:szCs w:val="20"/>
                <w:color w:val="auto"/>
              </w:rPr>
            </w:pPr>
            <w:r>
              <w:rPr>
                <w:rFonts w:ascii="Arial" w:cs="Arial" w:eastAsia="Arial" w:hAnsi="Arial"/>
                <w:sz w:val="16"/>
                <w:szCs w:val="16"/>
                <w:color w:val="auto"/>
              </w:rPr>
              <w:t>Los Gatos, CA 95032 (6) (7)</w:t>
            </w: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720" w:type="dxa"/>
            <w:vAlign w:val="bottom"/>
            <w:vMerge w:val="restart"/>
          </w:tcPr>
          <w:p>
            <w:pPr>
              <w:spacing w:after="0"/>
              <w:rPr>
                <w:sz w:val="20"/>
                <w:szCs w:val="20"/>
                <w:color w:val="auto"/>
              </w:rPr>
            </w:pPr>
            <w:r>
              <w:rPr>
                <w:rFonts w:ascii="Arial" w:cs="Arial" w:eastAsia="Arial" w:hAnsi="Arial"/>
                <w:sz w:val="16"/>
                <w:szCs w:val="16"/>
                <w:color w:val="auto"/>
              </w:rPr>
              <w:t>Longs Drug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6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gridSpan w:val="4"/>
            <w:shd w:val="clear" w:color="auto" w:fill="EEEEEE"/>
          </w:tcPr>
          <w:p>
            <w:pPr>
              <w:ind w:left="520"/>
              <w:spacing w:after="0"/>
              <w:rPr>
                <w:sz w:val="20"/>
                <w:szCs w:val="20"/>
                <w:color w:val="auto"/>
              </w:rPr>
            </w:pPr>
            <w:r>
              <w:rPr>
                <w:rFonts w:ascii="Arial" w:cs="Arial" w:eastAsia="Arial" w:hAnsi="Arial"/>
                <w:sz w:val="16"/>
                <w:szCs w:val="16"/>
                <w:color w:val="auto"/>
              </w:rPr>
              <w:t>Total West Shopping Centers</w:t>
            </w: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89"/>
              </w:rPr>
              <w:t>301,000</w:t>
            </w:r>
          </w:p>
        </w:tc>
        <w:tc>
          <w:tcPr>
            <w:tcW w:w="1280" w:type="dxa"/>
            <w:vAlign w:val="bottom"/>
            <w:gridSpan w:val="2"/>
            <w:shd w:val="clear" w:color="auto" w:fill="EEEEEE"/>
          </w:tcPr>
          <w:p>
            <w:pPr>
              <w:jc w:val="center"/>
              <w:ind w:left="219"/>
              <w:spacing w:after="0"/>
              <w:rPr>
                <w:sz w:val="20"/>
                <w:szCs w:val="20"/>
                <w:color w:val="auto"/>
              </w:rPr>
            </w:pPr>
            <w:r>
              <w:rPr>
                <w:rFonts w:ascii="Arial" w:cs="Arial" w:eastAsia="Arial" w:hAnsi="Arial"/>
                <w:sz w:val="16"/>
                <w:szCs w:val="16"/>
                <w:color w:val="auto"/>
                <w:w w:val="93"/>
              </w:rPr>
              <w:t>96%</w:t>
            </w:r>
          </w:p>
        </w:tc>
        <w:tc>
          <w:tcPr>
            <w:tcW w:w="300" w:type="dxa"/>
            <w:vAlign w:val="bottom"/>
            <w:shd w:val="clear" w:color="auto" w:fill="EEEEEE"/>
          </w:tcPr>
          <w:p>
            <w:pPr>
              <w:spacing w:after="0"/>
              <w:rPr>
                <w:sz w:val="17"/>
                <w:szCs w:val="17"/>
                <w:color w:val="auto"/>
              </w:rPr>
            </w:pPr>
          </w:p>
        </w:tc>
        <w:tc>
          <w:tcPr>
            <w:tcW w:w="17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WEST REGION, Cont.</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4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Square Feet (1)</w:t>
            </w:r>
          </w:p>
        </w:tc>
        <w:tc>
          <w:tcPr>
            <w:tcW w:w="4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4"/>
                <w:szCs w:val="14"/>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86"/>
        </w:trPr>
        <w:tc>
          <w:tcPr>
            <w:tcW w:w="316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4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Acquired</w:t>
            </w:r>
          </w:p>
        </w:tc>
        <w:tc>
          <w:tcPr>
            <w:tcW w:w="4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5"/>
              </w:rPr>
              <w:t>/Apartment Units</w:t>
            </w:r>
          </w:p>
        </w:tc>
        <w:tc>
          <w:tcPr>
            <w:tcW w:w="400" w:type="dxa"/>
            <w:vAlign w:val="bottom"/>
          </w:tcPr>
          <w:p>
            <w:pPr>
              <w:spacing w:after="0"/>
              <w:rPr>
                <w:sz w:val="16"/>
                <w:szCs w:val="16"/>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Leased (2)</w:t>
            </w:r>
          </w:p>
        </w:tc>
        <w:tc>
          <w:tcPr>
            <w:tcW w:w="4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89"/>
              </w:rPr>
              <w:t>Tenants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164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2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5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00" w:type="dxa"/>
            <w:vAlign w:val="bottom"/>
            <w:tcBorders>
              <w:bottom w:val="single" w:sz="8" w:color="auto"/>
            </w:tcBorders>
            <w:shd w:val="clear" w:color="auto" w:fill="EEEEEE"/>
          </w:tcPr>
          <w:p>
            <w:pPr>
              <w:spacing w:after="0" w:line="162" w:lineRule="exact"/>
              <w:rPr>
                <w:sz w:val="20"/>
                <w:szCs w:val="20"/>
                <w:color w:val="auto"/>
              </w:rPr>
            </w:pPr>
            <w:r>
              <w:rPr>
                <w:rFonts w:ascii="Arial" w:cs="Arial" w:eastAsia="Arial" w:hAnsi="Arial"/>
                <w:sz w:val="16"/>
                <w:szCs w:val="16"/>
                <w:color w:val="auto"/>
                <w:w w:val="89"/>
              </w:rPr>
              <w:t>Street Retail Properties</w:t>
            </w:r>
          </w:p>
        </w:tc>
        <w:tc>
          <w:tcPr>
            <w:tcW w:w="164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96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96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110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940" w:type="dxa"/>
            <w:vAlign w:val="bottom"/>
            <w:tcBorders>
              <w:bottom w:val="single" w:sz="8" w:color="EEEEEE"/>
            </w:tcBorders>
            <w:shd w:val="clear" w:color="auto" w:fill="EEEEEE"/>
          </w:tcPr>
          <w:p>
            <w:pPr>
              <w:spacing w:after="0"/>
              <w:rPr>
                <w:sz w:val="15"/>
                <w:szCs w:val="15"/>
                <w:color w:val="auto"/>
              </w:rPr>
            </w:pPr>
          </w:p>
        </w:tc>
        <w:tc>
          <w:tcPr>
            <w:tcW w:w="400" w:type="dxa"/>
            <w:vAlign w:val="bottom"/>
            <w:tcBorders>
              <w:bottom w:val="single" w:sz="8" w:color="EEEEEE"/>
            </w:tcBorders>
            <w:shd w:val="clear" w:color="auto" w:fill="EEEEEE"/>
          </w:tcPr>
          <w:p>
            <w:pPr>
              <w:spacing w:after="0"/>
              <w:rPr>
                <w:sz w:val="15"/>
                <w:szCs w:val="15"/>
                <w:color w:val="auto"/>
              </w:rPr>
            </w:pPr>
          </w:p>
        </w:tc>
        <w:tc>
          <w:tcPr>
            <w:tcW w:w="230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3160" w:type="dxa"/>
            <w:vAlign w:val="bottom"/>
            <w:gridSpan w:val="3"/>
          </w:tcPr>
          <w:p>
            <w:pPr>
              <w:spacing w:after="0"/>
              <w:rPr>
                <w:sz w:val="20"/>
                <w:szCs w:val="20"/>
                <w:color w:val="auto"/>
              </w:rPr>
            </w:pPr>
            <w:r>
              <w:rPr>
                <w:rFonts w:ascii="Arial" w:cs="Arial" w:eastAsia="Arial" w:hAnsi="Arial"/>
                <w:sz w:val="16"/>
                <w:szCs w:val="16"/>
                <w:color w:val="auto"/>
              </w:rPr>
              <w:t>Old Town Center</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89"/>
              </w:rPr>
              <w:t>1962</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89"/>
              </w:rPr>
              <w:t>1997</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95,000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96%</w:t>
            </w: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Borders Books and Music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tcPr>
          <w:p>
            <w:pPr>
              <w:ind w:left="120"/>
              <w:spacing w:after="0"/>
              <w:rPr>
                <w:sz w:val="20"/>
                <w:szCs w:val="20"/>
                <w:color w:val="auto"/>
              </w:rPr>
            </w:pPr>
            <w:r>
              <w:rPr>
                <w:rFonts w:ascii="Arial" w:cs="Arial" w:eastAsia="Arial" w:hAnsi="Arial"/>
                <w:sz w:val="16"/>
                <w:szCs w:val="16"/>
                <w:color w:val="auto"/>
              </w:rPr>
              <w:t>Los Gatos, CA 95030</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Gap Kids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Banana Republic</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150 Post Street</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1965</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1997</w:t>
            </w: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color w:val="auto"/>
                <w:w w:val="89"/>
              </w:rPr>
              <w:t>101,000</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58%</w:t>
            </w:r>
          </w:p>
        </w:tc>
        <w:tc>
          <w:tcPr>
            <w:tcW w:w="2700" w:type="dxa"/>
            <w:vAlign w:val="bottom"/>
            <w:gridSpan w:val="2"/>
            <w:shd w:val="clear" w:color="auto" w:fill="EEEEEE"/>
          </w:tcPr>
          <w:p>
            <w:pPr>
              <w:ind w:left="400"/>
              <w:spacing w:after="0"/>
              <w:rPr>
                <w:sz w:val="20"/>
                <w:szCs w:val="20"/>
                <w:color w:val="auto"/>
              </w:rPr>
            </w:pPr>
            <w:r>
              <w:rPr>
                <w:rFonts w:ascii="Arial" w:cs="Arial" w:eastAsia="Arial" w:hAnsi="Arial"/>
                <w:sz w:val="16"/>
                <w:szCs w:val="16"/>
                <w:color w:val="auto"/>
              </w:rPr>
              <w:t>Brooks Brothers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San Francisco, CA 94108</w:t>
            </w: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160" w:type="dxa"/>
            <w:vAlign w:val="bottom"/>
            <w:gridSpan w:val="3"/>
          </w:tcPr>
          <w:p>
            <w:pPr>
              <w:spacing w:after="0"/>
              <w:rPr>
                <w:sz w:val="20"/>
                <w:szCs w:val="20"/>
                <w:color w:val="auto"/>
              </w:rPr>
            </w:pPr>
            <w:r>
              <w:rPr>
                <w:rFonts w:ascii="Arial" w:cs="Arial" w:eastAsia="Arial" w:hAnsi="Arial"/>
                <w:sz w:val="16"/>
                <w:szCs w:val="16"/>
                <w:color w:val="auto"/>
              </w:rPr>
              <w:t>Nine buildings in Santa Monica, CA (10)</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1888 - 1995</w:t>
            </w:r>
          </w:p>
        </w:tc>
        <w:tc>
          <w:tcPr>
            <w:tcW w:w="1360" w:type="dxa"/>
            <w:vAlign w:val="bottom"/>
            <w:gridSpan w:val="2"/>
          </w:tcPr>
          <w:p>
            <w:pPr>
              <w:jc w:val="center"/>
              <w:ind w:left="339"/>
              <w:spacing w:after="0"/>
              <w:rPr>
                <w:sz w:val="20"/>
                <w:szCs w:val="20"/>
                <w:color w:val="auto"/>
              </w:rPr>
            </w:pPr>
            <w:r>
              <w:rPr>
                <w:rFonts w:ascii="Arial" w:cs="Arial" w:eastAsia="Arial" w:hAnsi="Arial"/>
                <w:sz w:val="16"/>
                <w:szCs w:val="16"/>
                <w:color w:val="auto"/>
                <w:w w:val="91"/>
              </w:rPr>
              <w:t>1996 - 2000</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209,000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98%</w:t>
            </w: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Abercrombie &amp; Fitch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J. Crew</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Old Navy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Banana Republic</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Two buildings in Hollywood, CA (11)</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1921 - 1991</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1999</w:t>
            </w: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color w:val="auto"/>
                <w:w w:val="89"/>
              </w:rPr>
              <w:t>151,000</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90%</w:t>
            </w:r>
          </w:p>
        </w:tc>
        <w:tc>
          <w:tcPr>
            <w:tcW w:w="2700" w:type="dxa"/>
            <w:vAlign w:val="bottom"/>
            <w:gridSpan w:val="2"/>
            <w:shd w:val="clear" w:color="auto" w:fill="EEEEEE"/>
          </w:tcPr>
          <w:p>
            <w:pPr>
              <w:ind w:left="400"/>
              <w:spacing w:after="0"/>
              <w:rPr>
                <w:sz w:val="20"/>
                <w:szCs w:val="20"/>
                <w:color w:val="auto"/>
              </w:rPr>
            </w:pPr>
            <w:r>
              <w:rPr>
                <w:rFonts w:ascii="Arial" w:cs="Arial" w:eastAsia="Arial" w:hAnsi="Arial"/>
                <w:sz w:val="16"/>
                <w:szCs w:val="16"/>
                <w:color w:val="auto"/>
                <w:w w:val="93"/>
              </w:rPr>
              <w:t>Hollywood Entertainment Museum</w:t>
            </w:r>
          </w:p>
        </w:tc>
        <w:tc>
          <w:tcPr>
            <w:tcW w:w="0" w:type="dxa"/>
            <w:vAlign w:val="bottom"/>
          </w:tcPr>
          <w:p>
            <w:pPr>
              <w:spacing w:after="0"/>
              <w:rPr>
                <w:sz w:val="1"/>
                <w:szCs w:val="1"/>
                <w:color w:val="auto"/>
              </w:rPr>
            </w:pPr>
          </w:p>
        </w:tc>
      </w:tr>
      <w:tr>
        <w:trPr>
          <w:trHeight w:val="399"/>
        </w:trPr>
        <w:tc>
          <w:tcPr>
            <w:tcW w:w="3160" w:type="dxa"/>
            <w:vAlign w:val="bottom"/>
            <w:gridSpan w:val="3"/>
          </w:tcPr>
          <w:p>
            <w:pPr>
              <w:spacing w:after="0"/>
              <w:rPr>
                <w:sz w:val="20"/>
                <w:szCs w:val="20"/>
                <w:color w:val="auto"/>
              </w:rPr>
            </w:pPr>
            <w:r>
              <w:rPr>
                <w:rFonts w:ascii="Arial" w:cs="Arial" w:eastAsia="Arial" w:hAnsi="Arial"/>
                <w:sz w:val="16"/>
                <w:szCs w:val="16"/>
                <w:color w:val="auto"/>
              </w:rPr>
              <w:t>Four buildings in San Diego, CA (12)</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1888 - 1995</w:t>
            </w:r>
          </w:p>
        </w:tc>
        <w:tc>
          <w:tcPr>
            <w:tcW w:w="1360" w:type="dxa"/>
            <w:vAlign w:val="bottom"/>
            <w:gridSpan w:val="2"/>
          </w:tcPr>
          <w:p>
            <w:pPr>
              <w:jc w:val="center"/>
              <w:ind w:left="339"/>
              <w:spacing w:after="0"/>
              <w:rPr>
                <w:sz w:val="20"/>
                <w:szCs w:val="20"/>
                <w:color w:val="auto"/>
              </w:rPr>
            </w:pPr>
            <w:r>
              <w:rPr>
                <w:rFonts w:ascii="Arial" w:cs="Arial" w:eastAsia="Arial" w:hAnsi="Arial"/>
                <w:sz w:val="16"/>
                <w:szCs w:val="16"/>
                <w:color w:val="auto"/>
                <w:w w:val="91"/>
              </w:rPr>
              <w:t>1996 - 1997</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51,000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95%</w:t>
            </w: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Urban Outfitters</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One building in Hermosa, CA (13)</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1922</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1997</w:t>
            </w: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color w:val="auto"/>
                <w:w w:val="89"/>
              </w:rPr>
              <w:t>23,000</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2"/>
              </w:rPr>
              <w:t>100%</w:t>
            </w:r>
          </w:p>
        </w:tc>
        <w:tc>
          <w:tcPr>
            <w:tcW w:w="40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160" w:type="dxa"/>
            <w:vAlign w:val="bottom"/>
            <w:gridSpan w:val="3"/>
          </w:tcPr>
          <w:p>
            <w:pPr>
              <w:spacing w:after="0"/>
              <w:rPr>
                <w:sz w:val="20"/>
                <w:szCs w:val="20"/>
                <w:color w:val="auto"/>
              </w:rPr>
            </w:pPr>
            <w:r>
              <w:rPr>
                <w:rFonts w:ascii="Arial" w:cs="Arial" w:eastAsia="Arial" w:hAnsi="Arial"/>
                <w:sz w:val="16"/>
                <w:szCs w:val="16"/>
                <w:color w:val="auto"/>
              </w:rPr>
              <w:t>Two buildings in Pasadena, CA (14)</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89"/>
              </w:rPr>
              <w:t>1922</w:t>
            </w:r>
          </w:p>
        </w:tc>
        <w:tc>
          <w:tcPr>
            <w:tcW w:w="1360" w:type="dxa"/>
            <w:vAlign w:val="bottom"/>
            <w:gridSpan w:val="2"/>
          </w:tcPr>
          <w:p>
            <w:pPr>
              <w:jc w:val="center"/>
              <w:ind w:left="339"/>
              <w:spacing w:after="0"/>
              <w:rPr>
                <w:sz w:val="20"/>
                <w:szCs w:val="20"/>
                <w:color w:val="auto"/>
              </w:rPr>
            </w:pPr>
            <w:r>
              <w:rPr>
                <w:rFonts w:ascii="Arial" w:cs="Arial" w:eastAsia="Arial" w:hAnsi="Arial"/>
                <w:sz w:val="16"/>
                <w:szCs w:val="16"/>
                <w:color w:val="auto"/>
                <w:w w:val="91"/>
              </w:rPr>
              <w:t>1996 - 1998</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69,000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96%</w:t>
            </w: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Pottery Barn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Banana Republic</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Two buildings in AZ (15)</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1996 - 1998</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1998</w:t>
            </w: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color w:val="auto"/>
                <w:w w:val="89"/>
              </w:rPr>
              <w:t>40,000</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2"/>
              </w:rPr>
              <w:t>100%</w:t>
            </w:r>
          </w:p>
        </w:tc>
        <w:tc>
          <w:tcPr>
            <w:tcW w:w="2700" w:type="dxa"/>
            <w:vAlign w:val="bottom"/>
            <w:gridSpan w:val="2"/>
            <w:shd w:val="clear" w:color="auto" w:fill="EEEEEE"/>
          </w:tcPr>
          <w:p>
            <w:pPr>
              <w:ind w:left="400"/>
              <w:spacing w:after="0"/>
              <w:rPr>
                <w:sz w:val="20"/>
                <w:szCs w:val="20"/>
                <w:color w:val="auto"/>
              </w:rPr>
            </w:pPr>
            <w:r>
              <w:rPr>
                <w:rFonts w:ascii="Arial" w:cs="Arial" w:eastAsia="Arial" w:hAnsi="Arial"/>
                <w:sz w:val="16"/>
                <w:szCs w:val="16"/>
                <w:color w:val="auto"/>
              </w:rPr>
              <w:t>Gordon Biersch Brewing Co.</w:t>
            </w:r>
          </w:p>
        </w:tc>
        <w:tc>
          <w:tcPr>
            <w:tcW w:w="0" w:type="dxa"/>
            <w:vAlign w:val="bottom"/>
          </w:tcPr>
          <w:p>
            <w:pPr>
              <w:spacing w:after="0"/>
              <w:rPr>
                <w:sz w:val="1"/>
                <w:szCs w:val="1"/>
                <w:color w:val="auto"/>
              </w:rPr>
            </w:pPr>
          </w:p>
        </w:tc>
      </w:tr>
      <w:tr>
        <w:trPr>
          <w:trHeight w:val="395"/>
        </w:trPr>
        <w:tc>
          <w:tcPr>
            <w:tcW w:w="3160" w:type="dxa"/>
            <w:vAlign w:val="bottom"/>
            <w:gridSpan w:val="3"/>
          </w:tcPr>
          <w:p>
            <w:pPr>
              <w:spacing w:after="0"/>
              <w:rPr>
                <w:sz w:val="20"/>
                <w:szCs w:val="20"/>
                <w:color w:val="auto"/>
              </w:rPr>
            </w:pPr>
            <w:r>
              <w:rPr>
                <w:rFonts w:ascii="Arial" w:cs="Arial" w:eastAsia="Arial" w:hAnsi="Arial"/>
                <w:sz w:val="16"/>
                <w:szCs w:val="16"/>
                <w:color w:val="auto"/>
              </w:rPr>
              <w:t>Santana Row — Retail (16)</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89"/>
              </w:rPr>
              <w:t>2002</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89"/>
              </w:rPr>
              <w:t>1997</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529,000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89%</w:t>
            </w: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Crate &amp; Barrel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tcPr>
          <w:p>
            <w:pPr>
              <w:ind w:left="120"/>
              <w:spacing w:after="0"/>
              <w:rPr>
                <w:sz w:val="20"/>
                <w:szCs w:val="20"/>
                <w:color w:val="auto"/>
              </w:rPr>
            </w:pPr>
            <w:r>
              <w:rPr>
                <w:rFonts w:ascii="Arial" w:cs="Arial" w:eastAsia="Arial" w:hAnsi="Arial"/>
                <w:sz w:val="16"/>
                <w:szCs w:val="16"/>
                <w:color w:val="auto"/>
              </w:rPr>
              <w:t>San Jose, CA 95128</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Borders Books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Container Store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gridSpan w:val="2"/>
          </w:tcPr>
          <w:p>
            <w:pPr>
              <w:ind w:left="400"/>
              <w:spacing w:after="0"/>
              <w:rPr>
                <w:sz w:val="20"/>
                <w:szCs w:val="20"/>
                <w:color w:val="auto"/>
              </w:rPr>
            </w:pPr>
            <w:r>
              <w:rPr>
                <w:rFonts w:ascii="Arial" w:cs="Arial" w:eastAsia="Arial" w:hAnsi="Arial"/>
                <w:sz w:val="16"/>
                <w:szCs w:val="16"/>
                <w:color w:val="auto"/>
              </w:rPr>
              <w:t>Best Buy</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4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Santana Row — Residential</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2003</w:t>
            </w:r>
          </w:p>
        </w:tc>
        <w:tc>
          <w:tcPr>
            <w:tcW w:w="136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89"/>
              </w:rPr>
              <w:t>1997</w:t>
            </w:r>
          </w:p>
        </w:tc>
        <w:tc>
          <w:tcPr>
            <w:tcW w:w="400" w:type="dxa"/>
            <w:vAlign w:val="bottom"/>
            <w:shd w:val="clear" w:color="auto" w:fill="EEEEEE"/>
          </w:tcPr>
          <w:p>
            <w:pPr>
              <w:spacing w:after="0"/>
              <w:rPr>
                <w:sz w:val="17"/>
                <w:szCs w:val="17"/>
                <w:color w:val="auto"/>
              </w:rPr>
            </w:pPr>
          </w:p>
        </w:tc>
        <w:tc>
          <w:tcPr>
            <w:tcW w:w="110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92"/>
              </w:rPr>
              <w:t>255 units</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97%</w:t>
            </w:r>
          </w:p>
        </w:tc>
        <w:tc>
          <w:tcPr>
            <w:tcW w:w="40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EEEEEE"/>
          </w:tcPr>
          <w:p>
            <w:pPr>
              <w:ind w:left="120"/>
              <w:spacing w:after="0"/>
              <w:rPr>
                <w:sz w:val="20"/>
                <w:szCs w:val="20"/>
                <w:color w:val="auto"/>
              </w:rPr>
            </w:pPr>
            <w:r>
              <w:rPr>
                <w:rFonts w:ascii="Arial" w:cs="Arial" w:eastAsia="Arial" w:hAnsi="Arial"/>
                <w:sz w:val="16"/>
                <w:szCs w:val="16"/>
                <w:color w:val="auto"/>
              </w:rPr>
              <w:t>San Jose, CA 95128</w:t>
            </w: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160" w:type="dxa"/>
            <w:vAlign w:val="bottom"/>
            <w:gridSpan w:val="3"/>
          </w:tcPr>
          <w:p>
            <w:pPr>
              <w:spacing w:after="0"/>
              <w:rPr>
                <w:sz w:val="20"/>
                <w:szCs w:val="20"/>
                <w:color w:val="auto"/>
              </w:rPr>
            </w:pPr>
            <w:r>
              <w:rPr>
                <w:rFonts w:ascii="Arial" w:cs="Arial" w:eastAsia="Arial" w:hAnsi="Arial"/>
                <w:sz w:val="16"/>
                <w:szCs w:val="16"/>
                <w:color w:val="auto"/>
              </w:rPr>
              <w:t>Nine buildings in San Antonio, TX (17)</w:t>
            </w:r>
          </w:p>
        </w:tc>
        <w:tc>
          <w:tcPr>
            <w:tcW w:w="136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1890 - 1935</w:t>
            </w:r>
          </w:p>
        </w:tc>
        <w:tc>
          <w:tcPr>
            <w:tcW w:w="1360" w:type="dxa"/>
            <w:vAlign w:val="bottom"/>
            <w:gridSpan w:val="2"/>
          </w:tcPr>
          <w:p>
            <w:pPr>
              <w:jc w:val="center"/>
              <w:ind w:left="339"/>
              <w:spacing w:after="0"/>
              <w:rPr>
                <w:sz w:val="20"/>
                <w:szCs w:val="20"/>
                <w:color w:val="auto"/>
              </w:rPr>
            </w:pPr>
            <w:r>
              <w:rPr>
                <w:rFonts w:ascii="Arial" w:cs="Arial" w:eastAsia="Arial" w:hAnsi="Arial"/>
                <w:sz w:val="16"/>
                <w:szCs w:val="16"/>
                <w:color w:val="auto"/>
                <w:w w:val="91"/>
              </w:rPr>
              <w:t>1998 - 1999</w:t>
            </w:r>
          </w:p>
        </w:tc>
        <w:tc>
          <w:tcPr>
            <w:tcW w:w="1500" w:type="dxa"/>
            <w:vAlign w:val="bottom"/>
            <w:gridSpan w:val="2"/>
          </w:tcPr>
          <w:p>
            <w:pPr>
              <w:jc w:val="center"/>
              <w:ind w:left="339"/>
              <w:spacing w:after="0"/>
              <w:rPr>
                <w:sz w:val="20"/>
                <w:szCs w:val="20"/>
                <w:color w:val="auto"/>
              </w:rPr>
            </w:pPr>
            <w:r>
              <w:rPr>
                <w:rFonts w:ascii="Arial" w:cs="Arial" w:eastAsia="Arial" w:hAnsi="Arial"/>
                <w:sz w:val="16"/>
                <w:szCs w:val="16"/>
                <w:color w:val="auto"/>
                <w:w w:val="89"/>
              </w:rPr>
              <w:t>170,000</w:t>
            </w:r>
          </w:p>
        </w:tc>
        <w:tc>
          <w:tcPr>
            <w:tcW w:w="1340" w:type="dxa"/>
            <w:vAlign w:val="bottom"/>
            <w:gridSpan w:val="2"/>
          </w:tcPr>
          <w:p>
            <w:pPr>
              <w:jc w:val="center"/>
              <w:ind w:left="319"/>
              <w:spacing w:after="0"/>
              <w:rPr>
                <w:sz w:val="20"/>
                <w:szCs w:val="20"/>
                <w:color w:val="auto"/>
              </w:rPr>
            </w:pPr>
            <w:r>
              <w:rPr>
                <w:rFonts w:ascii="Arial" w:cs="Arial" w:eastAsia="Arial" w:hAnsi="Arial"/>
                <w:sz w:val="16"/>
                <w:szCs w:val="16"/>
                <w:color w:val="auto"/>
                <w:w w:val="93"/>
              </w:rPr>
              <w:t>67%</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top w:val="single" w:sz="8" w:color="808080"/>
            </w:tcBorders>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top w:val="single" w:sz="8" w:color="808080"/>
            </w:tcBorders>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EEEEEE"/>
          </w:tcPr>
          <w:p>
            <w:pPr>
              <w:ind w:left="520"/>
              <w:spacing w:after="0"/>
              <w:rPr>
                <w:sz w:val="20"/>
                <w:szCs w:val="20"/>
                <w:color w:val="auto"/>
              </w:rPr>
            </w:pPr>
            <w:r>
              <w:rPr>
                <w:rFonts w:ascii="Arial" w:cs="Arial" w:eastAsia="Arial" w:hAnsi="Arial"/>
                <w:sz w:val="16"/>
                <w:szCs w:val="16"/>
                <w:color w:val="auto"/>
              </w:rPr>
              <w:t>Total West Street Retail Properties</w:t>
            </w: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color w:val="auto"/>
                <w:w w:val="89"/>
              </w:rPr>
              <w:t>1,438,000</w:t>
            </w:r>
          </w:p>
        </w:tc>
        <w:tc>
          <w:tcPr>
            <w:tcW w:w="1340" w:type="dxa"/>
            <w:vAlign w:val="bottom"/>
            <w:gridSpan w:val="2"/>
            <w:shd w:val="clear" w:color="auto" w:fill="EEEEEE"/>
          </w:tcPr>
          <w:p>
            <w:pPr>
              <w:jc w:val="center"/>
              <w:ind w:left="319"/>
              <w:spacing w:after="0"/>
              <w:rPr>
                <w:sz w:val="20"/>
                <w:szCs w:val="20"/>
                <w:color w:val="auto"/>
              </w:rPr>
            </w:pPr>
            <w:r>
              <w:rPr>
                <w:rFonts w:ascii="Arial" w:cs="Arial" w:eastAsia="Arial" w:hAnsi="Arial"/>
                <w:sz w:val="16"/>
                <w:szCs w:val="16"/>
                <w:color w:val="auto"/>
                <w:w w:val="93"/>
              </w:rPr>
              <w:t>87%</w:t>
            </w:r>
          </w:p>
        </w:tc>
        <w:tc>
          <w:tcPr>
            <w:tcW w:w="400" w:type="dxa"/>
            <w:vAlign w:val="bottom"/>
            <w:shd w:val="clear" w:color="auto" w:fill="EEEEEE"/>
          </w:tcPr>
          <w:p>
            <w:pPr>
              <w:spacing w:after="0"/>
              <w:rPr>
                <w:sz w:val="17"/>
                <w:szCs w:val="17"/>
                <w:color w:val="auto"/>
              </w:rPr>
            </w:pPr>
          </w:p>
        </w:tc>
        <w:tc>
          <w:tcPr>
            <w:tcW w:w="2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140" w:type="dxa"/>
            <w:vAlign w:val="bottom"/>
            <w:gridSpan w:val="2"/>
          </w:tcPr>
          <w:p>
            <w:pPr>
              <w:ind w:left="520"/>
              <w:spacing w:after="0"/>
              <w:rPr>
                <w:sz w:val="20"/>
                <w:szCs w:val="20"/>
                <w:color w:val="auto"/>
              </w:rPr>
            </w:pPr>
            <w:r>
              <w:rPr>
                <w:rFonts w:ascii="Arial" w:cs="Arial" w:eastAsia="Arial" w:hAnsi="Arial"/>
                <w:sz w:val="16"/>
                <w:szCs w:val="16"/>
                <w:b w:val="1"/>
                <w:bCs w:val="1"/>
                <w:color w:val="auto"/>
              </w:rPr>
              <w:t>Total West Region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89"/>
              </w:rPr>
              <w:t>1,739,000</w:t>
            </w:r>
          </w:p>
        </w:tc>
        <w:tc>
          <w:tcPr>
            <w:tcW w:w="134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99"/>
              </w:rPr>
              <w:t>88%</w:t>
            </w: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Borders>
              <w:top w:val="single" w:sz="8" w:color="808080"/>
            </w:tcBorders>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top w:val="single" w:sz="8" w:color="808080"/>
            </w:tcBorders>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gridSpan w:val="2"/>
            <w:shd w:val="clear" w:color="auto" w:fill="EEEEEE"/>
          </w:tcPr>
          <w:p>
            <w:pPr>
              <w:ind w:left="520"/>
              <w:spacing w:after="0"/>
              <w:rPr>
                <w:sz w:val="20"/>
                <w:szCs w:val="20"/>
                <w:color w:val="auto"/>
              </w:rPr>
            </w:pPr>
            <w:r>
              <w:rPr>
                <w:rFonts w:ascii="Arial" w:cs="Arial" w:eastAsia="Arial" w:hAnsi="Arial"/>
                <w:sz w:val="16"/>
                <w:szCs w:val="16"/>
                <w:b w:val="1"/>
                <w:bCs w:val="1"/>
                <w:color w:val="auto"/>
              </w:rPr>
              <w:t>Total All Regions</w:t>
            </w: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b w:val="1"/>
                <w:bCs w:val="1"/>
                <w:color w:val="auto"/>
                <w:w w:val="89"/>
              </w:rPr>
              <w:t>16,234,000</w:t>
            </w:r>
          </w:p>
        </w:tc>
        <w:tc>
          <w:tcPr>
            <w:tcW w:w="1340" w:type="dxa"/>
            <w:vAlign w:val="bottom"/>
            <w:gridSpan w:val="2"/>
            <w:shd w:val="clear" w:color="auto" w:fill="EEEEEE"/>
          </w:tcPr>
          <w:p>
            <w:pPr>
              <w:jc w:val="center"/>
              <w:ind w:left="339"/>
              <w:spacing w:after="0"/>
              <w:rPr>
                <w:sz w:val="20"/>
                <w:szCs w:val="20"/>
                <w:color w:val="auto"/>
              </w:rPr>
            </w:pPr>
            <w:r>
              <w:rPr>
                <w:rFonts w:ascii="Arial" w:cs="Arial" w:eastAsia="Arial" w:hAnsi="Arial"/>
                <w:sz w:val="16"/>
                <w:szCs w:val="16"/>
                <w:b w:val="1"/>
                <w:bCs w:val="1"/>
                <w:color w:val="auto"/>
                <w:w w:val="99"/>
              </w:rPr>
              <w:t>93%</w:t>
            </w:r>
          </w:p>
        </w:tc>
        <w:tc>
          <w:tcPr>
            <w:tcW w:w="400" w:type="dxa"/>
            <w:vAlign w:val="bottom"/>
            <w:shd w:val="clear" w:color="auto" w:fill="EEEEEE"/>
          </w:tcPr>
          <w:p>
            <w:pPr>
              <w:spacing w:after="0"/>
              <w:rPr>
                <w:sz w:val="18"/>
                <w:szCs w:val="18"/>
                <w:color w:val="auto"/>
              </w:rPr>
            </w:pPr>
          </w:p>
        </w:tc>
        <w:tc>
          <w:tcPr>
            <w:tcW w:w="2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physical square feet of the property, which may differ from the gross leasable square feet used to express occupancy.</w:t>
      </w:r>
    </w:p>
    <w:p>
      <w:pPr>
        <w:spacing w:after="0" w:line="23"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Percentage Leased is expressed as a percentage of rentable square feet and includes square feet covered by leases for stores not yet opened. Regional and Total Occupancy reflects retail occupancy only.</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leasehold interest in this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99.99% general and limited partnership interests in these properties.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a 55.7% general partnership interest in this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this property in a “downreit” partnership.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or a portion of this property is subject to a ground lease.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property contains ten buildings; seven are subject to a leasehold interest, one is subject to a ground lease and two are owned 100% by us.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the controlling interest in this center.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100% of seven buildings and a 90% general partnership interest in two buildings.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a 90% general partnership interest in these buildings.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100% of three buildings and a 90% general partnership interest in one building.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a 90% general partnership interest in this building.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100% of one building and a 90% general partnership interest in one building.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own 100% of one building and an 85% partnership interest in the second building.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Square footage and number of tenants apply to Phase I and II retail. No future retail phases are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redeveloping these properties, many of which are currently vacant.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ind w:right="40" w:firstLine="225"/>
        <w:spacing w:after="0" w:line="279" w:lineRule="auto"/>
        <w:rPr>
          <w:sz w:val="20"/>
          <w:szCs w:val="20"/>
          <w:color w:val="auto"/>
        </w:rPr>
      </w:pPr>
      <w:r>
        <w:rPr>
          <w:rFonts w:ascii="Arial" w:cs="Arial" w:eastAsia="Arial" w:hAnsi="Arial"/>
          <w:sz w:val="17"/>
          <w:szCs w:val="17"/>
          <w:color w:val="auto"/>
        </w:rPr>
        <w:t>Neither we nor any of our properties are currently subject to any material legal proceeding nor, to our knowledge, is any material litigation currently threatened against us or any of our properties.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Shareholders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matters were submitted to a vote of our shareholders during the fourth quarter of the fiscal year ended December 31, 2003.</w:t>
      </w:r>
    </w:p>
    <w:p>
      <w:pPr>
        <w:spacing w:after="0" w:line="19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Our Common Equity and Related Shareholder Matters</w:t>
      </w:r>
    </w:p>
    <w:p>
      <w:pPr>
        <w:spacing w:after="0" w:line="18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600" w:type="dxa"/>
            <w:vAlign w:val="bottom"/>
            <w:gridSpan w:val="3"/>
          </w:tcPr>
          <w:p>
            <w:pPr>
              <w:ind w:left="1500"/>
              <w:spacing w:after="0"/>
              <w:rPr>
                <w:sz w:val="20"/>
                <w:szCs w:val="20"/>
                <w:color w:val="auto"/>
              </w:rPr>
            </w:pPr>
            <w:r>
              <w:rPr>
                <w:rFonts w:ascii="Arial" w:cs="Arial" w:eastAsia="Arial" w:hAnsi="Arial"/>
                <w:sz w:val="14"/>
                <w:szCs w:val="14"/>
                <w:b w:val="1"/>
                <w:bCs w:val="1"/>
                <w:color w:val="auto"/>
              </w:rPr>
              <w:t>Price per Share</w:t>
            </w:r>
          </w:p>
        </w:tc>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b w:val="1"/>
                <w:bCs w:val="1"/>
                <w:color w:val="auto"/>
                <w:w w:val="97"/>
              </w:rPr>
              <w:t>Dividends Declared Per Share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0" w:type="dxa"/>
            <w:vAlign w:val="bottom"/>
            <w:gridSpan w:val="3"/>
          </w:tcPr>
          <w:p>
            <w:pPr>
              <w:ind w:left="700"/>
              <w:spacing w:after="0"/>
              <w:rPr>
                <w:sz w:val="20"/>
                <w:szCs w:val="20"/>
                <w:color w:val="auto"/>
              </w:rPr>
            </w:pPr>
            <w:r>
              <w:rPr>
                <w:rFonts w:ascii="Arial" w:cs="Arial" w:eastAsia="Arial" w:hAnsi="Arial"/>
                <w:sz w:val="14"/>
                <w:szCs w:val="14"/>
                <w:b w:val="1"/>
                <w:bCs w:val="1"/>
                <w:color w:val="auto"/>
              </w:rPr>
              <w:t>High</w:t>
            </w:r>
          </w:p>
        </w:tc>
        <w:tc>
          <w:tcPr>
            <w:tcW w:w="1340" w:type="dxa"/>
            <w:vAlign w:val="bottom"/>
          </w:tcPr>
          <w:p>
            <w:pPr>
              <w:jc w:val="right"/>
              <w:ind w:right="632"/>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4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2003</w:t>
            </w:r>
          </w:p>
        </w:tc>
        <w:tc>
          <w:tcPr>
            <w:tcW w:w="17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720" w:type="dxa"/>
            <w:vAlign w:val="bottom"/>
          </w:tcPr>
          <w:p>
            <w:pPr>
              <w:jc w:val="right"/>
              <w:ind w:right="634"/>
              <w:spacing w:after="0"/>
              <w:rPr>
                <w:sz w:val="20"/>
                <w:szCs w:val="20"/>
                <w:color w:val="auto"/>
              </w:rPr>
            </w:pPr>
            <w:r>
              <w:rPr>
                <w:rFonts w:ascii="Arial" w:cs="Arial" w:eastAsia="Arial" w:hAnsi="Arial"/>
                <w:sz w:val="18"/>
                <w:szCs w:val="18"/>
                <w:color w:val="auto"/>
              </w:rPr>
              <w:t>$39.80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$36.80</w:t>
            </w:r>
          </w:p>
        </w:tc>
        <w:tc>
          <w:tcPr>
            <w:tcW w:w="2620" w:type="dxa"/>
            <w:vAlign w:val="bottom"/>
            <w:gridSpan w:val="2"/>
          </w:tcPr>
          <w:p>
            <w:pPr>
              <w:jc w:val="right"/>
              <w:ind w:right="848"/>
              <w:spacing w:after="0"/>
              <w:rPr>
                <w:sz w:val="20"/>
                <w:szCs w:val="20"/>
                <w:color w:val="auto"/>
              </w:rPr>
            </w:pPr>
            <w:r>
              <w:rPr>
                <w:rFonts w:ascii="Arial" w:cs="Arial" w:eastAsia="Arial" w:hAnsi="Arial"/>
                <w:sz w:val="18"/>
                <w:szCs w:val="18"/>
                <w:color w:val="auto"/>
              </w:rPr>
              <w:t>$0.490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Third quarter</w:t>
            </w:r>
          </w:p>
        </w:tc>
        <w:tc>
          <w:tcPr>
            <w:tcW w:w="1720" w:type="dxa"/>
            <w:vAlign w:val="bottom"/>
            <w:shd w:val="clear" w:color="auto" w:fill="EEEEEE"/>
          </w:tcPr>
          <w:p>
            <w:pPr>
              <w:jc w:val="right"/>
              <w:ind w:right="634"/>
              <w:spacing w:after="0"/>
              <w:rPr>
                <w:sz w:val="20"/>
                <w:szCs w:val="20"/>
                <w:color w:val="auto"/>
              </w:rPr>
            </w:pPr>
            <w:r>
              <w:rPr>
                <w:rFonts w:ascii="Arial" w:cs="Arial" w:eastAsia="Arial" w:hAnsi="Arial"/>
                <w:sz w:val="18"/>
                <w:szCs w:val="18"/>
                <w:color w:val="auto"/>
              </w:rPr>
              <w:t>36.86</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32.82</w:t>
            </w:r>
          </w:p>
        </w:tc>
        <w:tc>
          <w:tcPr>
            <w:tcW w:w="2620" w:type="dxa"/>
            <w:vAlign w:val="bottom"/>
            <w:gridSpan w:val="2"/>
            <w:shd w:val="clear" w:color="auto" w:fill="EEEEEE"/>
          </w:tcPr>
          <w:p>
            <w:pPr>
              <w:jc w:val="right"/>
              <w:ind w:right="848"/>
              <w:spacing w:after="0"/>
              <w:rPr>
                <w:sz w:val="20"/>
                <w:szCs w:val="20"/>
                <w:color w:val="auto"/>
              </w:rPr>
            </w:pPr>
            <w:r>
              <w:rPr>
                <w:rFonts w:ascii="Arial" w:cs="Arial" w:eastAsia="Arial" w:hAnsi="Arial"/>
                <w:sz w:val="18"/>
                <w:szCs w:val="18"/>
                <w:color w:val="auto"/>
              </w:rPr>
              <w:t>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720" w:type="dxa"/>
            <w:vAlign w:val="bottom"/>
          </w:tcPr>
          <w:p>
            <w:pPr>
              <w:jc w:val="right"/>
              <w:ind w:right="634"/>
              <w:spacing w:after="0"/>
              <w:rPr>
                <w:sz w:val="20"/>
                <w:szCs w:val="20"/>
                <w:color w:val="auto"/>
              </w:rPr>
            </w:pPr>
            <w:r>
              <w:rPr>
                <w:rFonts w:ascii="Arial" w:cs="Arial" w:eastAsia="Arial" w:hAnsi="Arial"/>
                <w:sz w:val="18"/>
                <w:szCs w:val="18"/>
                <w:color w:val="auto"/>
              </w:rPr>
              <w:t>33.85</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30.78</w:t>
            </w:r>
          </w:p>
        </w:tc>
        <w:tc>
          <w:tcPr>
            <w:tcW w:w="2620" w:type="dxa"/>
            <w:vAlign w:val="bottom"/>
            <w:gridSpan w:val="2"/>
          </w:tcPr>
          <w:p>
            <w:pPr>
              <w:jc w:val="right"/>
              <w:ind w:right="848"/>
              <w:spacing w:after="0"/>
              <w:rPr>
                <w:sz w:val="20"/>
                <w:szCs w:val="20"/>
                <w:color w:val="auto"/>
              </w:rPr>
            </w:pPr>
            <w:r>
              <w:rPr>
                <w:rFonts w:ascii="Arial" w:cs="Arial" w:eastAsia="Arial" w:hAnsi="Arial"/>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First quarter</w:t>
            </w:r>
          </w:p>
        </w:tc>
        <w:tc>
          <w:tcPr>
            <w:tcW w:w="1720" w:type="dxa"/>
            <w:vAlign w:val="bottom"/>
            <w:shd w:val="clear" w:color="auto" w:fill="EEEEEE"/>
          </w:tcPr>
          <w:p>
            <w:pPr>
              <w:jc w:val="right"/>
              <w:ind w:right="634"/>
              <w:spacing w:after="0"/>
              <w:rPr>
                <w:sz w:val="20"/>
                <w:szCs w:val="20"/>
                <w:color w:val="auto"/>
              </w:rPr>
            </w:pPr>
            <w:r>
              <w:rPr>
                <w:rFonts w:ascii="Arial" w:cs="Arial" w:eastAsia="Arial" w:hAnsi="Arial"/>
                <w:sz w:val="18"/>
                <w:szCs w:val="18"/>
                <w:color w:val="auto"/>
              </w:rPr>
              <w:t>31.11</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26.75</w:t>
            </w:r>
          </w:p>
        </w:tc>
        <w:tc>
          <w:tcPr>
            <w:tcW w:w="2620" w:type="dxa"/>
            <w:vAlign w:val="bottom"/>
            <w:gridSpan w:val="2"/>
            <w:shd w:val="clear" w:color="auto" w:fill="EEEEEE"/>
          </w:tcPr>
          <w:p>
            <w:pPr>
              <w:jc w:val="right"/>
              <w:ind w:right="848"/>
              <w:spacing w:after="0"/>
              <w:rPr>
                <w:sz w:val="20"/>
                <w:szCs w:val="20"/>
                <w:color w:val="auto"/>
              </w:rPr>
            </w:pPr>
            <w:r>
              <w:rPr>
                <w:rFonts w:ascii="Arial" w:cs="Arial" w:eastAsia="Arial" w:hAnsi="Arial"/>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w:t>
            </w:r>
          </w:p>
        </w:tc>
        <w:tc>
          <w:tcPr>
            <w:tcW w:w="17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720" w:type="dxa"/>
            <w:vAlign w:val="bottom"/>
          </w:tcPr>
          <w:p>
            <w:pPr>
              <w:jc w:val="right"/>
              <w:ind w:right="634"/>
              <w:spacing w:after="0"/>
              <w:rPr>
                <w:sz w:val="20"/>
                <w:szCs w:val="20"/>
                <w:color w:val="auto"/>
              </w:rPr>
            </w:pPr>
            <w:r>
              <w:rPr>
                <w:rFonts w:ascii="Arial" w:cs="Arial" w:eastAsia="Arial" w:hAnsi="Arial"/>
                <w:sz w:val="18"/>
                <w:szCs w:val="18"/>
                <w:color w:val="auto"/>
              </w:rPr>
              <w:t>$28.75</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$24.55</w:t>
            </w:r>
          </w:p>
        </w:tc>
        <w:tc>
          <w:tcPr>
            <w:tcW w:w="2620" w:type="dxa"/>
            <w:vAlign w:val="bottom"/>
            <w:gridSpan w:val="2"/>
          </w:tcPr>
          <w:p>
            <w:pPr>
              <w:jc w:val="right"/>
              <w:ind w:right="848"/>
              <w:spacing w:after="0"/>
              <w:rPr>
                <w:sz w:val="20"/>
                <w:szCs w:val="20"/>
                <w:color w:val="auto"/>
              </w:rPr>
            </w:pPr>
            <w:r>
              <w:rPr>
                <w:rFonts w:ascii="Arial" w:cs="Arial" w:eastAsia="Arial" w:hAnsi="Arial"/>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Third quarter</w:t>
            </w:r>
          </w:p>
        </w:tc>
        <w:tc>
          <w:tcPr>
            <w:tcW w:w="1720" w:type="dxa"/>
            <w:vAlign w:val="bottom"/>
            <w:shd w:val="clear" w:color="auto" w:fill="EEEEEE"/>
          </w:tcPr>
          <w:p>
            <w:pPr>
              <w:jc w:val="right"/>
              <w:ind w:right="634"/>
              <w:spacing w:after="0"/>
              <w:rPr>
                <w:sz w:val="20"/>
                <w:szCs w:val="20"/>
                <w:color w:val="auto"/>
              </w:rPr>
            </w:pPr>
            <w:r>
              <w:rPr>
                <w:rFonts w:ascii="Arial" w:cs="Arial" w:eastAsia="Arial" w:hAnsi="Arial"/>
                <w:sz w:val="18"/>
                <w:szCs w:val="18"/>
                <w:color w:val="auto"/>
              </w:rPr>
              <w:t>27.85</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23.70</w:t>
            </w:r>
          </w:p>
        </w:tc>
        <w:tc>
          <w:tcPr>
            <w:tcW w:w="2620" w:type="dxa"/>
            <w:vAlign w:val="bottom"/>
            <w:gridSpan w:val="2"/>
            <w:shd w:val="clear" w:color="auto" w:fill="EEEEEE"/>
          </w:tcPr>
          <w:p>
            <w:pPr>
              <w:jc w:val="right"/>
              <w:ind w:right="848"/>
              <w:spacing w:after="0"/>
              <w:rPr>
                <w:sz w:val="20"/>
                <w:szCs w:val="20"/>
                <w:color w:val="auto"/>
              </w:rPr>
            </w:pPr>
            <w:r>
              <w:rPr>
                <w:rFonts w:ascii="Arial" w:cs="Arial" w:eastAsia="Arial" w:hAnsi="Arial"/>
                <w:sz w:val="18"/>
                <w:szCs w:val="18"/>
                <w:color w:val="auto"/>
              </w:rPr>
              <w:t>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720" w:type="dxa"/>
            <w:vAlign w:val="bottom"/>
          </w:tcPr>
          <w:p>
            <w:pPr>
              <w:jc w:val="right"/>
              <w:ind w:right="634"/>
              <w:spacing w:after="0"/>
              <w:rPr>
                <w:sz w:val="20"/>
                <w:szCs w:val="20"/>
                <w:color w:val="auto"/>
              </w:rPr>
            </w:pPr>
            <w:r>
              <w:rPr>
                <w:rFonts w:ascii="Arial" w:cs="Arial" w:eastAsia="Arial" w:hAnsi="Arial"/>
                <w:sz w:val="18"/>
                <w:szCs w:val="18"/>
                <w:color w:val="auto"/>
              </w:rPr>
              <w:t>28.50</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ind w:right="612"/>
              <w:spacing w:after="0"/>
              <w:rPr>
                <w:sz w:val="20"/>
                <w:szCs w:val="20"/>
                <w:color w:val="auto"/>
              </w:rPr>
            </w:pPr>
            <w:r>
              <w:rPr>
                <w:rFonts w:ascii="Arial" w:cs="Arial" w:eastAsia="Arial" w:hAnsi="Arial"/>
                <w:sz w:val="18"/>
                <w:szCs w:val="18"/>
                <w:color w:val="auto"/>
              </w:rPr>
              <w:t>25.56</w:t>
            </w:r>
          </w:p>
        </w:tc>
        <w:tc>
          <w:tcPr>
            <w:tcW w:w="2620" w:type="dxa"/>
            <w:vAlign w:val="bottom"/>
            <w:gridSpan w:val="2"/>
          </w:tcPr>
          <w:p>
            <w:pPr>
              <w:jc w:val="right"/>
              <w:ind w:right="848"/>
              <w:spacing w:after="0"/>
              <w:rPr>
                <w:sz w:val="20"/>
                <w:szCs w:val="20"/>
                <w:color w:val="auto"/>
              </w:rPr>
            </w:pPr>
            <w:r>
              <w:rPr>
                <w:rFonts w:ascii="Arial" w:cs="Arial" w:eastAsia="Arial" w:hAnsi="Arial"/>
                <w:sz w:val="18"/>
                <w:szCs w:val="18"/>
                <w:color w:val="auto"/>
              </w:rPr>
              <w:t>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First quarter</w:t>
            </w:r>
          </w:p>
        </w:tc>
        <w:tc>
          <w:tcPr>
            <w:tcW w:w="1720" w:type="dxa"/>
            <w:vAlign w:val="bottom"/>
            <w:shd w:val="clear" w:color="auto" w:fill="EEEEEE"/>
          </w:tcPr>
          <w:p>
            <w:pPr>
              <w:jc w:val="right"/>
              <w:ind w:right="634"/>
              <w:spacing w:after="0"/>
              <w:rPr>
                <w:sz w:val="20"/>
                <w:szCs w:val="20"/>
                <w:color w:val="auto"/>
              </w:rPr>
            </w:pPr>
            <w:r>
              <w:rPr>
                <w:rFonts w:ascii="Arial" w:cs="Arial" w:eastAsia="Arial" w:hAnsi="Arial"/>
                <w:sz w:val="18"/>
                <w:szCs w:val="18"/>
                <w:color w:val="auto"/>
              </w:rPr>
              <w:t>26.34</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22.93</w:t>
            </w:r>
          </w:p>
        </w:tc>
        <w:tc>
          <w:tcPr>
            <w:tcW w:w="2620" w:type="dxa"/>
            <w:vAlign w:val="bottom"/>
            <w:gridSpan w:val="2"/>
            <w:shd w:val="clear" w:color="auto" w:fill="EEEEEE"/>
          </w:tcPr>
          <w:p>
            <w:pPr>
              <w:jc w:val="right"/>
              <w:ind w:right="848"/>
              <w:spacing w:after="0"/>
              <w:rPr>
                <w:sz w:val="20"/>
                <w:szCs w:val="20"/>
                <w:color w:val="auto"/>
              </w:rPr>
            </w:pPr>
            <w:r>
              <w:rPr>
                <w:rFonts w:ascii="Arial" w:cs="Arial" w:eastAsia="Arial" w:hAnsi="Arial"/>
                <w:sz w:val="18"/>
                <w:szCs w:val="18"/>
                <w:color w:val="auto"/>
              </w:rPr>
              <w:t>0.480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On March 9, 2004, there were 5,183 holders of record of our common shares.</w:t>
      </w:r>
    </w:p>
    <w:p>
      <w:pPr>
        <w:spacing w:after="0" w:line="185"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REIT taxable income. Under the Code, REITs are subject to numerous organizational and operational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requirements, including the requirement to distribute at least 90% of REIT taxable income. State income taxes are not material to our operations or cash flows.</w:t>
      </w:r>
    </w:p>
    <w:p>
      <w:pPr>
        <w:spacing w:after="0" w:line="143"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annual dividend rate for 36 consecutive years.</w:t>
      </w:r>
    </w:p>
    <w:p>
      <w:pPr>
        <w:spacing w:after="0" w:line="146"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total annual dividends paid per share for 2003 and 2002 were $1.945 per share and $1.925 per share, respectively. The annual dividend amounts are different from total distributions calculated for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deferring taxation until the sale of the shareholder’s shares. No assurances can be given regarding what portion, if any, of distributions in 2004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 During 2003, a portion of the distributions was designated as a capital gain dividend.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Following is the income tax status of distributions paid during the years ended December 31, 2003 and 2002 to common shareholders: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2003</w:t>
            </w:r>
          </w:p>
        </w:tc>
        <w:tc>
          <w:tcPr>
            <w:tcW w:w="620" w:type="dxa"/>
            <w:vAlign w:val="bottom"/>
          </w:tcPr>
          <w:p>
            <w:pPr>
              <w:spacing w:after="0"/>
              <w:rPr>
                <w:sz w:val="15"/>
                <w:szCs w:val="15"/>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4"/>
                <w:szCs w:val="14"/>
                <w:color w:val="auto"/>
              </w:rPr>
              <w:t>2002</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Ordinary dividend income</w:t>
            </w:r>
          </w:p>
        </w:tc>
        <w:tc>
          <w:tcPr>
            <w:tcW w:w="1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$1.421</w:t>
            </w:r>
          </w:p>
        </w:tc>
        <w:tc>
          <w:tcPr>
            <w:tcW w:w="6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$1.555</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Capital gain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0.286</w:t>
            </w:r>
          </w:p>
        </w:tc>
        <w:tc>
          <w:tcPr>
            <w:tcW w:w="6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0.370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EEEEEE"/>
          </w:tcPr>
          <w:p>
            <w:pPr>
              <w:spacing w:after="0"/>
              <w:rPr>
                <w:sz w:val="20"/>
                <w:szCs w:val="20"/>
                <w:color w:val="auto"/>
              </w:rPr>
            </w:pPr>
            <w:r>
              <w:rPr>
                <w:rFonts w:ascii="Arial" w:cs="Arial" w:eastAsia="Arial" w:hAnsi="Arial"/>
                <w:sz w:val="18"/>
                <w:szCs w:val="18"/>
                <w:color w:val="auto"/>
              </w:rPr>
              <w:t>Return of capital</w:t>
            </w:r>
          </w:p>
        </w:tc>
        <w:tc>
          <w:tcPr>
            <w:tcW w:w="640" w:type="dxa"/>
            <w:vAlign w:val="bottom"/>
            <w:shd w:val="clear" w:color="auto" w:fill="EEEEEE"/>
          </w:tcPr>
          <w:p>
            <w:pPr>
              <w:spacing w:after="0"/>
              <w:rPr>
                <w:sz w:val="18"/>
                <w:szCs w:val="18"/>
                <w:color w:val="auto"/>
              </w:rPr>
            </w:pPr>
          </w:p>
        </w:tc>
        <w:tc>
          <w:tcPr>
            <w:tcW w:w="42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4"/>
              </w:rPr>
              <w:t>0.238</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66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6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$1.925</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Distributions on our 8.5% Series B Cumulative Redeemable Preferred Shares are payable at the rate of $2.125 per share per annum, prior to distributions on our common shares. Our 7.95% Series A Cumulative Redeemable Preferred Shares paid distributions at a rate of $1.9875 per share per annum and were redeemed in full in June 2003. We do not believe that the preferential rights available to the holders of our preferred shares or the financial covenants contained in our debt agreements will have an adverse effect on our ability to pay dividends in the normal course of business to our common shareholders or to distribute amounts necessary to maintain our qualification as a REIT.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Information</w:t>
      </w:r>
    </w:p>
    <w:p>
      <w:pPr>
        <w:spacing w:after="0" w:line="202"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1999 through 2002 have been reclassified to conform to the presentation for the year ended 2003 to segregate revenues, expenses and income from operations of discontinued assets from those generated from continuing operations.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 and Ratios)</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gridSpan w:val="3"/>
            <w:vMerge w:val="restart"/>
          </w:tcPr>
          <w:p>
            <w:pPr>
              <w:jc w:val="right"/>
              <w:ind w:right="170"/>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6"/>
                <w:szCs w:val="16"/>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6"/>
                <w:szCs w:val="16"/>
                <w:color w:val="auto"/>
              </w:rPr>
            </w:pPr>
          </w:p>
        </w:tc>
        <w:tc>
          <w:tcPr>
            <w:tcW w:w="10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Rental income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$ 334,697</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$295,016</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$269,288</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$252,687</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$238,633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Property Operating Income</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239,833</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211,963</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200,320</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190,396</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180,576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before gain (loss) on sale of real estate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74,444</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45,833</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59,571</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56,842</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Gain (loss) on sale of real estate</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20,053</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9,454</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9,185</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3,681</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94,497</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55,287</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68,756</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60,523</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48,443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75,990</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35,862</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59,722</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52,573</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40,493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provided by operating activities (1)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122,391</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119,069</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109,448</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107,056</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102,183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Net cash used in investing activities (1)</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91,272</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175,744</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232,138</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121,741</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99,313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cash provided by (used in) financing activities (1)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(19,274)</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62,235</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128,896</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14,304</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Dividends declared on common shares</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93,889</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82,273</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75,863</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72,512</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71,630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47,379</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41,624</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39,164</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38,796</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39,574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Diluted:</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48,619</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42,882</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40,266</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39,910</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8"/>
                <w:szCs w:val="18"/>
                <w:color w:val="auto"/>
              </w:rPr>
              <w:t>Basic:</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0.86</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1.52</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1.36</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1.59</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0.85</w:t>
            </w:r>
          </w:p>
        </w:tc>
        <w:tc>
          <w:tcPr>
            <w:tcW w:w="12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1.52</w:t>
            </w:r>
          </w:p>
        </w:tc>
        <w:tc>
          <w:tcPr>
            <w:tcW w:w="120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1.35</w:t>
            </w: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1.95</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1.93</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1.90</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1.84</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Data:</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Funds from operations (2) (3)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131,257</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90,503</w:t>
            </w:r>
          </w:p>
        </w:tc>
        <w:tc>
          <w:tcPr>
            <w:tcW w:w="1220" w:type="dxa"/>
            <w:vAlign w:val="bottom"/>
            <w:gridSpan w:val="4"/>
          </w:tcPr>
          <w:p>
            <w:pPr>
              <w:jc w:val="right"/>
              <w:ind w:right="120"/>
              <w:spacing w:after="0"/>
              <w:rPr>
                <w:sz w:val="20"/>
                <w:szCs w:val="20"/>
                <w:color w:val="auto"/>
              </w:rPr>
            </w:pPr>
            <w:r>
              <w:rPr>
                <w:rFonts w:ascii="Arial" w:cs="Arial" w:eastAsia="Arial" w:hAnsi="Arial"/>
                <w:sz w:val="18"/>
                <w:szCs w:val="18"/>
                <w:color w:val="auto"/>
              </w:rPr>
              <w:t>110,432</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102,173</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96,795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Ratio of earnings to fixed charges (4)</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1.7x</w:t>
            </w: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1.3x</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1.5x</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1.5x</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1.7x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w w:val="91"/>
              </w:rPr>
              <w:t>Ratio of earnings to combined fixed charges and preferred share dividends</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1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1.4x</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1.0x</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1.3x</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1.4x</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Ratio of EBITDA to combined fixed charges and preferred share dividends</w:t>
            </w:r>
          </w:p>
        </w:tc>
        <w:tc>
          <w:tcPr>
            <w:tcW w:w="3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EEEEEE"/>
          </w:tcPr>
          <w:p>
            <w:pPr>
              <w:spacing w:after="0"/>
              <w:rPr>
                <w:sz w:val="20"/>
                <w:szCs w:val="20"/>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2.1x</w:t>
            </w:r>
          </w:p>
        </w:tc>
        <w:tc>
          <w:tcPr>
            <w:tcW w:w="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1.6x</w:t>
            </w:r>
          </w:p>
        </w:tc>
        <w:tc>
          <w:tcPr>
            <w:tcW w:w="1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1.9x</w:t>
            </w: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2.0x</w:t>
            </w:r>
          </w:p>
        </w:tc>
        <w:tc>
          <w:tcPr>
            <w:tcW w:w="2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2.1x</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94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gridSpan w:val="10"/>
          </w:tcPr>
          <w:p>
            <w:pPr>
              <w:jc w:val="right"/>
              <w:ind w:right="82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6"/>
                <w:szCs w:val="16"/>
                <w:color w:val="auto"/>
              </w:rPr>
            </w:pPr>
          </w:p>
        </w:tc>
        <w:tc>
          <w:tcPr>
            <w:tcW w:w="10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6"/>
                <w:szCs w:val="16"/>
                <w:color w:val="auto"/>
              </w:rPr>
            </w:pPr>
          </w:p>
        </w:tc>
        <w:tc>
          <w:tcPr>
            <w:tcW w:w="10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Real estate at cost</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$2,470,149</w:t>
            </w:r>
          </w:p>
        </w:tc>
        <w:tc>
          <w:tcPr>
            <w:tcW w:w="240" w:type="dxa"/>
            <w:vAlign w:val="bottom"/>
          </w:tcPr>
          <w:p>
            <w:pPr>
              <w:spacing w:after="0"/>
              <w:rPr>
                <w:sz w:val="18"/>
                <w:szCs w:val="18"/>
                <w:color w:val="auto"/>
              </w:rPr>
            </w:pPr>
          </w:p>
        </w:tc>
        <w:tc>
          <w:tcPr>
            <w:tcW w:w="1020" w:type="dxa"/>
            <w:vAlign w:val="bottom"/>
            <w:gridSpan w:val="3"/>
          </w:tcPr>
          <w:p>
            <w:pPr>
              <w:jc w:val="right"/>
              <w:ind w:right="37"/>
              <w:spacing w:after="0"/>
              <w:rPr>
                <w:sz w:val="20"/>
                <w:szCs w:val="20"/>
                <w:color w:val="auto"/>
              </w:rPr>
            </w:pPr>
            <w:r>
              <w:rPr>
                <w:rFonts w:ascii="Arial" w:cs="Arial" w:eastAsia="Arial" w:hAnsi="Arial"/>
                <w:sz w:val="18"/>
                <w:szCs w:val="18"/>
                <w:color w:val="auto"/>
                <w:w w:val="97"/>
              </w:rPr>
              <w:t>$2,306,826</w:t>
            </w:r>
          </w:p>
        </w:tc>
        <w:tc>
          <w:tcPr>
            <w:tcW w:w="20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$2,104,304</w:t>
            </w:r>
          </w:p>
        </w:tc>
        <w:tc>
          <w:tcPr>
            <w:tcW w:w="1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$1,854,913</w:t>
            </w:r>
          </w:p>
        </w:tc>
        <w:tc>
          <w:tcPr>
            <w:tcW w:w="1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$1,721,459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94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w w:val="99"/>
              </w:rPr>
              <w:t>2,143,435</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37"/>
              <w:spacing w:after="0"/>
              <w:rPr>
                <w:sz w:val="20"/>
                <w:szCs w:val="20"/>
                <w:color w:val="auto"/>
              </w:rPr>
            </w:pPr>
            <w:r>
              <w:rPr>
                <w:rFonts w:ascii="Arial" w:cs="Arial" w:eastAsia="Arial" w:hAnsi="Arial"/>
                <w:sz w:val="18"/>
                <w:szCs w:val="18"/>
                <w:color w:val="auto"/>
              </w:rPr>
              <w:t>1,999,378</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1,834,881</w:t>
            </w: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1,618,885</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1,532,764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Mortgage, construction loans and capital lease obligations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414,357</w:t>
            </w:r>
          </w:p>
        </w:tc>
        <w:tc>
          <w:tcPr>
            <w:tcW w:w="240" w:type="dxa"/>
            <w:vAlign w:val="bottom"/>
          </w:tcPr>
          <w:p>
            <w:pPr>
              <w:spacing w:after="0"/>
              <w:rPr>
                <w:sz w:val="18"/>
                <w:szCs w:val="18"/>
                <w:color w:val="auto"/>
              </w:rPr>
            </w:pPr>
          </w:p>
        </w:tc>
        <w:tc>
          <w:tcPr>
            <w:tcW w:w="1020" w:type="dxa"/>
            <w:vAlign w:val="bottom"/>
            <w:gridSpan w:val="3"/>
          </w:tcPr>
          <w:p>
            <w:pPr>
              <w:jc w:val="right"/>
              <w:ind w:right="37"/>
              <w:spacing w:after="0"/>
              <w:rPr>
                <w:sz w:val="20"/>
                <w:szCs w:val="20"/>
                <w:color w:val="auto"/>
              </w:rPr>
            </w:pPr>
            <w:r>
              <w:rPr>
                <w:rFonts w:ascii="Arial" w:cs="Arial" w:eastAsia="Arial" w:hAnsi="Arial"/>
                <w:sz w:val="18"/>
                <w:szCs w:val="18"/>
                <w:color w:val="auto"/>
              </w:rPr>
              <w:t>383,812</w:t>
            </w:r>
          </w:p>
        </w:tc>
        <w:tc>
          <w:tcPr>
            <w:tcW w:w="20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450,336</w:t>
            </w:r>
          </w:p>
        </w:tc>
        <w:tc>
          <w:tcPr>
            <w:tcW w:w="1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340,152</w:t>
            </w:r>
          </w:p>
        </w:tc>
        <w:tc>
          <w:tcPr>
            <w:tcW w:w="1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172,573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94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361,323</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37"/>
              <w:spacing w:after="0"/>
              <w:rPr>
                <w:sz w:val="20"/>
                <w:szCs w:val="20"/>
                <w:color w:val="auto"/>
              </w:rPr>
            </w:pPr>
            <w:r>
              <w:rPr>
                <w:rFonts w:ascii="Arial" w:cs="Arial" w:eastAsia="Arial" w:hAnsi="Arial"/>
                <w:sz w:val="18"/>
                <w:szCs w:val="18"/>
                <w:color w:val="auto"/>
              </w:rPr>
              <w:t>207,711</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174,843</w:t>
            </w: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209,005</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162,768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Senior notes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535,000</w:t>
            </w:r>
          </w:p>
        </w:tc>
        <w:tc>
          <w:tcPr>
            <w:tcW w:w="240" w:type="dxa"/>
            <w:vAlign w:val="bottom"/>
          </w:tcPr>
          <w:p>
            <w:pPr>
              <w:spacing w:after="0"/>
              <w:rPr>
                <w:sz w:val="18"/>
                <w:szCs w:val="18"/>
                <w:color w:val="auto"/>
              </w:rPr>
            </w:pPr>
          </w:p>
        </w:tc>
        <w:tc>
          <w:tcPr>
            <w:tcW w:w="1020" w:type="dxa"/>
            <w:vAlign w:val="bottom"/>
            <w:gridSpan w:val="3"/>
          </w:tcPr>
          <w:p>
            <w:pPr>
              <w:jc w:val="right"/>
              <w:ind w:right="37"/>
              <w:spacing w:after="0"/>
              <w:rPr>
                <w:sz w:val="20"/>
                <w:szCs w:val="20"/>
                <w:color w:val="auto"/>
              </w:rPr>
            </w:pPr>
            <w:r>
              <w:rPr>
                <w:rFonts w:ascii="Arial" w:cs="Arial" w:eastAsia="Arial" w:hAnsi="Arial"/>
                <w:sz w:val="18"/>
                <w:szCs w:val="18"/>
                <w:color w:val="auto"/>
              </w:rPr>
              <w:t>535,000</w:t>
            </w:r>
          </w:p>
        </w:tc>
        <w:tc>
          <w:tcPr>
            <w:tcW w:w="20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410,000</w:t>
            </w:r>
          </w:p>
        </w:tc>
        <w:tc>
          <w:tcPr>
            <w:tcW w:w="1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410,000</w:t>
            </w:r>
          </w:p>
        </w:tc>
        <w:tc>
          <w:tcPr>
            <w:tcW w:w="1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Convertible subordinated debentures</w:t>
            </w:r>
          </w:p>
        </w:tc>
        <w:tc>
          <w:tcPr>
            <w:tcW w:w="34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ind w:right="37"/>
              <w:spacing w:after="0"/>
              <w:rPr>
                <w:sz w:val="20"/>
                <w:szCs w:val="20"/>
                <w:color w:val="auto"/>
              </w:rPr>
            </w:pPr>
            <w:r>
              <w:rPr>
                <w:rFonts w:ascii="Arial" w:cs="Arial" w:eastAsia="Arial" w:hAnsi="Arial"/>
                <w:sz w:val="18"/>
                <w:szCs w:val="18"/>
                <w:color w:val="auto"/>
              </w:rPr>
              <w:t>75,000</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75,289</w:t>
            </w: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75,289</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75,289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Redeemable preferred shares</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135,000</w:t>
            </w:r>
          </w:p>
        </w:tc>
        <w:tc>
          <w:tcPr>
            <w:tcW w:w="240" w:type="dxa"/>
            <w:vAlign w:val="bottom"/>
          </w:tcPr>
          <w:p>
            <w:pPr>
              <w:spacing w:after="0"/>
              <w:rPr>
                <w:sz w:val="18"/>
                <w:szCs w:val="18"/>
                <w:color w:val="auto"/>
              </w:rPr>
            </w:pPr>
          </w:p>
        </w:tc>
        <w:tc>
          <w:tcPr>
            <w:tcW w:w="1020" w:type="dxa"/>
            <w:vAlign w:val="bottom"/>
            <w:gridSpan w:val="3"/>
          </w:tcPr>
          <w:p>
            <w:pPr>
              <w:jc w:val="right"/>
              <w:ind w:right="37"/>
              <w:spacing w:after="0"/>
              <w:rPr>
                <w:sz w:val="20"/>
                <w:szCs w:val="20"/>
                <w:color w:val="auto"/>
              </w:rPr>
            </w:pPr>
            <w:r>
              <w:rPr>
                <w:rFonts w:ascii="Arial" w:cs="Arial" w:eastAsia="Arial" w:hAnsi="Arial"/>
                <w:sz w:val="18"/>
                <w:szCs w:val="18"/>
                <w:color w:val="auto"/>
              </w:rPr>
              <w:t>235,000</w:t>
            </w:r>
          </w:p>
        </w:tc>
        <w:tc>
          <w:tcPr>
            <w:tcW w:w="20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235,000</w:t>
            </w:r>
          </w:p>
        </w:tc>
        <w:tc>
          <w:tcPr>
            <w:tcW w:w="18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94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691,374</w:t>
            </w:r>
          </w:p>
        </w:tc>
        <w:tc>
          <w:tcPr>
            <w:tcW w:w="24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37"/>
              <w:spacing w:after="0"/>
              <w:rPr>
                <w:sz w:val="20"/>
                <w:szCs w:val="20"/>
                <w:color w:val="auto"/>
              </w:rPr>
            </w:pPr>
            <w:r>
              <w:rPr>
                <w:rFonts w:ascii="Arial" w:cs="Arial" w:eastAsia="Arial" w:hAnsi="Arial"/>
                <w:sz w:val="18"/>
                <w:szCs w:val="18"/>
                <w:color w:val="auto"/>
              </w:rPr>
              <w:t>644,287</w:t>
            </w:r>
          </w:p>
        </w:tc>
        <w:tc>
          <w:tcPr>
            <w:tcW w:w="2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589,291</w:t>
            </w:r>
          </w:p>
        </w:tc>
        <w:tc>
          <w:tcPr>
            <w:tcW w:w="18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465,460</w:t>
            </w:r>
          </w:p>
        </w:tc>
        <w:tc>
          <w:tcPr>
            <w:tcW w:w="12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10"/>
              <w:spacing w:after="0"/>
              <w:rPr>
                <w:sz w:val="20"/>
                <w:szCs w:val="20"/>
                <w:color w:val="auto"/>
              </w:rPr>
            </w:pPr>
            <w:r>
              <w:rPr>
                <w:rFonts w:ascii="Arial" w:cs="Arial" w:eastAsia="Arial" w:hAnsi="Arial"/>
                <w:sz w:val="18"/>
                <w:szCs w:val="18"/>
                <w:color w:val="auto"/>
              </w:rPr>
              <w:t>500,543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Number of common shares outstanding</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49,201</w:t>
            </w:r>
          </w:p>
        </w:tc>
        <w:tc>
          <w:tcPr>
            <w:tcW w:w="240" w:type="dxa"/>
            <w:vAlign w:val="bottom"/>
          </w:tcPr>
          <w:p>
            <w:pPr>
              <w:spacing w:after="0"/>
              <w:rPr>
                <w:sz w:val="20"/>
                <w:szCs w:val="20"/>
                <w:color w:val="auto"/>
              </w:rPr>
            </w:pPr>
          </w:p>
        </w:tc>
        <w:tc>
          <w:tcPr>
            <w:tcW w:w="1020" w:type="dxa"/>
            <w:vAlign w:val="bottom"/>
            <w:gridSpan w:val="3"/>
          </w:tcPr>
          <w:p>
            <w:pPr>
              <w:jc w:val="right"/>
              <w:ind w:right="37"/>
              <w:spacing w:after="0"/>
              <w:rPr>
                <w:sz w:val="20"/>
                <w:szCs w:val="20"/>
                <w:color w:val="auto"/>
              </w:rPr>
            </w:pPr>
            <w:r>
              <w:rPr>
                <w:rFonts w:ascii="Arial" w:cs="Arial" w:eastAsia="Arial" w:hAnsi="Arial"/>
                <w:sz w:val="18"/>
                <w:szCs w:val="18"/>
                <w:color w:val="auto"/>
              </w:rPr>
              <w:t>43,535</w:t>
            </w:r>
          </w:p>
        </w:tc>
        <w:tc>
          <w:tcPr>
            <w:tcW w:w="200" w:type="dxa"/>
            <w:vAlign w:val="bottom"/>
          </w:tcPr>
          <w:p>
            <w:pPr>
              <w:spacing w:after="0"/>
              <w:rPr>
                <w:sz w:val="20"/>
                <w:szCs w:val="20"/>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40,071</w:t>
            </w:r>
          </w:p>
        </w:tc>
        <w:tc>
          <w:tcPr>
            <w:tcW w:w="180" w:type="dxa"/>
            <w:vAlign w:val="bottom"/>
          </w:tcPr>
          <w:p>
            <w:pPr>
              <w:spacing w:after="0"/>
              <w:rPr>
                <w:sz w:val="20"/>
                <w:szCs w:val="20"/>
                <w:color w:val="auto"/>
              </w:rPr>
            </w:pPr>
          </w:p>
        </w:tc>
        <w:tc>
          <w:tcPr>
            <w:tcW w:w="1080" w:type="dxa"/>
            <w:vAlign w:val="bottom"/>
            <w:gridSpan w:val="3"/>
          </w:tcPr>
          <w:p>
            <w:pPr>
              <w:jc w:val="right"/>
              <w:ind w:right="10"/>
              <w:spacing w:after="0"/>
              <w:rPr>
                <w:sz w:val="20"/>
                <w:szCs w:val="20"/>
                <w:color w:val="auto"/>
              </w:rPr>
            </w:pPr>
            <w:r>
              <w:rPr>
                <w:rFonts w:ascii="Arial" w:cs="Arial" w:eastAsia="Arial" w:hAnsi="Arial"/>
                <w:sz w:val="18"/>
                <w:szCs w:val="18"/>
                <w:color w:val="auto"/>
              </w:rPr>
              <w:t>39,469</w:t>
            </w:r>
          </w:p>
        </w:tc>
        <w:tc>
          <w:tcPr>
            <w:tcW w:w="120" w:type="dxa"/>
            <w:vAlign w:val="bottom"/>
          </w:tcPr>
          <w:p>
            <w:pPr>
              <w:spacing w:after="0"/>
              <w:rPr>
                <w:sz w:val="20"/>
                <w:szCs w:val="20"/>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40,201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40" w:hanging="258"/>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Determined in accordance with Financial Accounting Standards Board, which we refer to as FASB, Statement No. 95, Statement of Cash Flows.</w:t>
      </w:r>
    </w:p>
    <w:p>
      <w:pPr>
        <w:spacing w:after="0" w:line="34" w:lineRule="exact"/>
        <w:rPr>
          <w:rFonts w:ascii="Arial" w:cs="Arial" w:eastAsia="Arial" w:hAnsi="Arial"/>
          <w:sz w:val="17"/>
          <w:szCs w:val="17"/>
          <w:color w:val="auto"/>
        </w:rPr>
      </w:pPr>
    </w:p>
    <w:p>
      <w:pPr>
        <w:ind w:left="440" w:right="180" w:hanging="258"/>
        <w:spacing w:after="0" w:line="261"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historically reported our funds from operations (“FFO”) in addition to our net income and net cash provided by operating activities. FFO is a supplemental non-GAAP financial measure of real estate companies’ operating performance. The National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40" w:right="80"/>
        <w:spacing w:after="0" w:line="283" w:lineRule="auto"/>
        <w:rPr>
          <w:sz w:val="20"/>
          <w:szCs w:val="20"/>
          <w:color w:val="auto"/>
        </w:rPr>
      </w:pPr>
      <w:r>
        <w:rPr>
          <w:rFonts w:ascii="Arial" w:cs="Arial" w:eastAsia="Arial" w:hAnsi="Arial"/>
          <w:sz w:val="16"/>
          <w:szCs w:val="16"/>
          <w:color w:val="auto"/>
        </w:rPr>
        <w:t>Association of Real Estate Investment Trusts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For a reconciliation of net income available for common shareholders to FFO, please see “Item 7. Management’s Discussion and Analysis of Financial Condition and Results of Operations — Funds From Operations.”</w:t>
      </w:r>
    </w:p>
    <w:p>
      <w:pPr>
        <w:spacing w:after="0" w:line="5" w:lineRule="exact"/>
        <w:rPr>
          <w:sz w:val="20"/>
          <w:szCs w:val="20"/>
          <w:color w:val="auto"/>
        </w:rPr>
      </w:pPr>
    </w:p>
    <w:p>
      <w:pPr>
        <w:ind w:left="440" w:right="100" w:hanging="258"/>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an $8.5 million restructuring charge incurred in the first quarter of 2002 and a $13.8 million restructuring charge incurred in the fourth quarter of 2002. Excluding these charges, Funds from Operations in 2002 would have been $112.8 million. Also includes approximately $8.0 million of insurance proceeds in 2003 as well as a charge of $3.4 million related to the redemption of preferred shares. Excluding these items, funds from operations in 2003 would have been $119.7 million</w:t>
      </w:r>
    </w:p>
    <w:p>
      <w:pPr>
        <w:spacing w:after="0" w:line="1" w:lineRule="exact"/>
        <w:rPr>
          <w:rFonts w:ascii="Arial" w:cs="Arial" w:eastAsia="Arial" w:hAnsi="Arial"/>
          <w:sz w:val="18"/>
          <w:szCs w:val="18"/>
          <w:color w:val="auto"/>
        </w:rPr>
      </w:pPr>
    </w:p>
    <w:p>
      <w:pPr>
        <w:ind w:left="440" w:right="40" w:hanging="258"/>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our outstanding Series A preferred shares and Series B preferred shares. Our Series A preferred shares were redeemed in full in June 2003.</w:t>
      </w:r>
    </w:p>
    <w:p>
      <w:pPr>
        <w:spacing w:after="0" w:line="1" w:lineRule="exact"/>
        <w:rPr>
          <w:rFonts w:ascii="Arial" w:cs="Arial" w:eastAsia="Arial" w:hAnsi="Arial"/>
          <w:sz w:val="18"/>
          <w:szCs w:val="18"/>
          <w:color w:val="auto"/>
        </w:rPr>
      </w:pPr>
    </w:p>
    <w:p>
      <w:pPr>
        <w:ind w:left="440" w:right="20" w:hanging="258"/>
        <w:spacing w:after="0" w:line="253"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EBITDA is a non-GAAP measure that means net income or loss plus interest expense, income taxes, depreciation and amortization; adjusted for gain or loss on sale of assets, impairment provisions, provision for loss on equity securities and other nonrecurring expenses. EBITDA is presented because it provides useful information regarding our ability to service debt, although EBITDA should not be considered an alternative measure of operating results or cash flow from operations as determined in accordance with GAAP. EBITDA as presented may not be comparable to other similarly titled measures used by other REITs.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EBITDA, adjusted for discontinued operations, to net income for the period presented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2003</w:t>
            </w:r>
          </w:p>
        </w:tc>
        <w:tc>
          <w:tcPr>
            <w:tcW w:w="10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2001</w:t>
            </w:r>
          </w:p>
        </w:tc>
        <w:tc>
          <w:tcPr>
            <w:tcW w:w="10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2000</w:t>
            </w:r>
          </w:p>
        </w:tc>
        <w:tc>
          <w:tcPr>
            <w:tcW w:w="12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394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940" w:type="dxa"/>
            <w:vAlign w:val="bottom"/>
            <w:gridSpan w:val="2"/>
            <w:vMerge w:val="continue"/>
          </w:tcPr>
          <w:p>
            <w:pPr>
              <w:spacing w:after="0"/>
              <w:rPr>
                <w:sz w:val="7"/>
                <w:szCs w:val="7"/>
                <w:color w:val="auto"/>
              </w:rPr>
            </w:pPr>
          </w:p>
        </w:tc>
        <w:tc>
          <w:tcPr>
            <w:tcW w:w="2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$94,497</w:t>
            </w:r>
          </w:p>
        </w:tc>
        <w:tc>
          <w:tcPr>
            <w:tcW w:w="10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$55,287</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$68,756</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$60,523</w:t>
            </w:r>
          </w:p>
        </w:tc>
        <w:tc>
          <w:tcPr>
            <w:tcW w:w="1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$48,443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75,089</w:t>
            </w:r>
          </w:p>
        </w:tc>
        <w:tc>
          <w:tcPr>
            <w:tcW w:w="100" w:type="dxa"/>
            <w:vAlign w:val="bottom"/>
          </w:tcPr>
          <w:p>
            <w:pPr>
              <w:spacing w:after="0"/>
              <w:rPr>
                <w:sz w:val="18"/>
                <w:szCs w:val="18"/>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64,529</w:t>
            </w: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59,914</w:t>
            </w:r>
          </w:p>
        </w:tc>
        <w:tc>
          <w:tcPr>
            <w:tcW w:w="1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53,259</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50,011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2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75,232</w:t>
            </w:r>
          </w:p>
        </w:tc>
        <w:tc>
          <w:tcPr>
            <w:tcW w:w="10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65,058</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69,313</w:t>
            </w:r>
          </w:p>
        </w:tc>
        <w:tc>
          <w:tcPr>
            <w:tcW w:w="1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66,418</w:t>
            </w:r>
          </w:p>
        </w:tc>
        <w:tc>
          <w:tcPr>
            <w:tcW w:w="1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61,492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(Gain) loss on sale of real estate</w:t>
            </w:r>
          </w:p>
        </w:tc>
        <w:tc>
          <w:tcPr>
            <w:tcW w:w="2880" w:type="dxa"/>
            <w:vAlign w:val="bottom"/>
            <w:gridSpan w:val="4"/>
          </w:tcPr>
          <w:p>
            <w:pPr>
              <w:jc w:val="right"/>
              <w:ind w:right="40"/>
              <w:spacing w:after="0"/>
              <w:rPr>
                <w:sz w:val="20"/>
                <w:szCs w:val="20"/>
                <w:color w:val="auto"/>
              </w:rPr>
            </w:pPr>
            <w:r>
              <w:rPr>
                <w:rFonts w:ascii="Arial" w:cs="Arial" w:eastAsia="Arial" w:hAnsi="Arial"/>
                <w:sz w:val="18"/>
                <w:szCs w:val="18"/>
                <w:color w:val="auto"/>
              </w:rPr>
              <w:t>(20,053)</w:t>
            </w:r>
          </w:p>
        </w:tc>
        <w:tc>
          <w:tcPr>
            <w:tcW w:w="1160" w:type="dxa"/>
            <w:vAlign w:val="bottom"/>
            <w:gridSpan w:val="5"/>
          </w:tcPr>
          <w:p>
            <w:pPr>
              <w:jc w:val="right"/>
              <w:ind w:right="60"/>
              <w:spacing w:after="0"/>
              <w:rPr>
                <w:sz w:val="20"/>
                <w:szCs w:val="20"/>
                <w:color w:val="auto"/>
              </w:rPr>
            </w:pPr>
            <w:r>
              <w:rPr>
                <w:rFonts w:ascii="Arial" w:cs="Arial" w:eastAsia="Arial" w:hAnsi="Arial"/>
                <w:sz w:val="18"/>
                <w:szCs w:val="18"/>
                <w:color w:val="auto"/>
              </w:rPr>
              <w:t>(9,454)</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(9,185)</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(3,681)</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EBITDA</w:t>
            </w:r>
          </w:p>
        </w:tc>
        <w:tc>
          <w:tcPr>
            <w:tcW w:w="2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$224,765</w:t>
            </w:r>
          </w:p>
        </w:tc>
        <w:tc>
          <w:tcPr>
            <w:tcW w:w="100" w:type="dxa"/>
            <w:vAlign w:val="bottom"/>
            <w:shd w:val="clear" w:color="auto" w:fill="EEEEEE"/>
          </w:tcPr>
          <w:p>
            <w:pPr>
              <w:spacing w:after="0"/>
              <w:rPr>
                <w:sz w:val="22"/>
                <w:szCs w:val="22"/>
                <w:color w:val="auto"/>
              </w:rPr>
            </w:pPr>
          </w:p>
        </w:tc>
        <w:tc>
          <w:tcPr>
            <w:tcW w:w="10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$175,420</w:t>
            </w:r>
          </w:p>
        </w:tc>
        <w:tc>
          <w:tcPr>
            <w:tcW w:w="100" w:type="dxa"/>
            <w:vAlign w:val="bottom"/>
            <w:shd w:val="clear" w:color="auto" w:fill="EEEEEE"/>
          </w:tcPr>
          <w:p>
            <w:pPr>
              <w:spacing w:after="0"/>
              <w:rPr>
                <w:sz w:val="22"/>
                <w:szCs w:val="22"/>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$188,798</w:t>
            </w:r>
          </w:p>
        </w:tc>
        <w:tc>
          <w:tcPr>
            <w:tcW w:w="100" w:type="dxa"/>
            <w:vAlign w:val="bottom"/>
            <w:shd w:val="clear" w:color="auto" w:fill="EEEEEE"/>
          </w:tcPr>
          <w:p>
            <w:pPr>
              <w:spacing w:after="0"/>
              <w:rPr>
                <w:sz w:val="22"/>
                <w:szCs w:val="22"/>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$176,519</w:t>
            </w:r>
          </w:p>
        </w:tc>
        <w:tc>
          <w:tcPr>
            <w:tcW w:w="120" w:type="dxa"/>
            <w:vAlign w:val="bottom"/>
            <w:shd w:val="clear" w:color="auto" w:fill="EEEEEE"/>
          </w:tcPr>
          <w:p>
            <w:pPr>
              <w:spacing w:after="0"/>
              <w:rPr>
                <w:sz w:val="22"/>
                <w:szCs w:val="22"/>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$166,996</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920" w:type="dxa"/>
            <w:vAlign w:val="bottom"/>
            <w:tcBorders>
              <w:top w:val="single" w:sz="8" w:color="EEEEEE"/>
            </w:tcBorders>
          </w:tcPr>
          <w:p>
            <w:pPr>
              <w:spacing w:after="0"/>
              <w:rPr>
                <w:sz w:val="24"/>
                <w:szCs w:val="24"/>
                <w:color w:val="auto"/>
              </w:rPr>
            </w:pPr>
          </w:p>
        </w:tc>
        <w:tc>
          <w:tcPr>
            <w:tcW w:w="2080" w:type="dxa"/>
            <w:vAlign w:val="bottom"/>
            <w:tcBorders>
              <w:top w:val="single" w:sz="8" w:color="EEEEEE"/>
            </w:tcBorders>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EEEEEE"/>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120" w:type="dxa"/>
            <w:vAlign w:val="bottom"/>
            <w:tcBorders>
              <w:top w:val="single" w:sz="8" w:color="808080"/>
            </w:tcBorders>
          </w:tcPr>
          <w:p>
            <w:pPr>
              <w:spacing w:after="0"/>
              <w:rPr>
                <w:sz w:val="24"/>
                <w:szCs w:val="24"/>
                <w:color w:val="auto"/>
              </w:rPr>
            </w:pPr>
          </w:p>
        </w:tc>
        <w:tc>
          <w:tcPr>
            <w:tcW w:w="5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120" w:type="dxa"/>
            <w:vAlign w:val="bottom"/>
            <w:tcBorders>
              <w:top w:val="single" w:sz="8" w:color="808080"/>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discussion should be read in conjunction with the consolidated financial statements and notes thereto appearing in Item 1 of this report.</w:t>
      </w:r>
    </w:p>
    <w:p>
      <w:pPr>
        <w:spacing w:after="0" w:line="208"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risk factors included or incorporated by reference in this Annual Report on Form 10-K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179" w:lineRule="exact"/>
        <w:rPr>
          <w:sz w:val="20"/>
          <w:szCs w:val="20"/>
          <w:color w:val="auto"/>
        </w:rPr>
      </w:pPr>
    </w:p>
    <w:p>
      <w:pPr>
        <w:ind w:left="440" w:hanging="17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that our tenants will not pay rent;</w:t>
      </w:r>
    </w:p>
    <w:p>
      <w:pPr>
        <w:spacing w:after="0" w:line="225" w:lineRule="exact"/>
        <w:rPr>
          <w:rFonts w:ascii="Arial" w:cs="Arial" w:eastAsia="Arial" w:hAnsi="Arial"/>
          <w:sz w:val="18"/>
          <w:szCs w:val="18"/>
          <w:color w:val="auto"/>
        </w:rPr>
      </w:pPr>
    </w:p>
    <w:p>
      <w:pPr>
        <w:ind w:left="440" w:right="200" w:hanging="171"/>
        <w:spacing w:after="0" w:line="34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of financing, such as our ability to consummate additional financings or obtain replacement financing on terms which are acceptable to us, our ability to comply with our existing financial covenants and the possibility of increases in interest rates that would result in increased interest expense;</w:t>
      </w:r>
    </w:p>
    <w:p>
      <w:pPr>
        <w:spacing w:after="0" w:line="123" w:lineRule="exact"/>
        <w:rPr>
          <w:rFonts w:ascii="Arial" w:cs="Arial" w:eastAsia="Arial" w:hAnsi="Arial"/>
          <w:sz w:val="16"/>
          <w:szCs w:val="16"/>
          <w:color w:val="auto"/>
        </w:rPr>
      </w:pPr>
    </w:p>
    <w:p>
      <w:pPr>
        <w:ind w:left="440" w:right="40" w:hanging="171"/>
        <w:spacing w:after="0" w:line="259"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we may be unable to renew leases or relet space at favorable rents as leases expire, that new acquisitions and our development, construction and renovation projects may fail to perform as expected, that competition for acquisitions could result in increased prices, that we may encounter environmental issues, and, because real estate is illiquid, that we may not be able to sell properties when appropriate;</w:t>
      </w:r>
    </w:p>
    <w:p>
      <w:pPr>
        <w:spacing w:after="0" w:line="186" w:lineRule="exact"/>
        <w:rPr>
          <w:rFonts w:ascii="Arial" w:cs="Arial" w:eastAsia="Arial" w:hAnsi="Arial"/>
          <w:sz w:val="18"/>
          <w:szCs w:val="18"/>
          <w:color w:val="auto"/>
        </w:rPr>
      </w:pPr>
    </w:p>
    <w:p>
      <w:pPr>
        <w:ind w:left="440" w:hanging="17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 and</w:t>
      </w:r>
    </w:p>
    <w:p>
      <w:pPr>
        <w:spacing w:after="0" w:line="225" w:lineRule="exact"/>
        <w:rPr>
          <w:rFonts w:ascii="Arial" w:cs="Arial" w:eastAsia="Arial" w:hAnsi="Arial"/>
          <w:sz w:val="18"/>
          <w:szCs w:val="18"/>
          <w:color w:val="auto"/>
        </w:rPr>
      </w:pPr>
    </w:p>
    <w:p>
      <w:pPr>
        <w:jc w:val="both"/>
        <w:ind w:left="440" w:right="240" w:hanging="171"/>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our obligation to comply with complex tax regulations relating to our status as a REIT, the effect of future changes in REIT requirements as a result of new legislation and the adverse consequences if we fail to qualify as a REIT.</w:t>
      </w:r>
    </w:p>
    <w:p>
      <w:pPr>
        <w:spacing w:after="0" w:line="181"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Given these uncertainties, readers are cautioned not to place undue reliance on these forward-looking statements or those incorporated into this Annual Report on Form 10-K. We also make no promise to update any of the forward-looking statements. You should carefully review the risks and the risk factors incorporated herein by reference from our Form 8-K filed on March 11, 2004 before making any investment in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 quality retail and mixed-use properties. As of December 31, 2003, we owned or had an interest in 62 community and neighborhood shopping centers comprising approximately 13.5 million square feet, primarily located in densely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populated and affluent communities throughout the Northeast and Mid-Atlantic United States. In addition, we owned 49 urban and retail mixed-use properties comprising over 2.7 million square feet and one apartment complex, primarily located in strategic metropolitan markets in the Northeast and Mid-Atlantic regions and California. In total, our properties were 93.1% leased at December 31, 2003 and 94.7% leased at December 31, 2002.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right="100" w:firstLine="222"/>
        <w:spacing w:after="0" w:line="271"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Management considers an accounting estimate to be critical if it requires assumptions to be made that were uncertain at the time the estimate was made, and changes in the estimate or different estimates could have a material impact on our consolidated results of operations or financial condition.</w:t>
      </w:r>
    </w:p>
    <w:p>
      <w:pPr>
        <w:spacing w:after="0" w:line="138"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most significant accounting policies which involve the use of estimates and assumptions as to future uncertainties and, therefore, may result in actual amounts that differ from estimates, are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185"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Leases with tenants are classified as operating leases. Base rents are recognized on a straight-line basis over the terms of the related leases, net of valuation adjustments, based on management’s assessment of credit, collection and other business risk. We make estimates of the collectibility of our accounts receivable related to base rents, including receivables from recording rent on a straight-line basis, expense reimbursements and other revenue or income taking into account payment history, industry trends and the period of recovery. In doing so, we generally reserve for straight-line rents due to be collected beyond ten years because of uncertainty of collection. In some cases the ultimate collectibility of these claims extends beyond one year. These estimates have a direct impact on our net income. Historically we have recognized bad debt expense between 1.0% and 1.5% of rental income. If we were to have experienced an increase in bad debt of 0.5% of rental income in 2003, our net income would have been reduced by approximately $1.6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98" w:lineRule="exact"/>
        <w:rPr>
          <w:sz w:val="20"/>
          <w:szCs w:val="20"/>
          <w:color w:val="auto"/>
        </w:rPr>
      </w:pPr>
    </w:p>
    <w:p>
      <w:pPr>
        <w:ind w:right="300" w:firstLine="222"/>
        <w:spacing w:after="0" w:line="259" w:lineRule="auto"/>
        <w:rPr>
          <w:sz w:val="20"/>
          <w:szCs w:val="20"/>
          <w:color w:val="auto"/>
        </w:rPr>
      </w:pPr>
      <w:r>
        <w:rPr>
          <w:rFonts w:ascii="Arial" w:cs="Arial" w:eastAsia="Arial" w:hAnsi="Arial"/>
          <w:sz w:val="18"/>
          <w:szCs w:val="18"/>
          <w:color w:val="auto"/>
        </w:rPr>
        <w:t>The nature of our business as an owner, re-developer and operator of retail shopping centers means that we are very capital intensive. Depreciation and maintenance of our shopping centers and mixed-use properties constitutes a substantial cost for the Trust as well as the industry as a whole. The Trust capitalizes real estate investments and depreciates it in accordance with GAAP and consistent with industry standards based on our best estimates of the assets’ physical and economic useful lives. The cost of our real estate investments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less salvage value, if any, is charged to depreciation expense over the estimated life of the asset using straight-line rates for financial statement purposes. We periodically review the lives of our assets and implement changes, as necessary, to the depreciation rates. These reviews take into account the historical retirement and replacement of our assets, the repairs required to maintain the condition of our assets, the cost of redevelopments which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Accordingly, we believe that the estimates we make to determine our depreciation expense for accounting purposes are critical.</w:t>
      </w:r>
    </w:p>
    <w:p>
      <w:pPr>
        <w:spacing w:after="0" w:line="151"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Land, buildings and real estate under development are recorded at cost. Depreciation is computed using the straight-line method with useful lives ranging generally from 35 years to a maximum of 50 years on buildings and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three to 15 years. Certain external and internal costs directly related to the development, redevelopment and leasing of real estate, including applicable salaries and the related direct costs, are capitalized. The capitalized costs associated with developments, redevelopments and leasing are depreciated or amortized over the life of the improvement and lease, respectively. Unamortized leasing costs are charged to operations if the applicable tenant vacates before the expiration of its lease. Undepreciated tenant work is charged to operations if the applicable tenant vacates and the tenant work is replaced.</w:t>
      </w:r>
    </w:p>
    <w:p>
      <w:pPr>
        <w:spacing w:after="0" w:line="126"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46" w:lineRule="exact"/>
        <w:rPr>
          <w:sz w:val="20"/>
          <w:szCs w:val="20"/>
          <w:color w:val="auto"/>
        </w:rPr>
      </w:pPr>
    </w:p>
    <w:p>
      <w:pPr>
        <w:ind w:firstLine="222"/>
        <w:spacing w:after="0" w:line="288" w:lineRule="auto"/>
        <w:rPr>
          <w:sz w:val="20"/>
          <w:szCs w:val="20"/>
          <w:color w:val="auto"/>
        </w:rPr>
      </w:pPr>
      <w:r>
        <w:rPr>
          <w:rFonts w:ascii="Arial" w:cs="Arial" w:eastAsia="Arial" w:hAnsi="Arial"/>
          <w:sz w:val="16"/>
          <w:szCs w:val="16"/>
          <w:color w:val="auto"/>
        </w:rPr>
        <w:t>We are required to make subjective assessments as to the useful lives of our real estate for purposes of determining the amount of depreciation to reflect on an annual basis. These assessments have a direct impact on net income. Certain events could occur that would materially affect our estimates and assumptions related to depreciation. Unforeseen competition or changes in customer shopping habits could substantially alter our assumptions regarding our ability to realize the return on investment in the property and therefore reduce the economic life of the asset and affect the amount of depreciation expense to charge against both the current and future revenues. We will continue to periodically review the lives of assets and any decrease in asset lives could have the effect of increasing depreciation expense while any analysis indicating that lives are longer than we have assumed could have the effect of decreasing depreciation expense. In order to determine the impact on depreciation expense of a different average life of our real estate assets taken as a whole, we used 25 years, which is the approximate average life of all assets being depreciated at the end of 2003. If the estimated useful lives of all assets being depreciated were increased by one year, the consolidated depreciation expense would have decreased by approximately $3.0 million. If the estimated useful lives of all assets being depreciated were decreased by one year, the consolidated depreciation expense would have increased by approximately $3.0 million.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85"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There are estimates and assumptions made by management in preparing the consolidated financial statements for which the actual results will emerge over long periods of time. This includes the recoverability of long-lived assets, including our properties which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w:t>
      </w:r>
    </w:p>
    <w:p>
      <w:pPr>
        <w:spacing w:after="0" w:line="153"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requires us to report the results of that property as “discontinued operations.”</w:t>
      </w:r>
    </w:p>
    <w:p>
      <w:pPr>
        <w:spacing w:after="0" w:line="146"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We are required to make estimates of undiscounted cash flows in determining whether there is an impairment of an asset. Actual results could be significantly different from the estimates. These estimates have a direct impact on net income, because recording an impairment charge results in a negative adjustment to net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ind w:right="600" w:firstLine="222"/>
        <w:spacing w:after="0" w:line="342" w:lineRule="auto"/>
        <w:rPr>
          <w:sz w:val="20"/>
          <w:szCs w:val="20"/>
          <w:color w:val="auto"/>
        </w:rPr>
      </w:pPr>
      <w:r>
        <w:rPr>
          <w:rFonts w:ascii="Arial" w:cs="Arial" w:eastAsia="Arial" w:hAnsi="Arial"/>
          <w:sz w:val="16"/>
          <w:szCs w:val="16"/>
          <w:color w:val="auto"/>
        </w:rPr>
        <w:t>We are sometimes involved in lawsuits and environmental matters arising in the ordinary course of business. Management makes assumptions and estimates concerning the amount and likelihood of loss relating to these matters. These estimates and assumptions have a direct impact on net income.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2"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January 2004, we issued $75 million of fixed rate notes which mature in February 2011 and bear interest at 4.50%. The proceeds of this note offering were used to pay down our revolving credit facility.</w:t>
      </w:r>
    </w:p>
    <w:p>
      <w:pPr>
        <w:spacing w:after="0" w:line="130" w:lineRule="exact"/>
        <w:rPr>
          <w:sz w:val="20"/>
          <w:szCs w:val="20"/>
          <w:color w:val="auto"/>
        </w:rPr>
      </w:pPr>
    </w:p>
    <w:p>
      <w:pPr>
        <w:ind w:right="180" w:firstLine="215"/>
        <w:spacing w:after="0" w:line="277" w:lineRule="auto"/>
        <w:rPr>
          <w:sz w:val="20"/>
          <w:szCs w:val="20"/>
          <w:color w:val="auto"/>
        </w:rPr>
      </w:pPr>
      <w:r>
        <w:rPr>
          <w:rFonts w:ascii="Arial" w:cs="Arial" w:eastAsia="Arial" w:hAnsi="Arial"/>
          <w:sz w:val="18"/>
          <w:szCs w:val="18"/>
          <w:color w:val="auto"/>
        </w:rPr>
        <w:t>Also in January 2004, we purchased an interest rate swap on our $150 million term note which bears interest at LIBOR plus 95 basis-points and is due to mature in October 2008. The swap has locked in the LIBOR portion of the interest rate at 2.401% through October 2006.</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Property Acquisitions and Dispositions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85"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On March 21, 2003, a partnership in which one of our wholly owned subsidiaries is the general partner, purchased the 214,000 square foot South Valley Shopping Center in Alexandria, Virginia for a purchase price of approximately $13.7 million in cash. All of the purchase price has been allocated to real estate assets except for approximately $125,000 which has been allocated to prepaid and other assets associated with the net fair value assigned to above-market leases assumed and $332,000 which has been allocated to other liabilities associated with the net fair value assigned to below-market leases assumed.</w:t>
      </w:r>
    </w:p>
    <w:p>
      <w:pPr>
        <w:spacing w:after="0" w:line="127" w:lineRule="exact"/>
        <w:rPr>
          <w:sz w:val="20"/>
          <w:szCs w:val="20"/>
          <w:color w:val="auto"/>
        </w:rPr>
      </w:pPr>
    </w:p>
    <w:p>
      <w:pPr>
        <w:ind w:right="280" w:firstLine="225"/>
        <w:spacing w:after="0" w:line="255"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All of the purchase price has been allocated to real estate assets except for approximately $756,000 which has been allocated to prepaid and other assets associated with the net fair value assigned to above-market leases assumed and $1.75 million which has been allocated to other liabilities associated with the net fair value assigned to the assumed leases at the property assigned.</w:t>
      </w:r>
    </w:p>
    <w:p>
      <w:pPr>
        <w:spacing w:after="0" w:line="15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October 14, 2003, the Trust acquired the leasehold interest, which extends through September 30, 2028, in the 321,000 square foot Mercer Mall in Lawrenceville, New Jersey for $10.5 million paid out of proceeds from dispositions and from borrowings under our credit facility. The master lease includes a fixed purchase price option for $55 million in 2023. If we fail to exercise our purchase option, the owner of Mercer Mall has a put option which would require us to purchase Mercer Mall for $60 million in 2025. All of the purchase price has been allocated to real estate assets except for approximately $736,000 allocated to prepaid and other assets associated with the net fair value assigned to above-market leases assumed, and $2.4 million allocated to other liabilities associated with the net fair value assigned to below-market leases assumed.</w:t>
      </w:r>
    </w:p>
    <w:p>
      <w:pPr>
        <w:spacing w:after="0" w:line="138"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October 31, 2003, FR Plaza del Mercado, LLC, a wholly owned subsidiary of the Trust, purchased the 96,000 square foot Plaza del Mercado shopping center located in Silver Spring, Maryland for a purchase price of approximately $20 million in cash. All of the purchase price has been allocated to real estate assets except for approximately $929,000 fair value assigned to above-market leases assumed and $962,000 allocated to other liabilities associated with the net fair value assigned to below-market leases assumed.</w:t>
      </w:r>
    </w:p>
    <w:p>
      <w:pPr>
        <w:spacing w:after="0" w:line="16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December 4, 2003, FR Mercer Mall, LLC, a wholly owned subsidiary of the Trust, purchased a 40,000 square foot out-parcel of Mercer Mall in Lawrenceville, New Jersey for a purchase price of approximately $6.5 million including the assumption. All of the purchase price has been allocated to real estate assets except for approximately $15,000 which has been allocated to prepaid and other assets associated with the net fair value assigned to above-market lease assumed.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98"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For the year ended December 31, 2003, aggregate cash proceeds from dispositions were $46.0 million. Costs of dispositions were approximately $2.1 million which resulted in net proceeds from sale of real estate for 2003 being $43.9 million compared to net proceeds from sale of real estate in 2002 of $62.5 million.</w:t>
      </w:r>
    </w:p>
    <w:p>
      <w:pPr>
        <w:spacing w:after="0" w:line="14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approximately $1.5 million resulting in a gain of $551,000. Net proceeds were used to reduce borrowings under our credit facility.</w:t>
      </w:r>
    </w:p>
    <w:p>
      <w:pPr>
        <w:spacing w:after="0" w:line="13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the third quarter of 2003, we sold three retail properties and one undeveloped parcel of land for gross cash proceeds of $20.8 million. The properties sold were Coolidge Corner in Brookline, Massachusetts (13,000 retail square feet), Tanasbourne in Washington County, Oregon (undeveloped land), 4925 Bethesda Avenue in Bethesda, Maryland (3,400 square feet) and 2106 Central Avenue in Evanston, Illinois (19,000 square feet). The combined gain on the dispositions was $7.2 million. The net proceeds were used to reduce borrowings under our credit facility or held in cash to be used to fund acquisitions which took place in October 2003 (see “Acquisitions” above).</w:t>
      </w:r>
    </w:p>
    <w:p>
      <w:pPr>
        <w:spacing w:after="0" w:line="16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On October 31, 2003, we sold a 15,000 square foot street retail asset located at 234 Greenwich Avenue in Greenwich, Connecticut for approximately $8.0 million. As a result of this sale, the Trust recorded a gain of approximately $4.5 million.</w:t>
      </w:r>
    </w:p>
    <w:p>
      <w:pPr>
        <w:spacing w:after="0" w:line="130"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On December 18, 2003, we sold four street retail properties, totaling 62,000 square feet, located in West Hartford, Connecticut. The properties were sold for approximately $15.7 million and resulted in a gain of approximately $7.9 million.</w:t>
      </w:r>
    </w:p>
    <w:p>
      <w:pPr>
        <w:spacing w:after="0" w:line="13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rental income. We have agreed on a condemnation value of $14.3 million, subject to certain terms, with the governmental authority and anticipate closing of this transaction in mid-2004. Because the anticipated condemnation proceeds are in excess of our carrying value, we have not recorded any impairment in value of the property.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Financing Developments</w:t>
      </w:r>
    </w:p>
    <w:p>
      <w:pPr>
        <w:spacing w:after="0" w:line="202"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On February 11, 2003, the $24.4 million Woodmont East construction loan and the $17.0 million Friendship Center mortgage were paid off through borrowings under our revolving credit facility.</w:t>
      </w:r>
    </w:p>
    <w:p>
      <w:pPr>
        <w:spacing w:after="0" w:line="130"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$98.4 million in cash proceeds.</w:t>
      </w:r>
    </w:p>
    <w:p>
      <w:pPr>
        <w:spacing w:after="0" w:line="13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On June 13, 2003, we redeemed our $100 million 7.95% Series A Cumulative Redeemable Preferred Shares using the proceeds from the May 14, 2003 common stock offering and additional borrowings under our line of credit.</w:t>
      </w:r>
    </w:p>
    <w:p>
      <w:pPr>
        <w:spacing w:after="0" w:line="143"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On June 23, 2003, we redeemed and paid in full our $75 million, 5 ¼% Convertible Subordinated Debentures originally due to mature on October 28, 2003, through borrowings under our revolving credit facility.</w:t>
      </w:r>
    </w:p>
    <w:p>
      <w:pPr>
        <w:spacing w:after="0" w:line="13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 The spread over LIBOR is subject to adjustment based on our credit rating. Covenants under the new credit facility are substantially the same type as were required under the previous facility. Concurrent with the replacement of our $125 million term loan with the new credit facility, we unwound the related interest rate swaps which were due to expire on December 19, 2003 at of cost of approximately $1.1 million. In January 2004, to hedge our exposure to interest rates on our $150 million term loan issued in October 2003, we entered into an interest rate swap, which fixed the LIBOR portion of the interest rate on the term loan at 2.401% through October 2006. The interest rate on the term loan as of December 31, 2003 was LIBOR plus 95 basis points. Subsequent to entering into the swap, the interest rate was fixed at 3.351% (2.401% plus 0.95%) on notional amounts totaling $150 million.</w:t>
      </w:r>
    </w:p>
    <w:p>
      <w:pPr>
        <w:spacing w:after="0" w:line="137"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 $5.9 million loan receivable, which currently bears interest at 7.88% and is secured by an office building in San Francisco, California, was due February 28, 2003 but was not repaid on the due date. We are currently negotiating with the borrower to extend the loan until March 31, 2005. When the loan modification is complete, the interest rate on the note will decrease to 6% retroactive to July 1, 2003. Interest on the loan is current through December 31, 2003 and based in part on the value of the underlying collateral, we believe that the loan is collectible, and as such, no reserve has been established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189"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2003, our single largest development capital need was the completion of Phase I and Phase II of Santana Row, a multi-phase, mixed-use project built on 42 acres in San Jose, California in the heart of Silicon Valley. The project consists of residential, retail and hotel components, creating a community with the feel of an urban district.</w:t>
      </w:r>
    </w:p>
    <w:p>
      <w:pPr>
        <w:spacing w:after="0" w:line="14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Phase I of the project includes eight buildings which contain approximately 444,000 square feet of retail space, 255 residential units, a 213 room hotel and the supporting infrastructure. The first building, containing 40,000 square feet and leased to Crate &amp; Barrel opened on June 27, 2002. Six of the remaining seven buildings, consisting of approximately 317,000 square feet of retail space, opened on November 7, 2002. The remaining building, “Building Seven,” contained approximately 87,000 square feet of retail space, approximately 1,000 parking spaces and 246 residential units until a fire on August 19, 2002, prior to its scheduled opening. The fire in August 2002 destroyed all but 11 of the 246 residential units and damaged the retail units and a parking structure resulting in a delay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opening of the retail units from September 2002 until February 2003. We estimate the total cost of Phase I to be approximately $443 million, net of related insurance proceeds.</w:t>
      </w:r>
    </w:p>
    <w:p>
      <w:pPr>
        <w:spacing w:after="0" w:line="143"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In December 2003, we reached final settlement with our insurance company regarding the Santana Row fire claim and received a final payment of $26.9 million bringing the total settlement to $129.0 million. In total, all of the proceeds except approximately $11 million has been accounted for as a reduction in the cost basis of the property or reimbursement of costs to clean-up and restore damaged property or reimbursements to third parties. The remaining</w:t>
      </w:r>
    </w:p>
    <w:p>
      <w:pPr>
        <w:ind w:right="140"/>
        <w:spacing w:after="0" w:line="255" w:lineRule="auto"/>
        <w:rPr>
          <w:sz w:val="20"/>
          <w:szCs w:val="20"/>
          <w:color w:val="auto"/>
        </w:rPr>
      </w:pPr>
      <w:r>
        <w:rPr>
          <w:rFonts w:ascii="Arial" w:cs="Arial" w:eastAsia="Arial" w:hAnsi="Arial"/>
          <w:sz w:val="18"/>
          <w:szCs w:val="18"/>
          <w:color w:val="auto"/>
        </w:rPr>
        <w:t>$11 million has been accounted for as a reimbursement of lost rents of which $8 million was recognized in 2003 as part of rental income and the remainder will be recognized as rental income in 2004. A gain of $200,000 was recognized in the second quarter of 2003 to account for that portion of the insurance proceeds received in excess of costs of the constructed assets.</w:t>
      </w:r>
    </w:p>
    <w:p>
      <w:pPr>
        <w:spacing w:after="0" w:line="150"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On February 7, 2003, we announced plans for Phase II of Santana Row, which includes approximately 84,000 square feet of retail space on two pad sites and 275 additional parking spaces. The Phase II retail space was opened and operating prior to year-end 2003 with total development costs of approximately $26 million. The two primary tenants of Phase II, The Container Store and Best Buy, opened in the fourth quarter of 2003.</w:t>
      </w:r>
    </w:p>
    <w:p>
      <w:pPr>
        <w:spacing w:after="0" w:line="125" w:lineRule="exact"/>
        <w:rPr>
          <w:sz w:val="20"/>
          <w:szCs w:val="20"/>
          <w:color w:val="auto"/>
        </w:rPr>
      </w:pPr>
    </w:p>
    <w:p>
      <w:pPr>
        <w:ind w:right="240" w:firstLine="225"/>
        <w:spacing w:after="0" w:line="286" w:lineRule="auto"/>
        <w:rPr>
          <w:sz w:val="20"/>
          <w:szCs w:val="20"/>
          <w:color w:val="auto"/>
        </w:rPr>
      </w:pPr>
      <w:r>
        <w:rPr>
          <w:rFonts w:ascii="Arial" w:cs="Arial" w:eastAsia="Arial" w:hAnsi="Arial"/>
          <w:sz w:val="17"/>
          <w:szCs w:val="17"/>
          <w:color w:val="auto"/>
        </w:rPr>
        <w:t>In November 2003, we announced the planned development of 96 townhomes and 160 flats on the Building 7 podium to replace the units that were destroyed in the August 2002 fire. Construction began in late 2003 and the first units are expected to be available in early 2005 with the balance delivered later in that year. The Trust will invest nearly $60 million of incremental capital to complete the residential development.</w:t>
      </w:r>
    </w:p>
    <w:p>
      <w:pPr>
        <w:spacing w:after="0" w:line="139"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success of Santana Row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and around Silicon Valley.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 Center</w:t>
      </w:r>
    </w:p>
    <w:p>
      <w:pPr>
        <w:spacing w:after="0" w:line="19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Throughout this section, we have provided certain information on a “same center” basis. Information provided on a same center basis is provided for only those properties that we owned and operated for the entirety of both periods being compared and includes properties which were redeveloped or expanded during the periods being compared. Properties purchased or sold and properties under development at any time during the periods being compared are excluded.</w:t>
      </w:r>
    </w:p>
    <w:p>
      <w:pPr>
        <w:spacing w:after="0" w:line="146"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For purposes of the following discussion of our results of operations on a same center basis for the year ended December 31, 2003 compared to the year ended December 31, 2002, we exclude the four shopping centers acquired during 2003 and 2002 (Mount Vernon Plaza, South Valley Shopping Center, Plaza del Mercado and Mercer Mall) as well as the dispositions (two buildings in Bethesda, Maryland, an undeveloped parcel in Washington County, Oregon, one building in Evanston, Illinois, one building in Greenwich, Connecticut, one property in Brookline, Massachusetts, and four buildings in West Hartford, Connecticut). We also exclude the six properties sold in 2002 (one property in Greenwich, Connecticut; two properties in Westport,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Connecticut; one property in Westfield, New Jersey; one property in Hollywood, California; and one property in Portland, Oregon) and properties under development in 2003 or 2002, including two of our street retail properties, Santana Row in San Jose, California and Pentagon Row in Arlington, Virginia.</w:t>
      </w:r>
    </w:p>
    <w:p>
      <w:pPr>
        <w:spacing w:after="0" w:line="97"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Same center information for the year ended December 31, 2002 excludes the six properties sold in 2002, the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 California which was exchanged for the minority partner’s interest in Santana Row and properties under development in 2001 and 2002, including Pentagon Row in Arlington, Virginia and Santana Row in San Jose, California.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2003 to Year Ended December 31, 2002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tcPr>
          <w:p>
            <w:pPr>
              <w:jc w:val="right"/>
              <w:ind w:right="332"/>
              <w:spacing w:after="0"/>
              <w:rPr>
                <w:sz w:val="20"/>
                <w:szCs w:val="20"/>
                <w:color w:val="auto"/>
              </w:rPr>
            </w:pPr>
            <w:r>
              <w:rPr>
                <w:rFonts w:ascii="Arial" w:cs="Arial" w:eastAsia="Arial" w:hAnsi="Arial"/>
                <w:sz w:val="14"/>
                <w:szCs w:val="14"/>
                <w:color w:val="auto"/>
              </w:rPr>
              <w:t>Increase/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jc w:val="right"/>
              <w:ind w:right="491"/>
              <w:spacing w:after="0"/>
              <w:rPr>
                <w:sz w:val="20"/>
                <w:szCs w:val="20"/>
                <w:color w:val="auto"/>
              </w:rPr>
            </w:pPr>
            <w:r>
              <w:rPr>
                <w:rFonts w:ascii="Arial" w:cs="Arial" w:eastAsia="Arial" w:hAnsi="Arial"/>
                <w:sz w:val="14"/>
                <w:szCs w:val="14"/>
                <w:color w:val="auto"/>
              </w:rPr>
              <w:t>2003</w:t>
            </w:r>
          </w:p>
        </w:tc>
        <w:tc>
          <w:tcPr>
            <w:tcW w:w="50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jc w:val="right"/>
              <w:ind w:right="551"/>
              <w:spacing w:after="0"/>
              <w:rPr>
                <w:sz w:val="20"/>
                <w:szCs w:val="20"/>
                <w:color w:val="auto"/>
              </w:rPr>
            </w:pPr>
            <w:r>
              <w:rPr>
                <w:rFonts w:ascii="Arial" w:cs="Arial" w:eastAsia="Arial" w:hAnsi="Arial"/>
                <w:sz w:val="14"/>
                <w:szCs w:val="14"/>
                <w:color w:val="auto"/>
              </w:rPr>
              <w:t>2002</w:t>
            </w:r>
          </w:p>
        </w:tc>
        <w:tc>
          <w:tcPr>
            <w:tcW w:w="1500" w:type="dxa"/>
            <w:vAlign w:val="bottom"/>
            <w:tcBorders>
              <w:bottom w:val="single" w:sz="8" w:color="808080"/>
            </w:tcBorders>
          </w:tcPr>
          <w:p>
            <w:pPr>
              <w:jc w:val="right"/>
              <w:ind w:right="272"/>
              <w:spacing w:after="0"/>
              <w:rPr>
                <w:sz w:val="20"/>
                <w:szCs w:val="20"/>
                <w:color w:val="auto"/>
              </w:rPr>
            </w:pPr>
            <w:r>
              <w:rPr>
                <w:rFonts w:ascii="Arial" w:cs="Arial" w:eastAsia="Arial" w:hAnsi="Arial"/>
                <w:sz w:val="14"/>
                <w:szCs w:val="14"/>
                <w:color w:val="auto"/>
              </w:rPr>
              <w:t>(Decrease)</w:t>
            </w:r>
          </w:p>
        </w:tc>
        <w:tc>
          <w:tcPr>
            <w:tcW w:w="1100" w:type="dxa"/>
            <w:vAlign w:val="bottom"/>
            <w:tcBorders>
              <w:bottom w:val="single" w:sz="8" w:color="808080"/>
            </w:tcBorders>
          </w:tcPr>
          <w:p>
            <w:pPr>
              <w:jc w:val="right"/>
              <w:ind w:right="1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w w:val="86"/>
              </w:rPr>
              <w:t>334,697</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w w:val="86"/>
              </w:rPr>
              <w:t>295,016</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$ 39,681</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property income</w:t>
            </w: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17,800</w:t>
            </w:r>
          </w:p>
        </w:tc>
        <w:tc>
          <w:tcPr>
            <w:tcW w:w="5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color w:val="auto"/>
              </w:rPr>
              <w:t>15,468</w:t>
            </w: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2,332</w:t>
            </w: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rPr>
              <w:t>5,379</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5,156</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223</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13.4%</w:t>
            </w:r>
          </w:p>
        </w:tc>
        <w:tc>
          <w:tcPr>
            <w:tcW w:w="0" w:type="dxa"/>
            <w:vAlign w:val="bottom"/>
          </w:tcPr>
          <w:p>
            <w:pPr>
              <w:spacing w:after="0" w:line="20" w:lineRule="exact"/>
              <w:rPr>
                <w:sz w:val="1"/>
                <w:szCs w:val="1"/>
                <w:color w:val="auto"/>
              </w:rPr>
            </w:pPr>
          </w:p>
        </w:tc>
      </w:tr>
      <w:tr>
        <w:trPr>
          <w:trHeight w:val="237"/>
        </w:trPr>
        <w:tc>
          <w:tcPr>
            <w:tcW w:w="5860" w:type="dxa"/>
            <w:vAlign w:val="bottom"/>
            <w:gridSpan w:val="2"/>
            <w:vMerge w:val="continue"/>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1060" w:type="dxa"/>
            <w:vAlign w:val="bottom"/>
            <w:tcBorders>
              <w:bottom w:val="single" w:sz="8" w:color="808080"/>
            </w:tcBorders>
          </w:tcPr>
          <w:p>
            <w:pPr>
              <w:jc w:val="right"/>
              <w:ind w:right="391"/>
              <w:spacing w:after="0"/>
              <w:rPr>
                <w:sz w:val="20"/>
                <w:szCs w:val="20"/>
                <w:color w:val="auto"/>
              </w:rPr>
            </w:pPr>
            <w:r>
              <w:rPr>
                <w:rFonts w:ascii="Arial" w:cs="Arial" w:eastAsia="Arial" w:hAnsi="Arial"/>
                <w:sz w:val="18"/>
                <w:szCs w:val="18"/>
                <w:b w:val="1"/>
                <w:bCs w:val="1"/>
                <w:color w:val="auto"/>
                <w:w w:val="86"/>
              </w:rPr>
              <w:t>357,876</w:t>
            </w:r>
          </w:p>
        </w:tc>
        <w:tc>
          <w:tcPr>
            <w:tcW w:w="5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431"/>
              <w:spacing w:after="0"/>
              <w:rPr>
                <w:sz w:val="20"/>
                <w:szCs w:val="20"/>
                <w:color w:val="auto"/>
              </w:rPr>
            </w:pPr>
            <w:r>
              <w:rPr>
                <w:rFonts w:ascii="Arial" w:cs="Arial" w:eastAsia="Arial" w:hAnsi="Arial"/>
                <w:sz w:val="18"/>
                <w:szCs w:val="18"/>
                <w:b w:val="1"/>
                <w:bCs w:val="1"/>
                <w:color w:val="auto"/>
                <w:w w:val="86"/>
              </w:rPr>
              <w:t>315,640</w:t>
            </w:r>
          </w:p>
        </w:tc>
        <w:tc>
          <w:tcPr>
            <w:tcW w:w="15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42,236</w:t>
            </w:r>
          </w:p>
        </w:tc>
        <w:tc>
          <w:tcPr>
            <w:tcW w:w="1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Rental 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rPr>
              <w:t>83,447</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72,990</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10,457</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Real estate taxes</w:t>
            </w:r>
          </w:p>
        </w:tc>
        <w:tc>
          <w:tcPr>
            <w:tcW w:w="300" w:type="dxa"/>
            <w:vAlign w:val="bottom"/>
            <w:tcBorders>
              <w:bottom w:val="single" w:sz="8" w:color="808080"/>
            </w:tcBorders>
          </w:tcPr>
          <w:p>
            <w:pPr>
              <w:spacing w:after="0"/>
              <w:rPr>
                <w:sz w:val="20"/>
                <w:szCs w:val="20"/>
                <w:color w:val="auto"/>
              </w:rPr>
            </w:pPr>
          </w:p>
        </w:tc>
        <w:tc>
          <w:tcPr>
            <w:tcW w:w="1060" w:type="dxa"/>
            <w:vAlign w:val="bottom"/>
            <w:tcBorders>
              <w:bottom w:val="single" w:sz="8" w:color="808080"/>
            </w:tcBorders>
          </w:tcPr>
          <w:p>
            <w:pPr>
              <w:jc w:val="right"/>
              <w:ind w:right="391"/>
              <w:spacing w:after="0"/>
              <w:rPr>
                <w:sz w:val="20"/>
                <w:szCs w:val="20"/>
                <w:color w:val="auto"/>
              </w:rPr>
            </w:pPr>
            <w:r>
              <w:rPr>
                <w:rFonts w:ascii="Arial" w:cs="Arial" w:eastAsia="Arial" w:hAnsi="Arial"/>
                <w:sz w:val="18"/>
                <w:szCs w:val="18"/>
                <w:color w:val="auto"/>
              </w:rPr>
              <w:t>34,596</w:t>
            </w:r>
          </w:p>
        </w:tc>
        <w:tc>
          <w:tcPr>
            <w:tcW w:w="5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431"/>
              <w:spacing w:after="0"/>
              <w:rPr>
                <w:sz w:val="20"/>
                <w:szCs w:val="20"/>
                <w:color w:val="auto"/>
              </w:rPr>
            </w:pPr>
            <w:r>
              <w:rPr>
                <w:rFonts w:ascii="Arial" w:cs="Arial" w:eastAsia="Arial" w:hAnsi="Arial"/>
                <w:sz w:val="18"/>
                <w:szCs w:val="18"/>
                <w:color w:val="auto"/>
              </w:rPr>
              <w:t>30,687</w:t>
            </w:r>
          </w:p>
        </w:tc>
        <w:tc>
          <w:tcPr>
            <w:tcW w:w="15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color w:val="auto"/>
              </w:rPr>
              <w:t>3,909</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b w:val="1"/>
                <w:bCs w:val="1"/>
                <w:color w:val="auto"/>
                <w:w w:val="86"/>
              </w:rPr>
              <w:t>118,043</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b w:val="1"/>
                <w:bCs w:val="1"/>
                <w:color w:val="auto"/>
                <w:w w:val="86"/>
              </w:rPr>
              <w:t>103,677</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14,366</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operating income</w:t>
            </w:r>
          </w:p>
        </w:tc>
        <w:tc>
          <w:tcPr>
            <w:tcW w:w="3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line="20" w:lineRule="exact"/>
              <w:rPr>
                <w:sz w:val="1"/>
                <w:szCs w:val="1"/>
                <w:color w:val="auto"/>
              </w:rPr>
            </w:pPr>
          </w:p>
        </w:tc>
      </w:tr>
      <w:tr>
        <w:trPr>
          <w:trHeight w:val="217"/>
        </w:trPr>
        <w:tc>
          <w:tcPr>
            <w:tcW w:w="5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w w:val="86"/>
              </w:rPr>
              <w:t>239,833</w:t>
            </w:r>
          </w:p>
        </w:tc>
        <w:tc>
          <w:tcPr>
            <w:tcW w:w="5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w w:val="86"/>
              </w:rPr>
              <w:t>211,963</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27,870</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rPr>
              <w:t>75,232</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65,058</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10,174</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11,820</w:t>
            </w:r>
          </w:p>
        </w:tc>
        <w:tc>
          <w:tcPr>
            <w:tcW w:w="5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color w:val="auto"/>
              </w:rPr>
              <w:t>13,790</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(1,970)</w:t>
            </w:r>
          </w:p>
        </w:tc>
        <w:tc>
          <w:tcPr>
            <w:tcW w:w="11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Restructuring</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22,269</w:t>
            </w:r>
          </w:p>
        </w:tc>
        <w:tc>
          <w:tcPr>
            <w:tcW w:w="15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(22,269)</w:t>
            </w:r>
          </w:p>
        </w:tc>
        <w:tc>
          <w:tcPr>
            <w:tcW w:w="1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808080"/>
            </w:tcBorders>
          </w:tcPr>
          <w:p>
            <w:pPr>
              <w:spacing w:after="0"/>
              <w:rPr>
                <w:sz w:val="20"/>
                <w:szCs w:val="20"/>
                <w:color w:val="auto"/>
              </w:rPr>
            </w:pPr>
          </w:p>
        </w:tc>
        <w:tc>
          <w:tcPr>
            <w:tcW w:w="1060" w:type="dxa"/>
            <w:vAlign w:val="bottom"/>
            <w:tcBorders>
              <w:bottom w:val="single" w:sz="8" w:color="808080"/>
            </w:tcBorders>
          </w:tcPr>
          <w:p>
            <w:pPr>
              <w:jc w:val="right"/>
              <w:ind w:right="391"/>
              <w:spacing w:after="0"/>
              <w:rPr>
                <w:sz w:val="20"/>
                <w:szCs w:val="20"/>
                <w:color w:val="auto"/>
              </w:rPr>
            </w:pPr>
            <w:r>
              <w:rPr>
                <w:rFonts w:ascii="Arial" w:cs="Arial" w:eastAsia="Arial" w:hAnsi="Arial"/>
                <w:sz w:val="18"/>
                <w:szCs w:val="18"/>
                <w:color w:val="auto"/>
              </w:rPr>
              <w:t>75,089</w:t>
            </w:r>
          </w:p>
        </w:tc>
        <w:tc>
          <w:tcPr>
            <w:tcW w:w="500" w:type="dxa"/>
            <w:vAlign w:val="bottom"/>
            <w:tcBorders>
              <w:bottom w:val="single" w:sz="8" w:color="808080"/>
            </w:tcBorders>
          </w:tcPr>
          <w:p>
            <w:pPr>
              <w:spacing w:after="0"/>
              <w:rPr>
                <w:sz w:val="20"/>
                <w:szCs w:val="20"/>
                <w:color w:val="auto"/>
              </w:rPr>
            </w:pPr>
          </w:p>
        </w:tc>
        <w:tc>
          <w:tcPr>
            <w:tcW w:w="1100" w:type="dxa"/>
            <w:vAlign w:val="bottom"/>
            <w:tcBorders>
              <w:bottom w:val="single" w:sz="8" w:color="808080"/>
            </w:tcBorders>
          </w:tcPr>
          <w:p>
            <w:pPr>
              <w:jc w:val="right"/>
              <w:ind w:right="431"/>
              <w:spacing w:after="0"/>
              <w:rPr>
                <w:sz w:val="20"/>
                <w:szCs w:val="20"/>
                <w:color w:val="auto"/>
              </w:rPr>
            </w:pPr>
            <w:r>
              <w:rPr>
                <w:rFonts w:ascii="Arial" w:cs="Arial" w:eastAsia="Arial" w:hAnsi="Arial"/>
                <w:sz w:val="18"/>
                <w:szCs w:val="18"/>
                <w:color w:val="auto"/>
              </w:rPr>
              <w:t>63,777</w:t>
            </w:r>
          </w:p>
        </w:tc>
        <w:tc>
          <w:tcPr>
            <w:tcW w:w="15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color w:val="auto"/>
              </w:rPr>
              <w:t>11,312</w:t>
            </w: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Total other expenses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w w:val="86"/>
              </w:rPr>
              <w:t>162,141</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w w:val="86"/>
              </w:rPr>
              <w:t>164,894</w:t>
            </w:r>
          </w:p>
        </w:tc>
        <w:tc>
          <w:tcPr>
            <w:tcW w:w="15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(2,753)</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3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65.1%</w:t>
            </w:r>
          </w:p>
        </w:tc>
        <w:tc>
          <w:tcPr>
            <w:tcW w:w="0" w:type="dxa"/>
            <w:vAlign w:val="bottom"/>
          </w:tcPr>
          <w:p>
            <w:pPr>
              <w:spacing w:after="0" w:line="20" w:lineRule="exact"/>
              <w:rPr>
                <w:sz w:val="1"/>
                <w:szCs w:val="1"/>
                <w:color w:val="auto"/>
              </w:rPr>
            </w:pPr>
          </w:p>
        </w:tc>
      </w:tr>
      <w:tr>
        <w:trPr>
          <w:trHeight w:val="217"/>
        </w:trPr>
        <w:tc>
          <w:tcPr>
            <w:tcW w:w="58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77,692</w:t>
            </w:r>
          </w:p>
        </w:tc>
        <w:tc>
          <w:tcPr>
            <w:tcW w:w="5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b w:val="1"/>
                <w:bCs w:val="1"/>
                <w:color w:val="auto"/>
              </w:rPr>
              <w:t>47,069</w:t>
            </w:r>
          </w:p>
        </w:tc>
        <w:tc>
          <w:tcPr>
            <w:tcW w:w="1500" w:type="dxa"/>
            <w:vAlign w:val="bottom"/>
          </w:tcPr>
          <w:p>
            <w:pPr>
              <w:jc w:val="right"/>
              <w:ind w:right="292"/>
              <w:spacing w:after="0"/>
              <w:rPr>
                <w:sz w:val="20"/>
                <w:szCs w:val="20"/>
                <w:color w:val="auto"/>
              </w:rPr>
            </w:pPr>
            <w:r>
              <w:rPr>
                <w:rFonts w:ascii="Arial" w:cs="Arial" w:eastAsia="Arial" w:hAnsi="Arial"/>
                <w:sz w:val="18"/>
                <w:szCs w:val="18"/>
                <w:b w:val="1"/>
                <w:bCs w:val="1"/>
                <w:color w:val="auto"/>
              </w:rPr>
              <w:t>30,623</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31"/>
              <w:spacing w:after="0"/>
              <w:rPr>
                <w:sz w:val="20"/>
                <w:szCs w:val="20"/>
                <w:color w:val="auto"/>
              </w:rPr>
            </w:pPr>
            <w:r>
              <w:rPr>
                <w:rFonts w:ascii="Arial" w:cs="Arial" w:eastAsia="Arial" w:hAnsi="Arial"/>
                <w:sz w:val="18"/>
                <w:szCs w:val="18"/>
                <w:color w:val="auto"/>
              </w:rPr>
              <w:t>(4,670)</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1"/>
              <w:spacing w:after="0"/>
              <w:rPr>
                <w:sz w:val="20"/>
                <w:szCs w:val="20"/>
                <w:color w:val="auto"/>
              </w:rPr>
            </w:pPr>
            <w:r>
              <w:rPr>
                <w:rFonts w:ascii="Arial" w:cs="Arial" w:eastAsia="Arial" w:hAnsi="Arial"/>
                <w:sz w:val="18"/>
                <w:szCs w:val="18"/>
                <w:color w:val="auto"/>
              </w:rPr>
              <w:t>(4,112)</w:t>
            </w:r>
          </w:p>
        </w:tc>
        <w:tc>
          <w:tcPr>
            <w:tcW w:w="15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(558)</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Operating income from discontinued operations</w:t>
            </w:r>
          </w:p>
        </w:tc>
        <w:tc>
          <w:tcPr>
            <w:tcW w:w="300" w:type="dxa"/>
            <w:vAlign w:val="bottom"/>
          </w:tcPr>
          <w:p>
            <w:pPr>
              <w:spacing w:after="0"/>
              <w:rPr>
                <w:sz w:val="18"/>
                <w:szCs w:val="18"/>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color w:val="auto"/>
              </w:rPr>
              <w:t>1,422</w:t>
            </w:r>
          </w:p>
        </w:tc>
        <w:tc>
          <w:tcPr>
            <w:tcW w:w="500" w:type="dxa"/>
            <w:vAlign w:val="bottom"/>
          </w:tcPr>
          <w:p>
            <w:pPr>
              <w:spacing w:after="0"/>
              <w:rPr>
                <w:sz w:val="18"/>
                <w:szCs w:val="18"/>
                <w:color w:val="auto"/>
              </w:rPr>
            </w:pPr>
          </w:p>
        </w:tc>
        <w:tc>
          <w:tcPr>
            <w:tcW w:w="1100" w:type="dxa"/>
            <w:vAlign w:val="bottom"/>
          </w:tcPr>
          <w:p>
            <w:pPr>
              <w:jc w:val="right"/>
              <w:ind w:right="431"/>
              <w:spacing w:after="0"/>
              <w:rPr>
                <w:sz w:val="20"/>
                <w:szCs w:val="20"/>
                <w:color w:val="auto"/>
              </w:rPr>
            </w:pPr>
            <w:r>
              <w:rPr>
                <w:rFonts w:ascii="Arial" w:cs="Arial" w:eastAsia="Arial" w:hAnsi="Arial"/>
                <w:sz w:val="18"/>
                <w:szCs w:val="18"/>
                <w:color w:val="auto"/>
              </w:rPr>
              <w:t>2,876</w:t>
            </w:r>
          </w:p>
        </w:tc>
        <w:tc>
          <w:tcPr>
            <w:tcW w:w="1500" w:type="dxa"/>
            <w:vAlign w:val="bottom"/>
          </w:tcPr>
          <w:p>
            <w:pPr>
              <w:jc w:val="right"/>
              <w:ind w:right="232"/>
              <w:spacing w:after="0"/>
              <w:rPr>
                <w:sz w:val="20"/>
                <w:szCs w:val="20"/>
                <w:color w:val="auto"/>
              </w:rPr>
            </w:pPr>
            <w:r>
              <w:rPr>
                <w:rFonts w:ascii="Arial" w:cs="Arial" w:eastAsia="Arial" w:hAnsi="Arial"/>
                <w:sz w:val="18"/>
                <w:szCs w:val="18"/>
                <w:color w:val="auto"/>
              </w:rPr>
              <w:t>(1,454)</w:t>
            </w:r>
          </w:p>
        </w:tc>
        <w:tc>
          <w:tcPr>
            <w:tcW w:w="110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7"/>
              </w:rPr>
              <w:t>Gain on sale of real estate net of loss on abandoned developments held for</w:t>
            </w: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w:t>
            </w:r>
          </w:p>
        </w:tc>
        <w:tc>
          <w:tcPr>
            <w:tcW w:w="300" w:type="dxa"/>
            <w:vAlign w:val="bottom"/>
            <w:shd w:val="clear" w:color="auto" w:fill="EEEEEE"/>
          </w:tcPr>
          <w:p>
            <w:pPr>
              <w:spacing w:after="0"/>
              <w:rPr>
                <w:sz w:val="20"/>
                <w:szCs w:val="20"/>
                <w:color w:val="auto"/>
              </w:rPr>
            </w:pPr>
          </w:p>
        </w:tc>
        <w:tc>
          <w:tcPr>
            <w:tcW w:w="1060" w:type="dxa"/>
            <w:vAlign w:val="bottom"/>
            <w:shd w:val="clear" w:color="auto" w:fill="EEEEEE"/>
          </w:tcPr>
          <w:p>
            <w:pPr>
              <w:jc w:val="right"/>
              <w:ind w:right="391"/>
              <w:spacing w:after="0"/>
              <w:rPr>
                <w:sz w:val="20"/>
                <w:szCs w:val="20"/>
                <w:color w:val="auto"/>
              </w:rPr>
            </w:pPr>
            <w:r>
              <w:rPr>
                <w:rFonts w:ascii="Arial" w:cs="Arial" w:eastAsia="Arial" w:hAnsi="Arial"/>
                <w:sz w:val="18"/>
                <w:szCs w:val="18"/>
                <w:color w:val="auto"/>
              </w:rPr>
              <w:t>20,053</w:t>
            </w:r>
          </w:p>
        </w:tc>
        <w:tc>
          <w:tcPr>
            <w:tcW w:w="500" w:type="dxa"/>
            <w:vAlign w:val="bottom"/>
            <w:shd w:val="clear" w:color="auto" w:fill="EEEEEE"/>
          </w:tcPr>
          <w:p>
            <w:pPr>
              <w:spacing w:after="0"/>
              <w:rPr>
                <w:sz w:val="20"/>
                <w:szCs w:val="20"/>
                <w:color w:val="auto"/>
              </w:rPr>
            </w:pPr>
          </w:p>
        </w:tc>
        <w:tc>
          <w:tcPr>
            <w:tcW w:w="1100" w:type="dxa"/>
            <w:vAlign w:val="bottom"/>
            <w:shd w:val="clear" w:color="auto" w:fill="EEEEEE"/>
          </w:tcPr>
          <w:p>
            <w:pPr>
              <w:jc w:val="right"/>
              <w:ind w:right="431"/>
              <w:spacing w:after="0"/>
              <w:rPr>
                <w:sz w:val="20"/>
                <w:szCs w:val="20"/>
                <w:color w:val="auto"/>
              </w:rPr>
            </w:pPr>
            <w:r>
              <w:rPr>
                <w:rFonts w:ascii="Arial" w:cs="Arial" w:eastAsia="Arial" w:hAnsi="Arial"/>
                <w:sz w:val="18"/>
                <w:szCs w:val="18"/>
                <w:color w:val="auto"/>
              </w:rPr>
              <w:t>9,454</w:t>
            </w:r>
          </w:p>
        </w:tc>
        <w:tc>
          <w:tcPr>
            <w:tcW w:w="15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10,599</w:t>
            </w:r>
          </w:p>
        </w:tc>
        <w:tc>
          <w:tcPr>
            <w:tcW w:w="1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808080"/>
            </w:tcBorders>
          </w:tcPr>
          <w:p>
            <w:pPr>
              <w:spacing w:after="0" w:line="20" w:lineRule="exact"/>
              <w:rPr>
                <w:sz w:val="1"/>
                <w:szCs w:val="1"/>
                <w:color w:val="auto"/>
              </w:rPr>
            </w:pPr>
          </w:p>
        </w:tc>
        <w:tc>
          <w:tcPr>
            <w:tcW w:w="1060" w:type="dxa"/>
            <w:vAlign w:val="bottom"/>
            <w:tcBorders>
              <w:bottom w:val="single" w:sz="8" w:color="808080"/>
            </w:tcBorders>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500" w:type="dxa"/>
            <w:vAlign w:val="bottom"/>
            <w:tcBorders>
              <w:bottom w:val="single" w:sz="8" w:color="808080"/>
            </w:tcBorders>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line="20" w:lineRule="exact"/>
              <w:rPr>
                <w:sz w:val="1"/>
                <w:szCs w:val="1"/>
                <w:color w:val="auto"/>
              </w:rPr>
            </w:pPr>
          </w:p>
        </w:tc>
      </w:tr>
      <w:tr>
        <w:trPr>
          <w:trHeight w:val="226"/>
        </w:trPr>
        <w:tc>
          <w:tcPr>
            <w:tcW w:w="5860" w:type="dxa"/>
            <w:vAlign w:val="bottom"/>
            <w:gridSpan w:val="2"/>
            <w:vMerge w:val="continue"/>
          </w:tcPr>
          <w:p>
            <w:pPr>
              <w:spacing w:after="0"/>
              <w:rPr>
                <w:sz w:val="19"/>
                <w:szCs w:val="19"/>
                <w:color w:val="auto"/>
              </w:rPr>
            </w:pPr>
          </w:p>
        </w:tc>
        <w:tc>
          <w:tcPr>
            <w:tcW w:w="3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808080"/>
            </w:tcBorders>
          </w:tcPr>
          <w:p>
            <w:pPr>
              <w:jc w:val="right"/>
              <w:ind w:right="391"/>
              <w:spacing w:after="0"/>
              <w:rPr>
                <w:sz w:val="20"/>
                <w:szCs w:val="20"/>
                <w:color w:val="auto"/>
              </w:rPr>
            </w:pPr>
            <w:r>
              <w:rPr>
                <w:rFonts w:ascii="Arial" w:cs="Arial" w:eastAsia="Arial" w:hAnsi="Arial"/>
                <w:sz w:val="18"/>
                <w:szCs w:val="18"/>
                <w:b w:val="1"/>
                <w:bCs w:val="1"/>
                <w:color w:val="auto"/>
              </w:rPr>
              <w:t>94,497</w:t>
            </w: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808080"/>
            </w:tcBorders>
          </w:tcPr>
          <w:p>
            <w:pPr>
              <w:jc w:val="right"/>
              <w:ind w:right="431"/>
              <w:spacing w:after="0"/>
              <w:rPr>
                <w:sz w:val="20"/>
                <w:szCs w:val="20"/>
                <w:color w:val="auto"/>
              </w:rPr>
            </w:pPr>
            <w:r>
              <w:rPr>
                <w:rFonts w:ascii="Arial" w:cs="Arial" w:eastAsia="Arial" w:hAnsi="Arial"/>
                <w:sz w:val="18"/>
                <w:szCs w:val="18"/>
                <w:b w:val="1"/>
                <w:bCs w:val="1"/>
                <w:color w:val="auto"/>
              </w:rPr>
              <w:t>55,287</w:t>
            </w:r>
          </w:p>
        </w:tc>
        <w:tc>
          <w:tcPr>
            <w:tcW w:w="150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$ 39,210</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REVENUES</w:t>
      </w:r>
    </w:p>
    <w:p>
      <w:pPr>
        <w:spacing w:after="0" w:line="189"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Total revenues in 2003 were $357.9 million which represents an increase of $42.2 million or 13.4% over total revenues of $315.6 million in 2002. The primary drivers of this growth are acquisitions, an increase in same center revenues from higher rent on tenant rollovers as detailed below and income of approximately $8.0 million resulting from the portion of the settlement of our insurance claims for the August 2002 fire at Santana Row that related to lost rent. In addition, we experienced increased cost recoveries related to higher operating costs.</w:t>
      </w:r>
    </w:p>
    <w:p>
      <w:pPr>
        <w:spacing w:after="0" w:line="146"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percentage leased at our shopping centers declined to 93.1% at December 31, 2003 compared to 94.7% at year end 2002 due to acquisitions of centers with lower occupancy rates and the bankruptcies of several principal tenants (including K-mart and Today’s Man) as well as 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increase in redevelopment activity which results in leaseable space being taken out of service for more extended periods.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primarily of minimum rent, percentage rent and cost recoveries from tenants of common area maintenance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Rental income increased $39.7 million, or 13.5% , in 2003 versus 2002 due largely to the following:</w:t>
      </w:r>
    </w:p>
    <w:p>
      <w:pPr>
        <w:spacing w:after="0" w:line="170" w:lineRule="exact"/>
        <w:rPr>
          <w:sz w:val="20"/>
          <w:szCs w:val="20"/>
          <w:color w:val="auto"/>
        </w:rPr>
      </w:pPr>
    </w:p>
    <w:p>
      <w:pPr>
        <w:ind w:left="440" w:hanging="171"/>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approximately $22.0 million due to properties acquired in 2003 and from Santana Row, which was considered to be under development,</w:t>
      </w:r>
    </w:p>
    <w:p>
      <w:pPr>
        <w:spacing w:after="0" w:line="46" w:lineRule="exact"/>
        <w:rPr>
          <w:rFonts w:ascii="Arial" w:cs="Arial" w:eastAsia="Arial" w:hAnsi="Arial"/>
          <w:sz w:val="16"/>
          <w:szCs w:val="16"/>
          <w:color w:val="auto"/>
        </w:rPr>
      </w:pPr>
    </w:p>
    <w:p>
      <w:pPr>
        <w:ind w:left="440" w:hanging="17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$8.0 million from the Santana Row fire insurance settlement, and</w:t>
      </w:r>
    </w:p>
    <w:p>
      <w:pPr>
        <w:spacing w:after="0" w:line="9" w:lineRule="exact"/>
        <w:rPr>
          <w:rFonts w:ascii="Arial" w:cs="Arial" w:eastAsia="Arial" w:hAnsi="Arial"/>
          <w:sz w:val="18"/>
          <w:szCs w:val="18"/>
          <w:color w:val="auto"/>
        </w:rPr>
      </w:pPr>
    </w:p>
    <w:p>
      <w:pPr>
        <w:ind w:left="440" w:right="600" w:hanging="171"/>
        <w:spacing w:after="0" w:line="261"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 same center basis, an increase of over $8.0 million, or approximately 3.0%, due mainly to increased minimum rents associated with tenant rollovers and developments, but also due to increased real estate tax recoveries.</w:t>
      </w:r>
    </w:p>
    <w:p>
      <w:pPr>
        <w:spacing w:after="0" w:line="184"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increased $2.3 million, or 15.1%, to $17.8 million for the year ended December 31, 2003,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$15.5 million for the year ended December 31, 2002. Included in other property income are items, which although recurring, tend to fluctuate more than rental income from period to period, such as utility reimbursements, lease termination fees and temporary tenant income. The increase in other property income in 2003 is primarily the result of higher utility reimbursements at Santana Row as the property has come on line and higher temporary tenant income partly offset by lower lease termination fees.</w:t>
      </w:r>
    </w:p>
    <w:p>
      <w:pPr>
        <w:spacing w:after="0" w:line="148"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consisted primarily of interest earned on mortgage notes receivable and overnight cash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2002, there was also income on tax-deferred exchange escrow deposits, as well as a provision for estimated losses related to various unconsolidated restaurant joint ventures at Santana Row. Interest and other income remained relatively flat from 2002 to 2003 as the reduced losses related to the restaurant joint ventures were offset by reduced interest income on the tax-deferred exchange escrow accounts and other interest income.</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EXPENSES</w:t>
      </w:r>
    </w:p>
    <w:p>
      <w:pPr>
        <w:spacing w:after="0" w:line="202"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Total property operating expenses were $118.0 million, or an increase of $14.4 million when compared to $103.7 million in 2002. The total increase in expenses is due almost entirely to higher real estate taxes, increased maintenance costs related to snow removal in 2003 and the impact of acquisitions and developments as detailed below.</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Rental Expense. </w:t>
      </w:r>
      <w:r>
        <w:rPr>
          <w:rFonts w:ascii="Arial" w:cs="Arial" w:eastAsia="Arial" w:hAnsi="Arial"/>
          <w:sz w:val="18"/>
          <w:szCs w:val="18"/>
          <w:color w:val="auto"/>
        </w:rPr>
        <w:t>Rental expense increased $10.5 million, or 14.3%, to $83.4 million in 2003 from $73.0 million in 2002. Of this increase:</w:t>
      </w:r>
    </w:p>
    <w:p>
      <w:pPr>
        <w:spacing w:after="0" w:line="225" w:lineRule="exact"/>
        <w:rPr>
          <w:sz w:val="20"/>
          <w:szCs w:val="20"/>
          <w:color w:val="auto"/>
        </w:rPr>
      </w:pPr>
    </w:p>
    <w:p>
      <w:pPr>
        <w:ind w:left="440" w:hanging="17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rental expenses at centers acquired and developed during 2003 (including Santana Row) were $8.3 million;</w:t>
      </w:r>
    </w:p>
    <w:p>
      <w:pPr>
        <w:spacing w:after="0" w:line="23" w:lineRule="exact"/>
        <w:rPr>
          <w:rFonts w:ascii="Arial" w:cs="Arial" w:eastAsia="Arial" w:hAnsi="Arial"/>
          <w:sz w:val="18"/>
          <w:szCs w:val="18"/>
          <w:color w:val="auto"/>
        </w:rPr>
      </w:pPr>
    </w:p>
    <w:p>
      <w:pPr>
        <w:ind w:left="440" w:hanging="17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snow removal costs increased approximately $3.8 million in the first quarter of 2003; and</w:t>
      </w:r>
    </w:p>
    <w:p>
      <w:pPr>
        <w:spacing w:after="0" w:line="9" w:lineRule="exact"/>
        <w:rPr>
          <w:rFonts w:ascii="Arial" w:cs="Arial" w:eastAsia="Arial" w:hAnsi="Arial"/>
          <w:sz w:val="18"/>
          <w:szCs w:val="18"/>
          <w:color w:val="auto"/>
        </w:rPr>
      </w:pPr>
    </w:p>
    <w:p>
      <w:pPr>
        <w:ind w:left="440" w:hanging="171"/>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maintenance and rental expenses, on a same center basis, were reduced approximately $1.7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Property expense reductions related to disposed properties were not significant.</w:t>
      </w:r>
    </w:p>
    <w:p>
      <w:pPr>
        <w:spacing w:after="0" w:line="185" w:lineRule="exact"/>
        <w:rPr>
          <w:sz w:val="20"/>
          <w:szCs w:val="20"/>
          <w:color w:val="auto"/>
        </w:rPr>
      </w:pPr>
    </w:p>
    <w:p>
      <w:pPr>
        <w:ind w:right="520" w:firstLine="215"/>
        <w:spacing w:after="0" w:line="277" w:lineRule="auto"/>
        <w:rPr>
          <w:sz w:val="20"/>
          <w:szCs w:val="20"/>
          <w:color w:val="auto"/>
        </w:rPr>
      </w:pPr>
      <w:r>
        <w:rPr>
          <w:rFonts w:ascii="Arial" w:cs="Arial" w:eastAsia="Arial" w:hAnsi="Arial"/>
          <w:sz w:val="18"/>
          <w:szCs w:val="18"/>
          <w:color w:val="auto"/>
        </w:rPr>
        <w:t>As a result of these changes in rental expenses, rental income and other property income, rental expense as a percentage of rental income plus other property income increased slightly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23.5% in 2002 to 23.7% in 2003. We refer to rental income plus other property income as “property income”.</w:t>
      </w:r>
    </w:p>
    <w:p>
      <w:pPr>
        <w:spacing w:after="0" w:line="19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i w:val="1"/>
          <w:iCs w:val="1"/>
          <w:color w:val="auto"/>
        </w:rPr>
        <w:t xml:space="preserve">Real Estate Taxes. </w:t>
      </w:r>
      <w:r>
        <w:rPr>
          <w:rFonts w:ascii="Arial" w:cs="Arial" w:eastAsia="Arial" w:hAnsi="Arial"/>
          <w:sz w:val="18"/>
          <w:szCs w:val="18"/>
          <w:color w:val="auto"/>
        </w:rPr>
        <w:t>Real estate tax expense rose 12.7% in 2003 to $34.6 million compared to $30.7 million in 2002. The increase in 2003 is due largely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tax assessments for our properties in the East Coast segment as well as increased assessments of $1.8 million related to acquired and developed properties, including Santana Row which was brought into service starting in late 2002.</w:t>
      </w:r>
    </w:p>
    <w:p>
      <w:pPr>
        <w:spacing w:after="0" w:line="14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i w:val="1"/>
          <w:iCs w:val="1"/>
          <w:color w:val="auto"/>
        </w:rPr>
        <w:t xml:space="preserve">Property Operating Income. </w:t>
      </w:r>
      <w:r>
        <w:rPr>
          <w:rFonts w:ascii="Arial" w:cs="Arial" w:eastAsia="Arial" w:hAnsi="Arial"/>
          <w:sz w:val="17"/>
          <w:szCs w:val="17"/>
          <w:color w:val="auto"/>
        </w:rPr>
        <w:t>Property operating income was $239.8 million for the year ended December 31, 2003, an increase of $27.9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$212.0 million in 2002. Of this amount approximately $8.0 million relates to the Santana Row fire insurance proceeds attributable to rental income lost as a result of the fire. Excluding these proceeds, property operating income rose $19.9 million during 2003 due primarily to:</w:t>
      </w:r>
    </w:p>
    <w:p>
      <w:pPr>
        <w:spacing w:after="0" w:line="166" w:lineRule="exact"/>
        <w:rPr>
          <w:sz w:val="20"/>
          <w:szCs w:val="20"/>
          <w:color w:val="auto"/>
        </w:rPr>
      </w:pPr>
    </w:p>
    <w:p>
      <w:pPr>
        <w:ind w:left="440" w:hanging="17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growth at Santana Row which has been phased into service,</w:t>
      </w:r>
    </w:p>
    <w:p>
      <w:pPr>
        <w:spacing w:after="0" w:line="23" w:lineRule="exact"/>
        <w:rPr>
          <w:rFonts w:ascii="Arial" w:cs="Arial" w:eastAsia="Arial" w:hAnsi="Arial"/>
          <w:sz w:val="18"/>
          <w:szCs w:val="18"/>
          <w:color w:val="auto"/>
        </w:rPr>
      </w:pPr>
    </w:p>
    <w:p>
      <w:pPr>
        <w:ind w:left="440" w:hanging="17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same center earnings increases, and</w:t>
      </w:r>
    </w:p>
    <w:p>
      <w:pPr>
        <w:spacing w:after="0" w:line="9" w:lineRule="exact"/>
        <w:rPr>
          <w:rFonts w:ascii="Arial" w:cs="Arial" w:eastAsia="Arial" w:hAnsi="Arial"/>
          <w:sz w:val="18"/>
          <w:szCs w:val="18"/>
          <w:color w:val="auto"/>
        </w:rPr>
      </w:pPr>
    </w:p>
    <w:p>
      <w:pPr>
        <w:ind w:left="440" w:hanging="17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resulting from our acquisitions.</w:t>
      </w:r>
    </w:p>
    <w:p>
      <w:pPr>
        <w:spacing w:after="0" w:line="211"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Same center property operating income rose 2.7% or almost $5.7 million in 2003 due to increased rental income associated with tenant rollovers and higher real estate tax recoveries and reduced property administrative expenses partly offset by property expenses which rose higher than the related recoveries, particularly the snow removal costs.</w:t>
      </w:r>
    </w:p>
    <w:p>
      <w:pPr>
        <w:spacing w:after="0" w:line="14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rose $10.2 million, or 15.6%, to $75.2 million in 2003. This substantial rise is almost entirely due to lower 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interest and therefore higher interest expense as most of our property under development, particularly at Santana Row, was placed into service. Gross interest expense in 2003 was $88.7 million versus $88.6 million in 2002. Capitalized interest amounted to $13.5 million and $23.5 million in 2003 and 2002, respectively.</w:t>
      </w:r>
    </w:p>
    <w:p>
      <w:pPr>
        <w:spacing w:after="0" w:line="160"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i w:val="1"/>
          <w:iCs w:val="1"/>
          <w:color w:val="auto"/>
        </w:rPr>
        <w:t xml:space="preserve">Administrative Expense. </w:t>
      </w:r>
      <w:r>
        <w:rPr>
          <w:rFonts w:ascii="Arial" w:cs="Arial" w:eastAsia="Arial" w:hAnsi="Arial"/>
          <w:sz w:val="17"/>
          <w:szCs w:val="17"/>
          <w:color w:val="auto"/>
        </w:rPr>
        <w:t>Administrative expenses decreased by $2.0 million during 2003, or 14.3% to $11.8 million compared to $13.8 million in 2002.</w:t>
      </w:r>
      <w:r>
        <w:rPr>
          <w:rFonts w:ascii="Arial" w:cs="Arial" w:eastAsia="Arial" w:hAnsi="Arial"/>
          <w:sz w:val="17"/>
          <w:szCs w:val="17"/>
          <w:i w:val="1"/>
          <w:iCs w:val="1"/>
          <w:color w:val="auto"/>
        </w:rPr>
        <w:t xml:space="preserve"> </w:t>
      </w:r>
      <w:r>
        <w:rPr>
          <w:rFonts w:ascii="Arial" w:cs="Arial" w:eastAsia="Arial" w:hAnsi="Arial"/>
          <w:sz w:val="17"/>
          <w:szCs w:val="17"/>
          <w:color w:val="auto"/>
        </w:rPr>
        <w:t>This $2.0 million decrease resulted primarily from payroll and related benefits savings resulting from the management restructuring which began in February 2002. In addition, we experienced savings in legal costs and costs to support and maintain our information systems. These savings were largely offset by increased expensing of costs which had previously had been capitalized related to personnel involved in the development of Santana Row. In 2004, we expect administrative expenses to rise to those levels seen in 2002 due to higher costs of personnel and related expenditures.</w:t>
      </w:r>
    </w:p>
    <w:p>
      <w:pPr>
        <w:spacing w:after="0" w:line="132"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i w:val="1"/>
          <w:iCs w:val="1"/>
          <w:color w:val="auto"/>
        </w:rPr>
        <w:t xml:space="preserve">Restructuring Expense. </w:t>
      </w:r>
      <w:r>
        <w:rPr>
          <w:rFonts w:ascii="Arial" w:cs="Arial" w:eastAsia="Arial" w:hAnsi="Arial"/>
          <w:sz w:val="18"/>
          <w:szCs w:val="18"/>
          <w:color w:val="auto"/>
        </w:rPr>
        <w:t>The restructuring expenses incurred in 2002 related to our adoption of a new business and management succession plan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a charge of $8.5 million, all of which was expended in 2002. In December 2002, we recorded a charge of $13.8 million as a result of an accelerated executive transition plan of which $12.7 million was expended in 2003, $0.3 million was reversed and $0.8 million remains to be expended as of December 31, 2003.</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 xml:space="preserve">Depreciation and Amortization Expense. </w:t>
      </w:r>
      <w:r>
        <w:rPr>
          <w:rFonts w:ascii="Arial" w:cs="Arial" w:eastAsia="Arial" w:hAnsi="Arial"/>
          <w:sz w:val="17"/>
          <w:szCs w:val="17"/>
          <w:color w:val="auto"/>
        </w:rPr>
        <w:t>Expenses attributable to depreciation and amortization rose $11.3 million to $75.1 million in 2003 from</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$63.8 million in 2002, an increase of 17.7%. The increase is due to depreciation on properties which were acquired in 2003 as well as depreciation of Santana Row which started opening in late 2002, and Pentagon Row, which came fully into service during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w:t>
      </w:r>
    </w:p>
    <w:p>
      <w:pPr>
        <w:spacing w:after="0" w:line="20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i w:val="1"/>
          <w:iCs w:val="1"/>
          <w:color w:val="auto"/>
        </w:rPr>
        <w:t>Minority Interests</w:t>
      </w:r>
      <w:r>
        <w:rPr>
          <w:rFonts w:ascii="Arial" w:cs="Arial" w:eastAsia="Arial" w:hAnsi="Arial"/>
          <w:sz w:val="18"/>
          <w:szCs w:val="18"/>
          <w:color w:val="auto"/>
        </w:rPr>
        <w:t>. The increase in minority interests of $0.6 million in income to minority interest from $4.1 million in 2002 to $4.7 million in 2003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increased earnings as well as an increase in the number of operating partnership units held by minority investors. Units which were issued in connection with our acquisition of Mount Vernon Shopping Center were partially offset by a decrease in units outstanding as a results of redemptions during the year.</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Operating income from discontinued operations represents the operating income of properties that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been disposed of which, under SFAS No. 144, are required to be reported separately from results of ongoing operations. The reported operating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and $2.9 million in 2003 and 2002, respectively, represent the operating income for the period during which we owned the ten properties sold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2003 and the six properties sold in 2002.</w:t>
      </w:r>
    </w:p>
    <w:p>
      <w:pPr>
        <w:spacing w:after="0" w:line="170"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i w:val="1"/>
          <w:iCs w:val="1"/>
          <w:color w:val="auto"/>
        </w:rPr>
        <w:t xml:space="preserve">Gain on Sale of Real Estate Net of Loss on Abandoned Developments Held for Sale. </w:t>
      </w:r>
      <w:r>
        <w:rPr>
          <w:rFonts w:ascii="Arial" w:cs="Arial" w:eastAsia="Arial" w:hAnsi="Arial"/>
          <w:sz w:val="17"/>
          <w:szCs w:val="17"/>
          <w:color w:val="auto"/>
        </w:rPr>
        <w:t>The gain on sale of real estate in 2003 was $20.1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disposal of properties as outlined above. None of the properties sold in 2003 resulted in a loss. The gain in 2002 of $9.5 million is the result of the sale of six properties partly offset by the recognition of a $9.7 million impairment loss associated with our change in business plan in that year.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2002 to Year Ended December 31, 2001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jc w:val="right"/>
              <w:ind w:right="372"/>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720" w:type="dxa"/>
            <w:vAlign w:val="bottom"/>
            <w:gridSpan w:val="2"/>
          </w:tcPr>
          <w:p>
            <w:pPr>
              <w:jc w:val="right"/>
              <w:ind w:right="490"/>
              <w:spacing w:after="0"/>
              <w:rPr>
                <w:sz w:val="20"/>
                <w:szCs w:val="20"/>
                <w:color w:val="auto"/>
              </w:rPr>
            </w:pPr>
            <w:r>
              <w:rPr>
                <w:rFonts w:ascii="Arial" w:cs="Arial" w:eastAsia="Arial" w:hAnsi="Arial"/>
                <w:sz w:val="14"/>
                <w:szCs w:val="14"/>
                <w:color w:val="auto"/>
              </w:rPr>
              <w:t>2002</w:t>
            </w:r>
          </w:p>
        </w:tc>
        <w:tc>
          <w:tcPr>
            <w:tcW w:w="1600" w:type="dxa"/>
            <w:vAlign w:val="bottom"/>
          </w:tcPr>
          <w:p>
            <w:pPr>
              <w:jc w:val="right"/>
              <w:ind w:right="531"/>
              <w:spacing w:after="0"/>
              <w:rPr>
                <w:sz w:val="20"/>
                <w:szCs w:val="20"/>
                <w:color w:val="auto"/>
              </w:rPr>
            </w:pPr>
            <w:r>
              <w:rPr>
                <w:rFonts w:ascii="Arial" w:cs="Arial" w:eastAsia="Arial" w:hAnsi="Arial"/>
                <w:sz w:val="14"/>
                <w:szCs w:val="14"/>
                <w:color w:val="auto"/>
              </w:rPr>
              <w:t>2001</w:t>
            </w:r>
          </w:p>
        </w:tc>
        <w:tc>
          <w:tcPr>
            <w:tcW w:w="1580" w:type="dxa"/>
            <w:vAlign w:val="bottom"/>
          </w:tcPr>
          <w:p>
            <w:pPr>
              <w:jc w:val="right"/>
              <w:ind w:right="312"/>
              <w:spacing w:after="0"/>
              <w:rPr>
                <w:sz w:val="20"/>
                <w:szCs w:val="20"/>
                <w:color w:val="auto"/>
              </w:rPr>
            </w:pPr>
            <w:r>
              <w:rPr>
                <w:rFonts w:ascii="Arial" w:cs="Arial" w:eastAsia="Arial" w:hAnsi="Arial"/>
                <w:sz w:val="14"/>
                <w:szCs w:val="14"/>
                <w:color w:val="auto"/>
              </w:rPr>
              <w:t>(Decrease)</w:t>
            </w:r>
          </w:p>
        </w:tc>
        <w:tc>
          <w:tcPr>
            <w:tcW w:w="1060" w:type="dxa"/>
            <w:vAlign w:val="bottom"/>
          </w:tcPr>
          <w:p>
            <w:pPr>
              <w:jc w:val="right"/>
              <w:ind w:right="1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808080"/>
            </w:tcBorders>
          </w:tcPr>
          <w:p>
            <w:pPr>
              <w:spacing w:after="0" w:line="20" w:lineRule="exact"/>
              <w:rPr>
                <w:sz w:val="1"/>
                <w:szCs w:val="1"/>
                <w:color w:val="auto"/>
              </w:rPr>
            </w:pPr>
          </w:p>
        </w:tc>
        <w:tc>
          <w:tcPr>
            <w:tcW w:w="1600" w:type="dxa"/>
            <w:vAlign w:val="bottom"/>
            <w:tcBorders>
              <w:top w:val="single" w:sz="8" w:color="808080"/>
            </w:tcBorders>
          </w:tcPr>
          <w:p>
            <w:pPr>
              <w:spacing w:after="0" w:line="20" w:lineRule="exact"/>
              <w:rPr>
                <w:sz w:val="1"/>
                <w:szCs w:val="1"/>
                <w:color w:val="auto"/>
              </w:rPr>
            </w:pPr>
          </w:p>
        </w:tc>
        <w:tc>
          <w:tcPr>
            <w:tcW w:w="1580" w:type="dxa"/>
            <w:vAlign w:val="bottom"/>
            <w:tcBorders>
              <w:top w:val="single" w:sz="8" w:color="808080"/>
            </w:tcBorders>
          </w:tcPr>
          <w:p>
            <w:pPr>
              <w:spacing w:after="0" w:line="20" w:lineRule="exact"/>
              <w:rPr>
                <w:sz w:val="1"/>
                <w:szCs w:val="1"/>
                <w:color w:val="auto"/>
              </w:rPr>
            </w:pPr>
          </w:p>
        </w:tc>
        <w:tc>
          <w:tcPr>
            <w:tcW w:w="106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720" w:type="dxa"/>
            <w:vAlign w:val="bottom"/>
            <w:gridSpan w:val="2"/>
            <w:shd w:val="clear" w:color="auto" w:fill="EEEEEE"/>
          </w:tcPr>
          <w:p>
            <w:pPr>
              <w:jc w:val="right"/>
              <w:ind w:right="370"/>
              <w:spacing w:after="0"/>
              <w:rPr>
                <w:sz w:val="20"/>
                <w:szCs w:val="20"/>
                <w:color w:val="auto"/>
              </w:rPr>
            </w:pPr>
            <w:r>
              <w:rPr>
                <w:rFonts w:ascii="Arial" w:cs="Arial" w:eastAsia="Arial" w:hAnsi="Arial"/>
                <w:sz w:val="18"/>
                <w:szCs w:val="18"/>
                <w:color w:val="auto"/>
              </w:rPr>
              <w:t>$295,016</w:t>
            </w:r>
          </w:p>
        </w:tc>
        <w:tc>
          <w:tcPr>
            <w:tcW w:w="1600" w:type="dxa"/>
            <w:vAlign w:val="bottom"/>
            <w:shd w:val="clear" w:color="auto" w:fill="EEEEEE"/>
          </w:tcPr>
          <w:p>
            <w:pPr>
              <w:jc w:val="right"/>
              <w:ind w:right="411"/>
              <w:spacing w:after="0"/>
              <w:rPr>
                <w:sz w:val="20"/>
                <w:szCs w:val="20"/>
                <w:color w:val="auto"/>
              </w:rPr>
            </w:pPr>
            <w:r>
              <w:rPr>
                <w:rFonts w:ascii="Arial" w:cs="Arial" w:eastAsia="Arial" w:hAnsi="Arial"/>
                <w:sz w:val="18"/>
                <w:szCs w:val="18"/>
                <w:color w:val="auto"/>
              </w:rPr>
              <w:t>$269,288</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  25,728</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property income</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15,468</w:t>
            </w: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13,707</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1,761</w:t>
            </w: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360" w:type="dxa"/>
            <w:vAlign w:val="bottom"/>
            <w:shd w:val="clear" w:color="auto" w:fill="EEEEEE"/>
          </w:tcPr>
          <w:p>
            <w:pPr>
              <w:spacing w:after="0"/>
              <w:rPr>
                <w:sz w:val="18"/>
                <w:szCs w:val="18"/>
                <w:color w:val="auto"/>
              </w:rPr>
            </w:pPr>
          </w:p>
        </w:tc>
        <w:tc>
          <w:tcPr>
            <w:tcW w:w="1360" w:type="dxa"/>
            <w:vAlign w:val="bottom"/>
            <w:tcBorders>
              <w:bottom w:val="single" w:sz="8" w:color="808080"/>
            </w:tcBorders>
            <w:shd w:val="clear" w:color="auto" w:fill="EEEEEE"/>
          </w:tcPr>
          <w:p>
            <w:pPr>
              <w:jc w:val="right"/>
              <w:ind w:right="370"/>
              <w:spacing w:after="0"/>
              <w:rPr>
                <w:sz w:val="20"/>
                <w:szCs w:val="20"/>
                <w:color w:val="auto"/>
              </w:rPr>
            </w:pPr>
            <w:r>
              <w:rPr>
                <w:rFonts w:ascii="Arial" w:cs="Arial" w:eastAsia="Arial" w:hAnsi="Arial"/>
                <w:sz w:val="18"/>
                <w:szCs w:val="18"/>
                <w:color w:val="auto"/>
              </w:rPr>
              <w:t>5,156</w:t>
            </w:r>
          </w:p>
        </w:tc>
        <w:tc>
          <w:tcPr>
            <w:tcW w:w="1600" w:type="dxa"/>
            <w:vAlign w:val="bottom"/>
            <w:tcBorders>
              <w:bottom w:val="single" w:sz="8" w:color="808080"/>
            </w:tcBorders>
            <w:shd w:val="clear" w:color="auto" w:fill="EEEEEE"/>
          </w:tcPr>
          <w:p>
            <w:pPr>
              <w:jc w:val="right"/>
              <w:ind w:right="411"/>
              <w:spacing w:after="0"/>
              <w:rPr>
                <w:sz w:val="20"/>
                <w:szCs w:val="20"/>
                <w:color w:val="auto"/>
              </w:rPr>
            </w:pPr>
            <w:r>
              <w:rPr>
                <w:rFonts w:ascii="Arial" w:cs="Arial" w:eastAsia="Arial" w:hAnsi="Arial"/>
                <w:sz w:val="18"/>
                <w:szCs w:val="18"/>
                <w:color w:val="auto"/>
              </w:rPr>
              <w:t>6,590</w:t>
            </w:r>
          </w:p>
        </w:tc>
        <w:tc>
          <w:tcPr>
            <w:tcW w:w="1580" w:type="dxa"/>
            <w:vAlign w:val="bottom"/>
            <w:tcBorders>
              <w:bottom w:val="single" w:sz="8" w:color="808080"/>
            </w:tcBorders>
            <w:shd w:val="clear" w:color="auto" w:fill="EEEEEE"/>
          </w:tcPr>
          <w:p>
            <w:pPr>
              <w:jc w:val="right"/>
              <w:ind w:right="232"/>
              <w:spacing w:after="0"/>
              <w:rPr>
                <w:sz w:val="20"/>
                <w:szCs w:val="20"/>
                <w:color w:val="auto"/>
              </w:rPr>
            </w:pPr>
            <w:r>
              <w:rPr>
                <w:rFonts w:ascii="Arial" w:cs="Arial" w:eastAsia="Arial" w:hAnsi="Arial"/>
                <w:sz w:val="18"/>
                <w:szCs w:val="18"/>
                <w:color w:val="auto"/>
              </w:rPr>
              <w:t>(1,434)</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315,640</w:t>
            </w:r>
          </w:p>
        </w:tc>
        <w:tc>
          <w:tcPr>
            <w:tcW w:w="1600" w:type="dxa"/>
            <w:vAlign w:val="bottom"/>
          </w:tcPr>
          <w:p>
            <w:pPr>
              <w:jc w:val="right"/>
              <w:ind w:right="411"/>
              <w:spacing w:after="0"/>
              <w:rPr>
                <w:sz w:val="20"/>
                <w:szCs w:val="20"/>
                <w:color w:val="auto"/>
              </w:rPr>
            </w:pPr>
            <w:r>
              <w:rPr>
                <w:rFonts w:ascii="Arial" w:cs="Arial" w:eastAsia="Arial" w:hAnsi="Arial"/>
                <w:sz w:val="18"/>
                <w:szCs w:val="18"/>
                <w:b w:val="1"/>
                <w:bCs w:val="1"/>
                <w:color w:val="auto"/>
              </w:rPr>
              <w:t>289,585</w:t>
            </w:r>
          </w:p>
        </w:tc>
        <w:tc>
          <w:tcPr>
            <w:tcW w:w="1580" w:type="dxa"/>
            <w:vAlign w:val="bottom"/>
          </w:tcPr>
          <w:p>
            <w:pPr>
              <w:jc w:val="right"/>
              <w:ind w:right="292"/>
              <w:spacing w:after="0"/>
              <w:rPr>
                <w:sz w:val="20"/>
                <w:szCs w:val="20"/>
                <w:color w:val="auto"/>
              </w:rPr>
            </w:pPr>
            <w:r>
              <w:rPr>
                <w:rFonts w:ascii="Arial" w:cs="Arial" w:eastAsia="Arial" w:hAnsi="Arial"/>
                <w:sz w:val="18"/>
                <w:szCs w:val="18"/>
                <w:b w:val="1"/>
                <w:bCs w:val="1"/>
                <w:color w:val="auto"/>
              </w:rPr>
              <w:t>26,055</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808080"/>
            </w:tcBorders>
          </w:tcPr>
          <w:p>
            <w:pPr>
              <w:spacing w:after="0" w:line="20" w:lineRule="exact"/>
              <w:rPr>
                <w:sz w:val="1"/>
                <w:szCs w:val="1"/>
                <w:color w:val="auto"/>
              </w:rPr>
            </w:pPr>
          </w:p>
        </w:tc>
        <w:tc>
          <w:tcPr>
            <w:tcW w:w="1600" w:type="dxa"/>
            <w:vAlign w:val="bottom"/>
            <w:tcBorders>
              <w:top w:val="single" w:sz="8" w:color="808080"/>
            </w:tcBorders>
          </w:tcPr>
          <w:p>
            <w:pPr>
              <w:spacing w:after="0" w:line="20" w:lineRule="exact"/>
              <w:rPr>
                <w:sz w:val="1"/>
                <w:szCs w:val="1"/>
                <w:color w:val="auto"/>
              </w:rPr>
            </w:pPr>
          </w:p>
        </w:tc>
        <w:tc>
          <w:tcPr>
            <w:tcW w:w="158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Rental expenses</w:t>
            </w:r>
          </w:p>
        </w:tc>
        <w:tc>
          <w:tcPr>
            <w:tcW w:w="1720" w:type="dxa"/>
            <w:vAlign w:val="bottom"/>
            <w:gridSpan w:val="2"/>
            <w:shd w:val="clear" w:color="auto" w:fill="EEEEEE"/>
          </w:tcPr>
          <w:p>
            <w:pPr>
              <w:jc w:val="right"/>
              <w:ind w:right="370"/>
              <w:spacing w:after="0"/>
              <w:rPr>
                <w:sz w:val="20"/>
                <w:szCs w:val="20"/>
                <w:color w:val="auto"/>
              </w:rPr>
            </w:pPr>
            <w:r>
              <w:rPr>
                <w:rFonts w:ascii="Arial" w:cs="Arial" w:eastAsia="Arial" w:hAnsi="Arial"/>
                <w:sz w:val="18"/>
                <w:szCs w:val="18"/>
                <w:color w:val="auto"/>
              </w:rPr>
              <w:t>72,990</w:t>
            </w:r>
          </w:p>
        </w:tc>
        <w:tc>
          <w:tcPr>
            <w:tcW w:w="1600" w:type="dxa"/>
            <w:vAlign w:val="bottom"/>
            <w:shd w:val="clear" w:color="auto" w:fill="EEEEEE"/>
          </w:tcPr>
          <w:p>
            <w:pPr>
              <w:jc w:val="right"/>
              <w:ind w:right="411"/>
              <w:spacing w:after="0"/>
              <w:rPr>
                <w:sz w:val="20"/>
                <w:szCs w:val="20"/>
                <w:color w:val="auto"/>
              </w:rPr>
            </w:pPr>
            <w:r>
              <w:rPr>
                <w:rFonts w:ascii="Arial" w:cs="Arial" w:eastAsia="Arial" w:hAnsi="Arial"/>
                <w:sz w:val="18"/>
                <w:szCs w:val="18"/>
                <w:color w:val="auto"/>
              </w:rPr>
              <w:t>61,619</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11,371</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Real estate taxes</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30,687</w:t>
            </w: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27,646</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3,041</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808080"/>
            </w:tcBorders>
          </w:tcPr>
          <w:p>
            <w:pPr>
              <w:spacing w:after="0" w:line="20" w:lineRule="exact"/>
              <w:rPr>
                <w:sz w:val="1"/>
                <w:szCs w:val="1"/>
                <w:color w:val="auto"/>
              </w:rPr>
            </w:pPr>
          </w:p>
        </w:tc>
        <w:tc>
          <w:tcPr>
            <w:tcW w:w="1600" w:type="dxa"/>
            <w:vAlign w:val="bottom"/>
            <w:tcBorders>
              <w:top w:val="single" w:sz="8" w:color="808080"/>
            </w:tcBorders>
          </w:tcPr>
          <w:p>
            <w:pPr>
              <w:spacing w:after="0" w:line="20" w:lineRule="exact"/>
              <w:rPr>
                <w:sz w:val="1"/>
                <w:szCs w:val="1"/>
                <w:color w:val="auto"/>
              </w:rPr>
            </w:pPr>
          </w:p>
        </w:tc>
        <w:tc>
          <w:tcPr>
            <w:tcW w:w="158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shd w:val="clear" w:color="auto" w:fill="EEEEEE"/>
          </w:tcPr>
          <w:p>
            <w:pPr>
              <w:spacing w:after="0"/>
              <w:rPr>
                <w:sz w:val="18"/>
                <w:szCs w:val="18"/>
                <w:color w:val="auto"/>
              </w:rPr>
            </w:pPr>
          </w:p>
        </w:tc>
        <w:tc>
          <w:tcPr>
            <w:tcW w:w="1360" w:type="dxa"/>
            <w:vAlign w:val="bottom"/>
            <w:tcBorders>
              <w:bottom w:val="single" w:sz="8" w:color="808080"/>
            </w:tcBorders>
            <w:shd w:val="clear" w:color="auto" w:fill="EEEEEE"/>
          </w:tcPr>
          <w:p>
            <w:pPr>
              <w:jc w:val="right"/>
              <w:ind w:right="370"/>
              <w:spacing w:after="0"/>
              <w:rPr>
                <w:sz w:val="20"/>
                <w:szCs w:val="20"/>
                <w:color w:val="auto"/>
              </w:rPr>
            </w:pPr>
            <w:r>
              <w:rPr>
                <w:rFonts w:ascii="Arial" w:cs="Arial" w:eastAsia="Arial" w:hAnsi="Arial"/>
                <w:sz w:val="18"/>
                <w:szCs w:val="18"/>
                <w:b w:val="1"/>
                <w:bCs w:val="1"/>
                <w:color w:val="auto"/>
              </w:rPr>
              <w:t>103,677</w:t>
            </w:r>
          </w:p>
        </w:tc>
        <w:tc>
          <w:tcPr>
            <w:tcW w:w="1600" w:type="dxa"/>
            <w:vAlign w:val="bottom"/>
            <w:tcBorders>
              <w:bottom w:val="single" w:sz="8" w:color="808080"/>
            </w:tcBorders>
            <w:shd w:val="clear" w:color="auto" w:fill="EEEEEE"/>
          </w:tcPr>
          <w:p>
            <w:pPr>
              <w:jc w:val="right"/>
              <w:ind w:right="411"/>
              <w:spacing w:after="0"/>
              <w:rPr>
                <w:sz w:val="20"/>
                <w:szCs w:val="20"/>
                <w:color w:val="auto"/>
              </w:rPr>
            </w:pPr>
            <w:r>
              <w:rPr>
                <w:rFonts w:ascii="Arial" w:cs="Arial" w:eastAsia="Arial" w:hAnsi="Arial"/>
                <w:sz w:val="18"/>
                <w:szCs w:val="18"/>
                <w:b w:val="1"/>
                <w:bCs w:val="1"/>
                <w:color w:val="auto"/>
              </w:rPr>
              <w:t>89,265</w:t>
            </w:r>
          </w:p>
        </w:tc>
        <w:tc>
          <w:tcPr>
            <w:tcW w:w="1580" w:type="dxa"/>
            <w:vAlign w:val="bottom"/>
            <w:tcBorders>
              <w:bottom w:val="single" w:sz="8" w:color="808080"/>
            </w:tcBorders>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14,412</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Property operating income</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211,963</w:t>
            </w:r>
          </w:p>
        </w:tc>
        <w:tc>
          <w:tcPr>
            <w:tcW w:w="1600" w:type="dxa"/>
            <w:vAlign w:val="bottom"/>
          </w:tcPr>
          <w:p>
            <w:pPr>
              <w:jc w:val="right"/>
              <w:ind w:right="411"/>
              <w:spacing w:after="0"/>
              <w:rPr>
                <w:sz w:val="20"/>
                <w:szCs w:val="20"/>
                <w:color w:val="auto"/>
              </w:rPr>
            </w:pPr>
            <w:r>
              <w:rPr>
                <w:rFonts w:ascii="Arial" w:cs="Arial" w:eastAsia="Arial" w:hAnsi="Arial"/>
                <w:sz w:val="18"/>
                <w:szCs w:val="18"/>
                <w:b w:val="1"/>
                <w:bCs w:val="1"/>
                <w:color w:val="auto"/>
              </w:rPr>
              <w:t>200,320</w:t>
            </w:r>
          </w:p>
        </w:tc>
        <w:tc>
          <w:tcPr>
            <w:tcW w:w="1580" w:type="dxa"/>
            <w:vAlign w:val="bottom"/>
          </w:tcPr>
          <w:p>
            <w:pPr>
              <w:jc w:val="right"/>
              <w:ind w:right="292"/>
              <w:spacing w:after="0"/>
              <w:rPr>
                <w:sz w:val="20"/>
                <w:szCs w:val="20"/>
                <w:color w:val="auto"/>
              </w:rPr>
            </w:pPr>
            <w:r>
              <w:rPr>
                <w:rFonts w:ascii="Arial" w:cs="Arial" w:eastAsia="Arial" w:hAnsi="Arial"/>
                <w:sz w:val="18"/>
                <w:szCs w:val="18"/>
                <w:b w:val="1"/>
                <w:bCs w:val="1"/>
                <w:color w:val="auto"/>
              </w:rPr>
              <w:t>11,643</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720" w:type="dxa"/>
            <w:vAlign w:val="bottom"/>
            <w:gridSpan w:val="2"/>
            <w:shd w:val="clear" w:color="auto" w:fill="EEEEEE"/>
          </w:tcPr>
          <w:p>
            <w:pPr>
              <w:jc w:val="right"/>
              <w:ind w:right="370"/>
              <w:spacing w:after="0"/>
              <w:rPr>
                <w:sz w:val="20"/>
                <w:szCs w:val="20"/>
                <w:color w:val="auto"/>
              </w:rPr>
            </w:pPr>
            <w:r>
              <w:rPr>
                <w:rFonts w:ascii="Arial" w:cs="Arial" w:eastAsia="Arial" w:hAnsi="Arial"/>
                <w:sz w:val="18"/>
                <w:szCs w:val="18"/>
                <w:color w:val="auto"/>
              </w:rPr>
              <w:t>65,058</w:t>
            </w:r>
          </w:p>
        </w:tc>
        <w:tc>
          <w:tcPr>
            <w:tcW w:w="1600" w:type="dxa"/>
            <w:vAlign w:val="bottom"/>
            <w:shd w:val="clear" w:color="auto" w:fill="EEEEEE"/>
          </w:tcPr>
          <w:p>
            <w:pPr>
              <w:jc w:val="right"/>
              <w:ind w:right="411"/>
              <w:spacing w:after="0"/>
              <w:rPr>
                <w:sz w:val="20"/>
                <w:szCs w:val="20"/>
                <w:color w:val="auto"/>
              </w:rPr>
            </w:pPr>
            <w:r>
              <w:rPr>
                <w:rFonts w:ascii="Arial" w:cs="Arial" w:eastAsia="Arial" w:hAnsi="Arial"/>
                <w:sz w:val="18"/>
                <w:szCs w:val="18"/>
                <w:color w:val="auto"/>
              </w:rPr>
              <w:t>69,313</w:t>
            </w:r>
          </w:p>
        </w:tc>
        <w:tc>
          <w:tcPr>
            <w:tcW w:w="15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(4,255)</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Administrative</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13,790</w:t>
            </w: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14,281</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(491)</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Restructuring</w:t>
            </w:r>
          </w:p>
        </w:tc>
        <w:tc>
          <w:tcPr>
            <w:tcW w:w="1720" w:type="dxa"/>
            <w:vAlign w:val="bottom"/>
            <w:gridSpan w:val="2"/>
            <w:shd w:val="clear" w:color="auto" w:fill="EEEEEE"/>
          </w:tcPr>
          <w:p>
            <w:pPr>
              <w:jc w:val="right"/>
              <w:ind w:right="370"/>
              <w:spacing w:after="0"/>
              <w:rPr>
                <w:sz w:val="20"/>
                <w:szCs w:val="20"/>
                <w:color w:val="auto"/>
              </w:rPr>
            </w:pPr>
            <w:r>
              <w:rPr>
                <w:rFonts w:ascii="Arial" w:cs="Arial" w:eastAsia="Arial" w:hAnsi="Arial"/>
                <w:sz w:val="18"/>
                <w:szCs w:val="18"/>
                <w:color w:val="auto"/>
              </w:rPr>
              <w:t>22,269</w:t>
            </w:r>
          </w:p>
        </w:tc>
        <w:tc>
          <w:tcPr>
            <w:tcW w:w="1600" w:type="dxa"/>
            <w:vAlign w:val="bottom"/>
            <w:shd w:val="clear" w:color="auto" w:fill="EEEEEE"/>
          </w:tcPr>
          <w:p>
            <w:pPr>
              <w:jc w:val="right"/>
              <w:ind w:right="411"/>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22,269</w:t>
            </w: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63,777</w:t>
            </w: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58,231</w:t>
            </w:r>
          </w:p>
        </w:tc>
        <w:tc>
          <w:tcPr>
            <w:tcW w:w="1580" w:type="dxa"/>
            <w:vAlign w:val="bottom"/>
          </w:tcPr>
          <w:p>
            <w:pPr>
              <w:jc w:val="right"/>
              <w:ind w:right="292"/>
              <w:spacing w:after="0"/>
              <w:rPr>
                <w:sz w:val="20"/>
                <w:szCs w:val="20"/>
                <w:color w:val="auto"/>
              </w:rPr>
            </w:pPr>
            <w:r>
              <w:rPr>
                <w:rFonts w:ascii="Arial" w:cs="Arial" w:eastAsia="Arial" w:hAnsi="Arial"/>
                <w:sz w:val="18"/>
                <w:szCs w:val="18"/>
                <w:color w:val="auto"/>
              </w:rPr>
              <w:t>5,546</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top w:val="single" w:sz="8" w:color="808080"/>
            </w:tcBorders>
          </w:tcPr>
          <w:p>
            <w:pPr>
              <w:spacing w:after="0" w:line="20" w:lineRule="exact"/>
              <w:rPr>
                <w:sz w:val="1"/>
                <w:szCs w:val="1"/>
                <w:color w:val="auto"/>
              </w:rPr>
            </w:pPr>
          </w:p>
        </w:tc>
        <w:tc>
          <w:tcPr>
            <w:tcW w:w="1600" w:type="dxa"/>
            <w:vAlign w:val="bottom"/>
            <w:tcBorders>
              <w:top w:val="single" w:sz="8" w:color="808080"/>
            </w:tcBorders>
          </w:tcPr>
          <w:p>
            <w:pPr>
              <w:spacing w:after="0" w:line="20" w:lineRule="exact"/>
              <w:rPr>
                <w:sz w:val="1"/>
                <w:szCs w:val="1"/>
                <w:color w:val="auto"/>
              </w:rPr>
            </w:pPr>
          </w:p>
        </w:tc>
        <w:tc>
          <w:tcPr>
            <w:tcW w:w="1580" w:type="dxa"/>
            <w:vAlign w:val="bottom"/>
            <w:tcBorders>
              <w:top w:val="single" w:sz="8" w:color="808080"/>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Total other expenses</w:t>
            </w:r>
          </w:p>
        </w:tc>
        <w:tc>
          <w:tcPr>
            <w:tcW w:w="360" w:type="dxa"/>
            <w:vAlign w:val="bottom"/>
            <w:shd w:val="clear" w:color="auto" w:fill="EEEEEE"/>
          </w:tcPr>
          <w:p>
            <w:pPr>
              <w:spacing w:after="0"/>
              <w:rPr>
                <w:sz w:val="18"/>
                <w:szCs w:val="18"/>
                <w:color w:val="auto"/>
              </w:rPr>
            </w:pPr>
          </w:p>
        </w:tc>
        <w:tc>
          <w:tcPr>
            <w:tcW w:w="1360" w:type="dxa"/>
            <w:vAlign w:val="bottom"/>
            <w:tcBorders>
              <w:bottom w:val="single" w:sz="8" w:color="808080"/>
            </w:tcBorders>
            <w:shd w:val="clear" w:color="auto" w:fill="EEEEEE"/>
          </w:tcPr>
          <w:p>
            <w:pPr>
              <w:jc w:val="right"/>
              <w:ind w:right="370"/>
              <w:spacing w:after="0"/>
              <w:rPr>
                <w:sz w:val="20"/>
                <w:szCs w:val="20"/>
                <w:color w:val="auto"/>
              </w:rPr>
            </w:pPr>
            <w:r>
              <w:rPr>
                <w:rFonts w:ascii="Arial" w:cs="Arial" w:eastAsia="Arial" w:hAnsi="Arial"/>
                <w:sz w:val="18"/>
                <w:szCs w:val="18"/>
                <w:color w:val="auto"/>
              </w:rPr>
              <w:t>164,894</w:t>
            </w:r>
          </w:p>
        </w:tc>
        <w:tc>
          <w:tcPr>
            <w:tcW w:w="1600" w:type="dxa"/>
            <w:vAlign w:val="bottom"/>
            <w:tcBorders>
              <w:bottom w:val="single" w:sz="8" w:color="808080"/>
            </w:tcBorders>
            <w:shd w:val="clear" w:color="auto" w:fill="EEEEEE"/>
          </w:tcPr>
          <w:p>
            <w:pPr>
              <w:jc w:val="right"/>
              <w:ind w:right="411"/>
              <w:spacing w:after="0"/>
              <w:rPr>
                <w:sz w:val="20"/>
                <w:szCs w:val="20"/>
                <w:color w:val="auto"/>
              </w:rPr>
            </w:pPr>
            <w:r>
              <w:rPr>
                <w:rFonts w:ascii="Arial" w:cs="Arial" w:eastAsia="Arial" w:hAnsi="Arial"/>
                <w:sz w:val="18"/>
                <w:szCs w:val="18"/>
                <w:color w:val="auto"/>
              </w:rPr>
              <w:t>141,825</w:t>
            </w:r>
          </w:p>
        </w:tc>
        <w:tc>
          <w:tcPr>
            <w:tcW w:w="1580" w:type="dxa"/>
            <w:vAlign w:val="bottom"/>
            <w:tcBorders>
              <w:bottom w:val="single" w:sz="8" w:color="808080"/>
            </w:tcBorders>
            <w:shd w:val="clear" w:color="auto" w:fill="EEEEEE"/>
          </w:tcPr>
          <w:p>
            <w:pPr>
              <w:jc w:val="right"/>
              <w:ind w:right="292"/>
              <w:spacing w:after="0"/>
              <w:rPr>
                <w:sz w:val="20"/>
                <w:szCs w:val="20"/>
                <w:color w:val="auto"/>
              </w:rPr>
            </w:pPr>
            <w:r>
              <w:rPr>
                <w:rFonts w:ascii="Arial" w:cs="Arial" w:eastAsia="Arial" w:hAnsi="Arial"/>
                <w:sz w:val="18"/>
                <w:szCs w:val="18"/>
                <w:color w:val="auto"/>
              </w:rPr>
              <w:t>23,069</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47,069</w:t>
            </w:r>
          </w:p>
        </w:tc>
        <w:tc>
          <w:tcPr>
            <w:tcW w:w="1600" w:type="dxa"/>
            <w:vAlign w:val="bottom"/>
          </w:tcPr>
          <w:p>
            <w:pPr>
              <w:jc w:val="right"/>
              <w:ind w:right="411"/>
              <w:spacing w:after="0"/>
              <w:rPr>
                <w:sz w:val="20"/>
                <w:szCs w:val="20"/>
                <w:color w:val="auto"/>
              </w:rPr>
            </w:pPr>
            <w:r>
              <w:rPr>
                <w:rFonts w:ascii="Arial" w:cs="Arial" w:eastAsia="Arial" w:hAnsi="Arial"/>
                <w:sz w:val="18"/>
                <w:szCs w:val="18"/>
                <w:b w:val="1"/>
                <w:bCs w:val="1"/>
                <w:color w:val="auto"/>
              </w:rPr>
              <w:t>58,495</w:t>
            </w:r>
          </w:p>
        </w:tc>
        <w:tc>
          <w:tcPr>
            <w:tcW w:w="1580" w:type="dxa"/>
            <w:vAlign w:val="bottom"/>
          </w:tcPr>
          <w:p>
            <w:pPr>
              <w:jc w:val="right"/>
              <w:ind w:right="232"/>
              <w:spacing w:after="0"/>
              <w:rPr>
                <w:sz w:val="20"/>
                <w:szCs w:val="20"/>
                <w:color w:val="auto"/>
              </w:rPr>
            </w:pPr>
            <w:r>
              <w:rPr>
                <w:rFonts w:ascii="Arial" w:cs="Arial" w:eastAsia="Arial" w:hAnsi="Arial"/>
                <w:sz w:val="18"/>
                <w:szCs w:val="18"/>
                <w:b w:val="1"/>
                <w:bCs w:val="1"/>
                <w:color w:val="auto"/>
              </w:rPr>
              <w:t>(11,426)</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1720" w:type="dxa"/>
            <w:vAlign w:val="bottom"/>
            <w:gridSpan w:val="2"/>
            <w:shd w:val="clear" w:color="auto" w:fill="EEEEEE"/>
          </w:tcPr>
          <w:p>
            <w:pPr>
              <w:jc w:val="right"/>
              <w:ind w:right="310"/>
              <w:spacing w:after="0"/>
              <w:rPr>
                <w:sz w:val="20"/>
                <w:szCs w:val="20"/>
                <w:color w:val="auto"/>
              </w:rPr>
            </w:pPr>
            <w:r>
              <w:rPr>
                <w:rFonts w:ascii="Arial" w:cs="Arial" w:eastAsia="Arial" w:hAnsi="Arial"/>
                <w:sz w:val="18"/>
                <w:szCs w:val="18"/>
                <w:color w:val="auto"/>
              </w:rPr>
              <w:t>(4,112)</w:t>
            </w:r>
          </w:p>
        </w:tc>
        <w:tc>
          <w:tcPr>
            <w:tcW w:w="1600" w:type="dxa"/>
            <w:vAlign w:val="bottom"/>
            <w:shd w:val="clear" w:color="auto" w:fill="EEEEEE"/>
          </w:tcPr>
          <w:p>
            <w:pPr>
              <w:jc w:val="right"/>
              <w:ind w:right="351"/>
              <w:spacing w:after="0"/>
              <w:rPr>
                <w:sz w:val="20"/>
                <w:szCs w:val="20"/>
                <w:color w:val="auto"/>
              </w:rPr>
            </w:pPr>
            <w:r>
              <w:rPr>
                <w:rFonts w:ascii="Arial" w:cs="Arial" w:eastAsia="Arial" w:hAnsi="Arial"/>
                <w:sz w:val="18"/>
                <w:szCs w:val="18"/>
                <w:color w:val="auto"/>
              </w:rPr>
              <w:t>(5,170)</w:t>
            </w:r>
          </w:p>
        </w:tc>
        <w:tc>
          <w:tcPr>
            <w:tcW w:w="15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1,058</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Operating income from discontinued operations</w:t>
            </w:r>
          </w:p>
        </w:tc>
        <w:tc>
          <w:tcPr>
            <w:tcW w:w="1720" w:type="dxa"/>
            <w:vAlign w:val="bottom"/>
            <w:gridSpan w:val="2"/>
          </w:tcPr>
          <w:p>
            <w:pPr>
              <w:jc w:val="right"/>
              <w:ind w:right="370"/>
              <w:spacing w:after="0"/>
              <w:rPr>
                <w:sz w:val="20"/>
                <w:szCs w:val="20"/>
                <w:color w:val="auto"/>
              </w:rPr>
            </w:pPr>
            <w:r>
              <w:rPr>
                <w:rFonts w:ascii="Arial" w:cs="Arial" w:eastAsia="Arial" w:hAnsi="Arial"/>
                <w:sz w:val="18"/>
                <w:szCs w:val="18"/>
                <w:color w:val="auto"/>
              </w:rPr>
              <w:t>2,876</w:t>
            </w:r>
          </w:p>
        </w:tc>
        <w:tc>
          <w:tcPr>
            <w:tcW w:w="1600" w:type="dxa"/>
            <w:vAlign w:val="bottom"/>
          </w:tcPr>
          <w:p>
            <w:pPr>
              <w:jc w:val="right"/>
              <w:ind w:right="411"/>
              <w:spacing w:after="0"/>
              <w:rPr>
                <w:sz w:val="20"/>
                <w:szCs w:val="20"/>
                <w:color w:val="auto"/>
              </w:rPr>
            </w:pPr>
            <w:r>
              <w:rPr>
                <w:rFonts w:ascii="Arial" w:cs="Arial" w:eastAsia="Arial" w:hAnsi="Arial"/>
                <w:sz w:val="18"/>
                <w:szCs w:val="18"/>
                <w:color w:val="auto"/>
              </w:rPr>
              <w:t>6,246</w:t>
            </w:r>
          </w:p>
        </w:tc>
        <w:tc>
          <w:tcPr>
            <w:tcW w:w="1580" w:type="dxa"/>
            <w:vAlign w:val="bottom"/>
          </w:tcPr>
          <w:p>
            <w:pPr>
              <w:jc w:val="right"/>
              <w:ind w:right="232"/>
              <w:spacing w:after="0"/>
              <w:rPr>
                <w:sz w:val="20"/>
                <w:szCs w:val="20"/>
                <w:color w:val="auto"/>
              </w:rPr>
            </w:pPr>
            <w:r>
              <w:rPr>
                <w:rFonts w:ascii="Arial" w:cs="Arial" w:eastAsia="Arial" w:hAnsi="Arial"/>
                <w:sz w:val="18"/>
                <w:szCs w:val="18"/>
                <w:color w:val="auto"/>
              </w:rPr>
              <w:t>(3,370)</w:t>
            </w:r>
          </w:p>
        </w:tc>
        <w:tc>
          <w:tcPr>
            <w:tcW w:w="106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Gain on sale of real estate net of loss on abandoned developments held for</w:t>
            </w:r>
          </w:p>
        </w:tc>
        <w:tc>
          <w:tcPr>
            <w:tcW w:w="36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w:t>
            </w:r>
          </w:p>
        </w:tc>
        <w:tc>
          <w:tcPr>
            <w:tcW w:w="360" w:type="dxa"/>
            <w:vAlign w:val="bottom"/>
            <w:shd w:val="clear" w:color="auto" w:fill="EEEEEE"/>
          </w:tcPr>
          <w:p>
            <w:pPr>
              <w:spacing w:after="0"/>
              <w:rPr>
                <w:sz w:val="20"/>
                <w:szCs w:val="20"/>
                <w:color w:val="auto"/>
              </w:rPr>
            </w:pPr>
          </w:p>
        </w:tc>
        <w:tc>
          <w:tcPr>
            <w:tcW w:w="1360" w:type="dxa"/>
            <w:vAlign w:val="bottom"/>
            <w:tcBorders>
              <w:bottom w:val="single" w:sz="8" w:color="808080"/>
            </w:tcBorders>
            <w:shd w:val="clear" w:color="auto" w:fill="EEEEEE"/>
          </w:tcPr>
          <w:p>
            <w:pPr>
              <w:jc w:val="right"/>
              <w:ind w:right="370"/>
              <w:spacing w:after="0"/>
              <w:rPr>
                <w:sz w:val="20"/>
                <w:szCs w:val="20"/>
                <w:color w:val="auto"/>
              </w:rPr>
            </w:pPr>
            <w:r>
              <w:rPr>
                <w:rFonts w:ascii="Arial" w:cs="Arial" w:eastAsia="Arial" w:hAnsi="Arial"/>
                <w:sz w:val="18"/>
                <w:szCs w:val="18"/>
                <w:color w:val="auto"/>
              </w:rPr>
              <w:t>9,454</w:t>
            </w:r>
          </w:p>
        </w:tc>
        <w:tc>
          <w:tcPr>
            <w:tcW w:w="1600" w:type="dxa"/>
            <w:vAlign w:val="bottom"/>
            <w:tcBorders>
              <w:bottom w:val="single" w:sz="8" w:color="808080"/>
            </w:tcBorders>
            <w:shd w:val="clear" w:color="auto" w:fill="EEEEEE"/>
          </w:tcPr>
          <w:p>
            <w:pPr>
              <w:jc w:val="right"/>
              <w:ind w:right="411"/>
              <w:spacing w:after="0"/>
              <w:rPr>
                <w:sz w:val="20"/>
                <w:szCs w:val="20"/>
                <w:color w:val="auto"/>
              </w:rPr>
            </w:pPr>
            <w:r>
              <w:rPr>
                <w:rFonts w:ascii="Arial" w:cs="Arial" w:eastAsia="Arial" w:hAnsi="Arial"/>
                <w:sz w:val="18"/>
                <w:szCs w:val="18"/>
                <w:color w:val="auto"/>
              </w:rPr>
              <w:t>9,185</w:t>
            </w:r>
          </w:p>
        </w:tc>
        <w:tc>
          <w:tcPr>
            <w:tcW w:w="1580" w:type="dxa"/>
            <w:vAlign w:val="bottom"/>
            <w:tcBorders>
              <w:bottom w:val="single" w:sz="8" w:color="808080"/>
            </w:tcBorders>
            <w:shd w:val="clear" w:color="auto" w:fill="EEEEEE"/>
          </w:tcPr>
          <w:p>
            <w:pPr>
              <w:jc w:val="right"/>
              <w:ind w:right="292"/>
              <w:spacing w:after="0"/>
              <w:rPr>
                <w:sz w:val="20"/>
                <w:szCs w:val="20"/>
                <w:color w:val="auto"/>
              </w:rPr>
            </w:pPr>
            <w:r>
              <w:rPr>
                <w:rFonts w:ascii="Arial" w:cs="Arial" w:eastAsia="Arial" w:hAnsi="Arial"/>
                <w:sz w:val="18"/>
                <w:szCs w:val="18"/>
                <w:color w:val="auto"/>
              </w:rPr>
              <w:t>269</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spacing w:after="0"/>
              <w:rPr>
                <w:sz w:val="20"/>
                <w:szCs w:val="20"/>
                <w:color w:val="auto"/>
              </w:rPr>
            </w:pPr>
          </w:p>
        </w:tc>
        <w:tc>
          <w:tcPr>
            <w:tcW w:w="1360" w:type="dxa"/>
            <w:vAlign w:val="bottom"/>
            <w:tcBorders>
              <w:bottom w:val="single" w:sz="8" w:color="808080"/>
            </w:tcBorders>
          </w:tcPr>
          <w:p>
            <w:pPr>
              <w:jc w:val="right"/>
              <w:ind w:right="370"/>
              <w:spacing w:after="0"/>
              <w:rPr>
                <w:sz w:val="20"/>
                <w:szCs w:val="20"/>
                <w:color w:val="auto"/>
              </w:rPr>
            </w:pPr>
            <w:r>
              <w:rPr>
                <w:rFonts w:ascii="Arial" w:cs="Arial" w:eastAsia="Arial" w:hAnsi="Arial"/>
                <w:sz w:val="18"/>
                <w:szCs w:val="18"/>
                <w:b w:val="1"/>
                <w:bCs w:val="1"/>
                <w:color w:val="auto"/>
              </w:rPr>
              <w:t>$55,287</w:t>
            </w:r>
          </w:p>
        </w:tc>
        <w:tc>
          <w:tcPr>
            <w:tcW w:w="1600" w:type="dxa"/>
            <w:vAlign w:val="bottom"/>
            <w:tcBorders>
              <w:bottom w:val="single" w:sz="8" w:color="808080"/>
            </w:tcBorders>
          </w:tcPr>
          <w:p>
            <w:pPr>
              <w:jc w:val="right"/>
              <w:ind w:right="411"/>
              <w:spacing w:after="0"/>
              <w:rPr>
                <w:sz w:val="20"/>
                <w:szCs w:val="20"/>
                <w:color w:val="auto"/>
              </w:rPr>
            </w:pPr>
            <w:r>
              <w:rPr>
                <w:rFonts w:ascii="Arial" w:cs="Arial" w:eastAsia="Arial" w:hAnsi="Arial"/>
                <w:sz w:val="18"/>
                <w:szCs w:val="18"/>
                <w:b w:val="1"/>
                <w:bCs w:val="1"/>
                <w:color w:val="auto"/>
              </w:rPr>
              <w:t>$68,756</w:t>
            </w:r>
          </w:p>
        </w:tc>
        <w:tc>
          <w:tcPr>
            <w:tcW w:w="1580" w:type="dxa"/>
            <w:vAlign w:val="bottom"/>
            <w:tcBorders>
              <w:bottom w:val="single" w:sz="8" w:color="808080"/>
            </w:tcBorders>
          </w:tcPr>
          <w:p>
            <w:pPr>
              <w:jc w:val="right"/>
              <w:ind w:right="232"/>
              <w:spacing w:after="0"/>
              <w:rPr>
                <w:sz w:val="20"/>
                <w:szCs w:val="20"/>
                <w:color w:val="auto"/>
              </w:rPr>
            </w:pPr>
            <w:r>
              <w:rPr>
                <w:rFonts w:ascii="Arial" w:cs="Arial" w:eastAsia="Arial" w:hAnsi="Arial"/>
                <w:sz w:val="18"/>
                <w:szCs w:val="18"/>
                <w:b w:val="1"/>
                <w:bCs w:val="1"/>
                <w:color w:val="auto"/>
              </w:rPr>
              <w:t>($13,469)</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20" w:type="dxa"/>
            <w:vAlign w:val="bottom"/>
            <w:gridSpan w:val="2"/>
          </w:tcPr>
          <w:p>
            <w:pPr>
              <w:jc w:val="right"/>
              <w:ind w:right="1230"/>
              <w:spacing w:after="0"/>
              <w:rPr>
                <w:sz w:val="20"/>
                <w:szCs w:val="20"/>
                <w:color w:val="auto"/>
              </w:rPr>
            </w:pPr>
            <w:r>
              <w:rPr>
                <w:rFonts w:ascii="Arial" w:cs="Arial" w:eastAsia="Arial" w:hAnsi="Arial"/>
                <w:sz w:val="18"/>
                <w:szCs w:val="18"/>
                <w:color w:val="auto"/>
              </w:rPr>
              <w:t>-34-</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REVENUES</w:t>
      </w:r>
    </w:p>
    <w:p>
      <w:pPr>
        <w:spacing w:after="0" w:line="202"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Total revenues increased $26.1 million, or 9.0%, to $315.6 million for the year ended December 31, 2002, as compared to $289.6 million for the year ended December 31, 2001. The primary components of the increase in total revenues are discussed below.</w:t>
      </w:r>
    </w:p>
    <w:p>
      <w:pPr>
        <w:spacing w:after="0" w:line="13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for common area maintenance and real estate taxes.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rental income of $25.7 million, or 9.6%, for the year ended December 31, 2002, as compared to the year ended December 31, 2001, is attributable to:</w:t>
      </w:r>
    </w:p>
    <w:p>
      <w:pPr>
        <w:spacing w:after="0" w:line="181" w:lineRule="exact"/>
        <w:rPr>
          <w:sz w:val="20"/>
          <w:szCs w:val="20"/>
          <w:color w:val="auto"/>
        </w:rPr>
      </w:pPr>
    </w:p>
    <w:p>
      <w:pPr>
        <w:ind w:left="660" w:right="220" w:hanging="161"/>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increase of $15.4 million, or 5.7%, on a same center basis due primarily to the increased rental rates at redeveloped and retenanted centers, as well as increased rental rates associated with lease rollovers, an increase in recovery income from a refinement of our recovery accrual processes, and higher cost recoveries as a result of increased rental expenses and real estate tax expenses; and</w:t>
      </w:r>
    </w:p>
    <w:p>
      <w:pPr>
        <w:spacing w:after="0" w:line="165" w:lineRule="exact"/>
        <w:rPr>
          <w:rFonts w:ascii="Arial" w:cs="Arial" w:eastAsia="Arial" w:hAnsi="Arial"/>
          <w:sz w:val="17"/>
          <w:szCs w:val="17"/>
          <w:color w:val="auto"/>
        </w:rPr>
      </w:pPr>
    </w:p>
    <w:p>
      <w:pPr>
        <w:ind w:left="660" w:right="100" w:hanging="161"/>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$8.1 million in rental income attributable to the properties acquired subsequent to January 1, 2001 and properties under development in 2001 and 2002 which phased into service during 2001 and 2002, specifically Santana Row and Pentagon Row. These increases were offset by properties sold in 2001.</w:t>
      </w:r>
    </w:p>
    <w:p>
      <w:pPr>
        <w:spacing w:after="0" w:line="181"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lease termination fees and temporary tenant income. The increase in other property income of $1.8 million, or 12.8%, for the year ended December 31, 2002, as compared to the year ended December 31, 2001, is attributable to:</w:t>
      </w:r>
    </w:p>
    <w:p>
      <w:pPr>
        <w:spacing w:after="0" w:line="181" w:lineRule="exact"/>
        <w:rPr>
          <w:sz w:val="20"/>
          <w:szCs w:val="20"/>
          <w:color w:val="auto"/>
        </w:rPr>
      </w:pPr>
    </w:p>
    <w:p>
      <w:pPr>
        <w:ind w:left="660" w:hanging="161"/>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of $1.3 million in parking income, utility reimbursements and lease termination fees at Pentagon Row, which began phasing into service in the second quarter of 2001, Santana Row, which began phasing into service in the fourth quarter of 2002 and Friendship Center which was purchased in the third quarter of 2001; partially offset by</w:t>
      </w:r>
    </w:p>
    <w:p>
      <w:pPr>
        <w:spacing w:after="0" w:line="181" w:lineRule="exact"/>
        <w:rPr>
          <w:rFonts w:ascii="Arial" w:cs="Arial" w:eastAsia="Arial" w:hAnsi="Arial"/>
          <w:sz w:val="18"/>
          <w:szCs w:val="18"/>
          <w:color w:val="auto"/>
        </w:rPr>
      </w:pPr>
    </w:p>
    <w:p>
      <w:pPr>
        <w:ind w:left="660" w:right="40" w:hanging="16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one-time $800,000 perpetual easement payment from a residential developer that has commenced development on an adjacent site at the Pentagon Row project; and</w:t>
      </w:r>
    </w:p>
    <w:p>
      <w:pPr>
        <w:spacing w:after="0" w:line="170" w:lineRule="exact"/>
        <w:rPr>
          <w:rFonts w:ascii="Arial" w:cs="Arial" w:eastAsia="Arial" w:hAnsi="Arial"/>
          <w:sz w:val="18"/>
          <w:szCs w:val="18"/>
          <w:color w:val="auto"/>
        </w:rPr>
      </w:pPr>
    </w:p>
    <w:p>
      <w:pPr>
        <w:ind w:left="660" w:right="200" w:hanging="161"/>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same center decrease of approximately $500,000 due to lower lease termination fees and parking income from properties owned and operated in both periods.</w:t>
      </w:r>
    </w:p>
    <w:p>
      <w:pPr>
        <w:spacing w:after="0" w:line="17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i w:val="1"/>
          <w:iCs w:val="1"/>
          <w:color w:val="auto"/>
        </w:rPr>
        <w:t xml:space="preserve">Interest and Other Income. </w:t>
      </w:r>
      <w:r>
        <w:rPr>
          <w:rFonts w:ascii="Arial" w:cs="Arial" w:eastAsia="Arial" w:hAnsi="Arial"/>
          <w:sz w:val="17"/>
          <w:szCs w:val="17"/>
          <w:color w:val="auto"/>
        </w:rPr>
        <w:t>Interest and other income includes interest earned on mortgage notes receivable, overnight cash investments, including tax-deferred exchange escrow deposits, as well as a provision for estimated losses related to various unconsolidated restaurant joint ventures at Santana Row. The decrease in interest and other income of $1.4 million, or 21.8% for the year ended December 31, 2002, as compared to the year ended December 31, 2001, is attributable to a write down associated with the estimated impairment of $1.3 million in these joint ventures which represented our best estimate of the diminution of value based upon the then current economic climate surrounding these joint ventures.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20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Total property operating expenses increased $14.4 million to $103.7 million for the year ended December 31, 2002, as compared to $89.3 million for the year ended December 31, 2001. The primary components of the increase in total expenses are discussed below.</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Rental Expense</w:t>
      </w:r>
      <w:r>
        <w:rPr>
          <w:rFonts w:ascii="Arial" w:cs="Arial" w:eastAsia="Arial" w:hAnsi="Arial"/>
          <w:sz w:val="17"/>
          <w:szCs w:val="17"/>
          <w:color w:val="auto"/>
        </w:rPr>
        <w:t>. The increase in rental expense of $11.4 million, or 18.5%, for the year ended December 31, 2002, as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2001, is attributable to:</w:t>
      </w:r>
    </w:p>
    <w:p>
      <w:pPr>
        <w:spacing w:after="0" w:line="211" w:lineRule="exact"/>
        <w:rPr>
          <w:sz w:val="20"/>
          <w:szCs w:val="20"/>
          <w:color w:val="auto"/>
        </w:rPr>
      </w:pPr>
    </w:p>
    <w:p>
      <w:pPr>
        <w:ind w:left="440" w:hanging="171"/>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$9.1 million in non-capitalized operating, leasing and marketing costs associated with our development projects, primarily operating, pre-opening and marketing expenses at our Santana Row project, as well as increased costs reflecting a full year of operating activity at the Pentagon Row project; and</w:t>
      </w:r>
    </w:p>
    <w:p>
      <w:pPr>
        <w:spacing w:after="0" w:line="181" w:lineRule="exact"/>
        <w:rPr>
          <w:rFonts w:ascii="Arial" w:cs="Arial" w:eastAsia="Arial" w:hAnsi="Arial"/>
          <w:sz w:val="18"/>
          <w:szCs w:val="18"/>
          <w:color w:val="auto"/>
        </w:rPr>
      </w:pPr>
    </w:p>
    <w:p>
      <w:pPr>
        <w:ind w:left="440" w:hanging="171"/>
        <w:spacing w:after="0" w:line="27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$1.8 million, or 3.1%, on a same center basis due primarily to increased maintenance, insurance and utility costs, offset by lower bad debt and property management costs.</w:t>
      </w:r>
    </w:p>
    <w:p>
      <w:pPr>
        <w:spacing w:after="0" w:line="1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Rental expense as a percentage of rental income and other property income, which we refer to as property income, increased slightly from 21.8% in 2001 to 23.5% in 2002 due primarily to increased marketing and pre-opening expenses at Santana Row. Same center rental expense, excluding the effect of property redevelopments and expansions, as a percentage of property income decreased slightly from 20.0% in 2001 to 19.6% in 2002 and overall for the year ended December 31, 2002 increased 2.2% from 2001.</w:t>
      </w:r>
    </w:p>
    <w:p>
      <w:pPr>
        <w:spacing w:after="0" w:line="146"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i w:val="1"/>
          <w:iCs w:val="1"/>
          <w:color w:val="auto"/>
        </w:rPr>
        <w:t>Real Estate Taxes</w:t>
      </w:r>
      <w:r>
        <w:rPr>
          <w:rFonts w:ascii="Arial" w:cs="Arial" w:eastAsia="Arial" w:hAnsi="Arial"/>
          <w:sz w:val="18"/>
          <w:szCs w:val="18"/>
          <w:color w:val="auto"/>
        </w:rPr>
        <w:t>. The increase in real estate taxes of $3.0 million, or 11.0%, for the year ended December 31, 2002, as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2001, is attributable to the impact of taxes at Santana Row which started coming into service in 2002, the impact of other acquired and developed properties and a general increase in tax assessments. On a same center basis, real estate taxes increased 7.0% due primarily to increased taxes on recently redeveloped properties and overall increases in tax assessments at various projects, principally Woodmont East, Fresh Meadows, Garden Market and Mid-Pike. Same center real estate taxes, excluding the effect of property redevelopments and expansions, for the year ended December 31, 2002 increased 6.1% from 2001.</w:t>
      </w:r>
    </w:p>
    <w:p>
      <w:pPr>
        <w:spacing w:after="0" w:line="166"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As a result of the changes and variances explained above, property operating income, total income less rental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taxes, increased $11.6 million, or 5.8%, to $212.0 million for the year ended December 31, 2002 as compared to $200.3 million for the year ended December 31, 2001.</w:t>
      </w:r>
    </w:p>
    <w:p>
      <w:pPr>
        <w:spacing w:after="0" w:line="141" w:lineRule="exact"/>
        <w:rPr>
          <w:sz w:val="20"/>
          <w:szCs w:val="20"/>
          <w:color w:val="auto"/>
        </w:rPr>
      </w:pPr>
    </w:p>
    <w:p>
      <w:pPr>
        <w:ind w:right="320" w:firstLine="225"/>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 2002, we incurred interest of $88.6 million, of which $23.5 million was capitalized yielding interest expense of $65.1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interest incurred of $87.1 million in 2001, of which $17.8 million was capitalized yielding interest expense of $69.3 million. The decrease in interest expense of $4.2 million, or 6.1%, for the year ended December 31, 2002, as compared to the year ended December 31, 2001, is attributable 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40" w:right="340" w:hanging="171"/>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capitalized interest at the Santana Row project which was under construction for the majority of 2002 and began to be phased into service beginning with the first tenant opening in June 2002; and</w:t>
      </w:r>
    </w:p>
    <w:p>
      <w:pPr>
        <w:spacing w:after="0" w:line="170" w:lineRule="exact"/>
        <w:rPr>
          <w:rFonts w:ascii="Arial" w:cs="Arial" w:eastAsia="Arial" w:hAnsi="Arial"/>
          <w:sz w:val="18"/>
          <w:szCs w:val="18"/>
          <w:color w:val="auto"/>
        </w:rPr>
      </w:pPr>
    </w:p>
    <w:p>
      <w:pPr>
        <w:ind w:left="440" w:right="100" w:hanging="171"/>
        <w:spacing w:after="0" w:line="277"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weighted-average interest rate on our debt from 7.6% in 2001 to 7.4% in 2002, primarily as a result of decreasing interest rates on our variable rate debt.</w:t>
      </w:r>
    </w:p>
    <w:p>
      <w:pPr>
        <w:spacing w:after="0" w:line="170"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i w:val="1"/>
          <w:iCs w:val="1"/>
          <w:color w:val="auto"/>
        </w:rPr>
        <w:t xml:space="preserve">Administrative Expense. </w:t>
      </w:r>
      <w:r>
        <w:rPr>
          <w:rFonts w:ascii="Arial" w:cs="Arial" w:eastAsia="Arial" w:hAnsi="Arial"/>
          <w:sz w:val="16"/>
          <w:szCs w:val="16"/>
          <w:color w:val="auto"/>
        </w:rPr>
        <w:t>The decrease in administrative expense of $0.5 million, or 3.4%, for the year ended December 31, 2002, as compared to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2001, is mostly attributable to lower payroll costs in 2002 as a result of our corporate restructuring. As a result, administrative expenses as a percentage of revenue decreased from 4.8% in the year ended December 31, 2001 to 4.3% in the year ended December 31, 2002.</w:t>
      </w:r>
    </w:p>
    <w:p>
      <w:pPr>
        <w:spacing w:after="0" w:line="120"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i w:val="1"/>
          <w:iCs w:val="1"/>
          <w:color w:val="auto"/>
        </w:rPr>
        <w:t>Restructuring Charge</w:t>
      </w:r>
      <w:r>
        <w:rPr>
          <w:rFonts w:ascii="Arial" w:cs="Arial" w:eastAsia="Arial" w:hAnsi="Arial"/>
          <w:sz w:val="16"/>
          <w:szCs w:val="16"/>
          <w:color w:val="auto"/>
        </w:rPr>
        <w:t>. On February 28, 2002, we adopted a new business plan which returned our primary focus to our traditional business of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redeveloping community and neighborhood shopping centers that are anchored by supermarkets, drug stores, or high volume, value oriented retailers that provide consumer necessities. Concurrent with the adoption of the business plan, we adopted a management succession plan and restructured our management team. In connection with these plans, we recorded a charge of $18.2 million. This charge included a reserve for a restructuring charge of</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$8.5 million made up of $6.9 million of severance and other compensation costs for several of our senior officers related to the management restructuring, as well as the write-off of $1.6 million of our development costs. All charges against this February 2002 reserve, totaling $8.5 million, were expended during 2002.</w:t>
      </w:r>
    </w:p>
    <w:p>
      <w:pPr>
        <w:spacing w:after="0" w:line="15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In addition, in the fourth quarter of 2002 we recorded a charge of $13.8 million as a result of the accelerated executive transition whereby Donald C. Wood, the Trust’s President and Chief Operating Officer, replaced Steven Guttman as Chief Executive Officer of the Trust. The fourth quarter charge includes an accrual of $7.9 million at December 31, 2002 for payments and benefits due to Mr. Guttman pursuant to his contractual arrangements with us and for other transition related costs. No cash payments were made against this charge in 2002 and the majority of the accrual was expended in 2003.</w:t>
      </w:r>
    </w:p>
    <w:p>
      <w:pPr>
        <w:spacing w:after="0" w:line="114"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The increase in depreciation and amortization expense of $5.5 million, or 9.5%,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2002, as compared to the year ended December 31, 2001 reflects the impact of recent new developments, tenant improvements and property redevelopments which were placed into service throughout 2001 and 2002.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89" w:lineRule="exact"/>
        <w:rPr>
          <w:sz w:val="20"/>
          <w:szCs w:val="20"/>
          <w:color w:val="auto"/>
        </w:rPr>
      </w:pPr>
    </w:p>
    <w:p>
      <w:pPr>
        <w:jc w:val="both"/>
        <w:ind w:right="340" w:firstLine="225"/>
        <w:spacing w:after="0" w:line="312" w:lineRule="auto"/>
        <w:rPr>
          <w:sz w:val="20"/>
          <w:szCs w:val="20"/>
          <w:color w:val="auto"/>
        </w:rPr>
      </w:pPr>
      <w:r>
        <w:rPr>
          <w:rFonts w:ascii="Arial" w:cs="Arial" w:eastAsia="Arial" w:hAnsi="Arial"/>
          <w:sz w:val="16"/>
          <w:szCs w:val="16"/>
          <w:i w:val="1"/>
          <w:iCs w:val="1"/>
          <w:color w:val="auto"/>
        </w:rPr>
        <w:t xml:space="preserve">Minority Interests. </w:t>
      </w:r>
      <w:r>
        <w:rPr>
          <w:rFonts w:ascii="Arial" w:cs="Arial" w:eastAsia="Arial" w:hAnsi="Arial"/>
          <w:sz w:val="16"/>
          <w:szCs w:val="16"/>
          <w:color w:val="auto"/>
        </w:rPr>
        <w:t>The decrease in investors’ share of operations of $1.1 million, or 20.5%, for the year ended December 31, 2002,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2001, is attributable to our 2001 purchase of the minority interest in nine street retail buildings in southern California and three street retail buildings in Forest Hills, New York and the operating unit holders’ share of the decrease in operating income in 2002.</w:t>
      </w:r>
    </w:p>
    <w:p>
      <w:pPr>
        <w:spacing w:after="0" w:line="106"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i w:val="1"/>
          <w:iCs w:val="1"/>
          <w:color w:val="auto"/>
        </w:rPr>
        <w:t xml:space="preserve">Gain on Sale of Real Estate Net of Loss on Abandoned Developments Held for Sale. </w:t>
      </w:r>
      <w:r>
        <w:rPr>
          <w:rFonts w:ascii="Arial" w:cs="Arial" w:eastAsia="Arial" w:hAnsi="Arial"/>
          <w:sz w:val="16"/>
          <w:szCs w:val="16"/>
          <w:color w:val="auto"/>
        </w:rPr>
        <w:t>The approximately $300,000 increase in gain on sale of real estate, net</w:t>
      </w:r>
      <w:r>
        <w:rPr>
          <w:rFonts w:ascii="Arial" w:cs="Arial" w:eastAsia="Arial" w:hAnsi="Arial"/>
          <w:sz w:val="16"/>
          <w:szCs w:val="16"/>
          <w:i w:val="1"/>
          <w:iCs w:val="1"/>
          <w:color w:val="auto"/>
        </w:rPr>
        <w:t xml:space="preserve"> </w:t>
      </w:r>
      <w:r>
        <w:rPr>
          <w:rFonts w:ascii="Arial" w:cs="Arial" w:eastAsia="Arial" w:hAnsi="Arial"/>
          <w:sz w:val="16"/>
          <w:szCs w:val="16"/>
          <w:color w:val="auto"/>
        </w:rPr>
        <w:t>of loss on abandoned developments held for sale for the year ended December 31, 2002, as compared to the year ended December 31, 2001, is attributable to:</w:t>
      </w:r>
    </w:p>
    <w:p>
      <w:pPr>
        <w:spacing w:after="0" w:line="124" w:lineRule="exact"/>
        <w:rPr>
          <w:sz w:val="20"/>
          <w:szCs w:val="20"/>
          <w:color w:val="auto"/>
        </w:rPr>
      </w:pPr>
    </w:p>
    <w:p>
      <w:pPr>
        <w:ind w:left="440" w:right="580" w:hanging="171"/>
        <w:spacing w:after="0" w:line="277"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net gains recognized in 2002 from the sale of six properties for a combined gain of $19.1 million in the second quarter of 2002, as compared to the sale of one shopping center in the second quarter of 2001 for a gain of $7.9 million,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sale of one street retail property in the fourth quarter of 2001 for a gain of $1.8 million and the exchange of a 90% interest in a street retail building for a 10% interest in three street retail buildings with a minority partner which resulted in a loss of $500,000 in the fourth quarter of 2001; primarily offset by</w:t>
      </w:r>
    </w:p>
    <w:p>
      <w:pPr>
        <w:spacing w:after="0" w:line="124" w:lineRule="exact"/>
        <w:rPr>
          <w:sz w:val="20"/>
          <w:szCs w:val="20"/>
          <w:color w:val="auto"/>
        </w:rPr>
      </w:pPr>
    </w:p>
    <w:p>
      <w:pPr>
        <w:ind w:left="440" w:right="160" w:hanging="171"/>
        <w:spacing w:after="0" w:line="277"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impairment loss of $9.7 million on the abandonment of developments held for sale (see Note 13 of the Notes to Consolidated Financial Statements for more information).</w:t>
      </w:r>
    </w:p>
    <w:p>
      <w:pPr>
        <w:spacing w:after="0" w:line="170"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i w:val="1"/>
          <w:iCs w:val="1"/>
          <w:color w:val="auto"/>
        </w:rPr>
        <w:t>Operating Income from Discontinued Operations</w:t>
      </w:r>
      <w:r>
        <w:rPr>
          <w:rFonts w:ascii="Arial" w:cs="Arial" w:eastAsia="Arial" w:hAnsi="Arial"/>
          <w:sz w:val="17"/>
          <w:szCs w:val="17"/>
          <w:color w:val="auto"/>
        </w:rPr>
        <w:t>. Beginning in 2002, SFAS No. 144, “Accounting for the Impairment or Disposal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that gains and losses from dispositions of properties and all operating earnings from these properties be reported as income from operations of discontinued assets. This also requires that all past earnings applicable to a property disposed of subsequent to January 1, 2002 be reported as income from operations of discontinued assets. As a result, the presentation of reported income will be updated each time a property is sold. This requirement is for presentation only and has no impact on net income. As described above, in 2002, we sold six properties for a combined gain of $19.1 million. The earnings generated from these properties have been reported as income from operations of discontinued assets in accordance with SFAS No. 144. Income from operations of discontinued assets for the years ended December 31, 2002 and 2001 was $2.9 million and $6.2 million, respectively with the decrease being primarily due to the fact that these properties were owned for less than a full year in 2002.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89"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We operate our business on an asset management model, where teams are responsible for a portfolio of assets. We have divided our portfolio of properties into three operating regions: the Mid-Atlantic, Northeast and West. Each region is operated under the direction of an asset manager, with dedicated leasing, property management and financial staff and operates largely autonomously with respect to day to day operating decisions. Incentive compensation throughout the regional teams is tied to the property operating income of the respective portfolios.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selected key segment data presented is for the full year, except real estate assets and gross leasable area which is presented as of year-end.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properties which have been disposed are excluded from property operating income presented below in accordance with SFAS No. 144.</w:t>
      </w:r>
    </w:p>
    <w:p>
      <w:pPr>
        <w:spacing w:after="0" w:line="195"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Property operating income consists of rental income, other property income and interest income, less rental expense and real estate taxes. This measure is used internally to evaluate the performance of our regional operations and we consider it to be a significant measurement.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900" w:type="dxa"/>
            <w:vAlign w:val="bottom"/>
            <w:gridSpan w:val="7"/>
          </w:tcPr>
          <w:p>
            <w:pPr>
              <w:ind w:left="420"/>
              <w:spacing w:after="0"/>
              <w:rPr>
                <w:sz w:val="20"/>
                <w:szCs w:val="20"/>
                <w:color w:val="auto"/>
              </w:rPr>
            </w:pPr>
            <w:r>
              <w:rPr>
                <w:rFonts w:ascii="Arial" w:cs="Arial" w:eastAsia="Arial" w:hAnsi="Arial"/>
                <w:sz w:val="18"/>
                <w:szCs w:val="18"/>
                <w:color w:val="auto"/>
              </w:rPr>
              <w:t>Key Segment Financial Data</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0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020" w:type="dxa"/>
            <w:vAlign w:val="bottom"/>
            <w:vMerge w:val="continue"/>
          </w:tcPr>
          <w:p>
            <w:pPr>
              <w:spacing w:after="0"/>
              <w:rPr>
                <w:sz w:val="6"/>
                <w:szCs w:val="6"/>
                <w:color w:val="auto"/>
              </w:rPr>
            </w:pPr>
          </w:p>
        </w:tc>
        <w:tc>
          <w:tcPr>
            <w:tcW w:w="2460" w:type="dxa"/>
            <w:vAlign w:val="bottom"/>
            <w:gridSpan w:val="4"/>
            <w:vMerge w:val="restart"/>
          </w:tcPr>
          <w:p>
            <w:pPr>
              <w:jc w:val="right"/>
              <w:ind w:right="530"/>
              <w:spacing w:after="0"/>
              <w:rPr>
                <w:sz w:val="20"/>
                <w:szCs w:val="20"/>
                <w:color w:val="auto"/>
              </w:rPr>
            </w:pPr>
            <w:r>
              <w:rPr>
                <w:rFonts w:ascii="Arial" w:cs="Arial" w:eastAsia="Arial" w:hAnsi="Arial"/>
                <w:sz w:val="14"/>
                <w:szCs w:val="14"/>
                <w:color w:val="auto"/>
              </w:rPr>
              <w:t>2003</w:t>
            </w:r>
          </w:p>
        </w:tc>
        <w:tc>
          <w:tcPr>
            <w:tcW w:w="2440" w:type="dxa"/>
            <w:vAlign w:val="bottom"/>
            <w:gridSpan w:val="5"/>
            <w:vMerge w:val="restart"/>
          </w:tcPr>
          <w:p>
            <w:pPr>
              <w:jc w:val="right"/>
              <w:ind w:right="530"/>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40" w:type="dxa"/>
            <w:vAlign w:val="bottom"/>
            <w:gridSpan w:val="4"/>
            <w:vMerge w:val="restart"/>
          </w:tcPr>
          <w:p>
            <w:pPr>
              <w:jc w:val="right"/>
              <w:ind w:right="90"/>
              <w:spacing w:after="0"/>
              <w:rPr>
                <w:sz w:val="20"/>
                <w:szCs w:val="20"/>
                <w:color w:val="auto"/>
              </w:rPr>
            </w:pPr>
            <w:r>
              <w:rPr>
                <w:rFonts w:ascii="Arial" w:cs="Arial" w:eastAsia="Arial" w:hAnsi="Arial"/>
                <w:sz w:val="14"/>
                <w:szCs w:val="14"/>
                <w:color w:val="auto"/>
              </w:rPr>
              <w:t>2001</w:t>
            </w: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20" w:type="dxa"/>
            <w:vAlign w:val="bottom"/>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4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3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Mid-Atlantic</w:t>
            </w: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Rental income</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151,206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139,487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123,932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95"/>
                <w:shd w:val="clear" w:color="auto" w:fill="EEEEEE"/>
              </w:rPr>
              <w:t>159,040</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w w:val="95"/>
                <w:shd w:val="clear" w:color="auto" w:fill="EEEEEE"/>
              </w:rPr>
              <w:t>147,933</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shd w:val="clear" w:color="auto" w:fill="EEEEEE"/>
              </w:rPr>
              <w:t>131,063</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Property operating income</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112,753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104,304</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92,883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w w:val="90"/>
                <w:shd w:val="clear" w:color="auto" w:fill="EEEEEE"/>
              </w:rPr>
              <w:t>Property operating income as a percent of total revenue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70.9%</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Real estate assets, at cost</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903,878</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827,090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793,566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Gross leasable area (square feet)</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6,809</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6,266</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6,139</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4020" w:type="dxa"/>
            <w:vAlign w:val="bottom"/>
          </w:tcPr>
          <w:p>
            <w:pPr>
              <w:spacing w:after="0"/>
              <w:rPr>
                <w:sz w:val="20"/>
                <w:szCs w:val="20"/>
                <w:color w:val="auto"/>
              </w:rPr>
            </w:pPr>
            <w:r>
              <w:rPr>
                <w:rFonts w:ascii="Arial" w:cs="Arial" w:eastAsia="Arial" w:hAnsi="Arial"/>
                <w:sz w:val="18"/>
                <w:szCs w:val="18"/>
                <w:b w:val="1"/>
                <w:bCs w:val="1"/>
                <w:color w:val="auto"/>
              </w:rPr>
              <w:t>Northeast</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Rental income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95"/>
                <w:shd w:val="clear" w:color="auto" w:fill="EEEEEE"/>
              </w:rPr>
              <w:t>121,325</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w w:val="95"/>
                <w:shd w:val="clear" w:color="auto" w:fill="EEEEEE"/>
              </w:rPr>
              <w:t>120,302</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shd w:val="clear" w:color="auto" w:fill="EEEEEE"/>
              </w:rPr>
              <w:t>111,083</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129,797</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129,518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120,892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Property operating income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95"/>
                <w:shd w:val="clear" w:color="auto" w:fill="EEEEEE"/>
              </w:rPr>
              <w:t>$88,397</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w w:val="95"/>
                <w:shd w:val="clear" w:color="auto" w:fill="EEEEEE"/>
              </w:rPr>
              <w:t>$91,021</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shd w:val="clear" w:color="auto" w:fill="EEEEEE"/>
              </w:rPr>
              <w:t>$83,257</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w w:val="90"/>
              </w:rPr>
              <w:t>Property operating income as a percent of total revenue</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68.1%</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Real estate assets, at cost</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95"/>
                <w:shd w:val="clear" w:color="auto" w:fill="EEEEEE"/>
              </w:rPr>
              <w:t>813,617</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w w:val="95"/>
                <w:shd w:val="clear" w:color="auto" w:fill="EEEEEE"/>
              </w:rPr>
              <w:t>747,778</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shd w:val="clear" w:color="auto" w:fill="EEEEEE"/>
              </w:rPr>
              <w:t>760,849</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leasable area (square feet)</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7,686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7,441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West</w:t>
            </w:r>
          </w:p>
        </w:tc>
        <w:tc>
          <w:tcPr>
            <w:tcW w:w="4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Rental income</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$62,166</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$35,227</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$34,273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w w:val="95"/>
                <w:shd w:val="clear" w:color="auto" w:fill="EEEEEE"/>
              </w:rPr>
              <w:t>$69,039</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w w:val="95"/>
                <w:shd w:val="clear" w:color="auto" w:fill="EEEEEE"/>
              </w:rPr>
              <w:t>$38,189</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5"/>
                <w:shd w:val="clear" w:color="auto" w:fill="EEEEEE"/>
              </w:rPr>
              <w:t>$37,630</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Property operating income</w:t>
            </w: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$38,683</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$16,638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$24,180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w w:val="90"/>
                <w:shd w:val="clear" w:color="auto" w:fill="EEEEEE"/>
              </w:rPr>
              <w:t>Property operating income as a percent of total revenue</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56.0%</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Real estate assets, at cost</w:t>
            </w:r>
          </w:p>
        </w:tc>
        <w:tc>
          <w:tcPr>
            <w:tcW w:w="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w w:val="95"/>
              </w:rPr>
              <w:t>752,654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w w:val="95"/>
              </w:rPr>
              <w:t>731,958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549,889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Gross leasable area (square feet)</w:t>
            </w:r>
          </w:p>
        </w:tc>
        <w:tc>
          <w:tcPr>
            <w:tcW w:w="46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EEEEE"/>
          </w:tcPr>
          <w:p>
            <w:pPr>
              <w:jc w:val="right"/>
              <w:ind w:right="590"/>
              <w:spacing w:after="0"/>
              <w:rPr>
                <w:sz w:val="20"/>
                <w:szCs w:val="20"/>
                <w:color w:val="auto"/>
              </w:rPr>
            </w:pPr>
            <w:r>
              <w:rPr>
                <w:rFonts w:ascii="Arial" w:cs="Arial" w:eastAsia="Arial" w:hAnsi="Arial"/>
                <w:sz w:val="18"/>
                <w:szCs w:val="18"/>
                <w:color w:val="auto"/>
              </w:rPr>
              <w:t>1,739</w:t>
            </w: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auto"/>
              </w:rPr>
              <w:t>1,538</w:t>
            </w:r>
          </w:p>
        </w:tc>
        <w:tc>
          <w:tcPr>
            <w:tcW w:w="20" w:type="dxa"/>
            <w:vAlign w:val="bottom"/>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1,121</w:t>
            </w:r>
          </w:p>
        </w:tc>
        <w:tc>
          <w:tcPr>
            <w:tcW w:w="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MID-ATLANTIC</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Mid-Atlantic region extends roughly from Baltimore south through metropolitan Washington, D.C. and further south through Virginia and North Carolina. Two properties in Florida are also included in this region. As of December 31, 2003, the Mid-Atlantic included 35 properties after three acquisitions in 2003 (Mount Vernon Plaza, South Valley Shopping Center and Plaza del Mercado) and two disposals in 2003 (4929 and 4925 Bethesda Avenue). There was no acquisition or disposal activity in 2002 in this region but 2002 saw increased results from Pentagon Row which was phased into service between 2001 and 2002 and from the impact of Friendship Center which was acquired in 2001. The Williamsburg Shopping Center was sold in 2001.</w:t>
      </w:r>
    </w:p>
    <w:p>
      <w:pPr>
        <w:spacing w:after="0" w:line="118" w:lineRule="exact"/>
        <w:rPr>
          <w:sz w:val="20"/>
          <w:szCs w:val="20"/>
          <w:color w:val="auto"/>
        </w:rPr>
      </w:pPr>
    </w:p>
    <w:p>
      <w:pPr>
        <w:ind w:right="300" w:firstLine="222"/>
        <w:spacing w:after="0" w:line="302" w:lineRule="auto"/>
        <w:rPr>
          <w:sz w:val="20"/>
          <w:szCs w:val="20"/>
          <w:color w:val="auto"/>
        </w:rPr>
      </w:pPr>
      <w:r>
        <w:rPr>
          <w:rFonts w:ascii="Arial" w:cs="Arial" w:eastAsia="Arial" w:hAnsi="Arial"/>
          <w:sz w:val="16"/>
          <w:szCs w:val="16"/>
          <w:color w:val="auto"/>
        </w:rPr>
        <w:t>Total revenue in the Mid-Atlantic grew 8.0% in 2003 after showing 13% growth in 2002. The revenue growth in 2003 largely reflects the increase in leasable area related to acquisitions as well as increased expense recovery. The significant growth in 2002 is due primarily to the acquisition of Friendship Center but also to the additional income from Pentagon Row which opened in late 2001 and the successful retenanting at several shopping centers. Development fees earned in 2003 and 2002 amounted to $1.0 million and $0.8 million, respectively, and tend to be non-recurring.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percentage leased was 93%, 96% and 96% as of year end 2003, 2002 and 2001, respectively. The decrease in 2003 occupancy reflects the impact of several anchor closings, including K-mart, the impact of acquiring Mt. Vernon Plaza and South Valley Shopping Center, both of which had lower than average occupancy when acquired, and an increase in re-development activity which will keep leasable space out of service until the redevelopments are complete. We expect that the increased redevelopment activity will continue in 2004 and 2005.</w:t>
      </w:r>
    </w:p>
    <w:p>
      <w:pPr>
        <w:spacing w:after="0" w:line="16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improved rate of operating income to total revenue in the Mid-Atlantic in 2003 was caused largely by a decrease in expenses which are not recoverable from tenants, particularly legal costs, and lower overhead expenses. The property operating margin to revenue decreased in 2002 when compared to 2001 as a rise in property taxes was not completely offset by a similar rise in cost recoveries for the year.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NORTHEAST</w:t>
      </w:r>
    </w:p>
    <w:p>
      <w:pPr>
        <w:spacing w:after="0" w:line="189" w:lineRule="exact"/>
        <w:rPr>
          <w:sz w:val="20"/>
          <w:szCs w:val="20"/>
          <w:color w:val="auto"/>
        </w:rPr>
      </w:pPr>
    </w:p>
    <w:p>
      <w:pPr>
        <w:jc w:val="both"/>
        <w:ind w:right="280" w:firstLine="222"/>
        <w:spacing w:after="0" w:line="286" w:lineRule="auto"/>
        <w:rPr>
          <w:sz w:val="20"/>
          <w:szCs w:val="20"/>
          <w:color w:val="auto"/>
        </w:rPr>
      </w:pPr>
      <w:r>
        <w:rPr>
          <w:rFonts w:ascii="Arial" w:cs="Arial" w:eastAsia="Arial" w:hAnsi="Arial"/>
          <w:sz w:val="17"/>
          <w:szCs w:val="17"/>
          <w:color w:val="auto"/>
        </w:rPr>
        <w:t>The Northeast region extends from suburban Philadelphia north through New York and its suburbs into New England. This region also includes several properties located in Illinois and one located in Michigan. As of December 31, 2003, the Northeast region had 42 properties which reflects one acquisition and seven buildings disposed in 2003 and four small buildings disposed in 2002. One property was sold in 2001.</w:t>
      </w:r>
    </w:p>
    <w:p>
      <w:pPr>
        <w:spacing w:after="0" w:line="139" w:lineRule="exact"/>
        <w:rPr>
          <w:sz w:val="20"/>
          <w:szCs w:val="20"/>
          <w:color w:val="auto"/>
        </w:rPr>
      </w:pPr>
    </w:p>
    <w:p>
      <w:pPr>
        <w:ind w:right="100" w:firstLine="225"/>
        <w:spacing w:after="0" w:line="327" w:lineRule="auto"/>
        <w:rPr>
          <w:sz w:val="20"/>
          <w:szCs w:val="20"/>
          <w:color w:val="auto"/>
        </w:rPr>
      </w:pPr>
      <w:r>
        <w:rPr>
          <w:rFonts w:ascii="Arial" w:cs="Arial" w:eastAsia="Arial" w:hAnsi="Arial"/>
          <w:sz w:val="15"/>
          <w:szCs w:val="15"/>
          <w:color w:val="auto"/>
        </w:rPr>
        <w:t>In the Northeast, total revenue was flat in 2003 when compared to 2002 after rising 7% in 2002 when compared to 2001. Northeast total revenue was flat in 2003 versus 2002 as a decrease in occupancy rates was offset by an increase in common area expense recoveries, particularly related to snow removal in the first quarter of 2003, and to real estate tax recoveries. The growth in 2002 over 2001 was driven primarily by an increase in rental rates at redeveloped, expanded and retenanted centers as well as increased rental rates on rollovers and increased recoveries related to refinements in the recovery accrual process.</w:t>
      </w:r>
    </w:p>
    <w:p>
      <w:pPr>
        <w:spacing w:after="0" w:line="100"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percentage leased was 95%, 96% and 96% as of December 31, 2003, 2002 and 2001, respectively. The slight decrease in 2003 reflects the closing of several principal tenants, including K-mart, an increase in re-development activity which has taken leasable space out of service and the acquisition of Mercer Mall whose leased rate is currently below that of the rest of the region. Mercer Mall had a leased rate of approximately 80% when acquired in October 2003. We expect that the increased redevelopment activity will continue in 2004 and 2005.</w:t>
      </w:r>
    </w:p>
    <w:p>
      <w:pPr>
        <w:spacing w:after="0" w:line="146"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decrease in the rate of operating income to total revenue in 2003 when compared to 2002 was caused largely by a lower recovery rate on higher common area expenses, particularly due to the snow removal costs incurred in the first quarter of 2003. In addition, the region experienced lower lease termination fees in 2003 and higher costs to provide utilities at our Fresh Meadows property. The increased operating income margin in 2002 over 2001 was due to improved cost recoveries on relatively flat rental expenses.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t>
      </w:r>
    </w:p>
    <w:p>
      <w:pPr>
        <w:spacing w:after="0" w:line="189" w:lineRule="exact"/>
        <w:rPr>
          <w:sz w:val="20"/>
          <w:szCs w:val="20"/>
          <w:color w:val="auto"/>
        </w:rPr>
      </w:pPr>
    </w:p>
    <w:p>
      <w:pPr>
        <w:jc w:val="both"/>
        <w:ind w:right="140" w:firstLine="215"/>
        <w:spacing w:after="0" w:line="312" w:lineRule="auto"/>
        <w:rPr>
          <w:sz w:val="20"/>
          <w:szCs w:val="20"/>
          <w:color w:val="auto"/>
        </w:rPr>
      </w:pPr>
      <w:r>
        <w:rPr>
          <w:rFonts w:ascii="Arial" w:cs="Arial" w:eastAsia="Arial" w:hAnsi="Arial"/>
          <w:sz w:val="16"/>
          <w:szCs w:val="16"/>
          <w:color w:val="auto"/>
        </w:rPr>
        <w:t>As of December 31, 2003, 34 of our properties, including Santana Row, were located in the West region. The West region extends from Texas to the West Coast. In 2003, we disposed of one parcel of undeveloped land while in 2002 we disposed of one shopping center and exchanged the property at 580 Market Street in San Francisco, California for the minority partner’s interest in Santana Row. In 2001, we sold one shopping center in the West region.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Total revenue in the West rose $30.8 million, or 81%, in 2003 over 2002 of which $21.3 million relates to increased total revenues at Santana Row as well as the impact of the 2002 $1.3 million write-down associated with the impairment of our restaurant joint ventures, which was charged to other income in</w:t>
      </w:r>
    </w:p>
    <w:p>
      <w:pPr>
        <w:spacing w:after="0" w:line="252" w:lineRule="auto"/>
        <w:rPr>
          <w:sz w:val="20"/>
          <w:szCs w:val="20"/>
          <w:color w:val="auto"/>
        </w:rPr>
      </w:pPr>
      <w:r>
        <w:rPr>
          <w:rFonts w:ascii="Arial" w:cs="Arial" w:eastAsia="Arial" w:hAnsi="Arial"/>
          <w:sz w:val="18"/>
          <w:szCs w:val="18"/>
          <w:color w:val="auto"/>
        </w:rPr>
        <w:t>2002. In addition, approximately $8.0 million of the rental income growth comes from the insurance proceeds received related to the fire at Santana Row. The insurance proceeds are reported as part of rental income as they relate largely to lost rents on the delayed opening of the residential and retail units and rental concessions to tenants. Excluding the Santana Row revenue growth and the insurance proceeds, total revenue growth in 2003 was 4% as higher income in San Antonio, Texas and southern California more than offset lower revenue at our property at 150 Post Street in San Francisco, California. Total revenue growth in 2002 over 2001 was due largely to increased rental rates at redeveloped and retenanted properties and Santana Row coming on line in 2002 which was offset by a decrease in revenue related to 580 Market Street which was sold in 2002. Income from the insurance proceeds of approximately $3.0 million will be recognized in 2004.</w:t>
      </w:r>
    </w:p>
    <w:p>
      <w:pPr>
        <w:spacing w:after="0" w:line="166" w:lineRule="exact"/>
        <w:rPr>
          <w:sz w:val="20"/>
          <w:szCs w:val="20"/>
          <w:color w:val="auto"/>
        </w:rPr>
      </w:pPr>
    </w:p>
    <w:p>
      <w:pPr>
        <w:ind w:right="180" w:firstLine="225"/>
        <w:spacing w:after="0" w:line="286" w:lineRule="auto"/>
        <w:rPr>
          <w:sz w:val="20"/>
          <w:szCs w:val="20"/>
          <w:color w:val="auto"/>
        </w:rPr>
      </w:pPr>
      <w:r>
        <w:rPr>
          <w:rFonts w:ascii="Arial" w:cs="Arial" w:eastAsia="Arial" w:hAnsi="Arial"/>
          <w:sz w:val="17"/>
          <w:szCs w:val="17"/>
          <w:color w:val="auto"/>
        </w:rPr>
        <w:t>For the West region, the percentage leased was 88%, 84% and 93% at years ending 2003, 2002 and 2001, respectively. The Santana Row development added approximately 529,000 square feet of retail space to the West Coast since the end of 2001. The improved occupancy as of year end 2003 compared to the end of 2002 is due largely to increases at Santana Row and Houston Street in San Antonio, Texas.</w:t>
      </w:r>
    </w:p>
    <w:p>
      <w:pPr>
        <w:spacing w:after="0" w:line="125"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West region’s property operating income margin to revenue improved in 2003 over 2002 due almost entirely to the significant growth in revenue at Santana Row. The operating expenses associated with Santana Row started increasing in 2002 as a result of leasing, marketing and other start-up costs in preparation for and during the opening of this project. In 2003, we incurred a full year of operating expenses but rental revenues continued growing during the year as occupancy increased. The West’s property operating income margin dropped in 2002 compared to 2001 due to the opening of Santana described above partly offset by in an increase in interest income from mortgage notes receivable. We expect the margin to again increase in 2004 due to higher occupancy at Santana Row and our property in San Antonio, Texas but at a slower pace than the improvement in 2003.</w:t>
      </w:r>
    </w:p>
    <w:p>
      <w:pPr>
        <w:spacing w:after="0" w:line="1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success of Santana Row and Houston Street in San Antonio, Texas will depend on many factors which are not entirely within our control. We monitor current and long-term economic forecasts for these markets in order to evaluate the long-term financial returns of these projects. The overall return on investment in the West segment significantly lags the Northeast and Mid-Atlantic due to the phasing into service of Santana Row and Houston Street. We expect that the returns on investment in the West will continue to rise as these projects come into service but not necessarily to the same level of overall returns as generated in the other segments.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Due to the nature of our business and our strategy, we are generally in a position to generate significant amounts of cash from operations. The cash generated from operations is primarily paid to shareholders in the form of dividends. One of the requirements of our maintaining our status as a REIT is the requirement that we distribute at least 90% of our REIT taxable income each year. Therefore, cash needs for executing our strategy and investing in new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properties as well as payment of debt maturities must come from cash not distributed to shareholders, from proceeds of property dispositions, or from the proceeds of raising new capital by issuing equity or debt securities.</w:t>
      </w:r>
    </w:p>
    <w:p>
      <w:pPr>
        <w:spacing w:after="0" w:line="143"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such, we intend to operate with and maintain a conservative capital structure that will allow us to maintain strong debt service coverage and fixed charge coverage ratios as part of our commitment to investment-grade debt ratings. At December 31, 2003, our level of debt to total market capitalization was 39%. We may, from time to time, seek to obtain funds through additional equity offerings, unsecured debt financings and/or mortgage financings and other debt and equity alternatives, including formation of joint-ventures, in a manner consistent with our intention to operate with a conservative debt structure.</w:t>
      </w:r>
    </w:p>
    <w:p>
      <w:pPr>
        <w:spacing w:after="0" w:line="118"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2003, we undertook several transactions to improve our liquidity, including the redemption of $100 million of 7.95% preferred stock with the proceeds of a common equity offering, the redemption and payment in June 2003 of the $75 million of our 5 1/4% Convertible Subordinated Debentures outstanding and due to mature in October 2003 with borrowings under our lower interest rate credit facility, and the refinancing and replacement of our $300 million revolving credit facility and $125 million term loan, both scheduled to mature in December 2003, with a new $550 million unsecured credit facility. The new credit facility consists of a $150 million five-year term loan, a $100 million three-year term loan, and a $300 million three-year revolving credit facility with a one-year extension option. The term loans bear interest at LIBOR plus 95 basis points while the revolving facility bears interest at LIBOR plus 75 basis points. See “Recent Developments” above for a discussion of our financing transactions subsequent to year end 2003.</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cash and cash equivalents at December 31, 2003 were $35.0 million, an increase from $23.1 million at December 31, 2002.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Summary of Cash Flows</w:t>
            </w:r>
          </w:p>
        </w:tc>
        <w:tc>
          <w:tcPr>
            <w:tcW w:w="7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946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For the 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6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780" w:type="dxa"/>
            <w:vAlign w:val="bottom"/>
          </w:tcPr>
          <w:p>
            <w:pPr>
              <w:spacing w:after="0"/>
              <w:rPr>
                <w:sz w:val="6"/>
                <w:szCs w:val="6"/>
                <w:color w:val="auto"/>
              </w:rPr>
            </w:pPr>
          </w:p>
        </w:tc>
        <w:tc>
          <w:tcPr>
            <w:tcW w:w="7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Provided by Operating Activities</w:t>
            </w: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w w:val="92"/>
              </w:rPr>
              <w:t>122,391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tcPr>
          <w:p>
            <w:pPr>
              <w:spacing w:after="0"/>
              <w:rPr>
                <w:sz w:val="20"/>
                <w:szCs w:val="20"/>
                <w:color w:val="auto"/>
              </w:rPr>
            </w:pPr>
            <w:r>
              <w:rPr>
                <w:rFonts w:ascii="Arial" w:cs="Arial" w:eastAsia="Arial" w:hAnsi="Arial"/>
                <w:sz w:val="18"/>
                <w:szCs w:val="18"/>
                <w:color w:val="auto"/>
              </w:rPr>
              <w:t>Cash Used in Investing Activities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w w:val="89"/>
              </w:rPr>
              <w:t>(91,272)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Used by Financing Activities</w:t>
            </w:r>
          </w:p>
        </w:tc>
        <w:tc>
          <w:tcPr>
            <w:tcW w:w="600" w:type="dxa"/>
            <w:vAlign w:val="bottom"/>
            <w:shd w:val="clear" w:color="auto" w:fill="EEEEEE"/>
          </w:tcPr>
          <w:p>
            <w:pPr>
              <w:spacing w:after="0"/>
              <w:rPr>
                <w:sz w:val="18"/>
                <w:szCs w:val="18"/>
                <w:color w:val="auto"/>
              </w:rPr>
            </w:pPr>
          </w:p>
        </w:tc>
        <w:tc>
          <w:tcPr>
            <w:tcW w:w="20" w:type="dxa"/>
            <w:vAlign w:val="bottom"/>
            <w:tcBorders>
              <w:bottom w:val="single" w:sz="8" w:color="808080"/>
            </w:tcBorders>
            <w:shd w:val="clear" w:color="auto" w:fill="EEEEEE"/>
          </w:tcPr>
          <w:p>
            <w:pPr>
              <w:spacing w:after="0"/>
              <w:rPr>
                <w:sz w:val="18"/>
                <w:szCs w:val="18"/>
                <w:color w:val="auto"/>
              </w:rPr>
            </w:pP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(19,274)</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60" w:type="dxa"/>
            <w:vAlign w:val="bottom"/>
            <w:gridSpan w:val="3"/>
          </w:tcPr>
          <w:p>
            <w:pPr>
              <w:spacing w:after="0"/>
              <w:rPr>
                <w:sz w:val="20"/>
                <w:szCs w:val="20"/>
                <w:color w:val="auto"/>
              </w:rPr>
            </w:pPr>
            <w:r>
              <w:rPr>
                <w:rFonts w:ascii="Arial" w:cs="Arial" w:eastAsia="Arial" w:hAnsi="Arial"/>
                <w:sz w:val="18"/>
                <w:szCs w:val="18"/>
                <w:color w:val="auto"/>
              </w:rPr>
              <w:t>Increase in Cash and Cash Equivalents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11,845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shd w:val="clear" w:color="auto" w:fill="EEEEEE"/>
          </w:tcPr>
          <w:p>
            <w:pPr>
              <w:spacing w:after="0"/>
              <w:rPr>
                <w:sz w:val="18"/>
                <w:szCs w:val="18"/>
                <w:color w:val="auto"/>
              </w:rPr>
            </w:pPr>
          </w:p>
        </w:tc>
        <w:tc>
          <w:tcPr>
            <w:tcW w:w="20" w:type="dxa"/>
            <w:vAlign w:val="bottom"/>
            <w:tcBorders>
              <w:bottom w:val="single" w:sz="8" w:color="808080"/>
            </w:tcBorders>
            <w:shd w:val="clear" w:color="auto" w:fill="EEEEEE"/>
          </w:tcPr>
          <w:p>
            <w:pPr>
              <w:spacing w:after="0"/>
              <w:rPr>
                <w:sz w:val="18"/>
                <w:szCs w:val="18"/>
                <w:color w:val="auto"/>
              </w:rPr>
            </w:pP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23,123</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60" w:type="dxa"/>
            <w:vAlign w:val="bottom"/>
            <w:gridSpan w:val="3"/>
          </w:tcPr>
          <w:p>
            <w:pPr>
              <w:spacing w:after="0"/>
              <w:rPr>
                <w:sz w:val="20"/>
                <w:szCs w:val="20"/>
                <w:color w:val="auto"/>
              </w:rPr>
            </w:pPr>
            <w:r>
              <w:rPr>
                <w:rFonts w:ascii="Arial" w:cs="Arial" w:eastAsia="Arial" w:hAnsi="Arial"/>
                <w:sz w:val="18"/>
                <w:szCs w:val="18"/>
                <w:color w:val="auto"/>
              </w:rPr>
              <w:t>Cash and Cash Equivalents, End of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34,968</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includes $8 million of insurance proceeds related to reimbursement of lost rent at Santana Row. We used cash of $26.7 million to increase our working capital primarily as a result of an increase in notes receivable and an increase in current assets related to properties acquired.</w:t>
      </w:r>
    </w:p>
    <w:p>
      <w:pPr>
        <w:spacing w:after="0" w:line="154" w:lineRule="exact"/>
        <w:rPr>
          <w:sz w:val="20"/>
          <w:szCs w:val="20"/>
          <w:color w:val="auto"/>
        </w:rPr>
      </w:pPr>
    </w:p>
    <w:p>
      <w:pPr>
        <w:ind w:right="900" w:firstLine="267"/>
        <w:spacing w:after="0" w:line="277" w:lineRule="auto"/>
        <w:rPr>
          <w:sz w:val="20"/>
          <w:szCs w:val="20"/>
          <w:color w:val="auto"/>
        </w:rPr>
      </w:pPr>
      <w:r>
        <w:rPr>
          <w:rFonts w:ascii="Arial" w:cs="Arial" w:eastAsia="Arial" w:hAnsi="Arial"/>
          <w:sz w:val="18"/>
          <w:szCs w:val="18"/>
          <w:color w:val="auto"/>
        </w:rPr>
        <w:t>We used net cash of $91.3 million in investing activities during 2003, consisting of $139.8 million of cash provided by investing activities and $231.1 million of cash used in investing activities.</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net cash provided by our investing activities represents:</w:t>
      </w:r>
    </w:p>
    <w:p>
      <w:pPr>
        <w:spacing w:after="0" w:line="225" w:lineRule="exact"/>
        <w:rPr>
          <w:sz w:val="20"/>
          <w:szCs w:val="20"/>
          <w:color w:val="auto"/>
        </w:rPr>
      </w:pPr>
    </w:p>
    <w:p>
      <w:pPr>
        <w:ind w:left="680" w:hanging="168"/>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$95.9 million of proceeds from our final insurance settlement related to the fire at Santana Row used to reduce our cost basis; and</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$43.9 million of net proceeds from the sale of real estate.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net cash used in our investing activities reflects:</w:t>
      </w:r>
    </w:p>
    <w:p>
      <w:pPr>
        <w:spacing w:after="0" w:line="225" w:lineRule="exact"/>
        <w:rPr>
          <w:sz w:val="20"/>
          <w:szCs w:val="20"/>
          <w:color w:val="auto"/>
        </w:rPr>
      </w:pPr>
    </w:p>
    <w:p>
      <w:pPr>
        <w:ind w:left="680" w:hanging="16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investment of $123.9 million in property development activities;</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$50.6 million for capital expenditures in connection with redevelopment of properties and tenant improvements;</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investment of $50.6 million to acquire properties; and</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repayment of $5.9 million of mortgage notes outstanding.</w:t>
      </w:r>
    </w:p>
    <w:p>
      <w:pPr>
        <w:spacing w:after="0" w:line="225" w:lineRule="exact"/>
        <w:rPr>
          <w:sz w:val="20"/>
          <w:szCs w:val="20"/>
          <w:color w:val="auto"/>
        </w:rPr>
      </w:pPr>
    </w:p>
    <w:p>
      <w:pPr>
        <w:ind w:right="140" w:firstLine="267"/>
        <w:spacing w:after="0" w:line="264" w:lineRule="auto"/>
        <w:rPr>
          <w:sz w:val="20"/>
          <w:szCs w:val="20"/>
          <w:color w:val="auto"/>
        </w:rPr>
      </w:pPr>
      <w:r>
        <w:rPr>
          <w:rFonts w:ascii="Arial" w:cs="Arial" w:eastAsia="Arial" w:hAnsi="Arial"/>
          <w:sz w:val="18"/>
          <w:szCs w:val="18"/>
          <w:color w:val="auto"/>
        </w:rPr>
        <w:t>We expect that capital expenditures for development activities, particularly at Santana Row, will decrease in 2004. We are not able to project our level of acquisitions or dispositions in future years but expect that we will be able to fund acquisitions and our redevelopment pipeline through available means of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We used net cash of $19.3 million for financing activities during 2003, consisting of $324.7 million used in financing activities and $305.4 million of cash provided by financing activities.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cash used in financing activities primarily reflects:</w:t>
      </w:r>
    </w:p>
    <w:p>
      <w:pPr>
        <w:spacing w:after="0" w:line="225" w:lineRule="exact"/>
        <w:rPr>
          <w:sz w:val="20"/>
          <w:szCs w:val="20"/>
          <w:color w:val="auto"/>
        </w:rPr>
      </w:pPr>
    </w:p>
    <w:p>
      <w:pPr>
        <w:ind w:left="680" w:hanging="168"/>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on mortgages, capital leases and notes payable of $117.9 million;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of dividends of $104.8 million; and</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redemption of preferred shares of $100.0 million.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cash provided by our financing activities primarily represents:</w:t>
      </w:r>
    </w:p>
    <w:p>
      <w:pPr>
        <w:spacing w:after="0" w:line="225" w:lineRule="exact"/>
        <w:rPr>
          <w:sz w:val="20"/>
          <w:szCs w:val="20"/>
          <w:color w:val="auto"/>
        </w:rPr>
      </w:pPr>
    </w:p>
    <w:p>
      <w:pPr>
        <w:ind w:left="680" w:hanging="16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proceeds from the issuance of common shares in a public offering of $98.4 million;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proceeds from the issuance of common shares for exercise of options and operating units of approximately $53.0 million;</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proceeds from issuing term notes of $125.0 million; and</w:t>
      </w:r>
    </w:p>
    <w:p>
      <w:pPr>
        <w:spacing w:after="0" w:line="225" w:lineRule="exact"/>
        <w:rPr>
          <w:rFonts w:ascii="Arial" w:cs="Arial" w:eastAsia="Arial" w:hAnsi="Arial"/>
          <w:sz w:val="18"/>
          <w:szCs w:val="18"/>
          <w:color w:val="auto"/>
        </w:rPr>
      </w:pPr>
    </w:p>
    <w:p>
      <w:pPr>
        <w:ind w:left="680" w:hanging="168"/>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borrowings under short-term debt of $28.8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2003.</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Contractual Obligations </w:t>
            </w:r>
            <w:r>
              <w:rPr>
                <w:rFonts w:ascii="Arial" w:cs="Arial" w:eastAsia="Arial" w:hAnsi="Arial"/>
                <w:sz w:val="14"/>
                <w:szCs w:val="14"/>
                <w:color w:val="auto"/>
              </w:rPr>
              <w:t>(a)(b)(c)(d)(e)</w:t>
            </w:r>
          </w:p>
        </w:tc>
        <w:tc>
          <w:tcPr>
            <w:tcW w:w="14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right"/>
              <w:ind w:right="274"/>
              <w:spacing w:after="0"/>
              <w:rPr>
                <w:sz w:val="20"/>
                <w:szCs w:val="20"/>
                <w:color w:val="auto"/>
              </w:rPr>
            </w:pPr>
            <w:r>
              <w:rPr>
                <w:rFonts w:ascii="Arial" w:cs="Arial" w:eastAsia="Arial" w:hAnsi="Arial"/>
                <w:sz w:val="14"/>
                <w:szCs w:val="14"/>
                <w:b w:val="1"/>
                <w:bCs w:val="1"/>
                <w:color w:val="auto"/>
              </w:rPr>
              <w:t>Less than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280" w:type="dxa"/>
            <w:vAlign w:val="bottom"/>
          </w:tcPr>
          <w:p>
            <w:pPr>
              <w:jc w:val="center"/>
              <w:ind w:left="74"/>
              <w:spacing w:after="0"/>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1"/>
        </w:trPr>
        <w:tc>
          <w:tcPr>
            <w:tcW w:w="4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vMerge w:val="continue"/>
          </w:tcPr>
          <w:p>
            <w:pPr>
              <w:spacing w:after="0"/>
              <w:rPr>
                <w:sz w:val="14"/>
                <w:szCs w:val="14"/>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b w:val="1"/>
                <w:bCs w:val="1"/>
                <w:color w:val="auto"/>
              </w:rPr>
              <w:t>1 year</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1-3 years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4-5 years</w:t>
            </w:r>
          </w:p>
        </w:tc>
        <w:tc>
          <w:tcPr>
            <w:tcW w:w="1280" w:type="dxa"/>
            <w:vAlign w:val="bottom"/>
          </w:tcPr>
          <w:p>
            <w:pPr>
              <w:jc w:val="center"/>
              <w:ind w:left="74"/>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80" w:type="dxa"/>
            <w:vAlign w:val="bottom"/>
            <w:tcBorders>
              <w:top w:val="single" w:sz="8" w:color="808080"/>
            </w:tcBorders>
          </w:tcPr>
          <w:p>
            <w:pPr>
              <w:spacing w:after="0" w:line="20" w:lineRule="exact"/>
              <w:rPr>
                <w:sz w:val="1"/>
                <w:szCs w:val="1"/>
                <w:color w:val="auto"/>
              </w:rPr>
            </w:pPr>
          </w:p>
        </w:tc>
        <w:tc>
          <w:tcPr>
            <w:tcW w:w="1460" w:type="dxa"/>
            <w:vAlign w:val="bottom"/>
            <w:tcBorders>
              <w:top w:val="single" w:sz="8" w:color="808080"/>
            </w:tcBorders>
          </w:tcPr>
          <w:p>
            <w:pPr>
              <w:spacing w:after="0" w:line="20" w:lineRule="exact"/>
              <w:rPr>
                <w:sz w:val="1"/>
                <w:szCs w:val="1"/>
                <w:color w:val="auto"/>
              </w:rPr>
            </w:pPr>
          </w:p>
        </w:tc>
        <w:tc>
          <w:tcPr>
            <w:tcW w:w="1420" w:type="dxa"/>
            <w:vAlign w:val="bottom"/>
            <w:tcBorders>
              <w:top w:val="single" w:sz="8" w:color="808080"/>
            </w:tcBorders>
          </w:tcPr>
          <w:p>
            <w:pPr>
              <w:spacing w:after="0" w:line="20" w:lineRule="exact"/>
              <w:rPr>
                <w:sz w:val="1"/>
                <w:szCs w:val="1"/>
                <w:color w:val="auto"/>
              </w:rPr>
            </w:pPr>
          </w:p>
        </w:tc>
        <w:tc>
          <w:tcPr>
            <w:tcW w:w="1380" w:type="dxa"/>
            <w:vAlign w:val="bottom"/>
            <w:tcBorders>
              <w:top w:val="single" w:sz="8" w:color="808080"/>
            </w:tcBorders>
          </w:tcPr>
          <w:p>
            <w:pPr>
              <w:spacing w:after="0" w:line="20" w:lineRule="exact"/>
              <w:rPr>
                <w:sz w:val="1"/>
                <w:szCs w:val="1"/>
                <w:color w:val="auto"/>
              </w:rPr>
            </w:pPr>
          </w:p>
        </w:tc>
        <w:tc>
          <w:tcPr>
            <w:tcW w:w="1380" w:type="dxa"/>
            <w:vAlign w:val="bottom"/>
            <w:tcBorders>
              <w:top w:val="single" w:sz="8" w:color="808080"/>
            </w:tcBorders>
          </w:tcPr>
          <w:p>
            <w:pPr>
              <w:spacing w:after="0" w:line="20" w:lineRule="exact"/>
              <w:rPr>
                <w:sz w:val="1"/>
                <w:szCs w:val="1"/>
                <w:color w:val="auto"/>
              </w:rPr>
            </w:pPr>
          </w:p>
        </w:tc>
        <w:tc>
          <w:tcPr>
            <w:tcW w:w="128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Current and long-term debt</w:t>
            </w:r>
          </w:p>
        </w:tc>
        <w:tc>
          <w:tcPr>
            <w:tcW w:w="14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$1,151,364</w:t>
            </w:r>
          </w:p>
        </w:tc>
        <w:tc>
          <w:tcPr>
            <w:tcW w:w="142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$142,373</w:t>
            </w:r>
          </w:p>
        </w:tc>
        <w:tc>
          <w:tcPr>
            <w:tcW w:w="138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$187,663</w:t>
            </w:r>
          </w:p>
        </w:tc>
        <w:tc>
          <w:tcPr>
            <w:tcW w:w="138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$317,922</w:t>
            </w:r>
          </w:p>
        </w:tc>
        <w:tc>
          <w:tcPr>
            <w:tcW w:w="128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$503,406</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Capital lease obligations, principal only</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159,486</w:t>
            </w:r>
          </w:p>
        </w:tc>
        <w:tc>
          <w:tcPr>
            <w:tcW w:w="1420" w:type="dxa"/>
            <w:vAlign w:val="bottom"/>
          </w:tcPr>
          <w:p>
            <w:pPr>
              <w:jc w:val="right"/>
              <w:ind w:right="254"/>
              <w:spacing w:after="0"/>
              <w:rPr>
                <w:sz w:val="20"/>
                <w:szCs w:val="20"/>
                <w:color w:val="auto"/>
              </w:rPr>
            </w:pPr>
            <w:r>
              <w:rPr>
                <w:rFonts w:ascii="Arial" w:cs="Arial" w:eastAsia="Arial" w:hAnsi="Arial"/>
                <w:sz w:val="18"/>
                <w:szCs w:val="18"/>
                <w:color w:val="auto"/>
              </w:rPr>
              <w:t>487</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2,413</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2,884</w:t>
            </w: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153,702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Operating leases</w:t>
            </w:r>
          </w:p>
        </w:tc>
        <w:tc>
          <w:tcPr>
            <w:tcW w:w="14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291,331</w:t>
            </w:r>
          </w:p>
        </w:tc>
        <w:tc>
          <w:tcPr>
            <w:tcW w:w="142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4,320</w:t>
            </w:r>
          </w:p>
        </w:tc>
        <w:tc>
          <w:tcPr>
            <w:tcW w:w="138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8,705</w:t>
            </w:r>
          </w:p>
        </w:tc>
        <w:tc>
          <w:tcPr>
            <w:tcW w:w="1380" w:type="dxa"/>
            <w:vAlign w:val="bottom"/>
            <w:shd w:val="clear" w:color="auto" w:fill="EEEEEE"/>
          </w:tcPr>
          <w:p>
            <w:pPr>
              <w:jc w:val="right"/>
              <w:ind w:right="274"/>
              <w:spacing w:after="0"/>
              <w:rPr>
                <w:sz w:val="20"/>
                <w:szCs w:val="20"/>
                <w:color w:val="auto"/>
              </w:rPr>
            </w:pPr>
            <w:r>
              <w:rPr>
                <w:rFonts w:ascii="Arial" w:cs="Arial" w:eastAsia="Arial" w:hAnsi="Arial"/>
                <w:sz w:val="18"/>
                <w:szCs w:val="18"/>
                <w:color w:val="auto"/>
              </w:rPr>
              <w:t>8,832</w:t>
            </w:r>
          </w:p>
        </w:tc>
        <w:tc>
          <w:tcPr>
            <w:tcW w:w="128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269,474</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Development and redevelopment obligations</w:t>
            </w:r>
          </w:p>
        </w:tc>
        <w:tc>
          <w:tcPr>
            <w:tcW w:w="1460" w:type="dxa"/>
            <w:vAlign w:val="bottom"/>
          </w:tcPr>
          <w:p>
            <w:pPr>
              <w:jc w:val="right"/>
              <w:ind w:right="292"/>
              <w:spacing w:after="0"/>
              <w:rPr>
                <w:sz w:val="20"/>
                <w:szCs w:val="20"/>
                <w:color w:val="auto"/>
              </w:rPr>
            </w:pPr>
            <w:r>
              <w:rPr>
                <w:rFonts w:ascii="Arial" w:cs="Arial" w:eastAsia="Arial" w:hAnsi="Arial"/>
                <w:sz w:val="18"/>
                <w:szCs w:val="18"/>
                <w:color w:val="auto"/>
              </w:rPr>
              <w:t>79,171</w:t>
            </w:r>
          </w:p>
        </w:tc>
        <w:tc>
          <w:tcPr>
            <w:tcW w:w="1420" w:type="dxa"/>
            <w:vAlign w:val="bottom"/>
          </w:tcPr>
          <w:p>
            <w:pPr>
              <w:jc w:val="right"/>
              <w:ind w:right="254"/>
              <w:spacing w:after="0"/>
              <w:rPr>
                <w:sz w:val="20"/>
                <w:szCs w:val="20"/>
                <w:color w:val="auto"/>
              </w:rPr>
            </w:pPr>
            <w:r>
              <w:rPr>
                <w:rFonts w:ascii="Arial" w:cs="Arial" w:eastAsia="Arial" w:hAnsi="Arial"/>
                <w:sz w:val="18"/>
                <w:szCs w:val="18"/>
                <w:color w:val="auto"/>
              </w:rPr>
              <w:t>14,189</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3,682</w:t>
            </w:r>
          </w:p>
        </w:tc>
        <w:tc>
          <w:tcPr>
            <w:tcW w:w="1380" w:type="dxa"/>
            <w:vAlign w:val="bottom"/>
          </w:tcPr>
          <w:p>
            <w:pPr>
              <w:jc w:val="right"/>
              <w:ind w:right="274"/>
              <w:spacing w:after="0"/>
              <w:rPr>
                <w:sz w:val="20"/>
                <w:szCs w:val="20"/>
                <w:color w:val="auto"/>
              </w:rPr>
            </w:pPr>
            <w:r>
              <w:rPr>
                <w:rFonts w:ascii="Arial" w:cs="Arial" w:eastAsia="Arial" w:hAnsi="Arial"/>
                <w:sz w:val="18"/>
                <w:szCs w:val="18"/>
                <w:color w:val="auto"/>
              </w:rPr>
              <w:t>1,300</w:t>
            </w: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Restaurant joint ventures</w:t>
            </w:r>
          </w:p>
        </w:tc>
        <w:tc>
          <w:tcPr>
            <w:tcW w:w="14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421</w:t>
            </w:r>
          </w:p>
        </w:tc>
        <w:tc>
          <w:tcPr>
            <w:tcW w:w="142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421</w:t>
            </w:r>
          </w:p>
        </w:tc>
        <w:tc>
          <w:tcPr>
            <w:tcW w:w="13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EEEEE"/>
          </w:tcPr>
          <w:p>
            <w:pPr>
              <w:jc w:val="center"/>
              <w:ind w:lef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Arial" w:cs="Arial" w:eastAsia="Arial" w:hAnsi="Arial"/>
                <w:sz w:val="18"/>
                <w:szCs w:val="18"/>
                <w:color w:val="auto"/>
              </w:rPr>
              <w:t>Contractual operating obligations</w:t>
            </w:r>
          </w:p>
        </w:tc>
        <w:tc>
          <w:tcPr>
            <w:tcW w:w="146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color w:val="auto"/>
              </w:rPr>
              <w:t>6,774</w:t>
            </w:r>
          </w:p>
        </w:tc>
        <w:tc>
          <w:tcPr>
            <w:tcW w:w="1420" w:type="dxa"/>
            <w:vAlign w:val="bottom"/>
            <w:tcBorders>
              <w:bottom w:val="single" w:sz="8" w:color="808080"/>
            </w:tcBorders>
          </w:tcPr>
          <w:p>
            <w:pPr>
              <w:jc w:val="right"/>
              <w:ind w:right="254"/>
              <w:spacing w:after="0"/>
              <w:rPr>
                <w:sz w:val="20"/>
                <w:szCs w:val="20"/>
                <w:color w:val="auto"/>
              </w:rPr>
            </w:pPr>
            <w:r>
              <w:rPr>
                <w:rFonts w:ascii="Arial" w:cs="Arial" w:eastAsia="Arial" w:hAnsi="Arial"/>
                <w:sz w:val="18"/>
                <w:szCs w:val="18"/>
                <w:color w:val="auto"/>
              </w:rPr>
              <w:t>3,349</w:t>
            </w:r>
          </w:p>
        </w:tc>
        <w:tc>
          <w:tcPr>
            <w:tcW w:w="1380" w:type="dxa"/>
            <w:vAlign w:val="bottom"/>
            <w:tcBorders>
              <w:bottom w:val="single" w:sz="8" w:color="808080"/>
            </w:tcBorders>
          </w:tcPr>
          <w:p>
            <w:pPr>
              <w:jc w:val="right"/>
              <w:ind w:right="274"/>
              <w:spacing w:after="0"/>
              <w:rPr>
                <w:sz w:val="20"/>
                <w:szCs w:val="20"/>
                <w:color w:val="auto"/>
              </w:rPr>
            </w:pPr>
            <w:r>
              <w:rPr>
                <w:rFonts w:ascii="Arial" w:cs="Arial" w:eastAsia="Arial" w:hAnsi="Arial"/>
                <w:sz w:val="18"/>
                <w:szCs w:val="18"/>
                <w:color w:val="auto"/>
              </w:rPr>
              <w:t>3,318</w:t>
            </w:r>
          </w:p>
        </w:tc>
        <w:tc>
          <w:tcPr>
            <w:tcW w:w="1380" w:type="dxa"/>
            <w:vAlign w:val="bottom"/>
            <w:tcBorders>
              <w:bottom w:val="single" w:sz="8" w:color="808080"/>
            </w:tcBorders>
          </w:tcPr>
          <w:p>
            <w:pPr>
              <w:jc w:val="right"/>
              <w:ind w:right="274"/>
              <w:spacing w:after="0"/>
              <w:rPr>
                <w:sz w:val="20"/>
                <w:szCs w:val="20"/>
                <w:color w:val="auto"/>
              </w:rPr>
            </w:pPr>
            <w:r>
              <w:rPr>
                <w:rFonts w:ascii="Arial" w:cs="Arial" w:eastAsia="Arial" w:hAnsi="Arial"/>
                <w:sz w:val="18"/>
                <w:szCs w:val="18"/>
                <w:color w:val="auto"/>
              </w:rPr>
              <w:t>107</w:t>
            </w:r>
          </w:p>
        </w:tc>
        <w:tc>
          <w:tcPr>
            <w:tcW w:w="1280" w:type="dxa"/>
            <w:vAlign w:val="bottom"/>
            <w:tcBorders>
              <w:bottom w:val="single" w:sz="8" w:color="808080"/>
            </w:tcBorders>
          </w:tcPr>
          <w:p>
            <w:pPr>
              <w:jc w:val="center"/>
              <w:ind w:lef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Total contractual cash obligations</w:t>
            </w:r>
          </w:p>
        </w:tc>
        <w:tc>
          <w:tcPr>
            <w:tcW w:w="1460" w:type="dxa"/>
            <w:vAlign w:val="bottom"/>
            <w:tcBorders>
              <w:bottom w:val="single" w:sz="8" w:color="808080"/>
            </w:tcBorders>
            <w:shd w:val="clear" w:color="auto" w:fill="EEEEEE"/>
          </w:tcPr>
          <w:p>
            <w:pPr>
              <w:jc w:val="right"/>
              <w:ind w:right="292"/>
              <w:spacing w:after="0"/>
              <w:rPr>
                <w:sz w:val="20"/>
                <w:szCs w:val="20"/>
                <w:color w:val="auto"/>
              </w:rPr>
            </w:pPr>
            <w:r>
              <w:rPr>
                <w:rFonts w:ascii="Arial" w:cs="Arial" w:eastAsia="Arial" w:hAnsi="Arial"/>
                <w:sz w:val="18"/>
                <w:szCs w:val="18"/>
                <w:color w:val="auto"/>
              </w:rPr>
              <w:t>$1,688,547</w:t>
            </w:r>
          </w:p>
        </w:tc>
        <w:tc>
          <w:tcPr>
            <w:tcW w:w="1420" w:type="dxa"/>
            <w:vAlign w:val="bottom"/>
            <w:tcBorders>
              <w:bottom w:val="single" w:sz="8" w:color="808080"/>
            </w:tcBorders>
            <w:shd w:val="clear" w:color="auto" w:fill="EEEEEE"/>
          </w:tcPr>
          <w:p>
            <w:pPr>
              <w:jc w:val="right"/>
              <w:ind w:right="254"/>
              <w:spacing w:after="0"/>
              <w:rPr>
                <w:sz w:val="20"/>
                <w:szCs w:val="20"/>
                <w:color w:val="auto"/>
              </w:rPr>
            </w:pPr>
            <w:r>
              <w:rPr>
                <w:rFonts w:ascii="Arial" w:cs="Arial" w:eastAsia="Arial" w:hAnsi="Arial"/>
                <w:sz w:val="18"/>
                <w:szCs w:val="18"/>
                <w:color w:val="auto"/>
              </w:rPr>
              <w:t>$165,139</w:t>
            </w:r>
          </w:p>
        </w:tc>
        <w:tc>
          <w:tcPr>
            <w:tcW w:w="1380" w:type="dxa"/>
            <w:vAlign w:val="bottom"/>
            <w:tcBorders>
              <w:bottom w:val="single" w:sz="8" w:color="808080"/>
            </w:tcBorders>
            <w:shd w:val="clear" w:color="auto" w:fill="EEEEEE"/>
          </w:tcPr>
          <w:p>
            <w:pPr>
              <w:jc w:val="right"/>
              <w:ind w:right="274"/>
              <w:spacing w:after="0"/>
              <w:rPr>
                <w:sz w:val="20"/>
                <w:szCs w:val="20"/>
                <w:color w:val="auto"/>
              </w:rPr>
            </w:pPr>
            <w:r>
              <w:rPr>
                <w:rFonts w:ascii="Arial" w:cs="Arial" w:eastAsia="Arial" w:hAnsi="Arial"/>
                <w:sz w:val="18"/>
                <w:szCs w:val="18"/>
                <w:color w:val="auto"/>
              </w:rPr>
              <w:t>$205,781</w:t>
            </w:r>
          </w:p>
        </w:tc>
        <w:tc>
          <w:tcPr>
            <w:tcW w:w="1380" w:type="dxa"/>
            <w:vAlign w:val="bottom"/>
            <w:tcBorders>
              <w:bottom w:val="single" w:sz="8" w:color="808080"/>
            </w:tcBorders>
            <w:shd w:val="clear" w:color="auto" w:fill="EEEEEE"/>
          </w:tcPr>
          <w:p>
            <w:pPr>
              <w:jc w:val="right"/>
              <w:ind w:right="274"/>
              <w:spacing w:after="0"/>
              <w:rPr>
                <w:sz w:val="20"/>
                <w:szCs w:val="20"/>
                <w:color w:val="auto"/>
              </w:rPr>
            </w:pPr>
            <w:r>
              <w:rPr>
                <w:rFonts w:ascii="Arial" w:cs="Arial" w:eastAsia="Arial" w:hAnsi="Arial"/>
                <w:sz w:val="18"/>
                <w:szCs w:val="18"/>
                <w:color w:val="auto"/>
              </w:rPr>
              <w:t>$331,045</w:t>
            </w:r>
          </w:p>
        </w:tc>
        <w:tc>
          <w:tcPr>
            <w:tcW w:w="1280" w:type="dxa"/>
            <w:vAlign w:val="bottom"/>
            <w:tcBorders>
              <w:bottom w:val="single" w:sz="8" w:color="808080"/>
            </w:tcBorders>
            <w:shd w:val="clear" w:color="auto" w:fill="EEEEEE"/>
          </w:tcPr>
          <w:p>
            <w:pPr>
              <w:jc w:val="right"/>
              <w:ind w:right="174"/>
              <w:spacing w:after="0"/>
              <w:rPr>
                <w:sz w:val="20"/>
                <w:szCs w:val="20"/>
                <w:color w:val="auto"/>
              </w:rPr>
            </w:pPr>
            <w:r>
              <w:rPr>
                <w:rFonts w:ascii="Arial" w:cs="Arial" w:eastAsia="Arial" w:hAnsi="Arial"/>
                <w:sz w:val="18"/>
                <w:szCs w:val="18"/>
                <w:color w:val="auto"/>
              </w:rPr>
              <w:t>$986,582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40" w:hanging="307"/>
        <w:spacing w:after="0" w:line="288"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from half to all of its 37.5% interest in Congressional Plaza at the interest’s then-current fair market value. Based on management’s current estimate of fair market value, our estimated liability upon exercise of the put option is approximately</w:t>
      </w:r>
    </w:p>
    <w:p>
      <w:pPr>
        <w:ind w:left="440" w:right="40"/>
        <w:spacing w:after="0" w:line="281" w:lineRule="auto"/>
        <w:rPr>
          <w:rFonts w:ascii="Arial" w:cs="Arial" w:eastAsia="Arial" w:hAnsi="Arial"/>
          <w:sz w:val="16"/>
          <w:szCs w:val="16"/>
          <w:color w:val="auto"/>
        </w:rPr>
      </w:pPr>
      <w:r>
        <w:rPr>
          <w:rFonts w:ascii="Arial" w:cs="Arial" w:eastAsia="Arial" w:hAnsi="Arial"/>
          <w:sz w:val="16"/>
          <w:szCs w:val="16"/>
          <w:color w:val="auto"/>
        </w:rPr>
        <w:t>$28.0 million. In conjunction with the construction of apartments at the property completed in 2003, we have agreed to acquire 7.5% of the third party’s interest in Congressional Plaza, thereby lowering its ownership percentage to 30%, in exchange for funding approximately $7 million of its share of the redevelopment cost. The development funding has taken place in 2003 and the acquisition of the third party’s 7.5% interest is anticipated to be completed in 2004. After the completion of this transaction, our estimated liability upon the exercise of the put option will be approximately</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$21 million.</w:t>
      </w:r>
    </w:p>
    <w:p>
      <w:pPr>
        <w:spacing w:after="0" w:line="9" w:lineRule="exact"/>
        <w:rPr>
          <w:rFonts w:ascii="Arial" w:cs="Arial" w:eastAsia="Arial" w:hAnsi="Arial"/>
          <w:sz w:val="16"/>
          <w:szCs w:val="16"/>
          <w:color w:val="auto"/>
        </w:rPr>
      </w:pPr>
    </w:p>
    <w:p>
      <w:pPr>
        <w:ind w:left="440" w:right="140" w:hanging="318"/>
        <w:spacing w:after="0" w:line="250"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property operating income. The purchase price may be paid in cash or for two of the partnerships, a limited number of our common shares at the election of the other partners. In those partnerships, if the other partners do not redeem their interest, we may choose to purchase the limited partnership interests upon the same terms.</w:t>
      </w:r>
    </w:p>
    <w:p>
      <w:pPr>
        <w:spacing w:after="0" w:line="2" w:lineRule="exact"/>
        <w:rPr>
          <w:rFonts w:ascii="Arial" w:cs="Arial" w:eastAsia="Arial" w:hAnsi="Arial"/>
          <w:sz w:val="18"/>
          <w:szCs w:val="18"/>
          <w:color w:val="auto"/>
        </w:rPr>
      </w:pPr>
    </w:p>
    <w:p>
      <w:pPr>
        <w:ind w:left="440" w:right="20" w:hanging="307"/>
        <w:spacing w:after="0" w:line="253"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Houston Street and the surrounding area have been designated by the City as a Reinvestment Zone (the “Zone”). The City agreed to facilitate redevelopment of the Zone by undertaking and financing certain public improvements based on our agreement to redevelop our properties in the Zone. Under the terms of the Agreement, the City issued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440" w:right="60"/>
        <w:spacing w:after="0" w:line="284" w:lineRule="auto"/>
        <w:rPr>
          <w:sz w:val="20"/>
          <w:szCs w:val="20"/>
          <w:color w:val="auto"/>
        </w:rPr>
      </w:pPr>
      <w:r>
        <w:rPr>
          <w:rFonts w:ascii="Arial" w:cs="Arial" w:eastAsia="Arial" w:hAnsi="Arial"/>
          <w:sz w:val="16"/>
          <w:szCs w:val="16"/>
          <w:color w:val="auto"/>
        </w:rPr>
        <w:t>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increases.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is estimated to range from $1.6 million to $3.0 million of which approximately $360,000 has been funded in 2003. We have accrued for additional payments of $1.2 million as of September 30, 2003 as part of the project costs in anticipation of a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w:t>
      </w:r>
    </w:p>
    <w:p>
      <w:pPr>
        <w:spacing w:after="0" w:line="1" w:lineRule="exact"/>
        <w:rPr>
          <w:sz w:val="20"/>
          <w:szCs w:val="20"/>
          <w:color w:val="auto"/>
        </w:rPr>
      </w:pPr>
    </w:p>
    <w:p>
      <w:pPr>
        <w:ind w:left="440" w:right="380"/>
        <w:spacing w:after="0" w:line="250" w:lineRule="auto"/>
        <w:rPr>
          <w:sz w:val="20"/>
          <w:szCs w:val="20"/>
          <w:color w:val="auto"/>
        </w:rPr>
      </w:pPr>
      <w:r>
        <w:rPr>
          <w:rFonts w:ascii="Arial" w:cs="Arial" w:eastAsia="Arial" w:hAnsi="Arial"/>
          <w:sz w:val="18"/>
          <w:szCs w:val="18"/>
          <w:color w:val="auto"/>
        </w:rPr>
        <w:t>$3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 w:lineRule="exact"/>
        <w:rPr>
          <w:sz w:val="20"/>
          <w:szCs w:val="20"/>
          <w:color w:val="auto"/>
        </w:rPr>
      </w:pPr>
    </w:p>
    <w:p>
      <w:pPr>
        <w:ind w:left="440" w:hanging="318"/>
        <w:spacing w:after="0" w:line="250"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terms of various other partnerships which own shopping center properties with a cost of approximately $88.5 million, including one of the two shopping centers purchased in the first quarter of 2003, the partners may exchange their 852,222 operating units for cash or the same number of our common shares, at our option. On February 14, 2003 we paid $333,000 to redeem 12,000 operating units. On April 3, 2003 we issued 64,952 of our common shares valued at $1.9 million in exchange for 64,952 operating units. On January 5, 2004, we paid $199,000 to redeem an additional 5,100 operating units.</w:t>
      </w:r>
    </w:p>
    <w:p>
      <w:pPr>
        <w:spacing w:after="0" w:line="2" w:lineRule="exact"/>
        <w:rPr>
          <w:rFonts w:ascii="Arial" w:cs="Arial" w:eastAsia="Arial" w:hAnsi="Arial"/>
          <w:sz w:val="18"/>
          <w:szCs w:val="18"/>
          <w:color w:val="auto"/>
        </w:rPr>
      </w:pPr>
    </w:p>
    <w:p>
      <w:pPr>
        <w:ind w:left="440" w:right="120" w:hanging="307"/>
        <w:spacing w:after="0" w:line="271"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Santana Row.</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2003, we had total debt outstanding of $1.3 billion.</w:t>
      </w:r>
    </w:p>
    <w:p>
      <w:pPr>
        <w:spacing w:after="0" w:line="184"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following is a summary of our total debt outstanding as of December 31, 2003. Certain additional detailed information about our debt is included in Notes 4, 5 and 6 of our 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Original Debt</w:t>
            </w: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Principal Balance</w:t>
            </w:r>
          </w:p>
        </w:tc>
        <w:tc>
          <w:tcPr>
            <w:tcW w:w="1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Interest Rate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Debt</w:t>
            </w:r>
          </w:p>
        </w:tc>
        <w:tc>
          <w:tcPr>
            <w:tcW w:w="340" w:type="dxa"/>
            <w:vAlign w:val="bottom"/>
          </w:tcPr>
          <w:p>
            <w:pPr>
              <w:spacing w:after="0"/>
              <w:rPr>
                <w:sz w:val="12"/>
                <w:szCs w:val="12"/>
                <w:color w:val="auto"/>
              </w:rPr>
            </w:pPr>
          </w:p>
        </w:tc>
        <w:tc>
          <w:tcPr>
            <w:tcW w:w="18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Issued</w:t>
            </w:r>
          </w:p>
        </w:tc>
        <w:tc>
          <w:tcPr>
            <w:tcW w:w="17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as of</w:t>
            </w:r>
          </w:p>
        </w:tc>
        <w:tc>
          <w:tcPr>
            <w:tcW w:w="18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as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0" w:type="dxa"/>
            <w:vAlign w:val="bottom"/>
          </w:tcPr>
          <w:p>
            <w:pPr>
              <w:spacing w:after="0"/>
              <w:rPr>
                <w:sz w:val="1"/>
                <w:szCs w:val="1"/>
                <w:color w:val="auto"/>
              </w:rPr>
            </w:pPr>
          </w:p>
        </w:tc>
      </w:tr>
      <w:tr>
        <w:trPr>
          <w:trHeight w:val="186"/>
        </w:trPr>
        <w:tc>
          <w:tcPr>
            <w:tcW w:w="33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or Available</w:t>
            </w:r>
          </w:p>
        </w:tc>
        <w:tc>
          <w:tcPr>
            <w:tcW w:w="1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December 31, 2003</w:t>
            </w:r>
          </w:p>
        </w:tc>
        <w:tc>
          <w:tcPr>
            <w:tcW w:w="1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December 31, 2003</w:t>
            </w: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2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Mortgage Loans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i w:val="1"/>
                <w:iCs w:val="1"/>
                <w:color w:val="auto"/>
              </w:rPr>
              <w:t>Secured Fixed Rate</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Leesburg Plaza</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$9,900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6.510%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164 E. Houston Street</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345</w:t>
            </w:r>
          </w:p>
        </w:tc>
        <w:tc>
          <w:tcPr>
            <w:tcW w:w="1340" w:type="dxa"/>
            <w:vAlign w:val="bottom"/>
          </w:tcPr>
          <w:p>
            <w:pPr>
              <w:jc w:val="right"/>
              <w:spacing w:after="0"/>
              <w:rPr>
                <w:sz w:val="20"/>
                <w:szCs w:val="20"/>
                <w:color w:val="auto"/>
              </w:rPr>
            </w:pPr>
            <w:r>
              <w:rPr>
                <w:rFonts w:ascii="Arial" w:cs="Arial" w:eastAsia="Arial" w:hAnsi="Arial"/>
                <w:sz w:val="18"/>
                <w:szCs w:val="18"/>
                <w:color w:val="auto"/>
              </w:rPr>
              <w:t>230</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7.500%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Mercer Mall</w:t>
            </w:r>
          </w:p>
        </w:tc>
        <w:tc>
          <w:tcPr>
            <w:tcW w:w="340" w:type="dxa"/>
            <w:vAlign w:val="bottom"/>
            <w:shd w:val="clear" w:color="auto" w:fill="EEEEEE"/>
          </w:tcPr>
          <w:p>
            <w:pPr>
              <w:spacing w:after="0"/>
              <w:rPr>
                <w:sz w:val="18"/>
                <w:szCs w:val="18"/>
                <w:color w:val="auto"/>
              </w:rPr>
            </w:pPr>
          </w:p>
        </w:tc>
        <w:tc>
          <w:tcPr>
            <w:tcW w:w="1820" w:type="dxa"/>
            <w:vAlign w:val="bottom"/>
            <w:tcBorders>
              <w:right w:val="single" w:sz="8" w:color="EEEEEE"/>
            </w:tcBorders>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Acquired</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4,693</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8.375%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Federal Plaza</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36,500</w:t>
            </w:r>
          </w:p>
        </w:tc>
        <w:tc>
          <w:tcPr>
            <w:tcW w:w="1340" w:type="dxa"/>
            <w:vAlign w:val="bottom"/>
          </w:tcPr>
          <w:p>
            <w:pPr>
              <w:jc w:val="right"/>
              <w:spacing w:after="0"/>
              <w:rPr>
                <w:sz w:val="20"/>
                <w:szCs w:val="20"/>
                <w:color w:val="auto"/>
              </w:rPr>
            </w:pPr>
            <w:r>
              <w:rPr>
                <w:rFonts w:ascii="Arial" w:cs="Arial" w:eastAsia="Arial" w:hAnsi="Arial"/>
                <w:sz w:val="18"/>
                <w:szCs w:val="18"/>
                <w:color w:val="auto"/>
              </w:rPr>
              <w:t>35,543</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6.750%</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Tysons Station</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7,000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6,753</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7.400%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Barracks Road</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44,300</w:t>
            </w:r>
          </w:p>
        </w:tc>
        <w:tc>
          <w:tcPr>
            <w:tcW w:w="1340" w:type="dxa"/>
            <w:vAlign w:val="bottom"/>
          </w:tcPr>
          <w:p>
            <w:pPr>
              <w:jc w:val="right"/>
              <w:spacing w:after="0"/>
              <w:rPr>
                <w:sz w:val="20"/>
                <w:szCs w:val="20"/>
                <w:color w:val="auto"/>
              </w:rPr>
            </w:pPr>
            <w:r>
              <w:rPr>
                <w:rFonts w:ascii="Arial" w:cs="Arial" w:eastAsia="Arial" w:hAnsi="Arial"/>
                <w:sz w:val="18"/>
                <w:szCs w:val="18"/>
                <w:color w:val="auto"/>
              </w:rPr>
              <w:t>44,222</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7.950%</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Hauppauge</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16,700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16,670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7.950%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Lawrence Park</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31,400</w:t>
            </w:r>
          </w:p>
        </w:tc>
        <w:tc>
          <w:tcPr>
            <w:tcW w:w="1340" w:type="dxa"/>
            <w:vAlign w:val="bottom"/>
          </w:tcPr>
          <w:p>
            <w:pPr>
              <w:jc w:val="right"/>
              <w:spacing w:after="0"/>
              <w:rPr>
                <w:sz w:val="20"/>
                <w:szCs w:val="20"/>
                <w:color w:val="auto"/>
              </w:rPr>
            </w:pPr>
            <w:r>
              <w:rPr>
                <w:rFonts w:ascii="Arial" w:cs="Arial" w:eastAsia="Arial" w:hAnsi="Arial"/>
                <w:sz w:val="18"/>
                <w:szCs w:val="18"/>
                <w:color w:val="auto"/>
              </w:rPr>
              <w:t>31,344</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7.950%</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Wildwood</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27,600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27,551</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7.950%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Wynnewood</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32,000</w:t>
            </w:r>
          </w:p>
        </w:tc>
        <w:tc>
          <w:tcPr>
            <w:tcW w:w="1340" w:type="dxa"/>
            <w:vAlign w:val="bottom"/>
          </w:tcPr>
          <w:p>
            <w:pPr>
              <w:jc w:val="right"/>
              <w:spacing w:after="0"/>
              <w:rPr>
                <w:sz w:val="20"/>
                <w:szCs w:val="20"/>
                <w:color w:val="auto"/>
              </w:rPr>
            </w:pPr>
            <w:r>
              <w:rPr>
                <w:rFonts w:ascii="Arial" w:cs="Arial" w:eastAsia="Arial" w:hAnsi="Arial"/>
                <w:sz w:val="18"/>
                <w:szCs w:val="18"/>
                <w:color w:val="auto"/>
              </w:rPr>
              <w:t>31,943</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7.950%</w:t>
            </w: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Brick Plaza</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33,000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32,936</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7.415%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November 1, 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Mount Vernon (1)</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13,250</w:t>
            </w:r>
          </w:p>
        </w:tc>
        <w:tc>
          <w:tcPr>
            <w:tcW w:w="1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13,086</w:t>
            </w:r>
          </w:p>
        </w:tc>
        <w:tc>
          <w:tcPr>
            <w:tcW w:w="440" w:type="dxa"/>
            <w:vAlign w:val="bottom"/>
          </w:tcPr>
          <w:p>
            <w:pPr>
              <w:spacing w:after="0"/>
              <w:rPr>
                <w:sz w:val="20"/>
                <w:szCs w:val="20"/>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5.660%</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Mortgage Loans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$254,871</w:t>
            </w: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Payable</w:t>
            </w: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Unsecured Fixed Rate</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Perring Plaza Renovation</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3,087</w:t>
            </w:r>
          </w:p>
        </w:tc>
        <w:tc>
          <w:tcPr>
            <w:tcW w:w="1340" w:type="dxa"/>
            <w:vAlign w:val="bottom"/>
          </w:tcPr>
          <w:p>
            <w:pPr>
              <w:jc w:val="right"/>
              <w:spacing w:after="0"/>
              <w:rPr>
                <w:sz w:val="20"/>
                <w:szCs w:val="20"/>
                <w:color w:val="auto"/>
              </w:rPr>
            </w:pPr>
            <w:r>
              <w:rPr>
                <w:rFonts w:ascii="Arial" w:cs="Arial" w:eastAsia="Arial" w:hAnsi="Arial"/>
                <w:sz w:val="18"/>
                <w:szCs w:val="18"/>
                <w:color w:val="auto"/>
              </w:rPr>
              <w:t>2,128</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10.00%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295</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80"/>
              <w:spacing w:after="0"/>
              <w:rPr>
                <w:sz w:val="20"/>
                <w:szCs w:val="20"/>
                <w:color w:val="auto"/>
              </w:rPr>
            </w:pPr>
            <w:r>
              <w:rPr>
                <w:rFonts w:ascii="Arial" w:cs="Arial" w:eastAsia="Arial" w:hAnsi="Arial"/>
                <w:sz w:val="18"/>
                <w:szCs w:val="18"/>
                <w:color w:val="auto"/>
              </w:rPr>
              <w:t>Various</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i w:val="1"/>
                <w:iCs w:val="1"/>
                <w:color w:val="auto"/>
              </w:rPr>
              <w:t>Unsecured Variable Rate</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Term note with banks</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$100,000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LIBOR + 0.95%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Term note with banks (2)</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150,000</w:t>
            </w:r>
          </w:p>
        </w:tc>
        <w:tc>
          <w:tcPr>
            <w:tcW w:w="1340" w:type="dxa"/>
            <w:vAlign w:val="bottom"/>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tcPr>
          <w:p>
            <w:pPr>
              <w:spacing w:after="0"/>
              <w:rPr>
                <w:sz w:val="18"/>
                <w:szCs w:val="18"/>
                <w:color w:val="auto"/>
              </w:rPr>
            </w:pPr>
          </w:p>
        </w:tc>
        <w:tc>
          <w:tcPr>
            <w:tcW w:w="1860" w:type="dxa"/>
            <w:vAlign w:val="bottom"/>
            <w:gridSpan w:val="2"/>
          </w:tcPr>
          <w:p>
            <w:pPr>
              <w:ind w:left="320"/>
              <w:spacing w:after="0"/>
              <w:rPr>
                <w:sz w:val="20"/>
                <w:szCs w:val="20"/>
                <w:color w:val="auto"/>
              </w:rPr>
            </w:pPr>
            <w:r>
              <w:rPr>
                <w:rFonts w:ascii="Arial" w:cs="Arial" w:eastAsia="Arial" w:hAnsi="Arial"/>
                <w:sz w:val="18"/>
                <w:szCs w:val="18"/>
                <w:color w:val="auto"/>
              </w:rPr>
              <w:t>LIBOR + 0.95%</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Escondido (Municipal Bonds) (3)</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9,400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3.060%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October 1, 2016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Revolving credit facilities (4)</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300,000</w:t>
            </w:r>
          </w:p>
        </w:tc>
        <w:tc>
          <w:tcPr>
            <w:tcW w:w="1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99,750</w:t>
            </w:r>
          </w:p>
        </w:tc>
        <w:tc>
          <w:tcPr>
            <w:tcW w:w="440" w:type="dxa"/>
            <w:vAlign w:val="bottom"/>
          </w:tcPr>
          <w:p>
            <w:pPr>
              <w:spacing w:after="0"/>
              <w:rPr>
                <w:sz w:val="20"/>
                <w:szCs w:val="20"/>
                <w:color w:val="auto"/>
              </w:rPr>
            </w:pPr>
          </w:p>
        </w:tc>
        <w:tc>
          <w:tcPr>
            <w:tcW w:w="1860" w:type="dxa"/>
            <w:vAlign w:val="bottom"/>
            <w:gridSpan w:val="2"/>
          </w:tcPr>
          <w:p>
            <w:pPr>
              <w:ind w:left="320"/>
              <w:spacing w:after="0"/>
              <w:rPr>
                <w:sz w:val="20"/>
                <w:szCs w:val="20"/>
                <w:color w:val="auto"/>
              </w:rPr>
            </w:pPr>
            <w:r>
              <w:rPr>
                <w:rFonts w:ascii="Arial" w:cs="Arial" w:eastAsia="Arial" w:hAnsi="Arial"/>
                <w:sz w:val="18"/>
                <w:szCs w:val="18"/>
                <w:color w:val="auto"/>
              </w:rPr>
              <w:t>LIBOR + 0.75%</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Notes Payable</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$361,323</w:t>
            </w: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Senior Notes and Debentures</w:t>
            </w: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Unsecured Fixed Rate</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6.74% Medium Term Notes (5)</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39,500</w:t>
            </w:r>
          </w:p>
        </w:tc>
        <w:tc>
          <w:tcPr>
            <w:tcW w:w="1340" w:type="dxa"/>
            <w:vAlign w:val="bottom"/>
          </w:tcPr>
          <w:p>
            <w:pPr>
              <w:jc w:val="right"/>
              <w:spacing w:after="0"/>
              <w:rPr>
                <w:sz w:val="20"/>
                <w:szCs w:val="20"/>
                <w:color w:val="auto"/>
              </w:rPr>
            </w:pPr>
            <w:r>
              <w:rPr>
                <w:rFonts w:ascii="Arial" w:cs="Arial" w:eastAsia="Arial" w:hAnsi="Arial"/>
                <w:sz w:val="18"/>
                <w:szCs w:val="18"/>
                <w:color w:val="auto"/>
              </w:rPr>
              <w:t>$39,500</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6.370%</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6.625% Notes</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40,000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6.625%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6.99% Medium Term Notes (6)</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40,500</w:t>
            </w:r>
          </w:p>
        </w:tc>
        <w:tc>
          <w:tcPr>
            <w:tcW w:w="1340" w:type="dxa"/>
            <w:vAlign w:val="bottom"/>
          </w:tcPr>
          <w:p>
            <w:pPr>
              <w:jc w:val="right"/>
              <w:spacing w:after="0"/>
              <w:rPr>
                <w:sz w:val="20"/>
                <w:szCs w:val="20"/>
                <w:color w:val="auto"/>
              </w:rPr>
            </w:pPr>
            <w:r>
              <w:rPr>
                <w:rFonts w:ascii="Arial" w:cs="Arial" w:eastAsia="Arial" w:hAnsi="Arial"/>
                <w:sz w:val="18"/>
                <w:szCs w:val="18"/>
                <w:color w:val="auto"/>
              </w:rPr>
              <w:t>40,500</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6.894%</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6.125% Notes (7)</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150,000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6.325%</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8.75% Notes</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175,000</w:t>
            </w:r>
          </w:p>
        </w:tc>
        <w:tc>
          <w:tcPr>
            <w:tcW w:w="1340" w:type="dxa"/>
            <w:vAlign w:val="bottom"/>
          </w:tcPr>
          <w:p>
            <w:pPr>
              <w:jc w:val="right"/>
              <w:spacing w:after="0"/>
              <w:rPr>
                <w:sz w:val="20"/>
                <w:szCs w:val="20"/>
                <w:color w:val="auto"/>
              </w:rPr>
            </w:pPr>
            <w:r>
              <w:rPr>
                <w:rFonts w:ascii="Arial" w:cs="Arial" w:eastAsia="Arial" w:hAnsi="Arial"/>
                <w:sz w:val="18"/>
                <w:szCs w:val="18"/>
                <w:color w:val="auto"/>
              </w:rPr>
              <w:t>175,000</w:t>
            </w:r>
          </w:p>
        </w:tc>
        <w:tc>
          <w:tcPr>
            <w:tcW w:w="440" w:type="dxa"/>
            <w:vAlign w:val="bottom"/>
          </w:tcPr>
          <w:p>
            <w:pPr>
              <w:spacing w:after="0"/>
              <w:rPr>
                <w:sz w:val="18"/>
                <w:szCs w:val="18"/>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8.750%</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7.48% Debentures (8)</w:t>
            </w:r>
          </w:p>
        </w:tc>
        <w:tc>
          <w:tcPr>
            <w:tcW w:w="2160" w:type="dxa"/>
            <w:vAlign w:val="bottom"/>
            <w:tcBorders>
              <w:right w:val="single" w:sz="8" w:color="EEEEEE"/>
            </w:tcBorders>
            <w:gridSpan w:val="3"/>
            <w:shd w:val="clear" w:color="auto" w:fill="EEEEEE"/>
          </w:tcPr>
          <w:p>
            <w:pPr>
              <w:jc w:val="right"/>
              <w:ind w:right="460"/>
              <w:spacing w:after="0"/>
              <w:rPr>
                <w:sz w:val="20"/>
                <w:szCs w:val="20"/>
                <w:color w:val="auto"/>
              </w:rPr>
            </w:pPr>
            <w:r>
              <w:rPr>
                <w:rFonts w:ascii="Arial" w:cs="Arial" w:eastAsia="Arial" w:hAnsi="Arial"/>
                <w:sz w:val="18"/>
                <w:szCs w:val="18"/>
                <w:color w:val="auto"/>
              </w:rPr>
              <w:t>50,000</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60"/>
              <w:spacing w:after="0"/>
              <w:rPr>
                <w:sz w:val="20"/>
                <w:szCs w:val="20"/>
                <w:color w:val="auto"/>
              </w:rPr>
            </w:pPr>
            <w:r>
              <w:rPr>
                <w:rFonts w:ascii="Arial" w:cs="Arial" w:eastAsia="Arial" w:hAnsi="Arial"/>
                <w:sz w:val="18"/>
                <w:szCs w:val="18"/>
                <w:color w:val="auto"/>
              </w:rPr>
              <w:t>7.480%</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August 15, 2026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6.82% Medium Term Notes (9)</w:t>
            </w:r>
          </w:p>
        </w:tc>
        <w:tc>
          <w:tcPr>
            <w:tcW w:w="2160" w:type="dxa"/>
            <w:vAlign w:val="bottom"/>
            <w:gridSpan w:val="3"/>
          </w:tcPr>
          <w:p>
            <w:pPr>
              <w:jc w:val="right"/>
              <w:ind w:right="460"/>
              <w:spacing w:after="0"/>
              <w:rPr>
                <w:sz w:val="20"/>
                <w:szCs w:val="20"/>
                <w:color w:val="auto"/>
              </w:rPr>
            </w:pPr>
            <w:r>
              <w:rPr>
                <w:rFonts w:ascii="Arial" w:cs="Arial" w:eastAsia="Arial" w:hAnsi="Arial"/>
                <w:sz w:val="18"/>
                <w:szCs w:val="18"/>
                <w:color w:val="auto"/>
              </w:rPr>
              <w:t>40,000</w:t>
            </w:r>
          </w:p>
        </w:tc>
        <w:tc>
          <w:tcPr>
            <w:tcW w:w="13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40,000</w:t>
            </w:r>
          </w:p>
        </w:tc>
        <w:tc>
          <w:tcPr>
            <w:tcW w:w="440" w:type="dxa"/>
            <w:vAlign w:val="bottom"/>
          </w:tcPr>
          <w:p>
            <w:pPr>
              <w:spacing w:after="0"/>
              <w:rPr>
                <w:sz w:val="20"/>
                <w:szCs w:val="20"/>
                <w:color w:val="auto"/>
              </w:rPr>
            </w:pPr>
          </w:p>
        </w:tc>
        <w:tc>
          <w:tcPr>
            <w:tcW w:w="1860" w:type="dxa"/>
            <w:vAlign w:val="bottom"/>
            <w:gridSpan w:val="2"/>
          </w:tcPr>
          <w:p>
            <w:pPr>
              <w:ind w:left="960"/>
              <w:spacing w:after="0"/>
              <w:rPr>
                <w:sz w:val="20"/>
                <w:szCs w:val="20"/>
                <w:color w:val="auto"/>
              </w:rPr>
            </w:pPr>
            <w:r>
              <w:rPr>
                <w:rFonts w:ascii="Arial" w:cs="Arial" w:eastAsia="Arial" w:hAnsi="Arial"/>
                <w:sz w:val="18"/>
                <w:szCs w:val="18"/>
                <w:color w:val="auto"/>
              </w:rPr>
              <w:t>6.820%</w:t>
            </w: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August 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Senior Notes and Debentures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535,000</w:t>
            </w:r>
          </w:p>
        </w:tc>
        <w:tc>
          <w:tcPr>
            <w:tcW w:w="4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Lease Obligations</w:t>
            </w: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Various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159,486</w:t>
            </w:r>
          </w:p>
        </w:tc>
        <w:tc>
          <w:tcPr>
            <w:tcW w:w="440" w:type="dxa"/>
            <w:vAlign w:val="bottom"/>
            <w:shd w:val="clear" w:color="auto" w:fill="EEEEEE"/>
          </w:tcPr>
          <w:p>
            <w:pPr>
              <w:spacing w:after="0"/>
              <w:rPr>
                <w:sz w:val="18"/>
                <w:szCs w:val="18"/>
                <w:color w:val="auto"/>
              </w:rPr>
            </w:pPr>
          </w:p>
        </w:tc>
        <w:tc>
          <w:tcPr>
            <w:tcW w:w="1860" w:type="dxa"/>
            <w:vAlign w:val="bottom"/>
            <w:gridSpan w:val="2"/>
            <w:shd w:val="clear" w:color="auto" w:fill="EEEEEE"/>
          </w:tcPr>
          <w:p>
            <w:pPr>
              <w:ind w:left="980"/>
              <w:spacing w:after="0"/>
              <w:rPr>
                <w:sz w:val="20"/>
                <w:szCs w:val="20"/>
                <w:color w:val="auto"/>
              </w:rPr>
            </w:pPr>
            <w:r>
              <w:rPr>
                <w:rFonts w:ascii="Arial" w:cs="Arial" w:eastAsia="Arial" w:hAnsi="Arial"/>
                <w:sz w:val="18"/>
                <w:szCs w:val="18"/>
                <w:color w:val="auto"/>
              </w:rPr>
              <w:t>Various</w:t>
            </w:r>
          </w:p>
        </w:tc>
        <w:tc>
          <w:tcPr>
            <w:tcW w:w="22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Various through 2077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Debt and Capital Leases</w:t>
            </w: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Obligations</w:t>
            </w:r>
          </w:p>
        </w:tc>
        <w:tc>
          <w:tcPr>
            <w:tcW w:w="34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460" w:type="dxa"/>
            <w:vAlign w:val="bottom"/>
            <w:tcBorders>
              <w:right w:val="single" w:sz="8" w:color="EEEEEE"/>
            </w:tcBorders>
            <w:shd w:val="clear" w:color="auto" w:fill="EEEEEE"/>
          </w:tcPr>
          <w:p>
            <w:pPr>
              <w:spacing w:after="0"/>
              <w:rPr>
                <w:sz w:val="19"/>
                <w:szCs w:val="19"/>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$1,310,680</w:t>
            </w:r>
          </w:p>
        </w:tc>
        <w:tc>
          <w:tcPr>
            <w:tcW w:w="440" w:type="dxa"/>
            <w:vAlign w:val="bottom"/>
            <w:shd w:val="clear" w:color="auto" w:fill="EEEEEE"/>
          </w:tcPr>
          <w:p>
            <w:pPr>
              <w:spacing w:after="0"/>
              <w:rPr>
                <w:sz w:val="19"/>
                <w:szCs w:val="19"/>
                <w:color w:val="auto"/>
              </w:rPr>
            </w:pPr>
          </w:p>
        </w:tc>
        <w:tc>
          <w:tcPr>
            <w:tcW w:w="136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22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interest rate is fixed at 5.66% for the first ten years and then is reset to a market rate. The lender has the option to call the loan after year ten.</w:t>
      </w:r>
    </w:p>
    <w:p>
      <w:pPr>
        <w:spacing w:after="0" w:line="34" w:lineRule="exact"/>
        <w:rPr>
          <w:rFonts w:ascii="Arial" w:cs="Arial" w:eastAsia="Arial" w:hAnsi="Arial"/>
          <w:sz w:val="17"/>
          <w:szCs w:val="17"/>
          <w:color w:val="auto"/>
        </w:rPr>
      </w:pPr>
    </w:p>
    <w:p>
      <w:pPr>
        <w:ind w:left="260" w:right="40" w:hanging="252"/>
        <w:spacing w:after="0" w:line="250"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loan currently bears interest at LIBOR plus 95 basis points. In January 2004, we purchased interest rate swaps or hedges on this note, thereby locking in the LIBOR portion of the interest rate at 2.401% through October 2006.</w:t>
      </w:r>
    </w:p>
    <w:p>
      <w:pPr>
        <w:ind w:left="260" w:right="280" w:hanging="252"/>
        <w:spacing w:after="0" w:line="250"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year ended December 31, 2003 was 3.060%. The property is not encumbered by a lien.</w:t>
      </w:r>
    </w:p>
    <w:p>
      <w:pPr>
        <w:spacing w:after="0" w:line="1" w:lineRule="exact"/>
        <w:rPr>
          <w:rFonts w:ascii="Arial" w:cs="Arial" w:eastAsia="Arial" w:hAnsi="Arial"/>
          <w:sz w:val="18"/>
          <w:szCs w:val="18"/>
          <w:color w:val="auto"/>
        </w:rPr>
      </w:pPr>
    </w:p>
    <w:p>
      <w:pPr>
        <w:ind w:left="260" w:right="180" w:hanging="252"/>
        <w:spacing w:after="0" w:line="261"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8, 2003, we closed on a new credit agreement replacing our then existing credit agreement. The new agreement includes $300 million three-year revolving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right="260"/>
        <w:spacing w:after="0" w:line="256" w:lineRule="auto"/>
        <w:rPr>
          <w:sz w:val="20"/>
          <w:szCs w:val="20"/>
          <w:color w:val="auto"/>
        </w:rPr>
      </w:pPr>
      <w:r>
        <w:rPr>
          <w:rFonts w:ascii="Arial" w:cs="Arial" w:eastAsia="Arial" w:hAnsi="Arial"/>
          <w:sz w:val="18"/>
          <w:szCs w:val="18"/>
          <w:color w:val="auto"/>
        </w:rPr>
        <w:t>facility which currently bears interest at LIBOR plus 75 basis points. The spread over LIBOR is subject to adjustment based on our credit rating. The maximum amount drawn under our old and new facilities during 2003 was $225 million. The weighted average interest rate on borrowings under these facilities for the year ended December 31, 2003 was 3.39%.</w:t>
      </w: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6.74% to 6.37%.</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9" w:lineRule="exact"/>
        <w:rPr>
          <w:rFonts w:ascii="Arial" w:cs="Arial" w:eastAsia="Arial" w:hAnsi="Arial"/>
          <w:sz w:val="18"/>
          <w:szCs w:val="18"/>
          <w:color w:val="auto"/>
        </w:rPr>
      </w:pPr>
    </w:p>
    <w:p>
      <w:pPr>
        <w:ind w:left="260" w:right="80" w:hanging="252"/>
        <w:spacing w:after="0" w:line="250" w:lineRule="auto"/>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a planned note offering. A hedge loss of $1.5 million associated with this hedge is being amortized into the November 2002 note offering thereby increasing the effective interest rate on these notes to 6.325%.</w:t>
      </w: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Beginning on August 15, 2008, the debentures are redeemable by the holders thereof at the original purchase price.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w:t>
      </w:r>
    </w:p>
    <w:p>
      <w:pPr>
        <w:spacing w:after="0" w:line="21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165" w:lineRule="exact"/>
        <w:rPr>
          <w:sz w:val="20"/>
          <w:szCs w:val="20"/>
          <w:color w:val="auto"/>
        </w:rPr>
      </w:pPr>
    </w:p>
    <w:p>
      <w:pPr>
        <w:ind w:left="340" w:right="60" w:hanging="179"/>
        <w:spacing w:after="0" w:line="258"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2.38 to 1 as of December 31, 2003);</w:t>
      </w:r>
    </w:p>
    <w:p>
      <w:pPr>
        <w:spacing w:after="0" w:line="1" w:lineRule="exact"/>
        <w:rPr>
          <w:rFonts w:ascii="Arial" w:cs="Arial" w:eastAsia="Arial" w:hAnsi="Arial"/>
          <w:sz w:val="18"/>
          <w:szCs w:val="18"/>
          <w:color w:val="auto"/>
        </w:rPr>
      </w:pPr>
    </w:p>
    <w:p>
      <w:pPr>
        <w:ind w:left="340" w:hanging="179"/>
        <w:spacing w:after="0"/>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 the amount of debt as a percentage of total asset value to less than .55 to 1 (we maintained a ratio of 0.51 to 1 as of December 31, 2003);</w:t>
      </w:r>
    </w:p>
    <w:p>
      <w:pPr>
        <w:spacing w:after="0" w:line="20" w:lineRule="exact"/>
        <w:rPr>
          <w:rFonts w:ascii="Arial" w:cs="Arial" w:eastAsia="Arial" w:hAnsi="Arial"/>
          <w:sz w:val="17"/>
          <w:szCs w:val="17"/>
          <w:color w:val="auto"/>
        </w:rPr>
      </w:pPr>
    </w:p>
    <w:p>
      <w:pPr>
        <w:ind w:left="340" w:hanging="179"/>
        <w:spacing w:after="0"/>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 the amount of secured debt as a percentage of total asset value to less than .30 to 1 (we maintained a ratio of 0.16 to 1 as of December 31, 2003);</w:t>
      </w:r>
    </w:p>
    <w:p>
      <w:pPr>
        <w:spacing w:after="0" w:line="32" w:lineRule="exact"/>
        <w:rPr>
          <w:rFonts w:ascii="Arial" w:cs="Arial" w:eastAsia="Arial" w:hAnsi="Arial"/>
          <w:sz w:val="16"/>
          <w:szCs w:val="16"/>
          <w:color w:val="auto"/>
        </w:rPr>
      </w:pPr>
    </w:p>
    <w:p>
      <w:pPr>
        <w:ind w:left="340" w:right="80" w:hanging="179"/>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2.26 to 1 as of December 31, 2003); and</w:t>
      </w:r>
    </w:p>
    <w:p>
      <w:pPr>
        <w:ind w:left="340" w:right="860" w:hanging="179"/>
        <w:spacing w:after="0" w:line="26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total asset value (the total budgeted cost of our projects under construction at December 31, 2003 represented 2.7% of gross asset value).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225" w:lineRule="exact"/>
        <w:rPr>
          <w:sz w:val="20"/>
          <w:szCs w:val="20"/>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23" w:lineRule="exact"/>
        <w:rPr>
          <w:rFonts w:ascii="Arial" w:cs="Arial" w:eastAsia="Arial" w:hAnsi="Arial"/>
          <w:sz w:val="18"/>
          <w:szCs w:val="18"/>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 w:lineRule="exact"/>
        <w:rPr>
          <w:rFonts w:ascii="Arial" w:cs="Arial" w:eastAsia="Arial" w:hAnsi="Arial"/>
          <w:sz w:val="18"/>
          <w:szCs w:val="18"/>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 w:lineRule="exact"/>
        <w:rPr>
          <w:rFonts w:ascii="Arial" w:cs="Arial" w:eastAsia="Arial" w:hAnsi="Arial"/>
          <w:sz w:val="18"/>
          <w:szCs w:val="18"/>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w:t>
      </w:r>
    </w:p>
    <w:p>
      <w:pPr>
        <w:spacing w:after="0" w:line="9" w:lineRule="exact"/>
        <w:rPr>
          <w:rFonts w:ascii="Arial" w:cs="Arial" w:eastAsia="Arial" w:hAnsi="Arial"/>
          <w:sz w:val="18"/>
          <w:szCs w:val="18"/>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 w:lineRule="exact"/>
        <w:rPr>
          <w:rFonts w:ascii="Arial" w:cs="Arial" w:eastAsia="Arial" w:hAnsi="Arial"/>
          <w:sz w:val="18"/>
          <w:szCs w:val="18"/>
          <w:color w:val="auto"/>
        </w:rPr>
      </w:pPr>
    </w:p>
    <w:p>
      <w:pPr>
        <w:ind w:left="340" w:hanging="179"/>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15"/>
        <w:spacing w:after="0" w:line="293" w:lineRule="auto"/>
        <w:rPr>
          <w:sz w:val="20"/>
          <w:szCs w:val="20"/>
          <w:color w:val="auto"/>
        </w:rPr>
      </w:pPr>
      <w:r>
        <w:rPr>
          <w:rFonts w:ascii="Arial" w:cs="Arial" w:eastAsia="Arial" w:hAnsi="Arial"/>
          <w:sz w:val="16"/>
          <w:szCs w:val="16"/>
          <w:color w:val="auto"/>
        </w:rPr>
        <w:t>As of December 31, 2003, we were in compliance with all of our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 material adverse effect on our financial condition, our results of operations, our ability to meet our obligations and the market value of our shares.</w:t>
      </w:r>
    </w:p>
    <w:p>
      <w:pPr>
        <w:spacing w:after="0" w:line="138"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color w:val="auto"/>
        </w:rPr>
        <w:t>Below are the aggregate principal payments required as of December 31, 2003 under our debt financing arrangements by year. Scheduled principal installments and amounts due at maturity are included.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Secured</w:t>
            </w:r>
          </w:p>
        </w:tc>
        <w:tc>
          <w:tcPr>
            <w:tcW w:w="182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 Lease</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Unsecured</w:t>
            </w:r>
          </w:p>
        </w:tc>
        <w:tc>
          <w:tcPr>
            <w:tcW w:w="460" w:type="dxa"/>
            <w:vAlign w:val="bottom"/>
          </w:tcPr>
          <w:p>
            <w:pPr>
              <w:spacing w:after="0"/>
              <w:rPr>
                <w:sz w:val="16"/>
                <w:szCs w:val="16"/>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00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2,803</w:t>
            </w:r>
          </w:p>
        </w:tc>
        <w:tc>
          <w:tcPr>
            <w:tcW w:w="7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w:t>
            </w:r>
          </w:p>
        </w:tc>
        <w:tc>
          <w:tcPr>
            <w:tcW w:w="8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39,652</w:t>
            </w: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42,941</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2005</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3,229</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40,168</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3,581</w:t>
            </w:r>
          </w:p>
        </w:tc>
        <w:tc>
          <w:tcPr>
            <w:tcW w:w="7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1,271</w:t>
            </w:r>
          </w:p>
        </w:tc>
        <w:tc>
          <w:tcPr>
            <w:tcW w:w="8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240,435</w:t>
            </w: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245,287</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3,858</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1,374</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150,204</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46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13,633</w:t>
            </w:r>
          </w:p>
        </w:tc>
        <w:tc>
          <w:tcPr>
            <w:tcW w:w="78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1,510</w:t>
            </w:r>
          </w:p>
        </w:tc>
        <w:tc>
          <w:tcPr>
            <w:tcW w:w="80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150,227</w:t>
            </w:r>
          </w:p>
        </w:tc>
        <w:tc>
          <w:tcPr>
            <w:tcW w:w="8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165,370</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2009 and thereafter</w:t>
            </w:r>
          </w:p>
        </w:tc>
        <w:tc>
          <w:tcPr>
            <w:tcW w:w="4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227,767</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153,702</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275,637</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657,106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254,871</w:t>
            </w:r>
          </w:p>
        </w:tc>
        <w:tc>
          <w:tcPr>
            <w:tcW w:w="780" w:type="dxa"/>
            <w:vAlign w:val="bottom"/>
            <w:shd w:val="clear" w:color="auto" w:fill="EEEEEE"/>
          </w:tcPr>
          <w:p>
            <w:pPr>
              <w:spacing w:after="0"/>
              <w:rPr>
                <w:sz w:val="19"/>
                <w:szCs w:val="19"/>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159,486</w:t>
            </w:r>
          </w:p>
        </w:tc>
        <w:tc>
          <w:tcPr>
            <w:tcW w:w="80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896,323</w:t>
            </w:r>
          </w:p>
        </w:tc>
        <w:tc>
          <w:tcPr>
            <w:tcW w:w="800" w:type="dxa"/>
            <w:vAlign w:val="bottom"/>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1,310,680</w:t>
            </w:r>
          </w:p>
        </w:tc>
        <w:tc>
          <w:tcPr>
            <w:tcW w:w="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189"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We enter into derivative contracts, which qualify as cash flow hedges under SFAS No. 133 “Accounting for Derivative Instruments and Hedging Activities”, in order to manage interest rate risk. Derivatives are not purchased for speculation.</w:t>
      </w:r>
    </w:p>
    <w:p>
      <w:pPr>
        <w:spacing w:after="0" w:line="130" w:lineRule="exact"/>
        <w:rPr>
          <w:sz w:val="20"/>
          <w:szCs w:val="20"/>
          <w:color w:val="auto"/>
        </w:rPr>
      </w:pPr>
    </w:p>
    <w:p>
      <w:pPr>
        <w:ind w:right="120" w:firstLine="225"/>
        <w:spacing w:after="0" w:line="290" w:lineRule="auto"/>
        <w:rPr>
          <w:sz w:val="20"/>
          <w:szCs w:val="20"/>
          <w:color w:val="auto"/>
        </w:rPr>
      </w:pPr>
      <w:r>
        <w:rPr>
          <w:rFonts w:ascii="Arial" w:cs="Arial" w:eastAsia="Arial" w:hAnsi="Arial"/>
          <w:sz w:val="16"/>
          <w:szCs w:val="16"/>
          <w:color w:val="auto"/>
        </w:rPr>
        <w:t>In January 2004, to hedge our exposure to interest rates on our $150 million, five-year term loan issued in October 2003, we entered into interest rate swaps, which fixed the LIBOR portion of the interest rate on the term loan at 2.401% through October 2006. The interest rate on the term loan as of December 31, 2003 was LIBOR plus 95 basis points, thus, subsequent to year end we swapped the floating rate debt to a fixed interest rate of 3.351% on notional amounts totaling $150 million.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(“S&amp;P”) “A1” by Moody’s Investors Service (“Moody’s”) as of March 8, 2004.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Consequently, the unrealized gain or loss upon measuring the swap at its fair value will be recorded as a component of other comprehensive income within shareholders’ equity and either a derivative instrument asset or liability is recorded on the balance sheet.</w:t>
      </w:r>
    </w:p>
    <w:p>
      <w:pPr>
        <w:spacing w:after="0" w:line="14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hedges open at the end of the third quarter 2003 relating to our $125 million term loan which was to mature on December 19, 2003, were unwound on October 8, 2003, in connection with the repayment of that loan, at a cost of approximately $1.1 million which was charged to interest expense in the fourth quarter of 2003.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85"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Short-term liquidity requirements consist primarily of obligations under capital and operating leases, normal recurring operating expenses, regular debt service requirements (including debt service relating to additional or replacement debt, as well as scheduled debt maturities), recurring corporate expenditures, non-recurring corporate expenditures (such as tenant improvements and redevelopments) and dividends to common and preferred shareholders. Overall capital requirements in 2004 and beyond will depend upon acquisition opportunities, the level of improvements and redevelopments on existing properties and the timing and cost of future phases of Santana Row. We expect to fund our capital requirements, as well as our development and redevelopment costs, acquisitions and normal recurring operating costs through a combination of cash provided by operating activities, borrowings under our credit facility and other funding sources which may consist of additional and replacement debt, both secured and unsecured, additional equity, joint venture relationships and property dispositions.</w:t>
      </w:r>
    </w:p>
    <w:p>
      <w:pPr>
        <w:spacing w:after="0" w:line="165"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expect to fund our long-term capital requirements, which consist primarily of maturities under our long-term debt, development and redevelopment costs and potential acquisition opportunities through a combination of funding sources which we believe will be available to us including debt, both secured and unsecured, additional equity, joint venture relationships and property dispositions.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225" w:lineRule="exact"/>
        <w:rPr>
          <w:sz w:val="20"/>
          <w:szCs w:val="20"/>
          <w:color w:val="auto"/>
        </w:rPr>
      </w:pPr>
    </w:p>
    <w:p>
      <w:pPr>
        <w:ind w:left="560" w:right="20" w:hanging="169"/>
        <w:spacing w:after="0" w:line="277"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170" w:lineRule="exact"/>
        <w:rPr>
          <w:rFonts w:ascii="Arial" w:cs="Arial" w:eastAsia="Arial" w:hAnsi="Arial"/>
          <w:sz w:val="18"/>
          <w:szCs w:val="18"/>
          <w:color w:val="auto"/>
        </w:rPr>
      </w:pPr>
    </w:p>
    <w:p>
      <w:pPr>
        <w:ind w:left="560" w:hanging="169"/>
        <w:spacing w:after="0" w:line="258"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terms available under then-prevailing market conditions; and</w:t>
      </w:r>
    </w:p>
    <w:p>
      <w:pPr>
        <w:spacing w:after="0" w:line="1" w:lineRule="exact"/>
        <w:rPr>
          <w:rFonts w:ascii="Arial" w:cs="Arial" w:eastAsia="Arial" w:hAnsi="Arial"/>
          <w:sz w:val="18"/>
          <w:szCs w:val="18"/>
          <w:color w:val="auto"/>
        </w:rPr>
      </w:pPr>
    </w:p>
    <w:p>
      <w:pPr>
        <w:ind w:left="560" w:hanging="169"/>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service additional or replacement debt due to increases in interest rates or a decline in our operating performance.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85"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02"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We have historically reported our FFO in addition to our net income and net cash provided by operating activities. FFO is a supplemental non-GAAP financial measure of real estate companies’ operating performance. NAREIT defines FFO as follows: income available for common shareholders before depreciation and amortization of real estate assets and before extraordinary items less gains on sale of real estate. NAREIT developed FFO as a relative measure of performance and liquidity of an equity REIT in order to recognize that the value of income-producing real estate historically has not depreciated on the basis determined under GAAP. However, FFO:</w:t>
      </w:r>
    </w:p>
    <w:p>
      <w:pPr>
        <w:spacing w:after="0" w:line="188" w:lineRule="exact"/>
        <w:rPr>
          <w:sz w:val="20"/>
          <w:szCs w:val="20"/>
          <w:color w:val="auto"/>
        </w:rPr>
      </w:pPr>
    </w:p>
    <w:p>
      <w:pPr>
        <w:ind w:left="460" w:hanging="177"/>
        <w:spacing w:after="0" w:line="258"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Arial" w:cs="Arial" w:eastAsia="Arial" w:hAnsi="Arial"/>
          <w:sz w:val="18"/>
          <w:szCs w:val="18"/>
          <w:color w:val="auto"/>
        </w:rPr>
      </w:pPr>
    </w:p>
    <w:p>
      <w:pPr>
        <w:ind w:left="460" w:hanging="177"/>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 w:lineRule="exact"/>
        <w:rPr>
          <w:rFonts w:ascii="Arial" w:cs="Arial" w:eastAsia="Arial" w:hAnsi="Arial"/>
          <w:sz w:val="18"/>
          <w:szCs w:val="18"/>
          <w:color w:val="auto"/>
        </w:rPr>
      </w:pPr>
    </w:p>
    <w:p>
      <w:pPr>
        <w:ind w:left="460" w:hanging="177"/>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pay dividends.</w:t>
      </w:r>
    </w:p>
    <w:p>
      <w:pPr>
        <w:spacing w:after="0" w:line="211" w:lineRule="exact"/>
        <w:rPr>
          <w:sz w:val="20"/>
          <w:szCs w:val="20"/>
          <w:color w:val="auto"/>
        </w:rPr>
      </w:pPr>
    </w:p>
    <w:p>
      <w:pPr>
        <w:jc w:val="both"/>
        <w:ind w:firstLine="222"/>
        <w:spacing w:after="0" w:line="259" w:lineRule="auto"/>
        <w:rPr>
          <w:sz w:val="20"/>
          <w:szCs w:val="20"/>
          <w:color w:val="auto"/>
        </w:rPr>
      </w:pPr>
      <w:r>
        <w:rPr>
          <w:rFonts w:ascii="Arial" w:cs="Arial" w:eastAsia="Arial" w:hAnsi="Arial"/>
          <w:sz w:val="18"/>
          <w:szCs w:val="18"/>
          <w:color w:val="auto"/>
        </w:rPr>
        <w:t>We consider FFO a meaningful, additional measure of operating performance because it primarily excludes the assumption that the value of the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46"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An increase or decrease in FFO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reconciliation of net income available for common shareholders to funds from operations for the years ended December 31, 2003 and 2002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5"/>
          </w:tcPr>
          <w:p>
            <w:pPr>
              <w:jc w:val="right"/>
              <w:ind w:right="1600"/>
              <w:spacing w:after="0"/>
              <w:rPr>
                <w:sz w:val="20"/>
                <w:szCs w:val="20"/>
                <w:color w:val="auto"/>
              </w:rPr>
            </w:pPr>
            <w:r>
              <w:rPr>
                <w:rFonts w:ascii="Arial" w:cs="Arial" w:eastAsia="Arial" w:hAnsi="Arial"/>
                <w:sz w:val="14"/>
                <w:szCs w:val="14"/>
                <w:b w:val="1"/>
                <w:bCs w:val="1"/>
                <w:color w:val="auto"/>
                <w:w w:val="98"/>
              </w:rPr>
              <w:t>For the Years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2"/>
                <w:szCs w:val="12"/>
                <w:color w:val="auto"/>
              </w:rPr>
            </w:pPr>
          </w:p>
        </w:tc>
        <w:tc>
          <w:tcPr>
            <w:tcW w:w="2960" w:type="dxa"/>
            <w:vAlign w:val="bottom"/>
            <w:gridSpan w:val="5"/>
          </w:tcPr>
          <w:p>
            <w:pPr>
              <w:jc w:val="right"/>
              <w:ind w:right="18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2002</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94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 — basic</w:t>
            </w:r>
          </w:p>
        </w:tc>
        <w:tc>
          <w:tcPr>
            <w:tcW w:w="7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75,990</w:t>
            </w:r>
          </w:p>
        </w:tc>
        <w:tc>
          <w:tcPr>
            <w:tcW w:w="180" w:type="dxa"/>
            <w:vAlign w:val="bottom"/>
            <w:shd w:val="clear" w:color="auto" w:fill="EEEEEE"/>
          </w:tcPr>
          <w:p>
            <w:pPr>
              <w:spacing w:after="0"/>
              <w:rPr>
                <w:sz w:val="18"/>
                <w:szCs w:val="18"/>
                <w:color w:val="auto"/>
              </w:rPr>
            </w:pPr>
          </w:p>
        </w:tc>
        <w:tc>
          <w:tcPr>
            <w:tcW w:w="22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$35,862</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(Gain) on sale of real estate net of loss on abandoned developments held for sale</w:t>
            </w:r>
          </w:p>
        </w:tc>
        <w:tc>
          <w:tcPr>
            <w:tcW w:w="7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(20,053)</w:t>
            </w:r>
          </w:p>
        </w:tc>
        <w:tc>
          <w:tcPr>
            <w:tcW w:w="2960" w:type="dxa"/>
            <w:vAlign w:val="bottom"/>
            <w:gridSpan w:val="5"/>
          </w:tcPr>
          <w:p>
            <w:pPr>
              <w:jc w:val="right"/>
              <w:ind w:right="660"/>
              <w:spacing w:after="0"/>
              <w:rPr>
                <w:sz w:val="20"/>
                <w:szCs w:val="20"/>
                <w:color w:val="auto"/>
              </w:rPr>
            </w:pPr>
            <w:r>
              <w:rPr>
                <w:rFonts w:ascii="Arial" w:cs="Arial" w:eastAsia="Arial" w:hAnsi="Arial"/>
                <w:sz w:val="18"/>
                <w:szCs w:val="18"/>
                <w:color w:val="auto"/>
              </w:rPr>
              <w:t>(9,454)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Depreciation and amortization of real estate assets</w:t>
            </w:r>
          </w:p>
        </w:tc>
        <w:tc>
          <w:tcPr>
            <w:tcW w:w="7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68,202</w:t>
            </w:r>
          </w:p>
        </w:tc>
        <w:tc>
          <w:tcPr>
            <w:tcW w:w="180" w:type="dxa"/>
            <w:vAlign w:val="bottom"/>
            <w:shd w:val="clear" w:color="auto" w:fill="EEEEEE"/>
          </w:tcPr>
          <w:p>
            <w:pPr>
              <w:spacing w:after="0"/>
              <w:rPr>
                <w:sz w:val="18"/>
                <w:szCs w:val="18"/>
                <w:color w:val="auto"/>
              </w:rPr>
            </w:pPr>
          </w:p>
        </w:tc>
        <w:tc>
          <w:tcPr>
            <w:tcW w:w="22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58,605</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5,801</w:t>
            </w:r>
          </w:p>
        </w:tc>
        <w:tc>
          <w:tcPr>
            <w:tcW w:w="18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4,750</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7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740</w:t>
            </w:r>
          </w:p>
        </w:tc>
        <w:tc>
          <w:tcPr>
            <w:tcW w:w="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60" w:type="dxa"/>
            <w:vAlign w:val="bottom"/>
            <w:gridSpan w:val="2"/>
          </w:tcPr>
          <w:p>
            <w:pPr>
              <w:spacing w:after="0"/>
              <w:rPr>
                <w:sz w:val="20"/>
                <w:szCs w:val="20"/>
                <w:color w:val="auto"/>
              </w:rPr>
            </w:pPr>
            <w:r>
              <w:rPr>
                <w:rFonts w:ascii="Arial" w:cs="Arial" w:eastAsia="Arial" w:hAnsi="Arial"/>
                <w:sz w:val="18"/>
                <w:szCs w:val="18"/>
                <w:color w:val="auto"/>
              </w:rPr>
              <w:t>Funds from operations for common shareholders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131,257</w:t>
            </w:r>
          </w:p>
        </w:tc>
        <w:tc>
          <w:tcPr>
            <w:tcW w:w="18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$90,503</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7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69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Weighted average number of common shares used to compute basic FFO per share</w:t>
            </w:r>
          </w:p>
        </w:tc>
        <w:tc>
          <w:tcPr>
            <w:tcW w:w="74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47,379</w:t>
            </w:r>
          </w:p>
        </w:tc>
        <w:tc>
          <w:tcPr>
            <w:tcW w:w="180" w:type="dxa"/>
            <w:vAlign w:val="bottom"/>
            <w:tcBorders>
              <w:bottom w:val="single" w:sz="8" w:color="EEEEEE"/>
            </w:tcBorders>
            <w:shd w:val="clear" w:color="auto" w:fill="EEEEEE"/>
          </w:tcPr>
          <w:p>
            <w:pPr>
              <w:spacing w:after="0"/>
              <w:rPr>
                <w:sz w:val="22"/>
                <w:szCs w:val="22"/>
                <w:color w:val="auto"/>
              </w:rPr>
            </w:pPr>
          </w:p>
        </w:tc>
        <w:tc>
          <w:tcPr>
            <w:tcW w:w="1600" w:type="dxa"/>
            <w:vAlign w:val="bottom"/>
            <w:tcBorders>
              <w:bottom w:val="single" w:sz="8" w:color="EEEEEE"/>
            </w:tcBorders>
            <w:gridSpan w:val="3"/>
            <w:shd w:val="clear" w:color="auto" w:fill="EEEEEE"/>
          </w:tcPr>
          <w:p>
            <w:pPr>
              <w:spacing w:after="0"/>
              <w:rPr>
                <w:sz w:val="22"/>
                <w:szCs w:val="22"/>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41,624</w:t>
            </w:r>
          </w:p>
        </w:tc>
        <w:tc>
          <w:tcPr>
            <w:tcW w:w="7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used to compute diluted FFO per share</w:t>
            </w:r>
          </w:p>
        </w:tc>
        <w:tc>
          <w:tcPr>
            <w:tcW w:w="7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48,619</w:t>
            </w:r>
          </w:p>
        </w:tc>
        <w:tc>
          <w:tcPr>
            <w:tcW w:w="180" w:type="dxa"/>
            <w:vAlign w:val="bottom"/>
          </w:tcPr>
          <w:p>
            <w:pPr>
              <w:spacing w:after="0"/>
              <w:rPr>
                <w:sz w:val="20"/>
                <w:szCs w:val="20"/>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42,882</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96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-50-</w:t>
            </w:r>
          </w:p>
        </w:tc>
        <w:tc>
          <w:tcPr>
            <w:tcW w:w="7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9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use of financial instruments, such as debt instruments, subject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derivative financial instruments such as interest rate swaps to mitigate our interest rate risk on a related financial instrument or to effectively lock the interest rate on a portion of our variable rate debt.</w:t>
      </w:r>
    </w:p>
    <w:p>
      <w:pPr>
        <w:spacing w:after="0" w:line="153"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following discussion of market risk is based solely on hypothetical changes in interest rates related to our variable rate debt. This discussion does not purport to take into account all of the factors that may affect the financial instruments discussed in this section.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interest rate risk is most sensitive to fluctuations in interest rates on our variable rate debt. At December 31, 2003, we had $359.1 million of variable rate debt. Based upon this balance of variable rate debt, if interest rates increased 1%, our earnings and cash flows for the year would decrease by approximately $3.6 million. If interest rates decreased 1%, our earnings and cash flows for the year would increase by approximately $3.6 million. We believe that the change in the fair value of our financial instruments resulting from a foreseeable fluctuation in interest rates would be immaterial to our total assets and total liabilities.</w:t>
      </w:r>
    </w:p>
    <w:p>
      <w:pPr>
        <w:spacing w:after="0" w:line="148"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In January 2004, we purchased an interest rate swap on our $150 million term note which currently bears interest at LIBOR plus 95 basis-points and is due to mature in October 2008. The swap has locked in the LIBOR portion of the interest rate at 2.401% through October 2006.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202" w:lineRule="exact"/>
        <w:rPr>
          <w:sz w:val="20"/>
          <w:szCs w:val="20"/>
          <w:color w:val="auto"/>
        </w:rPr>
      </w:pPr>
    </w:p>
    <w:p>
      <w:pPr>
        <w:jc w:val="both"/>
        <w:ind w:right="100" w:firstLine="222"/>
        <w:spacing w:after="0" w:line="286" w:lineRule="auto"/>
        <w:rPr>
          <w:sz w:val="20"/>
          <w:szCs w:val="20"/>
          <w:color w:val="auto"/>
        </w:rPr>
      </w:pPr>
      <w:r>
        <w:rPr>
          <w:rFonts w:ascii="Arial" w:cs="Arial" w:eastAsia="Arial" w:hAnsi="Arial"/>
          <w:sz w:val="17"/>
          <w:szCs w:val="17"/>
          <w:color w:val="auto"/>
        </w:rPr>
        <w:t>We use derivative financial instruments to convert a portion of our variable rate debt to fixed rate debt and to manage our fixed to variable rate debt ratio. A description of these derivative financial instruments is contained in “Item 7. Management’s Discussion and Analysis of Financial Condition and Results of Operations — Liquidity and Capital Resources - Interest Rate Hedging.” and is incorporated by reference into this Item 7A.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89"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38" w:lineRule="exact"/>
        <w:rPr>
          <w:sz w:val="20"/>
          <w:szCs w:val="20"/>
          <w:color w:val="auto"/>
        </w:rPr>
      </w:pPr>
    </w:p>
    <w:p>
      <w:pPr>
        <w:ind w:right="320" w:firstLine="225"/>
        <w:spacing w:after="0" w:line="255" w:lineRule="auto"/>
        <w:rPr>
          <w:sz w:val="20"/>
          <w:szCs w:val="20"/>
          <w:color w:val="auto"/>
        </w:rPr>
      </w:pPr>
      <w:r>
        <w:rPr>
          <w:rFonts w:ascii="Arial" w:cs="Arial" w:eastAsia="Arial" w:hAnsi="Arial"/>
          <w:sz w:val="18"/>
          <w:szCs w:val="18"/>
          <w:color w:val="auto"/>
        </w:rPr>
        <w:t>Prior to the date of the filing of this Form 10-K, the Arthur Andersen LLP partners who reviewed our audited financial statements contained herein resigned from Arthur Andersen LLP and Arthur Andersen LLP was convicted for obstruction of justice and elected to cease practicing before the SEC in August 2002. As a result, after reasonable efforts, we have been unable to obtain Arthur Andersen LLP’s written consent to the incorporation by reference into our previously filed Registration Statements File No. 333-100819, 333-84210, 333-97945, 333-63619, File No. 33-63687, File No. 33-63955, File No. 33-15264 and File No. 33-55111 and in their related prospectuses (the “Prior Registration Statements”) of its audit report with respect to our financial statements for the fiscal year ended December 31, 2001.</w:t>
      </w:r>
    </w:p>
    <w:p>
      <w:pPr>
        <w:spacing w:after="0" w:line="166"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Under these circumstances, Rule 437a under the Securities Act permits us to file this Form 10-K without a written consent from Arthur Andersen LLP. Accordingly, Arthur Andersen LLP will not be liable to persons acquiring our securities registered pursuant to the Prior Registration Statements under Section 11(a) of the Securities Act because it has not consented to being named as an expert in the Prior Registration Statements.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Page No.</w:t>
            </w:r>
          </w:p>
        </w:tc>
      </w:tr>
      <w:tr>
        <w:trPr>
          <w:trHeight w:val="53"/>
        </w:trPr>
        <w:tc>
          <w:tcPr>
            <w:tcW w:w="55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r>
      <w:tr>
        <w:trPr>
          <w:trHeight w:val="276"/>
        </w:trPr>
        <w:tc>
          <w:tcPr>
            <w:tcW w:w="5540" w:type="dxa"/>
            <w:vAlign w:val="bottom"/>
          </w:tcPr>
          <w:p>
            <w:pPr>
              <w:spacing w:after="0"/>
              <w:rPr>
                <w:sz w:val="20"/>
                <w:szCs w:val="20"/>
                <w:color w:val="auto"/>
              </w:rPr>
            </w:pPr>
            <w:r>
              <w:rPr>
                <w:rFonts w:ascii="Arial" w:cs="Arial" w:eastAsia="Arial" w:hAnsi="Arial"/>
                <w:sz w:val="18"/>
                <w:szCs w:val="18"/>
                <w:color w:val="auto"/>
                <w:w w:val="92"/>
              </w:rPr>
              <w:t>Report of Independent Certified Public Accountants — Grant Thornton LLP</w:t>
            </w:r>
          </w:p>
        </w:tc>
        <w:tc>
          <w:tcPr>
            <w:tcW w:w="50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F1</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Report of Independent Public Accountants — Arthur Andersen LLP</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F2</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Consolidated Statements of Operations</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Consolidated Statements of Common Shareholders’ Equity</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F6</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F7 — F29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Financial Statement Schedules</w:t>
            </w:r>
          </w:p>
        </w:tc>
        <w:tc>
          <w:tcPr>
            <w:tcW w:w="5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7"/>
              </w:rPr>
              <w:t>Schedule III — Summary of Real Estate and Accumulated Depreciation</w:t>
            </w:r>
          </w:p>
        </w:tc>
        <w:tc>
          <w:tcPr>
            <w:tcW w:w="50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F30— F33</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Schedule IV — Mortgage Loans on Real Estate</w:t>
            </w:r>
          </w:p>
        </w:tc>
        <w:tc>
          <w:tcPr>
            <w:tcW w:w="50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4"/>
              </w:rPr>
              <w:t>F34— F35</w:t>
            </w:r>
          </w:p>
        </w:tc>
      </w:tr>
      <w:tr>
        <w:trPr>
          <w:trHeight w:val="392"/>
        </w:trPr>
        <w:tc>
          <w:tcPr>
            <w:tcW w:w="5540" w:type="dxa"/>
            <w:vAlign w:val="bottom"/>
          </w:tcPr>
          <w:p>
            <w:pPr>
              <w:spacing w:after="0"/>
              <w:rPr>
                <w:sz w:val="24"/>
                <w:szCs w:val="24"/>
                <w:color w:val="auto"/>
              </w:rPr>
            </w:pPr>
          </w:p>
        </w:tc>
        <w:tc>
          <w:tcPr>
            <w:tcW w:w="5080" w:type="dxa"/>
            <w:vAlign w:val="bottom"/>
          </w:tcPr>
          <w:p>
            <w:pPr>
              <w:jc w:val="right"/>
              <w:ind w:right="4670"/>
              <w:spacing w:after="0"/>
              <w:rPr>
                <w:sz w:val="20"/>
                <w:szCs w:val="20"/>
                <w:color w:val="auto"/>
              </w:rPr>
            </w:pPr>
            <w:r>
              <w:rPr>
                <w:rFonts w:ascii="Arial" w:cs="Arial" w:eastAsia="Arial" w:hAnsi="Arial"/>
                <w:sz w:val="18"/>
                <w:szCs w:val="18"/>
                <w:color w:val="auto"/>
                <w:w w:val="93"/>
              </w:rPr>
              <w:t>-53-</w:t>
            </w:r>
          </w:p>
        </w:tc>
        <w:tc>
          <w:tcPr>
            <w:tcW w:w="800" w:type="dxa"/>
            <w:vAlign w:val="bottom"/>
          </w:tcPr>
          <w:p>
            <w:pPr>
              <w:spacing w:after="0"/>
              <w:rPr>
                <w:sz w:val="24"/>
                <w:szCs w:val="24"/>
                <w:color w:val="auto"/>
              </w:rPr>
            </w:pPr>
          </w:p>
        </w:tc>
      </w:tr>
      <w:tr>
        <w:trPr>
          <w:trHeight w:val="226"/>
        </w:trPr>
        <w:tc>
          <w:tcPr>
            <w:tcW w:w="5540" w:type="dxa"/>
            <w:vAlign w:val="bottom"/>
            <w:tcBorders>
              <w:bottom w:val="single" w:sz="8" w:color="808080"/>
            </w:tcBorders>
          </w:tcPr>
          <w:p>
            <w:pPr>
              <w:spacing w:after="0"/>
              <w:rPr>
                <w:sz w:val="19"/>
                <w:szCs w:val="19"/>
                <w:color w:val="auto"/>
              </w:rPr>
            </w:pPr>
          </w:p>
        </w:tc>
        <w:tc>
          <w:tcPr>
            <w:tcW w:w="50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Certified Public Accountants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consolidated balance sheet of Federal Realty Investment Trust (a Maryland real estate investment trust) (the Trust) and subsidiaries as of December 31, 2003 and 2002, and the related consolidated statements of operations, common shareholders’ equity, and cash flows for each of the two years in the period ended December 31, 2003. These financial statements are the responsibility of the Trust’s management. Our responsibility is to express an opinion on these financial statements based on our audits. The consolidated financial statements of Federal Realty Investment Trust and subsidiaries as of December 31, 2001, and for the year then ended, were audited by other auditors who have ceased operations. Those auditors expressed an unqualified opinion on those consolidated financial statements in their report dated February 11, 2002.</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Federal Realty Investment Trust and subsidiaries as of December 31, 2003 and 2002, and the consolidated results of its operations and its consolidated cash flows for each of the two years in the period ended December 31, 2003, in conformity with accounting principles generally accepted in the United States of America.</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have also audited Schedules III and IV for the years ended December 31, 2003 and 2002. In our opinion, these schedules present fairly, in all material respects, the information therein when considered in relation to the basic financial statements taken as a whole.</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above, the consolidated financial statements of Federal Realty Investment Trust and subsidiaries as of December 31, 2001, and for the year then ended, were audited by other auditors who have ceased operations. As described in Note 1, these financial statements have been restated to reflect discontinued operations. We have audited the adjustments described in Note 1 that were applied to restate the 2001 financial statements. In our opinion, such adjustments are appropriate and have been properly applied. However, we were not engaged to audit, review or apply any procedures to the 2001 financial statements of the Trust other than with respect to such adjustments, and, accordingly, we do not express an opinion or any other form of assurance on the 2001 financial statements taken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REPORT OF INDEPENDENT PUBLIC ACCOUNTANTS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Trustees and Shareholders of Federal Realty Investment Trust:</w:t>
      </w:r>
    </w:p>
    <w:p>
      <w:pPr>
        <w:spacing w:after="0" w:line="185"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We have audited the accompanying consolidated balance sheets of Federal Realty Investment Trust (a Maryland real estate investment trust) and subsidiaries as of December 31, 2001 and 2000 and the related consolidated statements of operations, common shareholders’ equity and cash flows for each of the years in the three year period ended December 31, 2001. These financial statements are the responsibility of the Trust’s management. Our responsibility is to express an opinion on these financial statements based on our audits.</w:t>
      </w:r>
    </w:p>
    <w:p>
      <w:pPr>
        <w:spacing w:after="0" w:line="146"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 In our opinion, the consolidated financial statements referred to above present fairly, in all material respects, the financial position of Federal Realty Investment Trust and subsidiaries as of December 31, 2001 and 2000 and the results of their operations and their cash flows for each of the years in the three year period ended December 31, 2001 in conformity with accounting principles generally accepted in the United States.</w:t>
      </w:r>
    </w:p>
    <w:p>
      <w:pPr>
        <w:spacing w:after="0" w:line="140"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Our audit was made for the purpose of forming an opinion on the basic consolidated financial statements taken as a whole. The financial statement schedules included on pages F-29 through F-34 of the Form 10-K are presented for purposes of complying with the Securities and Exchange Commission’s rules and are not a required part of the basic consolidated financial statements. These schedules have been subjected to the auditing procedures applied in our audit of the basic consolidated financial statements and, in our opinion, are fairly stated in all material respects in relation to the basic consolidated financial statements taken as a whole.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 ARTHUR ANDERSEN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Vienna,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2002</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Note: As permitted by Rule 2-02(e) of Regulation S-X promulgated under the Securities Act, this is a copy of the audit report previously issued by Arthur Andersen LLP in connection with the filing of our Form 10-K for the fiscal year ended December 31, 2001. After reasonable efforts, we have been unable to have Arthur Andersen LLP reissue this audit report in connection with the filing of this Form 10-K. See “Item 8. Financial Statements and Supplemental Data</w:t>
      </w:r>
    </w:p>
    <w:p>
      <w:pPr>
        <w:ind w:right="60" w:firstLine="8"/>
        <w:spacing w:after="0" w:line="253" w:lineRule="auto"/>
        <w:tabs>
          <w:tab w:leader="none" w:pos="105"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Notice Regarding Arthur Andersen LLP” for a further discussion. The consolidated balance sheet as of December 31, 2000, and the related consolidated statements of operations, changes in shareholders’ equity and other comprehensive income, and cash flows for the two fiscal years ended December 31, 2000 referred to in this report have not been included in the accompanying financial statements or schedules. In addition, Arthur Andersen’s audit report relates to the financial statements of the Trust for 2000 and 2001 before restatement adjustments to reflect discontinued operations. The restatement adjustments for these years have been audited by Grant Thornton LLP.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1"/>
              <w:spacing w:after="0"/>
              <w:rPr>
                <w:sz w:val="20"/>
                <w:szCs w:val="20"/>
                <w:color w:val="auto"/>
              </w:rPr>
            </w:pPr>
            <w:r>
              <w:rPr>
                <w:rFonts w:ascii="Arial" w:cs="Arial" w:eastAsia="Arial" w:hAnsi="Arial"/>
                <w:sz w:val="14"/>
                <w:szCs w:val="14"/>
                <w:b w:val="1"/>
                <w:bCs w:val="1"/>
                <w:color w:val="auto"/>
              </w:rPr>
              <w:t>2003</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1"/>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160" w:type="dxa"/>
            <w:vAlign w:val="bottom"/>
          </w:tcPr>
          <w:p>
            <w:pPr>
              <w:spacing w:after="0"/>
              <w:rPr>
                <w:sz w:val="4"/>
                <w:szCs w:val="4"/>
                <w:color w:val="auto"/>
              </w:rPr>
            </w:pPr>
          </w:p>
        </w:tc>
        <w:tc>
          <w:tcPr>
            <w:tcW w:w="1540" w:type="dxa"/>
            <w:vAlign w:val="bottom"/>
            <w:tcBorders>
              <w:bottom w:val="single" w:sz="8" w:color="808080"/>
            </w:tcBorders>
            <w:gridSpan w:val="2"/>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0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w:t>
            </w: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2,342,315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1,940,312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Development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127,834</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340,488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26,026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2,470,149</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2,306,826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(514,177)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(450,697)</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real estate investments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1,955,972</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1,856,129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34,968</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Mortgage notes receivable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41,500</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35,577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Accounts and notes receivable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31,207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18,722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spacing w:after="0" w:line="201" w:lineRule="exact"/>
              <w:rPr>
                <w:sz w:val="20"/>
                <w:szCs w:val="20"/>
                <w:color w:val="auto"/>
              </w:rPr>
            </w:pPr>
            <w:r>
              <w:rPr>
                <w:rFonts w:ascii="Arial" w:cs="Arial" w:eastAsia="Arial" w:hAnsi="Arial"/>
                <w:sz w:val="18"/>
                <w:szCs w:val="18"/>
                <w:color w:val="auto"/>
                <w:w w:val="97"/>
              </w:rPr>
              <w:t>Prepaid expenses and other assets, principally lease commissions and property</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69,335</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57,257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Debt issuance costs, net of accumulated amortization of $3,111 and $6,344,</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10,453</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8,570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2,143,435</w:t>
            </w:r>
          </w:p>
        </w:tc>
        <w:tc>
          <w:tcPr>
            <w:tcW w:w="11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1,999,378</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Obligations under capital leases</w:t>
            </w: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159,486</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Mortgages and construction loans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254,871</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279,417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361,323</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207,711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61,018</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79,517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Dividends payable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26,021</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Security deposits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7,208</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Prepaid rents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17,552</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535,000</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535,000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5 1/4% Convertible subordinated debentures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1,422,479</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1,325,725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29,582</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29,366</w:t>
            </w:r>
          </w:p>
        </w:tc>
        <w:tc>
          <w:tcPr>
            <w:tcW w:w="0" w:type="dxa"/>
            <w:vAlign w:val="bottom"/>
          </w:tcPr>
          <w:p>
            <w:pPr>
              <w:spacing w:after="0"/>
              <w:rPr>
                <w:sz w:val="1"/>
                <w:szCs w:val="1"/>
                <w:color w:val="auto"/>
              </w:rPr>
            </w:pPr>
          </w:p>
        </w:tc>
      </w:tr>
      <w:tr>
        <w:trPr>
          <w:trHeight w:val="432"/>
        </w:trPr>
        <w:tc>
          <w:tcPr>
            <w:tcW w:w="62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Preferred stock, authorized 15,000,000 shares, $.01 par: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ind w:left="400"/>
              <w:spacing w:after="0" w:line="201" w:lineRule="exact"/>
              <w:rPr>
                <w:sz w:val="20"/>
                <w:szCs w:val="20"/>
                <w:color w:val="auto"/>
              </w:rPr>
            </w:pPr>
            <w:r>
              <w:rPr>
                <w:rFonts w:ascii="Arial" w:cs="Arial" w:eastAsia="Arial" w:hAnsi="Arial"/>
                <w:sz w:val="18"/>
                <w:szCs w:val="18"/>
                <w:color w:val="auto"/>
              </w:rPr>
              <w:t>7.95% Series A Cumulative Redeemable Preferred Shares, (stated at</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liquidation preference $25 per share), 4,000,000 shares issued in 1997</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tcPr>
          <w:p>
            <w:pPr>
              <w:ind w:left="400"/>
              <w:spacing w:after="0" w:line="201" w:lineRule="exact"/>
              <w:rPr>
                <w:sz w:val="20"/>
                <w:szCs w:val="20"/>
                <w:color w:val="auto"/>
              </w:rPr>
            </w:pPr>
            <w:r>
              <w:rPr>
                <w:rFonts w:ascii="Arial" w:cs="Arial" w:eastAsia="Arial" w:hAnsi="Arial"/>
                <w:sz w:val="18"/>
                <w:szCs w:val="18"/>
                <w:color w:val="auto"/>
              </w:rPr>
              <w:t>8.5% Series B Cumulative Redeemable Preferred Shares, (stated at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liquidation preference $25 per share), 5,400,000 shares issued in 2001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2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w w:val="93"/>
              </w:rPr>
              <w:t>Common shares of beneficial interest, $.01 par, 100,000,000 shares authorized,</w:t>
            </w: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50,670,851 and 44,996,382 issued, respectively</w:t>
            </w:r>
          </w:p>
        </w:tc>
        <w:tc>
          <w:tcPr>
            <w:tcW w:w="2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EEEEEE"/>
          </w:tcPr>
          <w:p>
            <w:pPr>
              <w:spacing w:after="0"/>
              <w:rPr>
                <w:sz w:val="20"/>
                <w:szCs w:val="20"/>
                <w:color w:val="auto"/>
              </w:rPr>
            </w:pP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60"/>
              <w:spacing w:after="0"/>
              <w:rPr>
                <w:sz w:val="20"/>
                <w:szCs w:val="20"/>
                <w:color w:val="auto"/>
              </w:rPr>
            </w:pPr>
            <w:r>
              <w:rPr>
                <w:rFonts w:ascii="Arial" w:cs="Arial" w:eastAsia="Arial" w:hAnsi="Arial"/>
                <w:sz w:val="18"/>
                <w:szCs w:val="18"/>
                <w:color w:val="auto"/>
              </w:rPr>
              <w:t>980,227</w:t>
            </w:r>
          </w:p>
        </w:tc>
        <w:tc>
          <w:tcPr>
            <w:tcW w:w="220" w:type="dxa"/>
            <w:vAlign w:val="bottom"/>
          </w:tcPr>
          <w:p>
            <w:pPr>
              <w:spacing w:after="0"/>
              <w:rPr>
                <w:sz w:val="18"/>
                <w:szCs w:val="18"/>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8"/>
                <w:szCs w:val="18"/>
                <w:color w:val="auto"/>
              </w:rPr>
              <w:t>818,290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Accumulated dividends in excess of Trust net income</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(386,738)</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(368,839)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728,995</w:t>
            </w:r>
          </w:p>
        </w:tc>
        <w:tc>
          <w:tcPr>
            <w:tcW w:w="1160" w:type="dxa"/>
            <w:vAlign w:val="bottom"/>
          </w:tcPr>
          <w:p>
            <w:pPr>
              <w:spacing w:after="0"/>
              <w:rPr>
                <w:sz w:val="18"/>
                <w:szCs w:val="18"/>
                <w:color w:val="auto"/>
              </w:rPr>
            </w:pPr>
          </w:p>
        </w:tc>
        <w:tc>
          <w:tcPr>
            <w:tcW w:w="220" w:type="dxa"/>
            <w:vAlign w:val="bottom"/>
            <w:tcBorders>
              <w:top w:val="single" w:sz="8" w:color="808080"/>
            </w:tcBorders>
          </w:tcPr>
          <w:p>
            <w:pPr>
              <w:spacing w:after="0"/>
              <w:rPr>
                <w:sz w:val="18"/>
                <w:szCs w:val="18"/>
                <w:color w:val="auto"/>
              </w:rPr>
            </w:pPr>
          </w:p>
        </w:tc>
        <w:tc>
          <w:tcPr>
            <w:tcW w:w="1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684,901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w w:val="95"/>
              </w:rPr>
              <w:t>1,470,275 and 1,461,147 common shares in treasury — at cost, respectively</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18"/>
                <w:szCs w:val="18"/>
                <w:color w:val="auto"/>
              </w:rPr>
              <w:t>(28,445)</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Deferred compensation on restricted shares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(5,474)</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00"/>
              <w:spacing w:after="0"/>
              <w:rPr>
                <w:sz w:val="20"/>
                <w:szCs w:val="20"/>
                <w:color w:val="auto"/>
              </w:rPr>
            </w:pPr>
            <w:r>
              <w:rPr>
                <w:rFonts w:ascii="Arial" w:cs="Arial" w:eastAsia="Arial" w:hAnsi="Arial"/>
                <w:sz w:val="18"/>
                <w:szCs w:val="18"/>
                <w:color w:val="auto"/>
              </w:rPr>
              <w:t>Notes receivable from employee stock plans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2"/>
          </w:tcPr>
          <w:p>
            <w:pPr>
              <w:jc w:val="right"/>
              <w:ind w:right="1100"/>
              <w:spacing w:after="0"/>
              <w:rPr>
                <w:sz w:val="20"/>
                <w:szCs w:val="20"/>
                <w:color w:val="auto"/>
              </w:rPr>
            </w:pPr>
            <w:r>
              <w:rPr>
                <w:rFonts w:ascii="Arial" w:cs="Arial" w:eastAsia="Arial" w:hAnsi="Arial"/>
                <w:sz w:val="18"/>
                <w:szCs w:val="18"/>
                <w:color w:val="auto"/>
              </w:rPr>
              <w:t>(3,615)</w:t>
            </w:r>
          </w:p>
        </w:tc>
        <w:tc>
          <w:tcPr>
            <w:tcW w:w="220" w:type="dxa"/>
            <w:vAlign w:val="bottom"/>
          </w:tcPr>
          <w:p>
            <w:pPr>
              <w:spacing w:after="0"/>
              <w:rPr>
                <w:sz w:val="18"/>
                <w:szCs w:val="18"/>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80" w:type="dxa"/>
            <w:vAlign w:val="bottom"/>
            <w:gridSpan w:val="2"/>
            <w:shd w:val="clear" w:color="auto" w:fill="EEEEEE"/>
          </w:tcPr>
          <w:p>
            <w:pPr>
              <w:jc w:val="right"/>
              <w:ind w:right="110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spacing w:after="0"/>
              <w:rPr>
                <w:sz w:val="20"/>
                <w:szCs w:val="20"/>
                <w:color w:val="auto"/>
              </w:rPr>
            </w:pP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691,374</w:t>
            </w:r>
          </w:p>
        </w:tc>
        <w:tc>
          <w:tcPr>
            <w:tcW w:w="1160" w:type="dxa"/>
            <w:vAlign w:val="bottom"/>
          </w:tcPr>
          <w:p>
            <w:pPr>
              <w:spacing w:after="0"/>
              <w:rPr>
                <w:sz w:val="20"/>
                <w:szCs w:val="20"/>
                <w:color w:val="auto"/>
              </w:rPr>
            </w:pPr>
          </w:p>
        </w:tc>
        <w:tc>
          <w:tcPr>
            <w:tcW w:w="220" w:type="dxa"/>
            <w:vAlign w:val="bottom"/>
            <w:tcBorders>
              <w:top w:val="single" w:sz="8" w:color="808080"/>
              <w:bottom w:val="single" w:sz="8" w:color="808080"/>
            </w:tcBorders>
          </w:tcPr>
          <w:p>
            <w:pPr>
              <w:spacing w:after="0"/>
              <w:rPr>
                <w:sz w:val="20"/>
                <w:szCs w:val="20"/>
                <w:color w:val="auto"/>
              </w:rPr>
            </w:pPr>
          </w:p>
        </w:tc>
        <w:tc>
          <w:tcPr>
            <w:tcW w:w="1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644,287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EEEEEE"/>
          </w:tcPr>
          <w:p>
            <w:pPr>
              <w:jc w:val="right"/>
              <w:ind w:right="1160"/>
              <w:spacing w:after="0"/>
              <w:rPr>
                <w:sz w:val="20"/>
                <w:szCs w:val="20"/>
                <w:color w:val="auto"/>
              </w:rPr>
            </w:pPr>
            <w:r>
              <w:rPr>
                <w:rFonts w:ascii="Arial" w:cs="Arial" w:eastAsia="Arial" w:hAnsi="Arial"/>
                <w:sz w:val="18"/>
                <w:szCs w:val="18"/>
                <w:color w:val="auto"/>
              </w:rPr>
              <w:t>2,143,435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1,999,378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96"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31"/>
              <w:spacing w:after="0"/>
              <w:rPr>
                <w:sz w:val="20"/>
                <w:szCs w:val="20"/>
                <w:color w:val="auto"/>
              </w:rPr>
            </w:pPr>
            <w:r>
              <w:rPr>
                <w:rFonts w:ascii="Arial" w:cs="Arial" w:eastAsia="Arial" w:hAnsi="Arial"/>
                <w:sz w:val="14"/>
                <w:szCs w:val="14"/>
                <w:b w:val="1"/>
                <w:bCs w:val="1"/>
                <w:color w:val="auto"/>
              </w:rPr>
              <w:t>2002</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2001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Rental income</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334,697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295,016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269,288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property income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17,800</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15,468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Interest and other income</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5,379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5,156</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6,590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357,876</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315,640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289,585</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Rental</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83,447</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72,990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Real estate taxes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34,596</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30,687</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75,232</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65,058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11,820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13,790</w:t>
            </w:r>
          </w:p>
        </w:tc>
        <w:tc>
          <w:tcPr>
            <w:tcW w:w="26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Restructuring</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22,269</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75,089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63,777</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58,231</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280,184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268,571</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231,090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before minority interests and discontinued operations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top w:val="single" w:sz="8" w:color="808080"/>
            </w:tcBorders>
          </w:tcPr>
          <w:p>
            <w:pPr>
              <w:spacing w:after="0"/>
              <w:rPr>
                <w:sz w:val="18"/>
                <w:szCs w:val="18"/>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77,692</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Borders>
              <w:top w:val="single" w:sz="8" w:color="808080"/>
            </w:tcBorders>
          </w:tcPr>
          <w:p>
            <w:pPr>
              <w:spacing w:after="0"/>
              <w:rPr>
                <w:sz w:val="18"/>
                <w:szCs w:val="18"/>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47,069</w:t>
            </w:r>
          </w:p>
        </w:tc>
        <w:tc>
          <w:tcPr>
            <w:tcW w:w="1020" w:type="dxa"/>
            <w:vAlign w:val="bottom"/>
          </w:tcPr>
          <w:p>
            <w:pPr>
              <w:spacing w:after="0"/>
              <w:rPr>
                <w:sz w:val="18"/>
                <w:szCs w:val="18"/>
                <w:color w:val="auto"/>
              </w:rPr>
            </w:pPr>
          </w:p>
        </w:tc>
        <w:tc>
          <w:tcPr>
            <w:tcW w:w="260" w:type="dxa"/>
            <w:vAlign w:val="bottom"/>
            <w:tcBorders>
              <w:top w:val="single" w:sz="8" w:color="808080"/>
            </w:tcBorders>
          </w:tcPr>
          <w:p>
            <w:pPr>
              <w:spacing w:after="0"/>
              <w:rPr>
                <w:sz w:val="18"/>
                <w:szCs w:val="18"/>
                <w:color w:val="auto"/>
              </w:rPr>
            </w:pPr>
          </w:p>
        </w:tc>
        <w:tc>
          <w:tcPr>
            <w:tcW w:w="8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58,495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Minority Interests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(4,670)</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(4,112)</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spacing w:after="0"/>
              <w:rPr>
                <w:sz w:val="20"/>
                <w:szCs w:val="20"/>
                <w:color w:val="auto"/>
              </w:rPr>
            </w:pP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73,022</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spacing w:after="0"/>
              <w:rPr>
                <w:sz w:val="20"/>
                <w:szCs w:val="20"/>
                <w:color w:val="auto"/>
              </w:rPr>
            </w:pP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42,957</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spacing w:after="0"/>
              <w:rPr>
                <w:sz w:val="20"/>
                <w:szCs w:val="20"/>
                <w:color w:val="auto"/>
              </w:rPr>
            </w:pP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53,325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Operating income from 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1,422</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2,876</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Gain on sale of real estate</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20,053</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9,454</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9,185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Income from 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21,475</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12,330</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Borders>
              <w:top w:val="single" w:sz="8" w:color="808080"/>
            </w:tcBorders>
          </w:tcPr>
          <w:p>
            <w:pPr>
              <w:spacing w:after="0"/>
              <w:rPr>
                <w:sz w:val="19"/>
                <w:szCs w:val="19"/>
                <w:color w:val="auto"/>
              </w:rPr>
            </w:pPr>
          </w:p>
        </w:tc>
        <w:tc>
          <w:tcPr>
            <w:tcW w:w="88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94,497</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808080"/>
            </w:tcBorders>
          </w:tcPr>
          <w:p>
            <w:pPr>
              <w:spacing w:after="0"/>
              <w:rPr>
                <w:sz w:val="19"/>
                <w:szCs w:val="19"/>
                <w:color w:val="auto"/>
              </w:rPr>
            </w:pPr>
          </w:p>
        </w:tc>
        <w:tc>
          <w:tcPr>
            <w:tcW w:w="104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55,287</w:t>
            </w:r>
          </w:p>
        </w:tc>
        <w:tc>
          <w:tcPr>
            <w:tcW w:w="1020" w:type="dxa"/>
            <w:vAlign w:val="bottom"/>
          </w:tcPr>
          <w:p>
            <w:pPr>
              <w:spacing w:after="0"/>
              <w:rPr>
                <w:sz w:val="19"/>
                <w:szCs w:val="19"/>
                <w:color w:val="auto"/>
              </w:rPr>
            </w:pPr>
          </w:p>
        </w:tc>
        <w:tc>
          <w:tcPr>
            <w:tcW w:w="260" w:type="dxa"/>
            <w:vAlign w:val="bottom"/>
            <w:tcBorders>
              <w:top w:val="single" w:sz="8" w:color="808080"/>
            </w:tcBorders>
          </w:tcPr>
          <w:p>
            <w:pPr>
              <w:spacing w:after="0"/>
              <w:rPr>
                <w:sz w:val="19"/>
                <w:szCs w:val="19"/>
                <w:color w:val="auto"/>
              </w:rPr>
            </w:pPr>
          </w:p>
        </w:tc>
        <w:tc>
          <w:tcPr>
            <w:tcW w:w="860" w:type="dxa"/>
            <w:vAlign w:val="bottom"/>
            <w:tcBorders>
              <w:top w:val="single" w:sz="8" w:color="808080"/>
            </w:tcBorders>
          </w:tcPr>
          <w:p>
            <w:pPr>
              <w:jc w:val="right"/>
              <w:spacing w:after="0"/>
              <w:rPr>
                <w:sz w:val="20"/>
                <w:szCs w:val="20"/>
                <w:color w:val="auto"/>
              </w:rPr>
            </w:pPr>
            <w:r>
              <w:rPr>
                <w:rFonts w:ascii="Arial" w:cs="Arial" w:eastAsia="Arial" w:hAnsi="Arial"/>
                <w:sz w:val="18"/>
                <w:szCs w:val="18"/>
                <w:b w:val="1"/>
                <w:bCs w:val="1"/>
                <w:color w:val="auto"/>
              </w:rPr>
              <w:t>68,756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Dividends on preferred stock</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(15,084)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960"/>
              <w:spacing w:after="0"/>
              <w:rPr>
                <w:sz w:val="20"/>
                <w:szCs w:val="20"/>
                <w:color w:val="auto"/>
              </w:rPr>
            </w:pPr>
            <w:r>
              <w:rPr>
                <w:rFonts w:ascii="Arial" w:cs="Arial" w:eastAsia="Arial" w:hAnsi="Arial"/>
                <w:sz w:val="18"/>
                <w:szCs w:val="18"/>
                <w:color w:val="auto"/>
              </w:rPr>
              <w:t>(19,425)</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9"/>
              </w:rPr>
              <w:t>Preferred stock redemption — excess of redemption cost over</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carrying value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(3,423)</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88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1040" w:type="dxa"/>
            <w:vAlign w:val="bottom"/>
            <w:shd w:val="clear" w:color="auto" w:fill="80808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shd w:val="clear" w:color="auto" w:fill="808080"/>
          </w:tcPr>
          <w:p>
            <w:pPr>
              <w:spacing w:after="0" w:line="20" w:lineRule="exact"/>
              <w:rPr>
                <w:sz w:val="1"/>
                <w:szCs w:val="1"/>
                <w:color w:val="auto"/>
              </w:rPr>
            </w:pPr>
          </w:p>
        </w:tc>
        <w:tc>
          <w:tcPr>
            <w:tcW w:w="86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for common shareholders</w:t>
            </w: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75,990</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35,862</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59,722</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1.15</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460" w:type="dxa"/>
            <w:vAlign w:val="bottom"/>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8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0.29</w:t>
            </w:r>
          </w:p>
        </w:tc>
        <w:tc>
          <w:tcPr>
            <w:tcW w:w="1020" w:type="dxa"/>
            <w:vAlign w:val="bottom"/>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8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0.39</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1.60</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0.86</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120"/>
              <w:spacing w:after="0"/>
              <w:rPr>
                <w:sz w:val="20"/>
                <w:szCs w:val="20"/>
                <w:color w:val="auto"/>
              </w:rPr>
            </w:pPr>
            <w:r>
              <w:rPr>
                <w:rFonts w:ascii="Arial" w:cs="Arial" w:eastAsia="Arial" w:hAnsi="Arial"/>
                <w:sz w:val="18"/>
                <w:szCs w:val="18"/>
                <w:color w:val="auto"/>
              </w:rPr>
              <w:t>Weighted average number of common shares, basic</w:t>
            </w: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spacing w:after="0"/>
              <w:rPr>
                <w:sz w:val="20"/>
                <w:szCs w:val="20"/>
                <w:color w:val="auto"/>
              </w:rPr>
            </w:pP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47379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spacing w:after="0"/>
              <w:rPr>
                <w:sz w:val="20"/>
                <w:szCs w:val="20"/>
                <w:color w:val="auto"/>
              </w:rPr>
            </w:pP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41624</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spacing w:after="0"/>
              <w:rPr>
                <w:sz w:val="20"/>
                <w:szCs w:val="20"/>
                <w:color w:val="auto"/>
              </w:rPr>
            </w:pP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39164</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Arial" w:cs="Arial" w:eastAsia="Arial" w:hAnsi="Arial"/>
                <w:sz w:val="18"/>
                <w:szCs w:val="18"/>
                <w:color w:val="auto"/>
              </w:rPr>
              <w:t>Income from continuing operations</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0.57</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0.44</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top w:val="single" w:sz="8" w:color="808080"/>
              <w:bottom w:val="single" w:sz="8" w:color="808080"/>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0.85</w:t>
            </w:r>
          </w:p>
        </w:tc>
        <w:tc>
          <w:tcPr>
            <w:tcW w:w="1020" w:type="dxa"/>
            <w:vAlign w:val="bottom"/>
          </w:tcPr>
          <w:p>
            <w:pPr>
              <w:spacing w:after="0"/>
              <w:rPr>
                <w:sz w:val="20"/>
                <w:szCs w:val="20"/>
                <w:color w:val="auto"/>
              </w:rPr>
            </w:pPr>
          </w:p>
        </w:tc>
        <w:tc>
          <w:tcPr>
            <w:tcW w:w="260" w:type="dxa"/>
            <w:vAlign w:val="bottom"/>
            <w:tcBorders>
              <w:top w:val="single" w:sz="8" w:color="808080"/>
              <w:bottom w:val="single" w:sz="8" w:color="808080"/>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1.52</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Weighted average number of common shares, diluted</w:t>
            </w:r>
          </w:p>
        </w:tc>
        <w:tc>
          <w:tcPr>
            <w:tcW w:w="4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48619</w:t>
            </w:r>
          </w:p>
        </w:tc>
        <w:tc>
          <w:tcPr>
            <w:tcW w:w="6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6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42882</w:t>
            </w:r>
          </w:p>
        </w:tc>
        <w:tc>
          <w:tcPr>
            <w:tcW w:w="26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40266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1040" w:type="dxa"/>
            <w:vAlign w:val="bottom"/>
            <w:tcBorders>
              <w:bottom w:val="single" w:sz="8" w:color="808080"/>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8"/>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rPr>
              <w:t>2002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ind w:right="46"/>
              <w:spacing w:after="0"/>
              <w:rPr>
                <w:sz w:val="20"/>
                <w:szCs w:val="20"/>
                <w:color w:val="auto"/>
              </w:rPr>
            </w:pPr>
            <w:r>
              <w:rPr>
                <w:rFonts w:ascii="Arial" w:cs="Arial" w:eastAsia="Arial" w:hAnsi="Arial"/>
                <w:sz w:val="11"/>
                <w:szCs w:val="11"/>
                <w:b w:val="1"/>
                <w:bCs w:val="1"/>
                <w:color w:val="auto"/>
              </w:rPr>
              <w:t>2001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3160" w:type="dxa"/>
            <w:vAlign w:val="bottom"/>
            <w:gridSpan w:val="2"/>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(In thousands, except share data)</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Additional</w:t>
            </w:r>
          </w:p>
        </w:tc>
        <w:tc>
          <w:tcPr>
            <w:tcW w:w="16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Additional</w:t>
            </w:r>
          </w:p>
        </w:tc>
        <w:tc>
          <w:tcPr>
            <w:tcW w:w="0" w:type="dxa"/>
            <w:vAlign w:val="bottom"/>
          </w:tcPr>
          <w:p>
            <w:pPr>
              <w:spacing w:after="0"/>
              <w:rPr>
                <w:sz w:val="1"/>
                <w:szCs w:val="1"/>
                <w:color w:val="auto"/>
              </w:rPr>
            </w:pPr>
          </w:p>
        </w:tc>
      </w:tr>
      <w:tr>
        <w:trPr>
          <w:trHeight w:val="135"/>
        </w:trPr>
        <w:tc>
          <w:tcPr>
            <w:tcW w:w="3160" w:type="dxa"/>
            <w:vAlign w:val="bottom"/>
            <w:gridSpan w:val="2"/>
          </w:tcPr>
          <w:p>
            <w:pPr>
              <w:spacing w:after="0"/>
              <w:rPr>
                <w:sz w:val="20"/>
                <w:szCs w:val="20"/>
                <w:color w:val="auto"/>
              </w:rPr>
            </w:pPr>
            <w:r>
              <w:rPr>
                <w:rFonts w:ascii="Arial" w:cs="Arial" w:eastAsia="Arial" w:hAnsi="Arial"/>
                <w:sz w:val="11"/>
                <w:szCs w:val="11"/>
                <w:b w:val="1"/>
                <w:bCs w:val="1"/>
                <w:color w:val="auto"/>
              </w:rPr>
              <w:t>Discontinued Operations</w:t>
            </w: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4"/>
          </w:tcPr>
          <w:p>
            <w:pPr>
              <w:ind w:left="120"/>
              <w:spacing w:after="0"/>
              <w:rPr>
                <w:sz w:val="20"/>
                <w:szCs w:val="20"/>
                <w:color w:val="auto"/>
              </w:rPr>
            </w:pPr>
            <w:r>
              <w:rPr>
                <w:rFonts w:ascii="Arial" w:cs="Arial" w:eastAsia="Arial" w:hAnsi="Arial"/>
                <w:sz w:val="11"/>
                <w:szCs w:val="11"/>
                <w:b w:val="1"/>
                <w:bCs w:val="1"/>
                <w:color w:val="auto"/>
              </w:rPr>
              <w:t>Paid-in Capital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4"/>
          </w:tcPr>
          <w:p>
            <w:pPr>
              <w:ind w:left="140"/>
              <w:spacing w:after="0"/>
              <w:rPr>
                <w:sz w:val="20"/>
                <w:szCs w:val="20"/>
                <w:color w:val="auto"/>
              </w:rPr>
            </w:pPr>
            <w:r>
              <w:rPr>
                <w:rFonts w:ascii="Arial" w:cs="Arial" w:eastAsia="Arial" w:hAnsi="Arial"/>
                <w:sz w:val="11"/>
                <w:szCs w:val="11"/>
                <w:b w:val="1"/>
                <w:bCs w:val="1"/>
                <w:color w:val="auto"/>
              </w:rPr>
              <w:t>Paid-in Capital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3"/>
          </w:tcPr>
          <w:p>
            <w:pPr>
              <w:spacing w:after="0"/>
              <w:rPr>
                <w:sz w:val="20"/>
                <w:szCs w:val="20"/>
                <w:color w:val="auto"/>
              </w:rPr>
            </w:pPr>
            <w:r>
              <w:rPr>
                <w:rFonts w:ascii="Arial" w:cs="Arial" w:eastAsia="Arial" w:hAnsi="Arial"/>
                <w:sz w:val="11"/>
                <w:szCs w:val="11"/>
                <w:b w:val="1"/>
                <w:bCs w:val="1"/>
                <w:color w:val="auto"/>
              </w:rPr>
              <w:t>Paid-in Capital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Common Shares of Beneficial Interest</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44,996,382</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450</w:t>
            </w:r>
          </w:p>
        </w:tc>
        <w:tc>
          <w:tcPr>
            <w:tcW w:w="160" w:type="dxa"/>
            <w:vAlign w:val="bottom"/>
          </w:tcPr>
          <w:p>
            <w:pPr>
              <w:spacing w:after="0"/>
              <w:rPr>
                <w:sz w:val="10"/>
                <w:szCs w:val="10"/>
                <w:color w:val="auto"/>
              </w:rPr>
            </w:pPr>
          </w:p>
        </w:tc>
        <w:tc>
          <w:tcPr>
            <w:tcW w:w="200" w:type="dxa"/>
            <w:vAlign w:val="bottom"/>
            <w:gridSpan w:val="2"/>
          </w:tcPr>
          <w:p>
            <w:pPr>
              <w:ind w:left="120"/>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818,290</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41,524,165</w:t>
            </w: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417</w:t>
            </w:r>
          </w:p>
        </w:tc>
        <w:tc>
          <w:tcPr>
            <w:tcW w:w="160" w:type="dxa"/>
            <w:vAlign w:val="bottom"/>
          </w:tcPr>
          <w:p>
            <w:pPr>
              <w:spacing w:after="0"/>
              <w:rPr>
                <w:sz w:val="10"/>
                <w:szCs w:val="10"/>
                <w:color w:val="auto"/>
              </w:rPr>
            </w:pPr>
          </w:p>
        </w:tc>
        <w:tc>
          <w:tcPr>
            <w:tcW w:w="220" w:type="dxa"/>
            <w:vAlign w:val="bottom"/>
            <w:gridSpan w:val="2"/>
          </w:tcPr>
          <w:p>
            <w:pPr>
              <w:ind w:left="140"/>
              <w:spacing w:after="0" w:line="122" w:lineRule="exact"/>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730,835</w:t>
            </w:r>
          </w:p>
        </w:tc>
        <w:tc>
          <w:tcPr>
            <w:tcW w:w="9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40,910,972</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410</w:t>
            </w:r>
          </w:p>
        </w:tc>
        <w:tc>
          <w:tcPr>
            <w:tcW w:w="28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723,078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Exercise of stock options</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2,124,869</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21</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50,749</w:t>
            </w:r>
          </w:p>
        </w:tc>
        <w:tc>
          <w:tcPr>
            <w:tcW w:w="7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951,971</w:t>
            </w: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9</w:t>
            </w: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20,857</w:t>
            </w:r>
          </w:p>
        </w:tc>
        <w:tc>
          <w:tcPr>
            <w:tcW w:w="980" w:type="dxa"/>
            <w:vAlign w:val="bottom"/>
            <w:gridSpan w:val="3"/>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22,066</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Shares issued under dividend reinvestment plan</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109,835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3,541</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134,247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3,488</w:t>
            </w:r>
          </w:p>
        </w:tc>
        <w:tc>
          <w:tcPr>
            <w:tcW w:w="9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159,234</w:t>
            </w: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3,277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40" w:type="dxa"/>
            <w:vAlign w:val="bottom"/>
            <w:shd w:val="clear" w:color="auto" w:fill="EEEEEE"/>
          </w:tcPr>
          <w:p>
            <w:pPr>
              <w:ind w:left="120"/>
              <w:spacing w:after="0" w:line="112" w:lineRule="exact"/>
              <w:rPr>
                <w:sz w:val="20"/>
                <w:szCs w:val="20"/>
                <w:color w:val="auto"/>
              </w:rPr>
            </w:pPr>
            <w:r>
              <w:rPr>
                <w:rFonts w:ascii="Arial" w:cs="Arial" w:eastAsia="Arial" w:hAnsi="Arial"/>
                <w:sz w:val="11"/>
                <w:szCs w:val="11"/>
                <w:color w:val="auto"/>
                <w:w w:val="99"/>
              </w:rPr>
              <w:t>Performance and Restricted Shares granted, net of Restricted</w:t>
            </w:r>
          </w:p>
        </w:tc>
        <w:tc>
          <w:tcPr>
            <w:tcW w:w="6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4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shd w:val="clear" w:color="auto" w:fill="EEEEEE"/>
          </w:tcPr>
          <w:p>
            <w:pPr>
              <w:ind w:left="260"/>
              <w:spacing w:after="0"/>
              <w:rPr>
                <w:sz w:val="20"/>
                <w:szCs w:val="20"/>
                <w:color w:val="auto"/>
              </w:rPr>
            </w:pPr>
            <w:r>
              <w:rPr>
                <w:rFonts w:ascii="Arial" w:cs="Arial" w:eastAsia="Arial" w:hAnsi="Arial"/>
                <w:sz w:val="11"/>
                <w:szCs w:val="11"/>
                <w:color w:val="auto"/>
              </w:rPr>
              <w:t>Shares retired</w:t>
            </w:r>
          </w:p>
        </w:tc>
        <w:tc>
          <w:tcPr>
            <w:tcW w:w="620" w:type="dxa"/>
            <w:vAlign w:val="bottom"/>
            <w:shd w:val="clear" w:color="auto" w:fill="EEEEEE"/>
          </w:tcPr>
          <w:p>
            <w:pPr>
              <w:jc w:val="right"/>
              <w:spacing w:after="0"/>
              <w:rPr>
                <w:sz w:val="20"/>
                <w:szCs w:val="20"/>
                <w:color w:val="auto"/>
              </w:rPr>
            </w:pPr>
            <w:r>
              <w:rPr>
                <w:rFonts w:ascii="Arial" w:cs="Arial" w:eastAsia="Arial" w:hAnsi="Arial"/>
                <w:sz w:val="11"/>
                <w:szCs w:val="11"/>
                <w:color w:val="auto"/>
              </w:rPr>
              <w:t>138,568</w:t>
            </w:r>
          </w:p>
        </w:tc>
        <w:tc>
          <w:tcPr>
            <w:tcW w:w="3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1"/>
                <w:szCs w:val="11"/>
                <w:color w:val="auto"/>
              </w:rPr>
              <w:t>1</w:t>
            </w: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3,960</w:t>
            </w: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1"/>
                <w:szCs w:val="11"/>
                <w:color w:val="auto"/>
              </w:rPr>
              <w:t>98,092</w:t>
            </w:r>
          </w:p>
        </w:tc>
        <w:tc>
          <w:tcPr>
            <w:tcW w:w="10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2,468</w:t>
            </w:r>
          </w:p>
        </w:tc>
        <w:tc>
          <w:tcPr>
            <w:tcW w:w="980" w:type="dxa"/>
            <w:vAlign w:val="bottom"/>
            <w:gridSpan w:val="3"/>
            <w:shd w:val="clear" w:color="auto" w:fill="EEEEEE"/>
          </w:tcPr>
          <w:p>
            <w:pPr>
              <w:jc w:val="right"/>
              <w:ind w:right="200"/>
              <w:spacing w:after="0"/>
              <w:rPr>
                <w:sz w:val="20"/>
                <w:szCs w:val="20"/>
                <w:color w:val="auto"/>
              </w:rPr>
            </w:pPr>
            <w:r>
              <w:rPr>
                <w:rFonts w:ascii="Arial" w:cs="Arial" w:eastAsia="Arial" w:hAnsi="Arial"/>
                <w:sz w:val="11"/>
                <w:szCs w:val="11"/>
                <w:color w:val="auto"/>
              </w:rPr>
              <w:t>96,657</w:t>
            </w:r>
          </w:p>
        </w:tc>
        <w:tc>
          <w:tcPr>
            <w:tcW w:w="240" w:type="dxa"/>
            <w:vAlign w:val="bottom"/>
            <w:tcBorders>
              <w:right w:val="single" w:sz="8" w:color="EEEEEE"/>
            </w:tcBorders>
            <w:shd w:val="clear" w:color="auto" w:fill="EEEEEE"/>
          </w:tcPr>
          <w:p>
            <w:pPr>
              <w:spacing w:after="0"/>
              <w:rPr>
                <w:sz w:val="11"/>
                <w:szCs w:val="11"/>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1"/>
                <w:szCs w:val="11"/>
                <w:color w:val="auto"/>
              </w:rPr>
              <w:t>2</w:t>
            </w:r>
          </w:p>
        </w:tc>
        <w:tc>
          <w:tcPr>
            <w:tcW w:w="2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1"/>
                <w:szCs w:val="11"/>
                <w:color w:val="auto"/>
              </w:rPr>
              <w:t>1,877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Issuance of shares in public offering</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3,236,245</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98,368</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2,185,000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56,631</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Reclassification for preferred stock redemption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3,423</w:t>
            </w: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Shares issued to purchase operating partnership units</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64,952</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1,896</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100,000</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2,769</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Cost of 8.5% Series B Cumulative Preferred Shares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20" w:type="dxa"/>
            <w:vAlign w:val="bottom"/>
            <w:gridSpan w:val="2"/>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-4,775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Accelerated vesting of options and restricted shares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1,165</w:t>
            </w:r>
          </w:p>
        </w:tc>
        <w:tc>
          <w:tcPr>
            <w:tcW w:w="16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Shares issued to purchase partnership interest</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2,907</w:t>
            </w: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6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77</w:t>
            </w:r>
          </w:p>
        </w:tc>
        <w:tc>
          <w:tcPr>
            <w:tcW w:w="980" w:type="dxa"/>
            <w:vAlign w:val="bottom"/>
            <w:gridSpan w:val="3"/>
            <w:shd w:val="clear" w:color="auto" w:fill="EEEEEE"/>
          </w:tcPr>
          <w:p>
            <w:pPr>
              <w:jc w:val="right"/>
              <w:ind w:right="200"/>
              <w:spacing w:after="0" w:line="122" w:lineRule="exact"/>
              <w:rPr>
                <w:sz w:val="20"/>
                <w:szCs w:val="20"/>
                <w:color w:val="auto"/>
              </w:rPr>
            </w:pPr>
            <w:r>
              <w:rPr>
                <w:rFonts w:ascii="Arial" w:cs="Arial" w:eastAsia="Arial" w:hAnsi="Arial"/>
                <w:sz w:val="11"/>
                <w:szCs w:val="11"/>
                <w:color w:val="auto"/>
              </w:rPr>
              <w:t>335,236</w:t>
            </w: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3</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780" w:type="dxa"/>
            <w:vAlign w:val="bottom"/>
            <w:gridSpan w:val="2"/>
            <w:shd w:val="clear" w:color="auto" w:fill="EEEEEE"/>
          </w:tcPr>
          <w:p>
            <w:pPr>
              <w:jc w:val="right"/>
              <w:ind w:right="140"/>
              <w:spacing w:after="0" w:line="122" w:lineRule="exact"/>
              <w:rPr>
                <w:sz w:val="20"/>
                <w:szCs w:val="20"/>
                <w:color w:val="auto"/>
              </w:rPr>
            </w:pPr>
            <w:r>
              <w:rPr>
                <w:rFonts w:ascii="Arial" w:cs="Arial" w:eastAsia="Arial" w:hAnsi="Arial"/>
                <w:sz w:val="11"/>
                <w:szCs w:val="11"/>
                <w:color w:val="auto"/>
              </w:rPr>
              <w:t>6,919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50,670,851</w:t>
            </w:r>
          </w:p>
        </w:tc>
        <w:tc>
          <w:tcPr>
            <w:tcW w:w="3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506</w:t>
            </w:r>
          </w:p>
        </w:tc>
        <w:tc>
          <w:tcPr>
            <w:tcW w:w="160" w:type="dxa"/>
            <w:vAlign w:val="bottom"/>
          </w:tcPr>
          <w:p>
            <w:pPr>
              <w:spacing w:after="0"/>
              <w:rPr>
                <w:sz w:val="12"/>
                <w:szCs w:val="12"/>
                <w:color w:val="auto"/>
              </w:rPr>
            </w:pP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980,227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44,996,382</w:t>
            </w:r>
          </w:p>
        </w:tc>
        <w:tc>
          <w:tcPr>
            <w:tcW w:w="10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450</w:t>
            </w:r>
          </w:p>
        </w:tc>
        <w:tc>
          <w:tcPr>
            <w:tcW w:w="160" w:type="dxa"/>
            <w:vAlign w:val="bottom"/>
          </w:tcPr>
          <w:p>
            <w:pPr>
              <w:spacing w:after="0"/>
              <w:rPr>
                <w:sz w:val="12"/>
                <w:szCs w:val="12"/>
                <w:color w:val="auto"/>
              </w:rPr>
            </w:pPr>
          </w:p>
        </w:tc>
        <w:tc>
          <w:tcPr>
            <w:tcW w:w="220" w:type="dxa"/>
            <w:vAlign w:val="bottom"/>
            <w:gridSpan w:val="2"/>
          </w:tcPr>
          <w:p>
            <w:pPr>
              <w:ind w:left="140"/>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818,290</w:t>
            </w:r>
          </w:p>
        </w:tc>
        <w:tc>
          <w:tcPr>
            <w:tcW w:w="980" w:type="dxa"/>
            <w:vAlign w:val="bottom"/>
            <w:gridSpan w:val="3"/>
          </w:tcPr>
          <w:p>
            <w:pPr>
              <w:jc w:val="right"/>
              <w:ind w:right="200"/>
              <w:spacing w:after="0"/>
              <w:rPr>
                <w:sz w:val="20"/>
                <w:szCs w:val="20"/>
                <w:color w:val="auto"/>
              </w:rPr>
            </w:pPr>
            <w:r>
              <w:rPr>
                <w:rFonts w:ascii="Arial" w:cs="Arial" w:eastAsia="Arial" w:hAnsi="Arial"/>
                <w:sz w:val="11"/>
                <w:szCs w:val="11"/>
                <w:color w:val="auto"/>
              </w:rPr>
              <w:t>41,524,165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417</w:t>
            </w:r>
          </w:p>
        </w:tc>
        <w:tc>
          <w:tcPr>
            <w:tcW w:w="2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730,835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Accumulated Dividends in Excess of Trust Net Income</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640" w:type="dxa"/>
            <w:vAlign w:val="bottom"/>
            <w:tcBorders>
              <w:top w:val="single" w:sz="8" w:color="808080"/>
            </w:tcBorders>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(368,839)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(322,428)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(306,287)</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94,497</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55,287</w:t>
            </w: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68,756</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Dividends declared to common shareholders</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(93,889)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(82,273)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(75,863)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w w:val="91"/>
              </w:rPr>
              <w:t>Dividends declared to preferred shareholders and redemption costs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(18,507)</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(19,425)</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(9,034)</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(386,738)</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(368,839)</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(322,428)</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1"/>
                <w:szCs w:val="11"/>
                <w:color w:val="auto"/>
              </w:rPr>
              <w:t>Common Shares of Beneficial Interest in Treasury</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16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980" w:type="dxa"/>
            <w:vAlign w:val="bottom"/>
            <w:gridSpan w:val="2"/>
            <w:shd w:val="clear" w:color="auto" w:fill="EEEEEE"/>
          </w:tcPr>
          <w:p>
            <w:pPr>
              <w:jc w:val="right"/>
              <w:ind w:right="320"/>
              <w:spacing w:after="0" w:line="122" w:lineRule="exact"/>
              <w:rPr>
                <w:sz w:val="20"/>
                <w:szCs w:val="20"/>
                <w:color w:val="auto"/>
              </w:rPr>
            </w:pPr>
            <w:r>
              <w:rPr>
                <w:rFonts w:ascii="Arial" w:cs="Arial" w:eastAsia="Arial" w:hAnsi="Arial"/>
                <w:sz w:val="11"/>
                <w:szCs w:val="11"/>
                <w:color w:val="auto"/>
              </w:rPr>
              <w:t>(1,461,147)</w:t>
            </w: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(28,193)</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(1,452,926)</w:t>
            </w: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(27,990)</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(1,441,594)</w:t>
            </w: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(27,753)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Performance and Restricted Shares forfeited</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(9,128)</w:t>
            </w:r>
          </w:p>
        </w:tc>
        <w:tc>
          <w:tcPr>
            <w:tcW w:w="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(8,221)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(11,322)</w:t>
            </w:r>
          </w:p>
        </w:tc>
        <w:tc>
          <w:tcPr>
            <w:tcW w:w="24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808080"/>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808080"/>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980" w:type="dxa"/>
            <w:vAlign w:val="bottom"/>
            <w:gridSpan w:val="2"/>
            <w:shd w:val="clear" w:color="auto" w:fill="EEEEEE"/>
          </w:tcPr>
          <w:p>
            <w:pPr>
              <w:jc w:val="right"/>
              <w:ind w:right="320"/>
              <w:spacing w:after="0" w:line="122" w:lineRule="exact"/>
              <w:rPr>
                <w:sz w:val="20"/>
                <w:szCs w:val="20"/>
                <w:color w:val="auto"/>
              </w:rPr>
            </w:pPr>
            <w:r>
              <w:rPr>
                <w:rFonts w:ascii="Arial" w:cs="Arial" w:eastAsia="Arial" w:hAnsi="Arial"/>
                <w:sz w:val="11"/>
                <w:szCs w:val="11"/>
                <w:color w:val="auto"/>
              </w:rPr>
              <w:t>(1,470,275)</w:t>
            </w: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(28,445)</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(1,461,147)</w:t>
            </w: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(28,193)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(1,452,916)</w:t>
            </w: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(27,990)</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Deferred Compensation on Restricted Shares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-153,993</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(2,657)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(666,656)</w:t>
            </w: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(15,005)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(735,875)</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(17,254)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Performance and Restricted Shares issued, net of forfeitures</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-118,400</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(3,371)</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(73,821)</w:t>
            </w: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(1,763)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(61,369)</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(830)</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Vesting of Performance and Restricted Shares</w:t>
            </w:r>
          </w:p>
        </w:tc>
        <w:tc>
          <w:tcPr>
            <w:tcW w:w="620" w:type="dxa"/>
            <w:vAlign w:val="bottom"/>
          </w:tcPr>
          <w:p>
            <w:pPr>
              <w:jc w:val="right"/>
              <w:spacing w:after="0"/>
              <w:rPr>
                <w:sz w:val="20"/>
                <w:szCs w:val="20"/>
                <w:color w:val="auto"/>
              </w:rPr>
            </w:pPr>
            <w:r>
              <w:rPr>
                <w:rFonts w:ascii="Arial" w:cs="Arial" w:eastAsia="Arial" w:hAnsi="Arial"/>
                <w:sz w:val="11"/>
                <w:szCs w:val="11"/>
                <w:color w:val="auto"/>
              </w:rPr>
              <w:t>51,727</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554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586,484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14,111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130,588</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3,079</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(220,666)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(5,474)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(153,993)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(2,657)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(666,656)</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(15,005)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Subscriptions receivable from employee stock plans</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-184,063</w:t>
            </w: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(5,151)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(218,555)</w:t>
            </w: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(242,638)</w:t>
            </w: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(6,734)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Subscription loans issued</w:t>
            </w:r>
          </w:p>
        </w:tc>
        <w:tc>
          <w:tcPr>
            <w:tcW w:w="62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-87,641</w:t>
            </w: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(1,999)</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60" w:type="dxa"/>
            <w:vAlign w:val="bottom"/>
            <w:gridSpan w:val="3"/>
            <w:shd w:val="clear" w:color="auto" w:fill="EEEEEE"/>
          </w:tcPr>
          <w:p>
            <w:pPr>
              <w:jc w:val="right"/>
              <w:ind w:right="60"/>
              <w:spacing w:after="0" w:line="122" w:lineRule="exact"/>
              <w:rPr>
                <w:sz w:val="20"/>
                <w:szCs w:val="20"/>
                <w:color w:val="auto"/>
              </w:rPr>
            </w:pPr>
            <w:r>
              <w:rPr>
                <w:rFonts w:ascii="Arial" w:cs="Arial" w:eastAsia="Arial" w:hAnsi="Arial"/>
                <w:sz w:val="11"/>
                <w:szCs w:val="11"/>
                <w:color w:val="auto"/>
              </w:rPr>
              <w:t>(93,469)</w:t>
            </w: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(2,986)</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98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(3,333)</w:t>
            </w: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(973)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40" w:type="dxa"/>
            <w:vAlign w:val="bottom"/>
          </w:tcPr>
          <w:p>
            <w:pPr>
              <w:ind w:left="120"/>
              <w:spacing w:after="0"/>
              <w:rPr>
                <w:sz w:val="20"/>
                <w:szCs w:val="20"/>
                <w:color w:val="auto"/>
              </w:rPr>
            </w:pPr>
            <w:r>
              <w:rPr>
                <w:rFonts w:ascii="Arial" w:cs="Arial" w:eastAsia="Arial" w:hAnsi="Arial"/>
                <w:sz w:val="11"/>
                <w:szCs w:val="11"/>
                <w:color w:val="auto"/>
              </w:rPr>
              <w:t>Subscription loans paid</w:t>
            </w:r>
          </w:p>
        </w:tc>
        <w:tc>
          <w:tcPr>
            <w:tcW w:w="620" w:type="dxa"/>
            <w:vAlign w:val="bottom"/>
          </w:tcPr>
          <w:p>
            <w:pPr>
              <w:jc w:val="right"/>
              <w:spacing w:after="0"/>
              <w:rPr>
                <w:sz w:val="20"/>
                <w:szCs w:val="20"/>
                <w:color w:val="auto"/>
              </w:rPr>
            </w:pPr>
            <w:r>
              <w:rPr>
                <w:rFonts w:ascii="Arial" w:cs="Arial" w:eastAsia="Arial" w:hAnsi="Arial"/>
                <w:sz w:val="11"/>
                <w:szCs w:val="11"/>
                <w:color w:val="auto"/>
              </w:rPr>
              <w:t>115,430</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3,535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127,961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5,080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1"/>
                <w:szCs w:val="11"/>
                <w:color w:val="auto"/>
              </w:rPr>
              <w:t>27,416</w:t>
            </w: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462</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vMerge w:val="continue"/>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1"/>
                <w:szCs w:val="11"/>
                <w:color w:val="auto"/>
              </w:rPr>
              <w:t>(156,274)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(3,615)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1"/>
                <w:szCs w:val="11"/>
                <w:color w:val="auto"/>
              </w:rPr>
              <w:t>(184,063)</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(5,151)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1"/>
                <w:szCs w:val="11"/>
                <w:color w:val="auto"/>
              </w:rPr>
              <w:t>(218,555)</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(7,245)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Accumulated other comprehensive income (loss)</w:t>
            </w:r>
          </w:p>
        </w:tc>
        <w:tc>
          <w:tcPr>
            <w:tcW w:w="620" w:type="dxa"/>
            <w:vAlign w:val="bottom"/>
            <w:tcBorders>
              <w:top w:val="single" w:sz="8" w:color="808080"/>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tcBorders>
              <w:top w:val="single" w:sz="8" w:color="808080"/>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tcBorders>
              <w:top w:val="single" w:sz="8" w:color="808080"/>
            </w:tcBorders>
            <w:shd w:val="clear" w:color="auto" w:fill="EEEEEE"/>
          </w:tcPr>
          <w:p>
            <w:pPr>
              <w:spacing w:after="0"/>
              <w:rPr>
                <w:sz w:val="10"/>
                <w:szCs w:val="10"/>
                <w:color w:val="auto"/>
              </w:rPr>
            </w:pPr>
          </w:p>
        </w:tc>
        <w:tc>
          <w:tcPr>
            <w:tcW w:w="460" w:type="dxa"/>
            <w:vAlign w:val="bottom"/>
            <w:tcBorders>
              <w:top w:val="single" w:sz="8" w:color="808080"/>
            </w:tcBorders>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tcBorders>
              <w:top w:val="single" w:sz="8" w:color="808080"/>
            </w:tcBorders>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tcBorders>
              <w:top w:val="single" w:sz="8" w:color="808080"/>
            </w:tcBorders>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Balance, beginning of year</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(4,613)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(4,293)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due to recognizing (loss) gain on securities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(92)</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49</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3,563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(4,342)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Loss on interest rate hedge transaction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1,055</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Balance, end of period</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(87)</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32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(4,613)</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(4,293)</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Comprehensive income</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4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Net income</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94,497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55,287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68,756</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Change due to recognizing loss on securities</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64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(92)</w:t>
            </w: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(44)</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49</w:t>
            </w:r>
          </w:p>
        </w:tc>
        <w:tc>
          <w:tcPr>
            <w:tcW w:w="2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tcPr>
          <w:p>
            <w:pPr>
              <w:ind w:left="120"/>
              <w:spacing w:after="0" w:line="122" w:lineRule="exact"/>
              <w:rPr>
                <w:sz w:val="20"/>
                <w:szCs w:val="20"/>
                <w:color w:val="auto"/>
              </w:rPr>
            </w:pPr>
            <w:r>
              <w:rPr>
                <w:rFonts w:ascii="Arial" w:cs="Arial" w:eastAsia="Arial" w:hAnsi="Arial"/>
                <w:sz w:val="11"/>
                <w:szCs w:val="11"/>
                <w:color w:val="auto"/>
              </w:rPr>
              <w:t>Change in valuation on interest rate swap</w:t>
            </w: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3,563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(4,342)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40" w:type="dxa"/>
            <w:vAlign w:val="bottom"/>
            <w:shd w:val="clear" w:color="auto" w:fill="EEEEEE"/>
          </w:tcPr>
          <w:p>
            <w:pPr>
              <w:ind w:left="120"/>
              <w:spacing w:after="0" w:line="122" w:lineRule="exact"/>
              <w:rPr>
                <w:sz w:val="20"/>
                <w:szCs w:val="20"/>
                <w:color w:val="auto"/>
              </w:rPr>
            </w:pPr>
            <w:r>
              <w:rPr>
                <w:rFonts w:ascii="Arial" w:cs="Arial" w:eastAsia="Arial" w:hAnsi="Arial"/>
                <w:sz w:val="11"/>
                <w:szCs w:val="11"/>
                <w:color w:val="auto"/>
              </w:rPr>
              <w:t>Loss on interest rate hedge transaction</w:t>
            </w:r>
          </w:p>
        </w:tc>
        <w:tc>
          <w:tcPr>
            <w:tcW w:w="62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48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1,055</w:t>
            </w: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gridSpan w:val="2"/>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6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760" w:type="dxa"/>
            <w:vAlign w:val="bottom"/>
            <w:gridSpan w:val="2"/>
            <w:shd w:val="clear" w:color="auto" w:fill="EEEEEE"/>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vMerge w:val="restart"/>
          </w:tcPr>
          <w:p>
            <w:pPr>
              <w:ind w:left="120"/>
              <w:spacing w:after="0"/>
              <w:rPr>
                <w:sz w:val="20"/>
                <w:szCs w:val="20"/>
                <w:color w:val="auto"/>
              </w:rPr>
            </w:pPr>
            <w:r>
              <w:rPr>
                <w:rFonts w:ascii="Arial" w:cs="Arial" w:eastAsia="Arial" w:hAnsi="Arial"/>
                <w:sz w:val="11"/>
                <w:szCs w:val="11"/>
                <w:color w:val="auto"/>
              </w:rPr>
              <w:t>Total comprehensive income</w:t>
            </w: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14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99,023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54,967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64,463</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808080"/>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808080"/>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808080"/>
            </w:tcBorders>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4"/>
          </w:tcPr>
          <w:p>
            <w:pPr>
              <w:jc w:val="right"/>
              <w:ind w:right="120"/>
              <w:spacing w:after="0"/>
              <w:rPr>
                <w:sz w:val="20"/>
                <w:szCs w:val="20"/>
                <w:color w:val="auto"/>
              </w:rPr>
            </w:pPr>
            <w:r>
              <w:rPr>
                <w:rFonts w:ascii="Arial" w:cs="Arial" w:eastAsia="Arial" w:hAnsi="Arial"/>
                <w:sz w:val="14"/>
                <w:szCs w:val="14"/>
                <w:color w:val="auto"/>
              </w:rPr>
              <w:t>Year ended December 31,</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2002</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1"/>
              <w:spacing w:after="0"/>
              <w:rPr>
                <w:sz w:val="20"/>
                <w:szCs w:val="20"/>
                <w:color w:val="auto"/>
              </w:rPr>
            </w:pPr>
            <w:r>
              <w:rPr>
                <w:rFonts w:ascii="Arial" w:cs="Arial" w:eastAsia="Arial" w:hAnsi="Arial"/>
                <w:sz w:val="14"/>
                <w:szCs w:val="14"/>
                <w:color w:val="auto"/>
              </w:rPr>
              <w:t>2001</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(In thousands)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94,497</w:t>
            </w: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55,287</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68,756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Items not requiring cash outlays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74,616</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64,529</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59,914</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(19,101)</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Loss on abandoned developments held for sale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9,647</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Non-cash portion of restructuring expense</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19,586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4,792</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Increase in accounts and notes receivable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(12,485)</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(19,762)</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Increase in operating accounts payable, security deposits and prepaid rent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4,147</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2,996</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4,132</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260"/>
              <w:spacing w:after="0"/>
              <w:rPr>
                <w:sz w:val="20"/>
                <w:szCs w:val="20"/>
                <w:color w:val="auto"/>
              </w:rPr>
            </w:pPr>
            <w:r>
              <w:rPr>
                <w:rFonts w:ascii="Arial" w:cs="Arial" w:eastAsia="Arial" w:hAnsi="Arial"/>
                <w:sz w:val="18"/>
                <w:szCs w:val="18"/>
                <w:color w:val="auto"/>
              </w:rPr>
              <w:t>Increase in accrued expenses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4,334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122,391</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119,069</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109,448</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Acquisition of real estate</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(50,629)</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Capital expenditures — development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(123,883)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(221,357)</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Capital expenditures — other</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(50,641)</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(43,579)</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Santana Row fire insurance proceeds reducing cost basis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95,895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Proceeds from sale of real estate</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43,909</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62,544</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25,063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(Issuance) repayment of mortgage notes receivable, net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5,648</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80" w:type="dxa"/>
            <w:vAlign w:val="bottom"/>
            <w:tcBorders>
              <w:top w:val="single" w:sz="8" w:color="808080"/>
            </w:tcBorders>
          </w:tcPr>
          <w:p>
            <w:pPr>
              <w:spacing w:after="0"/>
              <w:rPr>
                <w:sz w:val="19"/>
                <w:szCs w:val="19"/>
                <w:color w:val="auto"/>
              </w:rPr>
            </w:pPr>
          </w:p>
        </w:tc>
        <w:tc>
          <w:tcPr>
            <w:tcW w:w="760" w:type="dxa"/>
            <w:vAlign w:val="bottom"/>
            <w:tcBorders>
              <w:top w:val="single" w:sz="8" w:color="808080"/>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(91,272)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(175,744)</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(232,138)</w:t>
            </w:r>
          </w:p>
        </w:tc>
        <w:tc>
          <w:tcPr>
            <w:tcW w:w="0" w:type="dxa"/>
            <w:vAlign w:val="bottom"/>
          </w:tcPr>
          <w:p>
            <w:pPr>
              <w:spacing w:after="0"/>
              <w:rPr>
                <w:sz w:val="1"/>
                <w:szCs w:val="1"/>
                <w:color w:val="auto"/>
              </w:rPr>
            </w:pPr>
          </w:p>
        </w:tc>
      </w:tr>
      <w:tr>
        <w:trPr>
          <w:trHeight w:val="432"/>
        </w:trPr>
        <w:tc>
          <w:tcPr>
            <w:tcW w:w="7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Borrowing (repayment) of short-term debt,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28,750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27,000</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(Repayment) proceeds from mortgage and construction financing, net of costs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(60,718)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145,427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Increase in term notes to banks, net</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Note issuance (repayment), net of costs</w:t>
            </w:r>
          </w:p>
        </w:tc>
        <w:tc>
          <w:tcPr>
            <w:tcW w:w="1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148,746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Issuance of Series B Preferred shares, net of costs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130,225</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Repayment of Series A Preferred shares</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Issuance of common shares, net of subscriptions receivable</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151,614</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76,701</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398</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Payments on mortgages, capital leases and notes payable</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(117,913)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(29,627)</w:t>
            </w:r>
          </w:p>
        </w:tc>
        <w:tc>
          <w:tcPr>
            <w:tcW w:w="2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(104,802)</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(96,461)</w:t>
            </w: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120"/>
              <w:spacing w:after="0"/>
              <w:rPr>
                <w:sz w:val="20"/>
                <w:szCs w:val="20"/>
                <w:color w:val="auto"/>
              </w:rPr>
            </w:pPr>
            <w:r>
              <w:rPr>
                <w:rFonts w:ascii="Arial" w:cs="Arial" w:eastAsia="Arial" w:hAnsi="Arial"/>
                <w:sz w:val="18"/>
                <w:szCs w:val="18"/>
                <w:color w:val="auto"/>
              </w:rPr>
              <w:t>(Decrease) increase in minority interest, net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(1,923)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(3,406)</w:t>
            </w:r>
          </w:p>
        </w:tc>
        <w:tc>
          <w:tcPr>
            <w:tcW w:w="2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80" w:type="dxa"/>
            <w:vAlign w:val="bottom"/>
            <w:tcBorders>
              <w:top w:val="single" w:sz="8" w:color="808080"/>
            </w:tcBorders>
          </w:tcPr>
          <w:p>
            <w:pPr>
              <w:spacing w:after="0"/>
              <w:rPr>
                <w:sz w:val="19"/>
                <w:szCs w:val="19"/>
                <w:color w:val="auto"/>
              </w:rPr>
            </w:pPr>
          </w:p>
        </w:tc>
        <w:tc>
          <w:tcPr>
            <w:tcW w:w="760" w:type="dxa"/>
            <w:vAlign w:val="bottom"/>
            <w:tcBorders>
              <w:top w:val="single" w:sz="8" w:color="808080"/>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808080"/>
            </w:tcBorders>
          </w:tcPr>
          <w:p>
            <w:pPr>
              <w:spacing w:after="0"/>
              <w:rPr>
                <w:sz w:val="19"/>
                <w:szCs w:val="19"/>
                <w:color w:val="auto"/>
              </w:rPr>
            </w:pPr>
          </w:p>
        </w:tc>
        <w:tc>
          <w:tcPr>
            <w:tcW w:w="740" w:type="dxa"/>
            <w:vAlign w:val="bottom"/>
            <w:tcBorders>
              <w:top w:val="single" w:sz="8" w:color="808080"/>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(19,274)</w:t>
            </w: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62,235</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128,896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40" w:type="dxa"/>
            <w:vAlign w:val="bottom"/>
            <w:gridSpan w:val="2"/>
          </w:tcPr>
          <w:p>
            <w:pPr>
              <w:spacing w:after="0"/>
              <w:rPr>
                <w:sz w:val="20"/>
                <w:szCs w:val="20"/>
                <w:color w:val="auto"/>
              </w:rPr>
            </w:pPr>
            <w:r>
              <w:rPr>
                <w:rFonts w:ascii="Arial" w:cs="Arial" w:eastAsia="Arial" w:hAnsi="Arial"/>
                <w:sz w:val="18"/>
                <w:szCs w:val="18"/>
                <w:color w:val="auto"/>
              </w:rPr>
              <w:t>Increase in cash</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11,845</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5,560</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6,206</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at beginning of year</w:t>
            </w:r>
          </w:p>
        </w:tc>
        <w:tc>
          <w:tcPr>
            <w:tcW w:w="18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23,123</w:t>
            </w:r>
          </w:p>
        </w:tc>
        <w:tc>
          <w:tcPr>
            <w:tcW w:w="2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17,563</w:t>
            </w: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11,357</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040" w:type="dxa"/>
            <w:vAlign w:val="bottom"/>
            <w:gridSpan w:val="2"/>
          </w:tcPr>
          <w:p>
            <w:pPr>
              <w:spacing w:after="0"/>
              <w:rPr>
                <w:sz w:val="20"/>
                <w:szCs w:val="20"/>
                <w:color w:val="auto"/>
              </w:rPr>
            </w:pPr>
            <w:r>
              <w:rPr>
                <w:rFonts w:ascii="Arial" w:cs="Arial" w:eastAsia="Arial" w:hAnsi="Arial"/>
                <w:sz w:val="18"/>
                <w:szCs w:val="18"/>
                <w:color w:val="auto"/>
              </w:rPr>
              <w:t>Cash at end of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34,968</w:t>
            </w:r>
          </w:p>
        </w:tc>
        <w:tc>
          <w:tcPr>
            <w:tcW w:w="28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23,123</w:t>
            </w:r>
          </w:p>
        </w:tc>
        <w:tc>
          <w:tcPr>
            <w:tcW w:w="5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17,563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4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7040" w:type="dxa"/>
            <w:vAlign w:val="bottom"/>
            <w:gridSpan w:val="2"/>
          </w:tcPr>
          <w:p>
            <w:pPr>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020" w:type="dxa"/>
            <w:vAlign w:val="bottom"/>
          </w:tcPr>
          <w:p>
            <w:pPr>
              <w:ind w:left="5540"/>
              <w:spacing w:after="0"/>
              <w:rPr>
                <w:sz w:val="20"/>
                <w:szCs w:val="20"/>
                <w:color w:val="auto"/>
              </w:rPr>
            </w:pPr>
            <w:r>
              <w:rPr>
                <w:rFonts w:ascii="Arial" w:cs="Arial" w:eastAsia="Arial" w:hAnsi="Arial"/>
                <w:sz w:val="18"/>
                <w:szCs w:val="18"/>
                <w:color w:val="auto"/>
              </w:rPr>
              <w:t>-F6-</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2003, 2002 and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w:t>
      </w:r>
      <w:r>
        <w:rPr>
          <w:rFonts w:ascii="Arial" w:cs="Arial" w:eastAsia="Arial" w:hAnsi="Arial"/>
          <w:sz w:val="18"/>
          <w:szCs w:val="18"/>
          <w:u w:val="single" w:color="auto"/>
          <w:color w:val="auto"/>
        </w:rPr>
        <w:t>. SUMMARY OF SIGNIFICANT ACCOUNTING POLICIES</w:t>
      </w:r>
    </w:p>
    <w:p>
      <w:pPr>
        <w:spacing w:after="0" w:line="189"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Federal Realty Investment Trust (the “Trust”) is an equity real estate investment trust specializing in the ownership, management, development and redevelopment of high quality community and neighborhood shopping centers and main street mixed-use properties located in densely developed urban and suburban areas in strategic metropolitan markets in the Mid-Atlantic and Northeast regions and California.</w:t>
      </w:r>
    </w:p>
    <w:p>
      <w:pPr>
        <w:spacing w:after="0" w:line="125" w:lineRule="exact"/>
        <w:rPr>
          <w:sz w:val="20"/>
          <w:szCs w:val="20"/>
          <w:color w:val="auto"/>
        </w:rPr>
      </w:pPr>
    </w:p>
    <w:p>
      <w:pPr>
        <w:jc w:val="both"/>
        <w:ind w:right="80" w:firstLine="222"/>
        <w:spacing w:after="0" w:line="302" w:lineRule="auto"/>
        <w:rPr>
          <w:sz w:val="20"/>
          <w:szCs w:val="20"/>
          <w:color w:val="auto"/>
        </w:rPr>
      </w:pPr>
      <w:r>
        <w:rPr>
          <w:rFonts w:ascii="Arial" w:cs="Arial" w:eastAsia="Arial" w:hAnsi="Arial"/>
          <w:sz w:val="16"/>
          <w:szCs w:val="16"/>
          <w:color w:val="auto"/>
        </w:rPr>
        <w:t>We operate in a manner intended to enable us to qualify as a real estate investment trust for federal income tax purposes. A trust which distributes at least 90% of its real estate investment trust taxable income to its shareholders each year and which meets certain other conditions will not be taxed on that portion of its taxable income which is distributed to its shareholders. Therefore, Federal income taxes have been and are generally expected to be immaterial. We are obligated for state taxes, generally consisting of franchise or gross receipts taxes in certain states. Such state taxes have not been material.</w:t>
      </w:r>
    </w:p>
    <w:p>
      <w:pPr>
        <w:spacing w:after="0" w:line="12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numerous partnerships and limited liability companies, all of which we control. The equity interests of other investors are reflected as investors’ interest in consolidated assets. All significant intercompany transactions and balances are eliminated in consolidation. We account for our interests in joint ventures which we do not control or manage using the equity method of accounting.</w:t>
      </w:r>
    </w:p>
    <w:p>
      <w:pPr>
        <w:spacing w:after="0" w:line="146"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which we refer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and current events and economic conditions. Actual results could differ from these estimates.</w:t>
      </w:r>
    </w:p>
    <w:p>
      <w:pPr>
        <w:spacing w:after="0" w:line="13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Revenue Recognition and Accounts Receivable</w:t>
      </w:r>
      <w:r>
        <w:rPr>
          <w:rFonts w:ascii="Arial" w:cs="Arial" w:eastAsia="Arial" w:hAnsi="Arial"/>
          <w:sz w:val="17"/>
          <w:szCs w:val="17"/>
          <w:color w:val="auto"/>
        </w:rPr>
        <w:t>. Leases with tenants are classified as operating leases. Minimum rents are recognized on a straight-line basis</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terms of the related leases net of valuation adjustments based on management’s assessment of credit, collection and other business risk. Percentage rents, which represent additional rents based on gross tenant sales, are recognized at the end of the lease year or other period in which tenant sales’ thresholds have been reached and the percentage rents are due. Real estate tax and other cost reimbursements are recognized on an accrual basis over the periods in which the expenditures occurred. We make estimates of the collectibility of our accounts receivable related to base rents, including straight line rentals, expense reimbursements and other revenue or income. In some cases the ultimate collectibility of these claims extends beyond one year. We generally reserve for straight-line rents due beyond ten years due to uncertainty of collection.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Real Estate</w:t>
      </w:r>
      <w:r>
        <w:rPr>
          <w:rFonts w:ascii="Arial" w:cs="Arial" w:eastAsia="Arial" w:hAnsi="Arial"/>
          <w:sz w:val="16"/>
          <w:szCs w:val="16"/>
          <w:color w:val="auto"/>
        </w:rPr>
        <w:t>. Land, buildings and real estate under development are recorded at cost. Depreciation is computed using the straight-line method. Estimated</w:t>
      </w:r>
      <w:r>
        <w:rPr>
          <w:rFonts w:ascii="Arial" w:cs="Arial" w:eastAsia="Arial" w:hAnsi="Arial"/>
          <w:sz w:val="16"/>
          <w:szCs w:val="16"/>
          <w:i w:val="1"/>
          <w:iCs w:val="1"/>
          <w:color w:val="auto"/>
        </w:rPr>
        <w:t xml:space="preserve"> </w:t>
      </w:r>
      <w:r>
        <w:rPr>
          <w:rFonts w:ascii="Arial" w:cs="Arial" w:eastAsia="Arial" w:hAnsi="Arial"/>
          <w:sz w:val="16"/>
          <w:szCs w:val="16"/>
          <w:color w:val="auto"/>
        </w:rPr>
        <w:t>useful lives range generally from 35 years to a maximum of 50 years on buildings and improvements. Maintenance and repair costs are charged to operations as incurred. Tenant work and other major improvements are capitalized and depreciated over the life of the lease or their estimated useful life, respectively. Upon termination of a lease, undepreciated tenant improvement costs are charged to operations if the assets are replaced and the asset and the corresponding accumulated depreciation are retired. Minor improvements, furniture and equipment are capitalized and depreciated over useful lives ranging from three to 15 years. 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gain or loss resulting from the sale of properties is included in net income at the time of sale.</w:t>
      </w:r>
    </w:p>
    <w:p>
      <w:pPr>
        <w:spacing w:after="0" w:line="139"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evaluate the carrying value of our long-lived assets in accordance with SFAS No. 121, “Accounting for the Impairment of Long-Lived Assets and for Long-Lived Assets to Be Disposed Of”. In cases where particular assets are being held for sale, impairment is based on whether the fair value (estimated sales price less costs of disposal) of each individual property to be sold is less than the net book value. Otherwise, impairment is based on whether it is probable that undiscounted future cash flows from each property will be less than its net book value. If a property is impaired, its basis is adjusted to its estimated fair market value.</w:t>
      </w:r>
    </w:p>
    <w:p>
      <w:pPr>
        <w:spacing w:after="0" w:line="14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(effective for us on January 1, 2002). SFAS No. 144 requires that one accounting model be used for long-lived assets to be disposed of by sale, whether previously held and used or newly-acquired, and broadens the presentation of discontinued operations to include components of an entity comprising operations and cash flows that can be distinguished, operationally and for financial reporting purposes from the rest of the entity.</w:t>
      </w:r>
    </w:p>
    <w:p>
      <w:pPr>
        <w:spacing w:after="0" w:line="146"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June 2002, the FASB issued SFAS No. 146, “Accounting for Costs Associated with Exit or Disposal Activities,” which addresses accounting and processing for costs associated with exit or disposal activities. SFAS No. 146 requires the recognition of a liability for a cost associated with an exit or disposal activity when the liability is incurred versus the date the Trust commits to an exit plan. In addition, SFAS No. 146 states that the liability should be initially measured at fair value. The requirements of SFAS No. 146 are effective for exit or disposal activities that are initiated after December 31, 2002. This pronouncement has not had a material impact on our financial position or results of operations.</w:t>
      </w:r>
    </w:p>
    <w:p>
      <w:pPr>
        <w:spacing w:after="0" w:line="146"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When applicable as lessee, we classify our leases of land and buildings as operating or capital leases in accordance with the provisions of SFAS No. 13, “Accounting for Leases”.</w:t>
      </w:r>
    </w:p>
    <w:p>
      <w:pPr>
        <w:spacing w:after="0" w:line="13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Certain external and internal costs directly related to the development, redevelopment and leasing of real estate including applicable salaries and their related direct costs are capitalized. The capitalized costs associated with developments, redevelopments and leasing are depreciated or amortized over the life of the improvement or lease, whichever is shorter. Unamortized leasing costs are charged to operations if the applicable tenant vacates before the expiration of its lease.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Interest costs on developments and major redevelopments are capitalized as part of the development and redevelopment until it is placed in service. Capitalization of interest commences when development activities and expenditures begin and end upon completion, i.e. when the asset is ready for its intended use. Generally rental property is considered substantially complete and ready for its intended use upon completion of tenant improvements, but no later than one year from the completion of major construction activity.</w:t>
      </w:r>
    </w:p>
    <w:p>
      <w:pPr>
        <w:spacing w:after="0" w:line="16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Debt Issue Costs</w:t>
      </w:r>
      <w:r>
        <w:rPr>
          <w:rFonts w:ascii="Arial" w:cs="Arial" w:eastAsia="Arial" w:hAnsi="Arial"/>
          <w:sz w:val="17"/>
          <w:szCs w:val="17"/>
          <w:color w:val="auto"/>
        </w:rPr>
        <w:t>. Costs related to the issuance of debt instruments are capitalized and are amortized as interest expense over the life of the related issue using</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 interest method. Upon conversion or in the event of early redemption, any unamortized costs are charged to operations.</w:t>
      </w:r>
    </w:p>
    <w:p>
      <w:pPr>
        <w:spacing w:after="0" w:line="10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We define cash as cash on hand, demand deposits with financial institutions and short term liquid investments with an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under three months. Cash balances in individual banks may exceed insurable amounts.</w:t>
      </w:r>
    </w:p>
    <w:p>
      <w:pPr>
        <w:spacing w:after="0" w:line="130"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Risk Management. </w:t>
      </w:r>
      <w:r>
        <w:rPr>
          <w:rFonts w:ascii="Arial" w:cs="Arial" w:eastAsia="Arial" w:hAnsi="Arial"/>
          <w:sz w:val="16"/>
          <w:szCs w:val="16"/>
          <w:color w:val="auto"/>
        </w:rPr>
        <w:t>We enter into derivative contracts, which qualify as cash flow hedges under SFAS No. 133 “Accounting for Derivative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in order to manage interest rate risk. Derivatives are not purchased for speculation. During 2001, to hedge our exposure to interest rates on our $125 million term loan, we entered into interest rate swaps, which fixed the LIBOR interest rate on that term loan at 5.27%. The interest rate on this term loan was LIBOR plus 95 basis points, thus fixing the interest rate at 6.22% on notional amounts totaling $125 million. The swaps were documented as cash flow hedges and designated as effective at inception of the swap contract. Consequently, the unrealized gain or loss upon measuring the swaps at their fair market value is recorded as a component of other comprehensive income within shareholders’ equity and either a derivative instrument asset or liability is recorded on the balance sheet. At December 31, 2002, a cumulative unrealized loss of $4.6 million, representing the difference between the then current market value and the 6.22% fixed interest rate on the swap, was recorded in other comprehensive income with a corresponding derivative liability on the balance sheet. In October 2003, we unwound the interest rate swaps which were due to expire December 19, 2003 at a cost of approximately $1.1 million. There were no open derivative contracts at December 31, 2003. In January 2004, to hedge our exposure to interest rates on our $150 million term loan issued in October 2003, we entered into interest rate swaps, which fixed the LIBOR portion of the interest rate on the term loan at 2.40% through October 2006.</w:t>
      </w:r>
    </w:p>
    <w:p>
      <w:pPr>
        <w:spacing w:after="0" w:line="146" w:lineRule="exact"/>
        <w:rPr>
          <w:sz w:val="20"/>
          <w:szCs w:val="20"/>
          <w:color w:val="auto"/>
        </w:rPr>
      </w:pPr>
    </w:p>
    <w:p>
      <w:pPr>
        <w:ind w:right="160" w:firstLine="225"/>
        <w:spacing w:after="0" w:line="272" w:lineRule="auto"/>
        <w:rPr>
          <w:sz w:val="20"/>
          <w:szCs w:val="20"/>
          <w:color w:val="auto"/>
        </w:rPr>
      </w:pPr>
      <w:r>
        <w:rPr>
          <w:rFonts w:ascii="Arial" w:cs="Arial" w:eastAsia="Arial" w:hAnsi="Arial"/>
          <w:sz w:val="17"/>
          <w:szCs w:val="17"/>
          <w:color w:val="auto"/>
        </w:rPr>
        <w:t>In anticipation of a $150 million Senior Unsecured Note offering, on August 1, 2002, we entered into a treasury rate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were not able to proceed with the note offering at that time. However, we consummated a $150 million Senior Unsecured Note offering on November 15, 2002, and thus, the hedge loss is being amortized into interest expense over the life of the related Notes.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Acquisition, Development and Construction Loan Arrangements</w:t>
      </w:r>
      <w:r>
        <w:rPr>
          <w:rFonts w:ascii="Arial" w:cs="Arial" w:eastAsia="Arial" w:hAnsi="Arial"/>
          <w:sz w:val="16"/>
          <w:szCs w:val="16"/>
          <w:color w:val="auto"/>
        </w:rPr>
        <w:t>. We have made certain mortgage loans that, because of their nature, qualify as loan</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at December 31, 2003 and 2002 were $48.9 million and $35.6 million respectively and interest income recognized thereon was $3.7 million and $4.3 million, respectively.</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Comprehensive Income</w:t>
      </w:r>
      <w:r>
        <w:rPr>
          <w:rFonts w:ascii="Arial" w:cs="Arial" w:eastAsia="Arial" w:hAnsi="Arial"/>
          <w:sz w:val="17"/>
          <w:szCs w:val="17"/>
          <w:color w:val="auto"/>
        </w:rPr>
        <w:t>. Our interest rate swaps were documented as cash flow hedges and designated as effective at inception of the swap contract, therefore,</w:t>
      </w:r>
      <w:r>
        <w:rPr>
          <w:rFonts w:ascii="Arial" w:cs="Arial" w:eastAsia="Arial" w:hAnsi="Arial"/>
          <w:sz w:val="17"/>
          <w:szCs w:val="17"/>
          <w:i w:val="1"/>
          <w:iCs w:val="1"/>
          <w:color w:val="auto"/>
        </w:rPr>
        <w:t xml:space="preserve"> </w:t>
      </w:r>
      <w:r>
        <w:rPr>
          <w:rFonts w:ascii="Arial" w:cs="Arial" w:eastAsia="Arial" w:hAnsi="Arial"/>
          <w:sz w:val="17"/>
          <w:szCs w:val="17"/>
          <w:color w:val="auto"/>
        </w:rPr>
        <w:t>the unrealized gain or loss upon measuring the swaps at their fair market value is recorded as a component of other comprehensive income within shareholders’ equity. In accordance with SFAS No. 115, “Accounting for Certain Investments in Debt and Equity Securities”, investments purchased in connection with our nonqualified deferred compensation plan are classified as available for sale securities and reported at fair value. Unrealized gains or losses on these investments purchased to match our obligation to the participants is also recorded as a component of other comprehensive income. At December 31, 2003 these investments consisted of mutual funds and are stated at market value.</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Earnings Per Share</w:t>
      </w:r>
      <w:r>
        <w:rPr>
          <w:rFonts w:ascii="Arial" w:cs="Arial" w:eastAsia="Arial" w:hAnsi="Arial"/>
          <w:sz w:val="18"/>
          <w:szCs w:val="18"/>
          <w:color w:val="auto"/>
        </w:rPr>
        <w:t>. We calculate basic and diluted earnings per share in accordance with SFAS No. 128, “Earnings Per Share”. Basic EPS excludes dilution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between basic and diluted EPS (in thousands, except per share data):</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2003</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2002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60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560" w:type="dxa"/>
            <w:vAlign w:val="bottom"/>
            <w:shd w:val="clear" w:color="auto" w:fill="EEEEEE"/>
          </w:tcPr>
          <w:p>
            <w:pPr>
              <w:spacing w:after="0"/>
              <w:rPr>
                <w:sz w:val="15"/>
                <w:szCs w:val="15"/>
                <w:color w:val="auto"/>
              </w:rPr>
            </w:pPr>
          </w:p>
        </w:tc>
        <w:tc>
          <w:tcPr>
            <w:tcW w:w="620" w:type="dxa"/>
            <w:vAlign w:val="bottom"/>
            <w:tcBorders>
              <w:left w:val="single" w:sz="8" w:color="EEEEEE"/>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58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auto"/>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9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56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left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 — 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75,990</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35,862</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59,722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1,317</w:t>
            </w: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740</w:t>
            </w:r>
          </w:p>
        </w:tc>
        <w:tc>
          <w:tcPr>
            <w:tcW w:w="6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808080"/>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900" w:type="dxa"/>
            <w:vAlign w:val="bottom"/>
            <w:gridSpan w:val="4"/>
          </w:tcPr>
          <w:p>
            <w:pPr>
              <w:spacing w:after="0"/>
              <w:rPr>
                <w:sz w:val="20"/>
                <w:szCs w:val="20"/>
                <w:color w:val="auto"/>
              </w:rPr>
            </w:pPr>
            <w:r>
              <w:rPr>
                <w:rFonts w:ascii="Arial" w:cs="Arial" w:eastAsia="Arial" w:hAnsi="Arial"/>
                <w:sz w:val="18"/>
                <w:szCs w:val="18"/>
                <w:color w:val="auto"/>
              </w:rPr>
              <w:t>Net income available for common shareholders —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77,307</w:t>
            </w:r>
          </w:p>
        </w:tc>
        <w:tc>
          <w:tcPr>
            <w:tcW w:w="6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36,602</w:t>
            </w:r>
          </w:p>
        </w:tc>
        <w:tc>
          <w:tcPr>
            <w:tcW w:w="6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61,106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tcBorders>
              <w:lef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color w:val="auto"/>
                <w:w w:val="89"/>
              </w:rPr>
              <w:t>Denominator</w:t>
            </w:r>
          </w:p>
        </w:tc>
        <w:tc>
          <w:tcPr>
            <w:tcW w:w="69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60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560" w:type="dxa"/>
            <w:vAlign w:val="bottom"/>
            <w:tcBorders>
              <w:bottom w:val="single" w:sz="8" w:color="EEEEEE"/>
            </w:tcBorders>
            <w:shd w:val="clear" w:color="auto" w:fill="EEEEEE"/>
          </w:tcPr>
          <w:p>
            <w:pPr>
              <w:spacing w:after="0"/>
              <w:rPr>
                <w:sz w:val="17"/>
                <w:szCs w:val="17"/>
                <w:color w:val="auto"/>
              </w:rPr>
            </w:pPr>
          </w:p>
        </w:tc>
        <w:tc>
          <w:tcPr>
            <w:tcW w:w="620" w:type="dxa"/>
            <w:vAlign w:val="bottom"/>
            <w:tcBorders>
              <w:left w:val="single" w:sz="8" w:color="EEEEEE"/>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58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Denominator for basic EPS- weighted average shares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47,379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41,624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Effect of dilutive securities, stock options and awards</w:t>
            </w: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412</w:t>
            </w:r>
          </w:p>
        </w:tc>
        <w:tc>
          <w:tcPr>
            <w:tcW w:w="6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w:t>
            </w:r>
          </w:p>
        </w:tc>
        <w:tc>
          <w:tcPr>
            <w:tcW w:w="6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Operating partnership units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841</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20" w:type="dxa"/>
            <w:vAlign w:val="bottom"/>
            <w:tcBorders>
              <w:top w:val="single" w:sz="8" w:color="808080"/>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808080"/>
            </w:tcBorders>
          </w:tcPr>
          <w:p>
            <w:pPr>
              <w:spacing w:after="0"/>
              <w:rPr>
                <w:sz w:val="20"/>
                <w:szCs w:val="20"/>
                <w:color w:val="auto"/>
              </w:rPr>
            </w:pPr>
          </w:p>
        </w:tc>
        <w:tc>
          <w:tcPr>
            <w:tcW w:w="560" w:type="dxa"/>
            <w:vAlign w:val="bottom"/>
            <w:tcBorders>
              <w:top w:val="single" w:sz="8" w:color="808080"/>
            </w:tcBorders>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808080"/>
            </w:tcBorders>
          </w:tcPr>
          <w:p>
            <w:pPr>
              <w:spacing w:after="0"/>
              <w:rPr>
                <w:sz w:val="20"/>
                <w:szCs w:val="20"/>
                <w:color w:val="auto"/>
              </w:rPr>
            </w:pPr>
          </w:p>
        </w:tc>
        <w:tc>
          <w:tcPr>
            <w:tcW w:w="58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788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48,619</w:t>
            </w:r>
          </w:p>
        </w:tc>
        <w:tc>
          <w:tcPr>
            <w:tcW w:w="6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808080"/>
            </w:tcBorders>
            <w:shd w:val="clear" w:color="auto" w:fill="EEEEEE"/>
          </w:tcPr>
          <w:p>
            <w:pPr>
              <w:spacing w:after="0"/>
              <w:rPr>
                <w:sz w:val="22"/>
                <w:szCs w:val="22"/>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8"/>
              </w:rPr>
              <w:t>42,882</w:t>
            </w:r>
          </w:p>
        </w:tc>
        <w:tc>
          <w:tcPr>
            <w:tcW w:w="620" w:type="dxa"/>
            <w:vAlign w:val="bottom"/>
            <w:tcBorders>
              <w:left w:val="single" w:sz="8" w:color="EEEEEE"/>
              <w:bottom w:val="single" w:sz="8" w:color="EEEEEE"/>
            </w:tcBorders>
            <w:shd w:val="clear" w:color="auto" w:fill="EEEEEE"/>
          </w:tcPr>
          <w:p>
            <w:pPr>
              <w:spacing w:after="0"/>
              <w:rPr>
                <w:sz w:val="22"/>
                <w:szCs w:val="22"/>
                <w:color w:val="auto"/>
              </w:rPr>
            </w:pP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40,266</w:t>
            </w:r>
          </w:p>
        </w:tc>
        <w:tc>
          <w:tcPr>
            <w:tcW w:w="2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gridSpan w:val="4"/>
          </w:tcPr>
          <w:p>
            <w:pPr>
              <w:spacing w:after="0"/>
              <w:rPr>
                <w:sz w:val="20"/>
                <w:szCs w:val="20"/>
                <w:color w:val="auto"/>
              </w:rPr>
            </w:pPr>
            <w:r>
              <w:rPr>
                <w:rFonts w:ascii="Arial" w:cs="Arial" w:eastAsia="Arial" w:hAnsi="Arial"/>
                <w:sz w:val="18"/>
                <w:szCs w:val="18"/>
                <w:color w:val="auto"/>
              </w:rPr>
              <w:t>Earnings per common share — basic</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9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620" w:type="dxa"/>
            <w:vAlign w:val="bottom"/>
            <w:tcBorders>
              <w:lef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788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Earnings per common share — diluted</w:t>
            </w: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$1.59</w:t>
            </w:r>
          </w:p>
        </w:tc>
        <w:tc>
          <w:tcPr>
            <w:tcW w:w="600" w:type="dxa"/>
            <w:vAlign w:val="bottom"/>
            <w:tcBorders>
              <w:bottom w:val="single" w:sz="8" w:color="EEEEEE"/>
            </w:tcBorders>
            <w:shd w:val="clear" w:color="auto" w:fill="EEEEEE"/>
          </w:tcPr>
          <w:p>
            <w:pPr>
              <w:spacing w:after="0"/>
              <w:rPr>
                <w:sz w:val="22"/>
                <w:szCs w:val="22"/>
                <w:color w:val="auto"/>
              </w:rPr>
            </w:pPr>
          </w:p>
        </w:tc>
        <w:tc>
          <w:tcPr>
            <w:tcW w:w="140" w:type="dxa"/>
            <w:vAlign w:val="bottom"/>
            <w:tcBorders>
              <w:bottom w:val="single" w:sz="8" w:color="808080"/>
            </w:tcBorders>
            <w:shd w:val="clear" w:color="auto" w:fill="EEEEEE"/>
          </w:tcPr>
          <w:p>
            <w:pPr>
              <w:spacing w:after="0"/>
              <w:rPr>
                <w:sz w:val="22"/>
                <w:szCs w:val="22"/>
                <w:color w:val="auto"/>
              </w:rPr>
            </w:pPr>
          </w:p>
        </w:tc>
        <w:tc>
          <w:tcPr>
            <w:tcW w:w="56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$0.85</w:t>
            </w:r>
          </w:p>
        </w:tc>
        <w:tc>
          <w:tcPr>
            <w:tcW w:w="620" w:type="dxa"/>
            <w:vAlign w:val="bottom"/>
            <w:tcBorders>
              <w:left w:val="single" w:sz="8" w:color="EEEEEE"/>
              <w:bottom w:val="single" w:sz="8" w:color="EEEEEE"/>
            </w:tcBorders>
            <w:shd w:val="clear" w:color="auto" w:fill="EEEEEE"/>
          </w:tcPr>
          <w:p>
            <w:pPr>
              <w:spacing w:after="0"/>
              <w:rPr>
                <w:sz w:val="22"/>
                <w:szCs w:val="22"/>
                <w:color w:val="auto"/>
              </w:rPr>
            </w:pPr>
          </w:p>
        </w:tc>
        <w:tc>
          <w:tcPr>
            <w:tcW w:w="120" w:type="dxa"/>
            <w:vAlign w:val="bottom"/>
            <w:tcBorders>
              <w:bottom w:val="single" w:sz="8" w:color="808080"/>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December 2002 the FASB issued SFAS No. 148, “Accounting for Stock Based Compensation-Transition and Disclosure” as</w:t>
      </w:r>
      <w:r>
        <w:rPr>
          <w:rFonts w:ascii="Arial" w:cs="Arial" w:eastAsia="Arial" w:hAnsi="Arial"/>
          <w:sz w:val="16"/>
          <w:szCs w:val="16"/>
          <w:i w:val="1"/>
          <w:iCs w:val="1"/>
          <w:color w:val="auto"/>
        </w:rPr>
        <w:t xml:space="preserve"> </w:t>
      </w:r>
      <w:r>
        <w:rPr>
          <w:rFonts w:ascii="Arial" w:cs="Arial" w:eastAsia="Arial" w:hAnsi="Arial"/>
          <w:sz w:val="16"/>
          <w:szCs w:val="16"/>
          <w:color w:val="auto"/>
        </w:rPr>
        <w:t>an amendment of FASB Statement No. 123, “Accounting for Stock-Based Compensation”. SFAS No. 148 amends the disclosure provisions to require prominent disclosure about the effects on reported net income of an entity’s accounting policy decisions with respect to stock-based compensation. Stock options are accounted for using the intrinsic method in accordance with APB No. 25, “Accounting for Stock Issued to Employees,” as interpreted, whereby if options are priced at fair market value or above at the date of grant and the number of shares is fixed or certain, no compensation expense is recognized. In addition, certain of our stock-based compensation arrangements provide for performance-based vesting which calls for the use of “variable plan accounting” whereby compensation expense is periodically recorded for the intrinsic value of vested shares. Historically, compensation arising from such arrangements has not been material to operations. The pro forma information is as follows (in thousands except for earnings per share):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76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2003</w:t>
            </w:r>
          </w:p>
        </w:tc>
        <w:tc>
          <w:tcPr>
            <w:tcW w:w="14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$75,990</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$35,862</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$59,722</w:t>
            </w:r>
          </w:p>
        </w:tc>
        <w:tc>
          <w:tcPr>
            <w:tcW w:w="0" w:type="dxa"/>
            <w:vAlign w:val="bottom"/>
          </w:tcPr>
          <w:p>
            <w:pPr>
              <w:spacing w:after="0"/>
              <w:rPr>
                <w:sz w:val="1"/>
                <w:szCs w:val="1"/>
                <w:color w:val="auto"/>
              </w:rPr>
            </w:pPr>
          </w:p>
        </w:tc>
      </w:tr>
      <w:tr>
        <w:trPr>
          <w:trHeight w:val="418"/>
        </w:trPr>
        <w:tc>
          <w:tcPr>
            <w:tcW w:w="480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included in</w:t>
            </w:r>
          </w:p>
        </w:tc>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net income as reported</w:t>
            </w:r>
          </w:p>
        </w:tc>
        <w:tc>
          <w:tcPr>
            <w:tcW w:w="27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Stock-based employee compensation cost under the fair</w:t>
            </w:r>
          </w:p>
        </w:tc>
        <w:tc>
          <w:tcPr>
            <w:tcW w:w="27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value method of SFAS No. 123</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$606</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$432</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432"/>
        </w:trPr>
        <w:tc>
          <w:tcPr>
            <w:tcW w:w="4800" w:type="dxa"/>
            <w:vAlign w:val="bottom"/>
            <w:gridSpan w:val="2"/>
          </w:tcPr>
          <w:p>
            <w:pPr>
              <w:spacing w:after="0"/>
              <w:rPr>
                <w:sz w:val="20"/>
                <w:szCs w:val="20"/>
                <w:color w:val="auto"/>
              </w:rPr>
            </w:pPr>
            <w:r>
              <w:rPr>
                <w:rFonts w:ascii="Arial" w:cs="Arial" w:eastAsia="Arial" w:hAnsi="Arial"/>
                <w:sz w:val="18"/>
                <w:szCs w:val="18"/>
                <w:color w:val="auto"/>
              </w:rPr>
              <w:t>Pro forma net income available to common shareholders</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$75,384</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$35,430</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$59,042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Earnings per common share, basic</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$1.60</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$0.86</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Earnings per common share, diluted</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$1.59</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$0.85</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EEEEEE"/>
          </w:tcPr>
          <w:p>
            <w:pPr>
              <w:spacing w:after="0"/>
              <w:rPr>
                <w:sz w:val="20"/>
                <w:szCs w:val="20"/>
                <w:color w:val="auto"/>
              </w:rPr>
            </w:pPr>
            <w:r>
              <w:rPr>
                <w:rFonts w:ascii="Arial" w:cs="Arial" w:eastAsia="Arial" w:hAnsi="Arial"/>
                <w:sz w:val="18"/>
                <w:szCs w:val="18"/>
                <w:color w:val="auto"/>
              </w:rPr>
              <w:t>Pro forma earnings per common share, basic</w:t>
            </w:r>
          </w:p>
        </w:tc>
        <w:tc>
          <w:tcPr>
            <w:tcW w:w="37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$1.59</w:t>
            </w:r>
          </w:p>
        </w:tc>
        <w:tc>
          <w:tcPr>
            <w:tcW w:w="142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$0.85</w:t>
            </w:r>
          </w:p>
        </w:tc>
        <w:tc>
          <w:tcPr>
            <w:tcW w:w="144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 forma earnings per common share, diluted</w:t>
            </w:r>
          </w:p>
        </w:tc>
        <w:tc>
          <w:tcPr>
            <w:tcW w:w="3760" w:type="dxa"/>
            <w:vAlign w:val="bottom"/>
            <w:gridSpan w:val="2"/>
          </w:tcPr>
          <w:p>
            <w:pPr>
              <w:jc w:val="right"/>
              <w:ind w:right="110"/>
              <w:spacing w:after="0"/>
              <w:rPr>
                <w:sz w:val="20"/>
                <w:szCs w:val="20"/>
                <w:color w:val="auto"/>
              </w:rPr>
            </w:pPr>
            <w:r>
              <w:rPr>
                <w:rFonts w:ascii="Arial" w:cs="Arial" w:eastAsia="Arial" w:hAnsi="Arial"/>
                <w:sz w:val="18"/>
                <w:szCs w:val="18"/>
                <w:color w:val="auto"/>
              </w:rPr>
              <w:t>$1.58</w:t>
            </w:r>
          </w:p>
        </w:tc>
        <w:tc>
          <w:tcPr>
            <w:tcW w:w="1420" w:type="dxa"/>
            <w:vAlign w:val="bottom"/>
            <w:gridSpan w:val="2"/>
          </w:tcPr>
          <w:p>
            <w:pPr>
              <w:jc w:val="right"/>
              <w:ind w:right="110"/>
              <w:spacing w:after="0"/>
              <w:rPr>
                <w:sz w:val="20"/>
                <w:szCs w:val="20"/>
                <w:color w:val="auto"/>
              </w:rPr>
            </w:pPr>
            <w:r>
              <w:rPr>
                <w:rFonts w:ascii="Arial" w:cs="Arial" w:eastAsia="Arial" w:hAnsi="Arial"/>
                <w:sz w:val="18"/>
                <w:szCs w:val="18"/>
                <w:color w:val="auto"/>
              </w:rPr>
              <w:t>$0.84</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760" w:type="dxa"/>
            <w:vAlign w:val="bottom"/>
            <w:gridSpan w:val="2"/>
          </w:tcPr>
          <w:p>
            <w:pPr>
              <w:jc w:val="right"/>
              <w:ind w:right="2550"/>
              <w:spacing w:after="0"/>
              <w:rPr>
                <w:sz w:val="20"/>
                <w:szCs w:val="20"/>
                <w:color w:val="auto"/>
              </w:rPr>
            </w:pPr>
            <w:r>
              <w:rPr>
                <w:rFonts w:ascii="Arial" w:cs="Arial" w:eastAsia="Arial" w:hAnsi="Arial"/>
                <w:sz w:val="18"/>
                <w:szCs w:val="18"/>
                <w:color w:val="auto"/>
              </w:rPr>
              <w:t>-F11-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i w:val="1"/>
          <w:iCs w:val="1"/>
          <w:color w:val="auto"/>
        </w:rPr>
        <w:t>Reclassifications</w:t>
      </w:r>
      <w:r>
        <w:rPr>
          <w:rFonts w:ascii="Arial" w:cs="Arial" w:eastAsia="Arial" w:hAnsi="Arial"/>
          <w:sz w:val="16"/>
          <w:szCs w:val="16"/>
          <w:color w:val="auto"/>
        </w:rPr>
        <w:t>. Certain components of rental income, other property income, rental expense, real estate tax expense and depreciation and amortization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December 31, 2002 and 2001 Consolidated Statements of Operations have been reclassified to Income from operations of discontinued assets to assure comparability of all periods presented. In addition, certain balance sheet accounts have been reclassified to assure comparability of all periods presented.</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Redemption of preferred stock. </w:t>
      </w:r>
      <w:r>
        <w:rPr>
          <w:rFonts w:ascii="Arial" w:cs="Arial" w:eastAsia="Arial" w:hAnsi="Arial"/>
          <w:sz w:val="16"/>
          <w:szCs w:val="16"/>
          <w:color w:val="auto"/>
        </w:rPr>
        <w:t>On June 13, 2003, we redeemed our $100 million 7.95% Series A Cumulative Redeemable Preferred Shares at their face</w:t>
      </w:r>
      <w:r>
        <w:rPr>
          <w:rFonts w:ascii="Arial" w:cs="Arial" w:eastAsia="Arial" w:hAnsi="Arial"/>
          <w:sz w:val="16"/>
          <w:szCs w:val="16"/>
          <w:i w:val="1"/>
          <w:iCs w:val="1"/>
          <w:color w:val="auto"/>
        </w:rPr>
        <w:t xml:space="preserve"> </w:t>
      </w:r>
      <w:r>
        <w:rPr>
          <w:rFonts w:ascii="Arial" w:cs="Arial" w:eastAsia="Arial" w:hAnsi="Arial"/>
          <w:sz w:val="16"/>
          <w:szCs w:val="16"/>
          <w:color w:val="auto"/>
        </w:rPr>
        <w:t>value. The original issuance costs of $3.4 million were charged to shareholders’ equity in 1997, when the shares were issued. On July 31, 2003, the Emerging Issues Task Force provided clarification on the treatment of the difference between the redemption value and the carrying value, adjusting for issuance costs, for GAAP financial reporting. In accordance with this clarification, we are required to make a change in accounting to retroactively reflect this difference as a reduction of net earnings to arrive at net earnings available to common shareholders. As a result of this change in accounting presentation, our Consolidated Statement of Operations for the year ended December 31, 2003 reflects a charge of $3.4 million in the line “Preferred stock redemption - excess of redemption cost over carrying value” as a reduction of net income in computing net income available for common shareholders.</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Guarantor’s Accounting. </w:t>
      </w:r>
      <w:r>
        <w:rPr>
          <w:rFonts w:ascii="Arial" w:cs="Arial" w:eastAsia="Arial" w:hAnsi="Arial"/>
          <w:sz w:val="17"/>
          <w:szCs w:val="17"/>
          <w:color w:val="auto"/>
        </w:rPr>
        <w:t>In November 2002, the FASB issued FASB Interpretation No. 45, “Guarantor’s Accounting and Disclosure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Guarantees, Including Guarantees of Indebtedness of Others” (“FIN 45”). FIN 45 addresses the disclosure requirements of a guarantor in its interim and annual financial statements about its obligations under certain guarantees that it has issued. FIN 45 also requires a guarantor to recognize, at the inception of a guarantee, a liability for the fair value of the obligation undertaken in issuing the guarantee. The disclosure requirements of FIN 45 were effective for us on December 31, 2002. The liability recognition requirements are applicable prospectively to all guarantees issued or modified after December 31, 2002. The adoption of this pronouncement has not had a material impact on our financial position or results of operations.</w:t>
      </w:r>
    </w:p>
    <w:p>
      <w:pPr>
        <w:spacing w:after="0" w:line="1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 On January 31, 2003, the FASB issued FASB Interpretation No. 46, “Consolidation of Variable Interest Entities” (“FIN 46”). FIN</w:t>
      </w:r>
      <w:r>
        <w:rPr>
          <w:rFonts w:ascii="Arial" w:cs="Arial" w:eastAsia="Arial" w:hAnsi="Arial"/>
          <w:sz w:val="18"/>
          <w:szCs w:val="18"/>
          <w:i w:val="1"/>
          <w:iCs w:val="1"/>
          <w:color w:val="auto"/>
        </w:rPr>
        <w:t xml:space="preserve"> </w:t>
      </w:r>
      <w:r>
        <w:rPr>
          <w:rFonts w:ascii="Arial" w:cs="Arial" w:eastAsia="Arial" w:hAnsi="Arial"/>
          <w:sz w:val="18"/>
          <w:szCs w:val="18"/>
          <w:color w:val="auto"/>
        </w:rPr>
        <w:t>46 clarifies existing accounting for whether interest entities should be consolidated in financial statements based upon the investees ability to finance its activities without additional financial support and whether investors possess characteristics of a controlling financial interest. We have evaluated the applicability of FIN 46 to our investments in certain restaurant joint ventures established in 2001 and 2002 at Santana Row and have determined that these joint ventures do not meet the definition of a Variable Interest Entity and therefore consolidation of these ventures is not required. Accordingly, these investments will continue to be accounted for using the equity method.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2003, we have invested approximately $7.8 million in these ventures, principally to fund buildout costs of each restaurant.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amount, $6.5 million has been capitalized as an investment in these ventures and $1.3 million was expensed in 2002 to reflect our estimate of the permanent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impairment of our investment in two of these ventures due principally to declining economic conditions. We are currently committed to invest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 million in these ventures and as such, our maximum exposure to further losses as a result of involvement in these ventures is $6.7 million at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Statement of Financial Accounting Standards No. 149. </w:t>
      </w:r>
      <w:r>
        <w:rPr>
          <w:rFonts w:ascii="Arial" w:cs="Arial" w:eastAsia="Arial" w:hAnsi="Arial"/>
          <w:sz w:val="17"/>
          <w:szCs w:val="17"/>
          <w:color w:val="auto"/>
        </w:rPr>
        <w:t>In April 2003, the FASB issued SFAS No. 149, “Amendment of Statement 133 on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and Hedging Activities” which clarifies the accounting and reporting for derivative instruments. The statement is effective for contracts entered into or modified after June 30, 2003. The adoption of SFAS 149 has not had a material effect on the Trust’s financial statements.</w:t>
      </w:r>
    </w:p>
    <w:p>
      <w:pPr>
        <w:spacing w:after="0" w:line="13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 addresses the classification and measurement of freestanding financial instruments, including mandatorily redeemable preferred and common stock, and requires an issuer to classify certain instruments as liabilities. The adoption of SFAS No. 150 has not had a material effect on the Trust’s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w:t>
      </w:r>
      <w:r>
        <w:rPr>
          <w:rFonts w:ascii="Arial" w:cs="Arial" w:eastAsia="Arial" w:hAnsi="Arial"/>
          <w:sz w:val="18"/>
          <w:szCs w:val="18"/>
          <w:u w:val="single" w:color="auto"/>
          <w:color w:val="auto"/>
        </w:rPr>
        <w:t>: REAL ESTATE AND ENCUMBRANCES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properties at December 31, 2003 and 2002 is as follows (in thousands):</w:t>
      </w:r>
    </w:p>
    <w:p>
      <w:pPr>
        <w:sectPr>
          <w:pgSz w:w="11900" w:h="16838" w:orient="portrait"/>
          <w:cols w:equalWidth="0" w:num="1">
            <w:col w:w="11420"/>
          </w:cols>
          <w:pgMar w:left="240" w:top="4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2003</w:t>
      </w:r>
    </w:p>
    <w:p>
      <w:pPr>
        <w:spacing w:after="0" w:line="50" w:lineRule="exact"/>
        <w:rPr>
          <w:sz w:val="20"/>
          <w:szCs w:val="20"/>
          <w:color w:val="auto"/>
        </w:rPr>
      </w:pPr>
    </w:p>
    <w:p>
      <w:pPr>
        <w:ind w:right="1920"/>
        <w:spacing w:after="0" w:line="264" w:lineRule="auto"/>
        <w:rPr>
          <w:sz w:val="20"/>
          <w:szCs w:val="20"/>
          <w:color w:val="auto"/>
        </w:rPr>
      </w:pPr>
      <w:r>
        <w:rPr>
          <w:rFonts w:ascii="Arial" w:cs="Arial" w:eastAsia="Arial" w:hAnsi="Arial"/>
          <w:sz w:val="18"/>
          <w:szCs w:val="18"/>
          <w:color w:val="auto"/>
        </w:rPr>
        <w:t>Retail and mixed-use properties Retail properties under capital leases Residential</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2002</w:t>
      </w:r>
    </w:p>
    <w:p>
      <w:pPr>
        <w:spacing w:after="0" w:line="23" w:lineRule="exact"/>
        <w:rPr>
          <w:sz w:val="20"/>
          <w:szCs w:val="20"/>
          <w:color w:val="auto"/>
        </w:rPr>
      </w:pPr>
    </w:p>
    <w:p>
      <w:pPr>
        <w:ind w:right="1920"/>
        <w:spacing w:after="0" w:line="255" w:lineRule="auto"/>
        <w:rPr>
          <w:sz w:val="20"/>
          <w:szCs w:val="20"/>
          <w:color w:val="auto"/>
        </w:rPr>
      </w:pPr>
      <w:r>
        <w:rPr>
          <w:rFonts w:ascii="Arial" w:cs="Arial" w:eastAsia="Arial" w:hAnsi="Arial"/>
          <w:sz w:val="18"/>
          <w:szCs w:val="18"/>
          <w:color w:val="auto"/>
        </w:rPr>
        <w:t>Retail and mixed-use properties Retail properties under capital leases Residential</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98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depreciation and</w:t>
            </w:r>
          </w:p>
        </w:tc>
        <w:tc>
          <w:tcPr>
            <w:tcW w:w="1980" w:type="dxa"/>
            <w:vAlign w:val="bottom"/>
          </w:tcPr>
          <w:p>
            <w:pPr>
              <w:spacing w:after="0"/>
              <w:rPr>
                <w:sz w:val="18"/>
                <w:szCs w:val="18"/>
                <w:color w:val="auto"/>
              </w:rPr>
            </w:pPr>
          </w:p>
        </w:tc>
      </w:tr>
      <w:tr>
        <w:trPr>
          <w:trHeight w:val="230"/>
        </w:trPr>
        <w:tc>
          <w:tcPr>
            <w:tcW w:w="1860" w:type="dxa"/>
            <w:vAlign w:val="bottom"/>
            <w:tcBorders>
              <w:bottom w:val="single" w:sz="8" w:color="808080"/>
            </w:tcBorders>
          </w:tcPr>
          <w:p>
            <w:pPr>
              <w:jc w:val="right"/>
              <w:ind w:right="730"/>
              <w:spacing w:after="0"/>
              <w:rPr>
                <w:sz w:val="20"/>
                <w:szCs w:val="20"/>
                <w:color w:val="auto"/>
              </w:rPr>
            </w:pPr>
            <w:r>
              <w:rPr>
                <w:rFonts w:ascii="Arial" w:cs="Arial" w:eastAsia="Arial" w:hAnsi="Arial"/>
                <w:sz w:val="18"/>
                <w:szCs w:val="18"/>
                <w:color w:val="auto"/>
              </w:rPr>
              <w:t>Cost</w:t>
            </w:r>
          </w:p>
        </w:tc>
        <w:tc>
          <w:tcPr>
            <w:tcW w:w="22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91"/>
              </w:rPr>
              <w:t>amortization</w:t>
            </w:r>
          </w:p>
        </w:tc>
        <w:tc>
          <w:tcPr>
            <w:tcW w:w="1980" w:type="dxa"/>
            <w:vAlign w:val="bottom"/>
            <w:tcBorders>
              <w:bottom w:val="single" w:sz="8" w:color="808080"/>
            </w:tcBorders>
          </w:tcPr>
          <w:p>
            <w:pPr>
              <w:jc w:val="right"/>
              <w:ind w:right="290"/>
              <w:spacing w:after="0"/>
              <w:rPr>
                <w:sz w:val="20"/>
                <w:szCs w:val="20"/>
                <w:color w:val="auto"/>
              </w:rPr>
            </w:pPr>
            <w:r>
              <w:rPr>
                <w:rFonts w:ascii="Arial" w:cs="Arial" w:eastAsia="Arial" w:hAnsi="Arial"/>
                <w:sz w:val="18"/>
                <w:szCs w:val="18"/>
                <w:color w:val="auto"/>
              </w:rPr>
              <w:t>Encumbrances</w:t>
            </w:r>
          </w:p>
        </w:tc>
      </w:tr>
      <w:tr>
        <w:trPr>
          <w:trHeight w:val="222"/>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$2,197,276</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$434,063</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$254,871</w:t>
            </w:r>
          </w:p>
        </w:tc>
      </w:tr>
      <w:tr>
        <w:trPr>
          <w:trHeight w:val="216"/>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246,143</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73,767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159,486</w:t>
            </w:r>
          </w:p>
        </w:tc>
      </w:tr>
      <w:tr>
        <w:trPr>
          <w:trHeight w:val="230"/>
        </w:trPr>
        <w:tc>
          <w:tcPr>
            <w:tcW w:w="1860" w:type="dxa"/>
            <w:vAlign w:val="bottom"/>
            <w:tcBorders>
              <w:bottom w:val="single" w:sz="8" w:color="808080"/>
            </w:tcBorders>
          </w:tcPr>
          <w:p>
            <w:pPr>
              <w:jc w:val="right"/>
              <w:ind w:right="450"/>
              <w:spacing w:after="0"/>
              <w:rPr>
                <w:sz w:val="20"/>
                <w:szCs w:val="20"/>
                <w:color w:val="auto"/>
              </w:rPr>
            </w:pPr>
            <w:r>
              <w:rPr>
                <w:rFonts w:ascii="Arial" w:cs="Arial" w:eastAsia="Arial" w:hAnsi="Arial"/>
                <w:sz w:val="18"/>
                <w:szCs w:val="18"/>
                <w:color w:val="auto"/>
              </w:rPr>
              <w:t>26,730</w:t>
            </w:r>
          </w:p>
        </w:tc>
        <w:tc>
          <w:tcPr>
            <w:tcW w:w="2280" w:type="dxa"/>
            <w:vAlign w:val="bottom"/>
            <w:tcBorders>
              <w:bottom w:val="single" w:sz="8" w:color="808080"/>
            </w:tcBorders>
          </w:tcPr>
          <w:p>
            <w:pPr>
              <w:jc w:val="right"/>
              <w:ind w:right="670"/>
              <w:spacing w:after="0"/>
              <w:rPr>
                <w:sz w:val="20"/>
                <w:szCs w:val="20"/>
                <w:color w:val="auto"/>
              </w:rPr>
            </w:pPr>
            <w:r>
              <w:rPr>
                <w:rFonts w:ascii="Arial" w:cs="Arial" w:eastAsia="Arial" w:hAnsi="Arial"/>
                <w:sz w:val="18"/>
                <w:szCs w:val="18"/>
                <w:color w:val="auto"/>
              </w:rPr>
              <w:t>6,347</w:t>
            </w:r>
          </w:p>
        </w:tc>
        <w:tc>
          <w:tcPr>
            <w:tcW w:w="1980" w:type="dxa"/>
            <w:vAlign w:val="bottom"/>
            <w:tcBorders>
              <w:bottom w:val="single" w:sz="8" w:color="808080"/>
            </w:tcBorders>
          </w:tcPr>
          <w:p>
            <w:pPr>
              <w:jc w:val="right"/>
              <w:ind w:right="470"/>
              <w:spacing w:after="0"/>
              <w:rPr>
                <w:sz w:val="20"/>
                <w:szCs w:val="20"/>
                <w:color w:val="auto"/>
              </w:rPr>
            </w:pPr>
            <w:r>
              <w:rPr>
                <w:rFonts w:ascii="Arial" w:cs="Arial" w:eastAsia="Arial" w:hAnsi="Arial"/>
                <w:sz w:val="18"/>
                <w:szCs w:val="18"/>
                <w:color w:val="auto"/>
              </w:rPr>
              <w:t>—</w:t>
            </w:r>
          </w:p>
        </w:tc>
      </w:tr>
      <w:tr>
        <w:trPr>
          <w:trHeight w:val="233"/>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$2,470,149</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$514,177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$414,357</w:t>
            </w:r>
          </w:p>
        </w:tc>
      </w:tr>
      <w:tr>
        <w:trPr>
          <w:trHeight w:val="61"/>
        </w:trPr>
        <w:tc>
          <w:tcPr>
            <w:tcW w:w="1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r>
      <w:tr>
        <w:trPr>
          <w:trHeight w:val="658"/>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$2,123,890</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$378,148</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$288,817</w:t>
            </w:r>
          </w:p>
        </w:tc>
      </w:tr>
      <w:tr>
        <w:trPr>
          <w:trHeight w:val="216"/>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176,253</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66,538</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104,395</w:t>
            </w:r>
          </w:p>
        </w:tc>
      </w:tr>
      <w:tr>
        <w:trPr>
          <w:trHeight w:val="230"/>
        </w:trPr>
        <w:tc>
          <w:tcPr>
            <w:tcW w:w="1860" w:type="dxa"/>
            <w:vAlign w:val="bottom"/>
            <w:tcBorders>
              <w:bottom w:val="single" w:sz="8" w:color="808080"/>
            </w:tcBorders>
          </w:tcPr>
          <w:p>
            <w:pPr>
              <w:jc w:val="right"/>
              <w:ind w:right="450"/>
              <w:spacing w:after="0"/>
              <w:rPr>
                <w:sz w:val="20"/>
                <w:szCs w:val="20"/>
                <w:color w:val="auto"/>
              </w:rPr>
            </w:pPr>
            <w:r>
              <w:rPr>
                <w:rFonts w:ascii="Arial" w:cs="Arial" w:eastAsia="Arial" w:hAnsi="Arial"/>
                <w:sz w:val="18"/>
                <w:szCs w:val="18"/>
                <w:color w:val="auto"/>
              </w:rPr>
              <w:t>6,683</w:t>
            </w:r>
          </w:p>
        </w:tc>
        <w:tc>
          <w:tcPr>
            <w:tcW w:w="2280" w:type="dxa"/>
            <w:vAlign w:val="bottom"/>
            <w:tcBorders>
              <w:bottom w:val="single" w:sz="8" w:color="808080"/>
            </w:tcBorders>
          </w:tcPr>
          <w:p>
            <w:pPr>
              <w:jc w:val="right"/>
              <w:ind w:right="670"/>
              <w:spacing w:after="0"/>
              <w:rPr>
                <w:sz w:val="20"/>
                <w:szCs w:val="20"/>
                <w:color w:val="auto"/>
              </w:rPr>
            </w:pPr>
            <w:r>
              <w:rPr>
                <w:rFonts w:ascii="Arial" w:cs="Arial" w:eastAsia="Arial" w:hAnsi="Arial"/>
                <w:sz w:val="18"/>
                <w:szCs w:val="18"/>
                <w:color w:val="auto"/>
              </w:rPr>
              <w:t>6,011</w:t>
            </w:r>
          </w:p>
        </w:tc>
        <w:tc>
          <w:tcPr>
            <w:tcW w:w="1980" w:type="dxa"/>
            <w:vAlign w:val="bottom"/>
            <w:tcBorders>
              <w:bottom w:val="single" w:sz="8" w:color="808080"/>
            </w:tcBorders>
          </w:tcPr>
          <w:p>
            <w:pPr>
              <w:jc w:val="right"/>
              <w:ind w:right="470"/>
              <w:spacing w:after="0"/>
              <w:rPr>
                <w:sz w:val="20"/>
                <w:szCs w:val="20"/>
                <w:color w:val="auto"/>
              </w:rPr>
            </w:pPr>
            <w:r>
              <w:rPr>
                <w:rFonts w:ascii="Arial" w:cs="Arial" w:eastAsia="Arial" w:hAnsi="Arial"/>
                <w:sz w:val="18"/>
                <w:szCs w:val="18"/>
                <w:color w:val="auto"/>
              </w:rPr>
              <w:t>—</w:t>
            </w:r>
          </w:p>
        </w:tc>
      </w:tr>
      <w:tr>
        <w:trPr>
          <w:trHeight w:val="233"/>
        </w:trPr>
        <w:tc>
          <w:tcPr>
            <w:tcW w:w="1860" w:type="dxa"/>
            <w:vAlign w:val="bottom"/>
          </w:tcPr>
          <w:p>
            <w:pPr>
              <w:jc w:val="right"/>
              <w:ind w:right="450"/>
              <w:spacing w:after="0"/>
              <w:rPr>
                <w:sz w:val="20"/>
                <w:szCs w:val="20"/>
                <w:color w:val="auto"/>
              </w:rPr>
            </w:pPr>
            <w:r>
              <w:rPr>
                <w:rFonts w:ascii="Arial" w:cs="Arial" w:eastAsia="Arial" w:hAnsi="Arial"/>
                <w:sz w:val="18"/>
                <w:szCs w:val="18"/>
                <w:color w:val="auto"/>
              </w:rPr>
              <w:t>$2,306,826</w:t>
            </w:r>
          </w:p>
        </w:tc>
        <w:tc>
          <w:tcPr>
            <w:tcW w:w="2280" w:type="dxa"/>
            <w:vAlign w:val="bottom"/>
          </w:tcPr>
          <w:p>
            <w:pPr>
              <w:jc w:val="right"/>
              <w:ind w:right="670"/>
              <w:spacing w:after="0"/>
              <w:rPr>
                <w:sz w:val="20"/>
                <w:szCs w:val="20"/>
                <w:color w:val="auto"/>
              </w:rPr>
            </w:pPr>
            <w:r>
              <w:rPr>
                <w:rFonts w:ascii="Arial" w:cs="Arial" w:eastAsia="Arial" w:hAnsi="Arial"/>
                <w:sz w:val="18"/>
                <w:szCs w:val="18"/>
                <w:color w:val="auto"/>
              </w:rPr>
              <w:t>$450,697</w:t>
            </w:r>
          </w:p>
        </w:tc>
        <w:tc>
          <w:tcPr>
            <w:tcW w:w="1980" w:type="dxa"/>
            <w:vAlign w:val="bottom"/>
          </w:tcPr>
          <w:p>
            <w:pPr>
              <w:jc w:val="right"/>
              <w:ind w:right="470"/>
              <w:spacing w:after="0"/>
              <w:rPr>
                <w:sz w:val="20"/>
                <w:szCs w:val="20"/>
                <w:color w:val="auto"/>
              </w:rPr>
            </w:pPr>
            <w:r>
              <w:rPr>
                <w:rFonts w:ascii="Arial" w:cs="Arial" w:eastAsia="Arial" w:hAnsi="Arial"/>
                <w:sz w:val="18"/>
                <w:szCs w:val="18"/>
                <w:color w:val="auto"/>
              </w:rPr>
              <w:t>$393,212</w:t>
            </w:r>
          </w:p>
        </w:tc>
      </w:tr>
      <w:tr>
        <w:trPr>
          <w:trHeight w:val="61"/>
        </w:trPr>
        <w:tc>
          <w:tcPr>
            <w:tcW w:w="186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19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-1510665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-1236345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-747395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-473075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-172720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580" w:space="720"/>
            <w:col w:w="6120"/>
          </w:cols>
          <w:pgMar w:left="240" w:top="419" w:right="239" w:bottom="1440" w:gutter="0" w:footer="0" w:header="0"/>
          <w:type w:val="continuous"/>
        </w:sectPr>
      </w:pPr>
    </w:p>
    <w:p>
      <w:pPr>
        <w:ind w:right="100" w:firstLine="225"/>
        <w:spacing w:after="0" w:line="277" w:lineRule="auto"/>
        <w:rPr>
          <w:sz w:val="20"/>
          <w:szCs w:val="20"/>
          <w:color w:val="auto"/>
        </w:rPr>
      </w:pPr>
      <w:r>
        <w:rPr>
          <w:rFonts w:ascii="Arial" w:cs="Arial" w:eastAsia="Arial" w:hAnsi="Arial"/>
          <w:sz w:val="18"/>
          <w:szCs w:val="18"/>
          <w:color w:val="auto"/>
        </w:rPr>
        <w:t>Retail and mixed-use properties includes the residential portion of our Santana Row development partner. The residential property investments comprised our investments in Rollingwood Apartments and Crest Apartments at Congressional Plaza.</w:t>
      </w:r>
    </w:p>
    <w:p>
      <w:pPr>
        <w:spacing w:after="0" w:line="130"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During 2003 we expended cash of $174.5 million to improve, redevelop and develop our existing real estate. Of the $174.5 million spent in 2003 on our existing real estate portfolio, approximately $123.9 million was invested in our Santana Row development project, located in San Jose, California. The remaining $50.6 million of capital expenditures relates to improvements to common areas, tenant work and various redevelopments, including the cost of Congressional Apartments in Rockville, Maryland, the redevelopment of retail buildings in San Antonio, Texas and the completion of tenant work at the Woodmont East development in Bethesda, Maryland.</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2003, we expended cash of $50.6 million acquiring four shopping centers and $55.4 million of assets were acquired through capital leases.</w:t>
      </w:r>
    </w:p>
    <w:p>
      <w:pPr>
        <w:spacing w:after="0" w:line="196"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On March 21, 2003, a partnership in which one of our wholly owned subsidiaries is the general partner, purchased the 214,000 square foot South Valley Shopping Center in Alexandria, Virginia for a purchase price of approximately $13.7 million in cash. All of the purchase price has been allocated to real estate assets except for approximately $125,000 which has been allocated to prepaid and other assets associated with the net fair value assigned to above-market leases assumed and $332,000 which has been allocated to other liabilities associated with the net fair value assigned to below-market leases assumed.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225"/>
        <w:spacing w:after="0" w:line="255" w:lineRule="auto"/>
        <w:rPr>
          <w:sz w:val="20"/>
          <w:szCs w:val="20"/>
          <w:color w:val="auto"/>
        </w:rPr>
      </w:pPr>
      <w:r>
        <w:rPr>
          <w:rFonts w:ascii="Arial" w:cs="Arial" w:eastAsia="Arial" w:hAnsi="Arial"/>
          <w:sz w:val="18"/>
          <w:szCs w:val="18"/>
          <w:color w:val="auto"/>
        </w:rPr>
        <w:t>On March 31, 2003, the same partnership acquired the leasehold interest, which extends through December 31, 2077, in the 257,000 square foot Mount Vernon Plaza in Alexandria, Virginia, for aggregate consideration of approximately $17.5 million in the form of approximately $700,000 of cash, 120,000 partnership units valued at $3.5 million and the assumption of a $13.3 million mortgage. All of the purchase price has been allocated to real estate assets except for approximately $756,000 which has been allocated to prepaid and other assets associated with the net fair value assigned to above-market leases assumed and $1.75 million which has been allocated to other liabilities associated with the net fair value assigned to the assumed leases at the property assigned.</w:t>
      </w:r>
    </w:p>
    <w:p>
      <w:pPr>
        <w:spacing w:after="0" w:line="166"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On October 14, 2003, the Trust acquired the leasehold interest, which extends through September 30, 2028, in the 321,000 square foot Mercer Mall in Lawrenceville, New Jersey for $10.5 million paid out of proceeds from dispositions and from borrowings under our credit facility. The master lease includes a fixed purchase price option for $55 million in 2023. If we fail to exercise our purchase option, the owner of Mercer Mall has a put option which would require us to purchase Mercer Mall for $60 million in 2025. All of the purchase price has been allocated to real estate assets except for approximately $736,000 allocated to prepaid and other assets associated with the net fair value assigned to above-market leases assumed, and $2.4 million allocated to other liabilities associated with the net fair value assigned to below-market leases assumed.</w:t>
      </w:r>
    </w:p>
    <w:p>
      <w:pPr>
        <w:spacing w:after="0" w:line="138"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October 31, 2003, FR Plaza del Mercado, LLC, a wholly owned subsidiary of the Trust, purchased the 96,000 square foot Plaza del Mercado shopping center located in Silver Spring, Maryland for a purchase price of approximately $20 million in cash. All of the purchase price has been allocated to real estate assets except for approximately $929,000 fair value assigned to above-market leases assumed and $962,000 allocated to other liabilities associated with the net fair value assigned to below-market leases assumed.</w:t>
      </w:r>
    </w:p>
    <w:p>
      <w:pPr>
        <w:spacing w:after="0" w:line="146"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On December 4, 2003, FR Mercer Mall, LLC, a wholly owned subsidiary of the Trust, purchased a 40,000 square foot out-parcel of Mercer Mall in Lawrenceville, New Jersey for a purchase price of approximately $6.5 million including the assumption. All of the purchase price has been allocated to real estate assets except for approximately $15,000 which has been allocated to prepaid and other assets associated with the net fair value assigned to above-market lease assumed.</w:t>
      </w:r>
    </w:p>
    <w:p>
      <w:pPr>
        <w:spacing w:after="0" w:line="16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On June 16, 2003, we sold the street retail property located at 4929 Bethesda Avenue in Bethesda, Maryland for approximately $1.5 million resulting in a gain of $551,000.</w:t>
      </w:r>
    </w:p>
    <w:p>
      <w:pPr>
        <w:spacing w:after="0" w:line="130"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During the first quarter of 2003 an action was filed by a local governmental authority to condemn a shopping center in Rockville, Maryland, owned by one of our partnerships to facilitate the authority’s redevelopment of its town center. The shopping center has a cost basis of $10.5 million and contributes less than 1% to our rental income. We have agreed with the governmental authority on a condemnation value of $14.3 million, subject to certain terms, and anticipate closing of this transaction in mid-2004. Because the anticipated condemnation proceeds are in excess of our carrying value, we have not recorded any impairment in value of the property.</w:t>
      </w:r>
    </w:p>
    <w:p>
      <w:pPr>
        <w:spacing w:after="0" w:line="148"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July 31, 2003 we sold the street retail property located at 4925 Bethesda Avenue in Bethesda, Maryland for approximately $1.1 million resulting in a gain of $157,000.</w:t>
      </w:r>
    </w:p>
    <w:p>
      <w:pPr>
        <w:spacing w:after="0" w:line="143"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On September 12, 2003 we sold the undeveloped land located in Washington County, Oregon for approximately $9.7 million resulting in a gain of $1.9 million.</w:t>
      </w:r>
    </w:p>
    <w:p>
      <w:pPr>
        <w:spacing w:after="0" w:line="130"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September 15, 2003 we sold the street retail property located in Brookline, Massachusetts for approximately $8.2 million resulting in a gain of $4.3 million.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September 22, 2003 we sold a street retail property located at 2106 Central Avenue in North Evanston, Illinois for approximately $1.8 million resulting in a gain of $780,000.</w:t>
      </w:r>
    </w:p>
    <w:p>
      <w:pPr>
        <w:spacing w:after="0" w:line="143"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On October 31, 2003 we sold a street retail property located at 234 Greenwich Avenue in Greenwich, Connecticut for approximately $8.0 million, resulting in a gain of $4.5 million.</w:t>
      </w:r>
    </w:p>
    <w:p>
      <w:pPr>
        <w:spacing w:after="0" w:line="130"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On December 18, 2003 we sold four street retail properties located in West Hartford, Connecticut for approximately $15.7 million, resulting in a gain of approximately $7.9 million.</w:t>
      </w:r>
    </w:p>
    <w:p>
      <w:pPr>
        <w:spacing w:after="0" w:line="130" w:lineRule="exact"/>
        <w:rPr>
          <w:sz w:val="20"/>
          <w:szCs w:val="20"/>
          <w:color w:val="auto"/>
        </w:rPr>
      </w:pPr>
    </w:p>
    <w:p>
      <w:pPr>
        <w:ind w:right="100" w:firstLine="222"/>
        <w:spacing w:after="0" w:line="308" w:lineRule="auto"/>
        <w:rPr>
          <w:sz w:val="20"/>
          <w:szCs w:val="20"/>
          <w:color w:val="auto"/>
        </w:rPr>
      </w:pPr>
      <w:r>
        <w:rPr>
          <w:rFonts w:ascii="Arial" w:cs="Arial" w:eastAsia="Arial" w:hAnsi="Arial"/>
          <w:sz w:val="17"/>
          <w:szCs w:val="17"/>
          <w:color w:val="auto"/>
        </w:rPr>
        <w:t>These property sales constitute discontinued operations and as such, the accompanying financial statements have been restated to reclassify the operations of these properties as discontinued operations. A summary of the financial information for the discontinued operations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299"/>
              <w:spacing w:after="0"/>
              <w:rPr>
                <w:sz w:val="20"/>
                <w:szCs w:val="20"/>
                <w:color w:val="auto"/>
              </w:rPr>
            </w:pPr>
            <w:r>
              <w:rPr>
                <w:rFonts w:ascii="Arial" w:cs="Arial" w:eastAsia="Arial" w:hAnsi="Arial"/>
                <w:sz w:val="14"/>
                <w:szCs w:val="14"/>
                <w:b w:val="1"/>
                <w:bCs w:val="1"/>
                <w:color w:val="auto"/>
                <w:w w:val="89"/>
              </w:rPr>
              <w:t>2001</w:t>
            </w:r>
          </w:p>
        </w:tc>
      </w:tr>
      <w:tr>
        <w:trPr>
          <w:trHeight w:val="53"/>
        </w:trPr>
        <w:tc>
          <w:tcPr>
            <w:tcW w:w="770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Borders>
              <w:bottom w:val="single" w:sz="8" w:color="808080"/>
            </w:tcBorders>
            <w:gridSpan w:val="2"/>
          </w:tcPr>
          <w:p>
            <w:pPr>
              <w:spacing w:after="0"/>
              <w:rPr>
                <w:sz w:val="4"/>
                <w:szCs w:val="4"/>
                <w:color w:val="auto"/>
              </w:rPr>
            </w:pPr>
          </w:p>
        </w:tc>
      </w:tr>
      <w:tr>
        <w:trPr>
          <w:trHeight w:val="276"/>
        </w:trPr>
        <w:tc>
          <w:tcPr>
            <w:tcW w:w="7700" w:type="dxa"/>
            <w:vAlign w:val="bottom"/>
          </w:tcPr>
          <w:p>
            <w:pPr>
              <w:spacing w:after="0"/>
              <w:rPr>
                <w:sz w:val="20"/>
                <w:szCs w:val="20"/>
                <w:color w:val="auto"/>
              </w:rPr>
            </w:pPr>
            <w:r>
              <w:rPr>
                <w:rFonts w:ascii="Arial" w:cs="Arial" w:eastAsia="Arial" w:hAnsi="Arial"/>
                <w:sz w:val="18"/>
                <w:szCs w:val="18"/>
                <w:color w:val="auto"/>
              </w:rPr>
              <w:t>Revenue from discontinued operations</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$2,792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$5,328</w:t>
            </w:r>
          </w:p>
        </w:tc>
        <w:tc>
          <w:tcPr>
            <w:tcW w:w="1440" w:type="dxa"/>
            <w:vAlign w:val="bottom"/>
            <w:gridSpan w:val="3"/>
          </w:tcPr>
          <w:p>
            <w:pPr>
              <w:jc w:val="right"/>
              <w:ind w:right="119"/>
              <w:spacing w:after="0"/>
              <w:rPr>
                <w:sz w:val="20"/>
                <w:szCs w:val="20"/>
                <w:color w:val="auto"/>
              </w:rPr>
            </w:pPr>
            <w:r>
              <w:rPr>
                <w:rFonts w:ascii="Arial" w:cs="Arial" w:eastAsia="Arial" w:hAnsi="Arial"/>
                <w:sz w:val="18"/>
                <w:szCs w:val="18"/>
                <w:color w:val="auto"/>
              </w:rPr>
              <w:t>$10,917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Income from operations of discontinued operations</w:t>
            </w: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$1,422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$2,876</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9"/>
              <w:spacing w:after="0"/>
              <w:rPr>
                <w:sz w:val="20"/>
                <w:szCs w:val="20"/>
                <w:color w:val="auto"/>
              </w:rPr>
            </w:pPr>
            <w:r>
              <w:rPr>
                <w:rFonts w:ascii="Arial" w:cs="Arial" w:eastAsia="Arial" w:hAnsi="Arial"/>
                <w:sz w:val="18"/>
                <w:szCs w:val="18"/>
                <w:color w:val="auto"/>
              </w:rPr>
              <w:t>6,246</w:t>
            </w:r>
          </w:p>
        </w:tc>
      </w:tr>
    </w:tbl>
    <w:p>
      <w:pPr>
        <w:spacing w:after="0" w:line="161" w:lineRule="exact"/>
        <w:rPr>
          <w:sz w:val="20"/>
          <w:szCs w:val="20"/>
          <w:color w:val="auto"/>
        </w:rPr>
      </w:pPr>
    </w:p>
    <w:p>
      <w:pPr>
        <w:ind w:right="180" w:firstLine="225"/>
        <w:spacing w:after="0" w:line="291" w:lineRule="auto"/>
        <w:rPr>
          <w:sz w:val="20"/>
          <w:szCs w:val="20"/>
          <w:color w:val="auto"/>
        </w:rPr>
      </w:pPr>
      <w:r>
        <w:rPr>
          <w:rFonts w:ascii="Arial" w:cs="Arial" w:eastAsia="Arial" w:hAnsi="Arial"/>
          <w:sz w:val="16"/>
          <w:szCs w:val="16"/>
          <w:color w:val="auto"/>
        </w:rPr>
        <w:t>On February 1, 2002, we redeemed the minority partner’s interest in Santana Row in exchange for a $2.6 million investment in a partnership. We made a $5.9 million loan to the partnership in January 2001 that was due February 28, 2003 but was not repaid on the due date. The loan currently bears interest at</w:t>
      </w:r>
    </w:p>
    <w:p>
      <w:pPr>
        <w:ind w:right="80"/>
        <w:spacing w:after="0" w:line="254" w:lineRule="auto"/>
        <w:rPr>
          <w:sz w:val="20"/>
          <w:szCs w:val="20"/>
          <w:color w:val="auto"/>
        </w:rPr>
      </w:pPr>
      <w:r>
        <w:rPr>
          <w:rFonts w:ascii="Arial" w:cs="Arial" w:eastAsia="Arial" w:hAnsi="Arial"/>
          <w:sz w:val="18"/>
          <w:szCs w:val="18"/>
          <w:color w:val="auto"/>
        </w:rPr>
        <w:t>7.88% and is secured by an office building in San Francisco, California. We are currently negotiating with the borrower to extend the loan through March 31, 2005. When the loan modification is complete, the interest rate on the note will decrease to 6%, retroactive to July 1, 2003. Interest on the loan is current through December 31, 2003 and based in part on the value of the underlying collateral, we believe the loan is collectible and as such, no reserve has been established at this time.</w:t>
      </w:r>
    </w:p>
    <w:p>
      <w:pPr>
        <w:spacing w:after="0" w:line="14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Our 111 retail properties at December 31, 2003 are located in 14 states and the District of Columbia. There are approximately 2,200 tenants providing a wide range of retail products and services. These tenants range from sole proprietorships to national retailers; no one tenant or corporate group of tenants accounts for more than 2.3% of annualized base rent.</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Mortgage notes receivable of $48.9 million are due over various terms from February 2003 to May 2021 and have a weighted average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9.07%. Under the terms of certain of these mortgages, we will receive additional interest based upon the gross income of the secured properties and, upon sale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properties, we will share in the appreciation of the properties.</w:t>
      </w:r>
    </w:p>
    <w:p>
      <w:pPr>
        <w:spacing w:after="0" w:line="170"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Mortgages payable and capital lease obligations are due in installments over various terms extending to 2028 and 2060, respectively, with interest rates ranging from 3.14% to 11.25%. Certain of the capital lease obligations require additional interest payments based upon property performance.</w:t>
      </w:r>
    </w:p>
    <w:p>
      <w:pPr>
        <w:spacing w:after="0" w:line="83"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On November 19, 2002 we used the proceeds from our $150 million public note offering, as well as $20 million of available insurance proceeds relating to the Santana Row fire and approximately $7.1 million in borrowings under our credit facility, to pay in full and retire the Santana Row construction loan.</w:t>
      </w:r>
    </w:p>
    <w:p>
      <w:pPr>
        <w:spacing w:after="0" w:line="97"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At December 31, 2002 there was $24.4 million borrowed under the construction loan for our Woodmont East development in Bethesda, Maryland. The loan had a floating interest rate of LIBOR plus 120 basis points. On February 11, 2003 the $24.4 million Woodmont East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construction loan and the $17.0 million Friendship Center mortgage were paid off through borrowings under our revolving credit facility.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Scheduled principal payments on mortgage and construction loan indebtedness as of December 31, 2003 are as follows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2004</w:t>
            </w:r>
          </w:p>
        </w:tc>
        <w:tc>
          <w:tcPr>
            <w:tcW w:w="740" w:type="dxa"/>
            <w:vAlign w:val="bottom"/>
          </w:tcPr>
          <w:p>
            <w:pPr>
              <w:jc w:val="right"/>
              <w:spacing w:after="0"/>
              <w:rPr>
                <w:sz w:val="20"/>
                <w:szCs w:val="20"/>
                <w:color w:val="auto"/>
              </w:rPr>
            </w:pPr>
            <w:r>
              <w:rPr>
                <w:rFonts w:ascii="Arial" w:cs="Arial" w:eastAsia="Arial" w:hAnsi="Arial"/>
                <w:sz w:val="18"/>
                <w:szCs w:val="18"/>
                <w:color w:val="auto"/>
              </w:rPr>
              <w:t>$2,803</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3,229</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2006</w:t>
            </w:r>
          </w:p>
        </w:tc>
        <w:tc>
          <w:tcPr>
            <w:tcW w:w="740" w:type="dxa"/>
            <w:vAlign w:val="bottom"/>
          </w:tcPr>
          <w:p>
            <w:pPr>
              <w:jc w:val="right"/>
              <w:spacing w:after="0"/>
              <w:rPr>
                <w:sz w:val="20"/>
                <w:szCs w:val="20"/>
                <w:color w:val="auto"/>
              </w:rPr>
            </w:pPr>
            <w:r>
              <w:rPr>
                <w:rFonts w:ascii="Arial" w:cs="Arial" w:eastAsia="Arial" w:hAnsi="Arial"/>
                <w:sz w:val="18"/>
                <w:szCs w:val="18"/>
                <w:color w:val="auto"/>
              </w:rPr>
              <w:t>3,581</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3,858</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tcPr>
          <w:p>
            <w:pPr>
              <w:jc w:val="right"/>
              <w:spacing w:after="0"/>
              <w:rPr>
                <w:sz w:val="20"/>
                <w:szCs w:val="20"/>
                <w:color w:val="auto"/>
              </w:rPr>
            </w:pPr>
            <w:r>
              <w:rPr>
                <w:rFonts w:ascii="Arial" w:cs="Arial" w:eastAsia="Arial" w:hAnsi="Arial"/>
                <w:sz w:val="18"/>
                <w:szCs w:val="18"/>
                <w:color w:val="auto"/>
              </w:rPr>
              <w:t>13,633</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227,767</w:t>
            </w:r>
          </w:p>
        </w:tc>
        <w:tc>
          <w:tcPr>
            <w:tcW w:w="1600" w:type="dxa"/>
            <w:vAlign w:val="bottom"/>
            <w:shd w:val="clear" w:color="auto" w:fill="EEEEEE"/>
          </w:tcPr>
          <w:p>
            <w:pPr>
              <w:spacing w:after="0"/>
              <w:rPr>
                <w:sz w:val="18"/>
                <w:szCs w:val="18"/>
                <w:color w:val="auto"/>
              </w:rPr>
            </w:pPr>
          </w:p>
        </w:tc>
      </w:tr>
      <w:tr>
        <w:trPr>
          <w:trHeight w:val="20"/>
        </w:trPr>
        <w:tc>
          <w:tcPr>
            <w:tcW w:w="908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2"/>
        </w:trPr>
        <w:tc>
          <w:tcPr>
            <w:tcW w:w="9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5"/>
              </w:rPr>
              <w:t>$254,871</w:t>
            </w:r>
          </w:p>
        </w:tc>
        <w:tc>
          <w:tcPr>
            <w:tcW w:w="1600" w:type="dxa"/>
            <w:vAlign w:val="bottom"/>
          </w:tcPr>
          <w:p>
            <w:pPr>
              <w:spacing w:after="0"/>
              <w:rPr>
                <w:sz w:val="19"/>
                <w:szCs w:val="19"/>
                <w:color w:val="auto"/>
              </w:rPr>
            </w:pPr>
          </w:p>
        </w:tc>
      </w:tr>
      <w:tr>
        <w:trPr>
          <w:trHeight w:val="65"/>
        </w:trPr>
        <w:tc>
          <w:tcPr>
            <w:tcW w:w="90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0" w:type="dxa"/>
            <w:vAlign w:val="bottom"/>
          </w:tcPr>
          <w:p>
            <w:pPr>
              <w:spacing w:after="0"/>
              <w:rPr>
                <w:sz w:val="5"/>
                <w:szCs w:val="5"/>
                <w:color w:val="auto"/>
              </w:rPr>
            </w:pPr>
          </w:p>
        </w:tc>
      </w:tr>
    </w:tbl>
    <w:p>
      <w:pPr>
        <w:spacing w:after="0" w:line="1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Future minimum lease payments and their present value for property under capital leases as of December 31, 2003, are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2004</w:t>
            </w:r>
          </w:p>
        </w:tc>
        <w:tc>
          <w:tcPr>
            <w:tcW w:w="740" w:type="dxa"/>
            <w:vAlign w:val="bottom"/>
          </w:tcPr>
          <w:p>
            <w:pPr>
              <w:jc w:val="right"/>
              <w:spacing w:after="0"/>
              <w:rPr>
                <w:sz w:val="20"/>
                <w:szCs w:val="20"/>
                <w:color w:val="auto"/>
              </w:rPr>
            </w:pPr>
            <w:r>
              <w:rPr>
                <w:rFonts w:ascii="Arial" w:cs="Arial" w:eastAsia="Arial" w:hAnsi="Arial"/>
                <w:sz w:val="18"/>
                <w:szCs w:val="18"/>
                <w:color w:val="auto"/>
              </w:rPr>
              <w:t>$14,389</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15,637</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2006</w:t>
            </w:r>
          </w:p>
        </w:tc>
        <w:tc>
          <w:tcPr>
            <w:tcW w:w="740" w:type="dxa"/>
            <w:vAlign w:val="bottom"/>
          </w:tcPr>
          <w:p>
            <w:pPr>
              <w:jc w:val="right"/>
              <w:spacing w:after="0"/>
              <w:rPr>
                <w:sz w:val="20"/>
                <w:szCs w:val="20"/>
                <w:color w:val="auto"/>
              </w:rPr>
            </w:pPr>
            <w:r>
              <w:rPr>
                <w:rFonts w:ascii="Arial" w:cs="Arial" w:eastAsia="Arial" w:hAnsi="Arial"/>
                <w:sz w:val="18"/>
                <w:szCs w:val="18"/>
                <w:color w:val="auto"/>
              </w:rPr>
              <w:t>15,799</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15,911</w:t>
            </w:r>
          </w:p>
        </w:tc>
        <w:tc>
          <w:tcPr>
            <w:tcW w:w="1600" w:type="dxa"/>
            <w:vAlign w:val="bottom"/>
            <w:shd w:val="clear" w:color="auto" w:fill="EEEEEE"/>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2008</w:t>
            </w:r>
          </w:p>
        </w:tc>
        <w:tc>
          <w:tcPr>
            <w:tcW w:w="740" w:type="dxa"/>
            <w:vAlign w:val="bottom"/>
          </w:tcPr>
          <w:p>
            <w:pPr>
              <w:jc w:val="right"/>
              <w:spacing w:after="0"/>
              <w:rPr>
                <w:sz w:val="20"/>
                <w:szCs w:val="20"/>
                <w:color w:val="auto"/>
              </w:rPr>
            </w:pPr>
            <w:r>
              <w:rPr>
                <w:rFonts w:ascii="Arial" w:cs="Arial" w:eastAsia="Arial" w:hAnsi="Arial"/>
                <w:sz w:val="18"/>
                <w:szCs w:val="18"/>
                <w:color w:val="auto"/>
              </w:rPr>
              <w:t>16,075</w:t>
            </w:r>
          </w:p>
        </w:tc>
        <w:tc>
          <w:tcPr>
            <w:tcW w:w="1600" w:type="dxa"/>
            <w:vAlign w:val="bottom"/>
          </w:tcPr>
          <w:p>
            <w:pPr>
              <w:spacing w:after="0"/>
              <w:rPr>
                <w:sz w:val="18"/>
                <w:szCs w:val="18"/>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629,066</w:t>
            </w:r>
          </w:p>
        </w:tc>
        <w:tc>
          <w:tcPr>
            <w:tcW w:w="1600" w:type="dxa"/>
            <w:vAlign w:val="bottom"/>
            <w:shd w:val="clear" w:color="auto" w:fill="EEEEEE"/>
          </w:tcPr>
          <w:p>
            <w:pPr>
              <w:spacing w:after="0"/>
              <w:rPr>
                <w:sz w:val="18"/>
                <w:szCs w:val="18"/>
                <w:color w:val="auto"/>
              </w:rPr>
            </w:pPr>
          </w:p>
        </w:tc>
      </w:tr>
      <w:tr>
        <w:trPr>
          <w:trHeight w:val="237"/>
        </w:trPr>
        <w:tc>
          <w:tcPr>
            <w:tcW w:w="90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706,877</w:t>
            </w:r>
          </w:p>
        </w:tc>
        <w:tc>
          <w:tcPr>
            <w:tcW w:w="1600" w:type="dxa"/>
            <w:vAlign w:val="bottom"/>
          </w:tcPr>
          <w:p>
            <w:pPr>
              <w:spacing w:after="0"/>
              <w:rPr>
                <w:sz w:val="20"/>
                <w:szCs w:val="20"/>
                <w:color w:val="auto"/>
              </w:rPr>
            </w:pPr>
          </w:p>
        </w:tc>
      </w:tr>
      <w:tr>
        <w:trPr>
          <w:trHeight w:val="216"/>
        </w:trPr>
        <w:tc>
          <w:tcPr>
            <w:tcW w:w="9080" w:type="dxa"/>
            <w:vAlign w:val="bottom"/>
            <w:shd w:val="clear" w:color="auto" w:fill="EEEEEE"/>
          </w:tcPr>
          <w:p>
            <w:pPr>
              <w:spacing w:after="0"/>
              <w:rPr>
                <w:sz w:val="20"/>
                <w:szCs w:val="20"/>
                <w:color w:val="auto"/>
              </w:rPr>
            </w:pPr>
            <w:r>
              <w:rPr>
                <w:rFonts w:ascii="Arial" w:cs="Arial" w:eastAsia="Arial" w:hAnsi="Arial"/>
                <w:sz w:val="18"/>
                <w:szCs w:val="18"/>
                <w:color w:val="auto"/>
              </w:rPr>
              <w:t>Less amount representing interest</w:t>
            </w:r>
          </w:p>
        </w:tc>
        <w:tc>
          <w:tcPr>
            <w:tcW w:w="2340" w:type="dxa"/>
            <w:vAlign w:val="bottom"/>
            <w:gridSpan w:val="2"/>
            <w:shd w:val="clear" w:color="auto" w:fill="EEEEEE"/>
          </w:tcPr>
          <w:p>
            <w:pPr>
              <w:jc w:val="right"/>
              <w:ind w:right="1540"/>
              <w:spacing w:after="0"/>
              <w:rPr>
                <w:sz w:val="20"/>
                <w:szCs w:val="20"/>
                <w:color w:val="auto"/>
              </w:rPr>
            </w:pPr>
            <w:r>
              <w:rPr>
                <w:rFonts w:ascii="Arial" w:cs="Arial" w:eastAsia="Arial" w:hAnsi="Arial"/>
                <w:sz w:val="18"/>
                <w:szCs w:val="18"/>
                <w:color w:val="auto"/>
              </w:rPr>
              <w:t>(547,391)</w:t>
            </w:r>
          </w:p>
        </w:tc>
      </w:tr>
      <w:tr>
        <w:trPr>
          <w:trHeight w:val="233"/>
        </w:trPr>
        <w:tc>
          <w:tcPr>
            <w:tcW w:w="9080" w:type="dxa"/>
            <w:vAlign w:val="bottom"/>
          </w:tcPr>
          <w:p>
            <w:pPr>
              <w:spacing w:after="0"/>
              <w:rPr>
                <w:sz w:val="20"/>
                <w:szCs w:val="20"/>
                <w:color w:val="auto"/>
              </w:rPr>
            </w:pPr>
            <w:r>
              <w:rPr>
                <w:rFonts w:ascii="Arial" w:cs="Arial" w:eastAsia="Arial" w:hAnsi="Arial"/>
                <w:sz w:val="18"/>
                <w:szCs w:val="18"/>
                <w:color w:val="auto"/>
              </w:rPr>
              <w:t>Present value</w:t>
            </w:r>
          </w:p>
        </w:tc>
        <w:tc>
          <w:tcPr>
            <w:tcW w:w="7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5"/>
              </w:rPr>
              <w:t>$159,486</w:t>
            </w:r>
          </w:p>
        </w:tc>
        <w:tc>
          <w:tcPr>
            <w:tcW w:w="1600" w:type="dxa"/>
            <w:vAlign w:val="bottom"/>
          </w:tcPr>
          <w:p>
            <w:pPr>
              <w:spacing w:after="0"/>
              <w:rPr>
                <w:sz w:val="20"/>
                <w:szCs w:val="20"/>
                <w:color w:val="auto"/>
              </w:rPr>
            </w:pPr>
          </w:p>
        </w:tc>
      </w:tr>
      <w:tr>
        <w:trPr>
          <w:trHeight w:val="61"/>
        </w:trPr>
        <w:tc>
          <w:tcPr>
            <w:tcW w:w="90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600" w:type="dxa"/>
            <w:vAlign w:val="bottom"/>
          </w:tcPr>
          <w:p>
            <w:pPr>
              <w:spacing w:after="0"/>
              <w:rPr>
                <w:sz w:val="5"/>
                <w:szCs w:val="5"/>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Leasing Arrangements</w:t>
      </w:r>
    </w:p>
    <w:p>
      <w:pPr>
        <w:spacing w:after="0" w:line="185" w:lineRule="exact"/>
        <w:rPr>
          <w:sz w:val="20"/>
          <w:szCs w:val="20"/>
          <w:color w:val="auto"/>
        </w:rPr>
      </w:pPr>
    </w:p>
    <w:p>
      <w:pPr>
        <w:ind w:right="120" w:firstLine="225"/>
        <w:spacing w:after="0" w:line="286" w:lineRule="auto"/>
        <w:rPr>
          <w:sz w:val="20"/>
          <w:szCs w:val="20"/>
          <w:color w:val="auto"/>
        </w:rPr>
      </w:pPr>
      <w:r>
        <w:rPr>
          <w:rFonts w:ascii="Arial" w:cs="Arial" w:eastAsia="Arial" w:hAnsi="Arial"/>
          <w:sz w:val="17"/>
          <w:szCs w:val="17"/>
          <w:color w:val="auto"/>
        </w:rPr>
        <w:t>Our leases with commercial property and residential tenants are classified as operating leases. Leases on apartments are generally for a period of one year or less. Commercial property leases generally range from three to ten years (certain leases with anchor tenants may be longer), and in addition to minimum rents, usually provide for contingent rentals based on the tenant’s gross sales and sharing of certain operating costs.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Minimum future commercial property rentals on noncancelable operating leases, before any reserve for uncollectible amounts, on operating properties as of December 31, 2003 are as follows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Year ending December 31,</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2004</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$263,004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50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246,652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2006</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223,276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50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197,582</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2008</w:t>
            </w:r>
          </w:p>
        </w:tc>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168,818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gridSpan w:val="2"/>
            <w:shd w:val="clear" w:color="auto" w:fill="EEEEEE"/>
          </w:tcPr>
          <w:p>
            <w:pPr>
              <w:jc w:val="right"/>
              <w:spacing w:after="0"/>
              <w:rPr>
                <w:sz w:val="20"/>
                <w:szCs w:val="20"/>
                <w:color w:val="auto"/>
              </w:rPr>
            </w:pPr>
            <w:r>
              <w:rPr>
                <w:rFonts w:ascii="Arial" w:cs="Arial" w:eastAsia="Arial" w:hAnsi="Arial"/>
                <w:sz w:val="18"/>
                <w:szCs w:val="18"/>
                <w:color w:val="auto"/>
                <w:w w:val="97"/>
              </w:rPr>
              <w:t>1,225,755</w:t>
            </w: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$2,325,087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Income Statement Components</w:t>
            </w: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73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60" w:type="dxa"/>
            <w:vAlign w:val="bottom"/>
            <w:gridSpan w:val="2"/>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gridSpan w:val="3"/>
          </w:tcPr>
          <w:p>
            <w:pPr>
              <w:spacing w:after="0"/>
              <w:rPr>
                <w:sz w:val="20"/>
                <w:szCs w:val="20"/>
                <w:color w:val="auto"/>
              </w:rPr>
            </w:pPr>
            <w:r>
              <w:rPr>
                <w:rFonts w:ascii="Arial" w:cs="Arial" w:eastAsia="Arial" w:hAnsi="Arial"/>
                <w:sz w:val="18"/>
                <w:szCs w:val="18"/>
                <w:color w:val="auto"/>
              </w:rPr>
              <w:t>The components of rental income are as follows (in thousands):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6"/>
          </w:tcPr>
          <w:p>
            <w:pPr>
              <w:ind w:left="200"/>
              <w:spacing w:after="0"/>
              <w:rPr>
                <w:sz w:val="20"/>
                <w:szCs w:val="20"/>
                <w:color w:val="auto"/>
              </w:rPr>
            </w:pPr>
            <w:r>
              <w:rPr>
                <w:rFonts w:ascii="Arial" w:cs="Arial" w:eastAsia="Arial" w:hAnsi="Arial"/>
                <w:sz w:val="14"/>
                <w:szCs w:val="14"/>
                <w:color w:val="auto"/>
              </w:rPr>
              <w:t>Year ended December 31,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180" w:type="dxa"/>
            <w:vAlign w:val="bottom"/>
          </w:tcPr>
          <w:p>
            <w:pPr>
              <w:spacing w:after="0"/>
              <w:rPr>
                <w:sz w:val="15"/>
                <w:szCs w:val="15"/>
                <w:color w:val="auto"/>
              </w:rPr>
            </w:pPr>
          </w:p>
        </w:tc>
        <w:tc>
          <w:tcPr>
            <w:tcW w:w="1300" w:type="dxa"/>
            <w:vAlign w:val="bottom"/>
            <w:gridSpan w:val="3"/>
          </w:tcPr>
          <w:p>
            <w:pPr>
              <w:jc w:val="right"/>
              <w:ind w:right="130"/>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50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240" w:type="dxa"/>
            <w:vAlign w:val="bottom"/>
          </w:tcPr>
          <w:p>
            <w:pPr>
              <w:spacing w:after="0"/>
              <w:rPr>
                <w:sz w:val="6"/>
                <w:szCs w:val="6"/>
                <w:color w:val="auto"/>
              </w:rPr>
            </w:pPr>
          </w:p>
        </w:tc>
        <w:tc>
          <w:tcPr>
            <w:tcW w:w="5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Retail and mixed-use properties</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Minimum rents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$262,525</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$233,801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$214,492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Cost reimbursements</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56,837</w:t>
            </w:r>
          </w:p>
        </w:tc>
        <w:tc>
          <w:tcPr>
            <w:tcW w:w="180" w:type="dxa"/>
            <w:vAlign w:val="bottom"/>
            <w:shd w:val="clear" w:color="auto" w:fill="EEEEEE"/>
          </w:tcPr>
          <w:p>
            <w:pPr>
              <w:spacing w:after="0"/>
              <w:rPr>
                <w:sz w:val="18"/>
                <w:szCs w:val="18"/>
                <w:color w:val="auto"/>
              </w:rPr>
            </w:pPr>
          </w:p>
        </w:tc>
        <w:tc>
          <w:tcPr>
            <w:tcW w:w="13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52,252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45,978</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120"/>
              <w:spacing w:after="0"/>
              <w:rPr>
                <w:sz w:val="20"/>
                <w:szCs w:val="20"/>
                <w:color w:val="auto"/>
              </w:rPr>
            </w:pPr>
            <w:r>
              <w:rPr>
                <w:rFonts w:ascii="Arial" w:cs="Arial" w:eastAsia="Arial" w:hAnsi="Arial"/>
                <w:sz w:val="18"/>
                <w:szCs w:val="18"/>
                <w:color w:val="auto"/>
              </w:rPr>
              <w:t>Percentage rent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6,184</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5,635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5,833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Residential — rents</w:t>
            </w:r>
          </w:p>
        </w:tc>
        <w:tc>
          <w:tcPr>
            <w:tcW w:w="2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9,151</w:t>
            </w:r>
          </w:p>
        </w:tc>
        <w:tc>
          <w:tcPr>
            <w:tcW w:w="18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3,328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2,985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$334,697</w:t>
            </w:r>
          </w:p>
        </w:tc>
        <w:tc>
          <w:tcPr>
            <w:tcW w:w="18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$295,016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$269,288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income statement adjustment recorded to recognize rent on a straight-line basis was an increase to minimum rents of $1.9 million, $1.7 million and $0.7 million for the year ended December 31, 2003, 2002 and 2001, respectively.</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rental expense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color w:val="auto"/>
                <w:w w:val="99"/>
              </w:rPr>
              <w:t>Year ended December 31,</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220" w:type="dxa"/>
            <w:vAlign w:val="bottom"/>
            <w:gridSpan w:val="3"/>
          </w:tcPr>
          <w:p>
            <w:pPr>
              <w:jc w:val="right"/>
              <w:ind w:right="70"/>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gridSpan w:val="2"/>
          </w:tcPr>
          <w:p>
            <w:pPr>
              <w:jc w:val="right"/>
              <w:ind w:right="90"/>
              <w:spacing w:after="0"/>
              <w:rPr>
                <w:sz w:val="20"/>
                <w:szCs w:val="20"/>
                <w:color w:val="auto"/>
              </w:rPr>
            </w:pPr>
            <w:r>
              <w:rPr>
                <w:rFonts w:ascii="Arial" w:cs="Arial" w:eastAsia="Arial" w:hAnsi="Arial"/>
                <w:sz w:val="14"/>
                <w:szCs w:val="14"/>
                <w:color w:val="auto"/>
              </w:rPr>
              <w:t>2001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5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Repairs and maintenance</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$24,121</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$18,632</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$17,017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Management fees and costs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10,746</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12,039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Utilities</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12,930</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8,939</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7,995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Payroll — properties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7,915</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5,878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Ground rent</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5,052</w:t>
            </w: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3,317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Insurance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4,198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EEEEEE"/>
          </w:tcPr>
          <w:p>
            <w:pPr>
              <w:spacing w:after="0"/>
              <w:rPr>
                <w:sz w:val="20"/>
                <w:szCs w:val="20"/>
                <w:color w:val="auto"/>
              </w:rPr>
            </w:pPr>
            <w:r>
              <w:rPr>
                <w:rFonts w:ascii="Arial" w:cs="Arial" w:eastAsia="Arial" w:hAnsi="Arial"/>
                <w:sz w:val="18"/>
                <w:szCs w:val="18"/>
                <w:color w:val="auto"/>
              </w:rPr>
              <w:t>Other operating</w:t>
            </w:r>
          </w:p>
        </w:tc>
        <w:tc>
          <w:tcPr>
            <w:tcW w:w="2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15,955</w:t>
            </w:r>
          </w:p>
        </w:tc>
        <w:tc>
          <w:tcPr>
            <w:tcW w:w="2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spacing w:after="0"/>
              <w:rPr>
                <w:sz w:val="18"/>
                <w:szCs w:val="18"/>
                <w:color w:val="auto"/>
              </w:rPr>
            </w:pPr>
          </w:p>
        </w:tc>
        <w:tc>
          <w:tcPr>
            <w:tcW w:w="6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18,400</w:t>
            </w: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14,225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$83,447</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$72,990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$61,619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3. </w:t>
      </w:r>
      <w:r>
        <w:rPr>
          <w:rFonts w:ascii="Arial" w:cs="Arial" w:eastAsia="Arial" w:hAnsi="Arial"/>
          <w:sz w:val="18"/>
          <w:szCs w:val="18"/>
          <w:u w:val="single" w:color="auto"/>
          <w:color w:val="auto"/>
        </w:rPr>
        <w:t>FAIR VALUE OF FINANCIAL INSTRUMENTS</w:t>
      </w:r>
    </w:p>
    <w:p>
      <w:pPr>
        <w:spacing w:after="0" w:line="189"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disclosure of estimated fair value was determined by us,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54"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estimate the fair value of our financial instruments using the following methods and assumptions: (1) quoted market prices, when available, are used to estimate the fair value of investments in marketable debt and equity securities; (2) quoted market prices were used to estimate the fair value of our marketable convertible subordinated debentures; (3) discounted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cash flow analyses are used to estimate the fair value of mortgage notes receivable and payable, using our estimate of current interest rates for similar notes in 2003, the carrying amount on the balance sheet was used to approximate fair value for mortgage notes receivable since these notes are for specific deals, some contain participation provisions based on the property performance and also are convertible into ownership of the properties; (4) carrying amounts on the balance sheet approximate fair value for cash, accounts payable, accrued expenses and short term borrowings. Notes receivable from officers are excluded from fair value estimation since they have been issued in connection with employee stock ownership programs.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460" w:type="dxa"/>
            <w:vAlign w:val="bottom"/>
            <w:gridSpan w:val="3"/>
          </w:tcPr>
          <w:p>
            <w:pPr>
              <w:jc w:val="right"/>
              <w:ind w:right="582"/>
              <w:spacing w:after="0"/>
              <w:rPr>
                <w:sz w:val="20"/>
                <w:szCs w:val="20"/>
                <w:color w:val="auto"/>
              </w:rPr>
            </w:pPr>
            <w:r>
              <w:rPr>
                <w:rFonts w:ascii="Arial" w:cs="Arial" w:eastAsia="Arial" w:hAnsi="Arial"/>
                <w:sz w:val="14"/>
                <w:szCs w:val="14"/>
                <w:color w:val="auto"/>
              </w:rPr>
              <w:t>December 31, 2003</w:t>
            </w:r>
          </w:p>
        </w:tc>
        <w:tc>
          <w:tcPr>
            <w:tcW w:w="360" w:type="dxa"/>
            <w:vAlign w:val="bottom"/>
          </w:tcPr>
          <w:p>
            <w:pPr>
              <w:spacing w:after="0"/>
              <w:rPr>
                <w:sz w:val="14"/>
                <w:szCs w:val="14"/>
                <w:color w:val="auto"/>
              </w:rPr>
            </w:pPr>
          </w:p>
        </w:tc>
        <w:tc>
          <w:tcPr>
            <w:tcW w:w="2480" w:type="dxa"/>
            <w:vAlign w:val="bottom"/>
            <w:gridSpan w:val="3"/>
          </w:tcPr>
          <w:p>
            <w:pPr>
              <w:jc w:val="right"/>
              <w:ind w:right="608"/>
              <w:spacing w:after="0"/>
              <w:rPr>
                <w:sz w:val="20"/>
                <w:szCs w:val="20"/>
                <w:color w:val="auto"/>
              </w:rPr>
            </w:pPr>
            <w:r>
              <w:rPr>
                <w:rFonts w:ascii="Arial" w:cs="Arial" w:eastAsia="Arial" w:hAnsi="Arial"/>
                <w:sz w:val="14"/>
                <w:szCs w:val="14"/>
                <w:color w:val="auto"/>
              </w:rPr>
              <w:t>December 31, 2002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040" w:type="dxa"/>
            <w:vAlign w:val="bottom"/>
          </w:tcPr>
          <w:p>
            <w:pPr>
              <w:jc w:val="right"/>
              <w:ind w:right="176"/>
              <w:spacing w:after="0" w:line="149" w:lineRule="exact"/>
              <w:rPr>
                <w:sz w:val="20"/>
                <w:szCs w:val="20"/>
                <w:color w:val="auto"/>
              </w:rPr>
            </w:pPr>
            <w:r>
              <w:rPr>
                <w:rFonts w:ascii="Arial" w:cs="Arial" w:eastAsia="Arial" w:hAnsi="Arial"/>
                <w:sz w:val="14"/>
                <w:szCs w:val="14"/>
                <w:color w:val="auto"/>
              </w:rPr>
              <w:t>Carrying</w:t>
            </w:r>
          </w:p>
        </w:tc>
        <w:tc>
          <w:tcPr>
            <w:tcW w:w="380" w:type="dxa"/>
            <w:vAlign w:val="bottom"/>
          </w:tcPr>
          <w:p>
            <w:pPr>
              <w:spacing w:after="0"/>
              <w:rPr>
                <w:sz w:val="12"/>
                <w:szCs w:val="12"/>
                <w:color w:val="auto"/>
              </w:rPr>
            </w:pPr>
          </w:p>
        </w:tc>
        <w:tc>
          <w:tcPr>
            <w:tcW w:w="1040" w:type="dxa"/>
            <w:vAlign w:val="bottom"/>
          </w:tcPr>
          <w:p>
            <w:pPr>
              <w:jc w:val="right"/>
              <w:ind w:right="322"/>
              <w:spacing w:after="0" w:line="149" w:lineRule="exact"/>
              <w:rPr>
                <w:sz w:val="20"/>
                <w:szCs w:val="20"/>
                <w:color w:val="auto"/>
              </w:rPr>
            </w:pPr>
            <w:r>
              <w:rPr>
                <w:rFonts w:ascii="Arial" w:cs="Arial" w:eastAsia="Arial" w:hAnsi="Arial"/>
                <w:sz w:val="14"/>
                <w:szCs w:val="14"/>
                <w:color w:val="auto"/>
              </w:rPr>
              <w:t>Fair</w:t>
            </w:r>
          </w:p>
        </w:tc>
        <w:tc>
          <w:tcPr>
            <w:tcW w:w="360" w:type="dxa"/>
            <w:vAlign w:val="bottom"/>
          </w:tcPr>
          <w:p>
            <w:pPr>
              <w:spacing w:after="0"/>
              <w:rPr>
                <w:sz w:val="12"/>
                <w:szCs w:val="12"/>
                <w:color w:val="auto"/>
              </w:rPr>
            </w:pPr>
          </w:p>
        </w:tc>
        <w:tc>
          <w:tcPr>
            <w:tcW w:w="106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40" w:type="dxa"/>
            <w:vAlign w:val="bottom"/>
          </w:tcPr>
          <w:p>
            <w:pPr>
              <w:jc w:val="right"/>
              <w:ind w:right="276"/>
              <w:spacing w:after="0"/>
              <w:rPr>
                <w:sz w:val="20"/>
                <w:szCs w:val="20"/>
                <w:color w:val="auto"/>
              </w:rPr>
            </w:pPr>
            <w:r>
              <w:rPr>
                <w:rFonts w:ascii="Arial" w:cs="Arial" w:eastAsia="Arial" w:hAnsi="Arial"/>
                <w:sz w:val="14"/>
                <w:szCs w:val="14"/>
                <w:color w:val="auto"/>
              </w:rPr>
              <w:t>Value</w:t>
            </w:r>
          </w:p>
        </w:tc>
        <w:tc>
          <w:tcPr>
            <w:tcW w:w="380" w:type="dxa"/>
            <w:vAlign w:val="bottom"/>
          </w:tcPr>
          <w:p>
            <w:pPr>
              <w:spacing w:after="0"/>
              <w:rPr>
                <w:sz w:val="15"/>
                <w:szCs w:val="15"/>
                <w:color w:val="auto"/>
              </w:rPr>
            </w:pPr>
          </w:p>
        </w:tc>
        <w:tc>
          <w:tcPr>
            <w:tcW w:w="1040" w:type="dxa"/>
            <w:vAlign w:val="bottom"/>
          </w:tcPr>
          <w:p>
            <w:pPr>
              <w:jc w:val="right"/>
              <w:ind w:right="282"/>
              <w:spacing w:after="0"/>
              <w:rPr>
                <w:sz w:val="20"/>
                <w:szCs w:val="20"/>
                <w:color w:val="auto"/>
              </w:rPr>
            </w:pPr>
            <w:r>
              <w:rPr>
                <w:rFonts w:ascii="Arial" w:cs="Arial" w:eastAsia="Arial" w:hAnsi="Arial"/>
                <w:sz w:val="14"/>
                <w:szCs w:val="14"/>
                <w:color w:val="auto"/>
              </w:rPr>
              <w:t>Value</w:t>
            </w:r>
          </w:p>
        </w:tc>
        <w:tc>
          <w:tcPr>
            <w:tcW w:w="36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Value</w:t>
            </w:r>
          </w:p>
        </w:tc>
        <w:tc>
          <w:tcPr>
            <w:tcW w:w="36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10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Cash &amp; equivalents</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$34,968</w:t>
            </w:r>
          </w:p>
        </w:tc>
        <w:tc>
          <w:tcPr>
            <w:tcW w:w="142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$34,968</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$23,123</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Investments</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$8,919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$8,919</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$5,929</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Mortgage notes receivable</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$41,500</w:t>
            </w:r>
          </w:p>
        </w:tc>
        <w:tc>
          <w:tcPr>
            <w:tcW w:w="1420" w:type="dxa"/>
            <w:vAlign w:val="bottom"/>
            <w:gridSpan w:val="2"/>
            <w:shd w:val="clear" w:color="auto" w:fill="EEEEEE"/>
          </w:tcPr>
          <w:p>
            <w:pPr>
              <w:jc w:val="right"/>
              <w:ind w:right="102"/>
              <w:spacing w:after="0"/>
              <w:rPr>
                <w:sz w:val="20"/>
                <w:szCs w:val="20"/>
                <w:color w:val="auto"/>
              </w:rPr>
            </w:pPr>
            <w:r>
              <w:rPr>
                <w:rFonts w:ascii="Arial" w:cs="Arial" w:eastAsia="Arial" w:hAnsi="Arial"/>
                <w:sz w:val="18"/>
                <w:szCs w:val="18"/>
                <w:color w:val="auto"/>
              </w:rPr>
              <w:t>$41,500</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$35,577</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Mortgages and construction loans and notes payable</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$616,194</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$640,957</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$487,128</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$543,535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EEEEEE"/>
          </w:tcPr>
          <w:p>
            <w:pPr>
              <w:spacing w:after="0"/>
              <w:rPr>
                <w:sz w:val="20"/>
                <w:szCs w:val="20"/>
                <w:color w:val="auto"/>
              </w:rPr>
            </w:pPr>
            <w:r>
              <w:rPr>
                <w:rFonts w:ascii="Arial" w:cs="Arial" w:eastAsia="Arial" w:hAnsi="Arial"/>
                <w:sz w:val="18"/>
                <w:szCs w:val="18"/>
                <w:color w:val="auto"/>
              </w:rPr>
              <w:t>Convertible debentures</w:t>
            </w:r>
          </w:p>
        </w:tc>
        <w:tc>
          <w:tcPr>
            <w:tcW w:w="104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w:t>
            </w:r>
          </w:p>
        </w:tc>
        <w:tc>
          <w:tcPr>
            <w:tcW w:w="3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10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$75,000</w:t>
            </w:r>
          </w:p>
        </w:tc>
        <w:tc>
          <w:tcPr>
            <w:tcW w:w="142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$75,103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Senior notes</w:t>
            </w:r>
          </w:p>
        </w:tc>
        <w:tc>
          <w:tcPr>
            <w:tcW w:w="1040" w:type="dxa"/>
            <w:vAlign w:val="bottom"/>
          </w:tcPr>
          <w:p>
            <w:pPr>
              <w:jc w:val="right"/>
              <w:ind w:right="96"/>
              <w:spacing w:after="0"/>
              <w:rPr>
                <w:sz w:val="20"/>
                <w:szCs w:val="20"/>
                <w:color w:val="auto"/>
              </w:rPr>
            </w:pPr>
            <w:r>
              <w:rPr>
                <w:rFonts w:ascii="Arial" w:cs="Arial" w:eastAsia="Arial" w:hAnsi="Arial"/>
                <w:sz w:val="18"/>
                <w:szCs w:val="18"/>
                <w:color w:val="auto"/>
              </w:rPr>
              <w:t>$535,000</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$592,300</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$535,000</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$581,293</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4. </w:t>
      </w:r>
      <w:r>
        <w:rPr>
          <w:rFonts w:ascii="Arial" w:cs="Arial" w:eastAsia="Arial" w:hAnsi="Arial"/>
          <w:sz w:val="18"/>
          <w:szCs w:val="18"/>
          <w:u w:val="single" w:color="auto"/>
          <w:color w:val="auto"/>
        </w:rPr>
        <w:t>NOTES PAYABLE</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notes payable consist of the following (in thousands):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320" w:type="dxa"/>
            <w:vAlign w:val="bottom"/>
            <w:gridSpan w:val="3"/>
          </w:tcPr>
          <w:p>
            <w:pPr>
              <w:jc w:val="right"/>
              <w:ind w:right="130"/>
              <w:spacing w:after="0"/>
              <w:rPr>
                <w:sz w:val="20"/>
                <w:szCs w:val="20"/>
                <w:color w:val="auto"/>
              </w:rPr>
            </w:pPr>
            <w:r>
              <w:rPr>
                <w:rFonts w:ascii="Arial" w:cs="Arial" w:eastAsia="Arial" w:hAnsi="Arial"/>
                <w:sz w:val="14"/>
                <w:szCs w:val="14"/>
                <w:color w:val="auto"/>
              </w:rPr>
              <w:t>2002</w:t>
            </w: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Revolving credit facilities</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$99,750</w:t>
            </w:r>
          </w:p>
        </w:tc>
        <w:tc>
          <w:tcPr>
            <w:tcW w:w="200" w:type="dxa"/>
            <w:vAlign w:val="bottom"/>
            <w:shd w:val="clear" w:color="auto" w:fill="EEEEEE"/>
          </w:tcPr>
          <w:p>
            <w:pPr>
              <w:spacing w:after="0"/>
              <w:rPr>
                <w:sz w:val="18"/>
                <w:szCs w:val="18"/>
                <w:color w:val="auto"/>
              </w:rPr>
            </w:pPr>
          </w:p>
        </w:tc>
        <w:tc>
          <w:tcPr>
            <w:tcW w:w="1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$71,000</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Term notes with banks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11,573</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11,711</w:t>
            </w:r>
          </w:p>
        </w:tc>
        <w:tc>
          <w:tcPr>
            <w:tcW w:w="200" w:type="dxa"/>
            <w:vAlign w:val="bottom"/>
            <w:shd w:val="clear" w:color="auto" w:fill="EEEEEE"/>
          </w:tcPr>
          <w:p>
            <w:pPr>
              <w:spacing w:after="0"/>
              <w:rPr>
                <w:sz w:val="18"/>
                <w:szCs w:val="18"/>
                <w:color w:val="auto"/>
              </w:rPr>
            </w:pPr>
          </w:p>
        </w:tc>
        <w:tc>
          <w:tcPr>
            <w:tcW w:w="18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$361,323</w:t>
            </w:r>
          </w:p>
        </w:tc>
        <w:tc>
          <w:tcPr>
            <w:tcW w:w="20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$207,711</w:t>
            </w: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On October 8, 2003, we closed on a new $550 million unsecured credit facility which replaced our $300 million revolving credit facility and $125 million term loan, both of which were due to mature on December 19, 2003. The new credit facility consists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 Covenants under the new credit facility are substantially the same type as were required under the previous facility. Concurrent with the replacement of our $125 million term loan with the new credit facility, we unwound the related interest rate swaps which were due to expire on December 19, 2003 at of cost of approximately $1.1 million.</w:t>
      </w:r>
    </w:p>
    <w:p>
      <w:pPr>
        <w:spacing w:after="0" w:line="149" w:lineRule="exact"/>
        <w:rPr>
          <w:sz w:val="20"/>
          <w:szCs w:val="20"/>
          <w:color w:val="auto"/>
        </w:rPr>
      </w:pPr>
    </w:p>
    <w:p>
      <w:pPr>
        <w:ind w:right="220" w:firstLine="222"/>
        <w:spacing w:after="0" w:line="308" w:lineRule="auto"/>
        <w:rPr>
          <w:sz w:val="20"/>
          <w:szCs w:val="20"/>
          <w:color w:val="auto"/>
        </w:rPr>
      </w:pPr>
      <w:r>
        <w:rPr>
          <w:rFonts w:ascii="Arial" w:cs="Arial" w:eastAsia="Arial" w:hAnsi="Arial"/>
          <w:sz w:val="17"/>
          <w:szCs w:val="17"/>
          <w:color w:val="auto"/>
        </w:rPr>
        <w:t>The maximum amount drawn under these revolving credit facilities during 2003, 2002 and 2001 was $215.0 million, $225.0 million and $308.5 million, respectively. In 2003, 2002 and 2001, the weighted average interest rate on borrowings was 3.4%, 5.0% and 5.6%,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and the average amount outstanding was $96.9 million, $189.1 million and $269.7 million, respectively.</w:t>
      </w:r>
    </w:p>
    <w:p>
      <w:pPr>
        <w:spacing w:after="0" w:line="198"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color w:val="auto"/>
        </w:rPr>
        <w:t>In January 2004, we issued $75 million of fixed rate notes which mature in February 2011 and bear interest at 4.50%. The proceeds of this note offering were used to pay down our revolving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w:t>
      </w:r>
      <w:r>
        <w:rPr>
          <w:rFonts w:ascii="Arial" w:cs="Arial" w:eastAsia="Arial" w:hAnsi="Arial"/>
          <w:sz w:val="18"/>
          <w:szCs w:val="18"/>
          <w:u w:val="single" w:color="auto"/>
          <w:color w:val="auto"/>
        </w:rPr>
        <w:t>. 5 1/4% CONVERTIBLE SUBORDINATED DEBENTURES</w:t>
      </w:r>
    </w:p>
    <w:p>
      <w:pPr>
        <w:spacing w:after="0" w:line="189"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In October 1993, we issued $75.0 million of 5 1/4% convertible subordinated debentures, realizing cash proceeds of approximately $73.0 million. The debentures which were convertible into shares of beneficial interest at $36 per share were not registered under the Securities Act of 1933 and were not publicly distributed within the United States. We redeemed and paid in full our $75.0 million debentures originally due to mature on October 28, 2003, on June 23, 2003.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w:t>
      </w:r>
      <w:r>
        <w:rPr>
          <w:rFonts w:ascii="Arial" w:cs="Arial" w:eastAsia="Arial" w:hAnsi="Arial"/>
          <w:sz w:val="18"/>
          <w:szCs w:val="18"/>
          <w:u w:val="single" w:color="auto"/>
          <w:color w:val="auto"/>
        </w:rPr>
        <w:t>. SENIOR NOTES AND DEBENTURES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Unsecured senior notes and debentures at December 31, 2003 and 2002 consist of the following (in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color w:val="auto"/>
              </w:rPr>
              <w:t>2003</w:t>
            </w:r>
          </w:p>
        </w:tc>
        <w:tc>
          <w:tcPr>
            <w:tcW w:w="200" w:type="dxa"/>
            <w:vAlign w:val="bottom"/>
          </w:tcPr>
          <w:p>
            <w:pPr>
              <w:spacing w:after="0"/>
              <w:rPr>
                <w:sz w:val="15"/>
                <w:szCs w:val="15"/>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4"/>
                <w:szCs w:val="14"/>
                <w:color w:val="auto"/>
              </w:rPr>
              <w:t>2002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3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6.74%</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Medium-Term Notes due March 10, 2004</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$39,500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$39,500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6.625% Notes due December 1, 2005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6.99%</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Medium-Term Notes due March 10, 2006</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w w:val="90"/>
              </w:rPr>
              <w:t>6.82%</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Medium-Term Notes due August 1, 2027,</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redeemable at par by holder August 1, 2007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6.125% Notes due November 15, 2007</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 w:type="dxa"/>
            <w:vAlign w:val="bottom"/>
          </w:tcPr>
          <w:p>
            <w:pPr>
              <w:spacing w:after="0" w:line="201" w:lineRule="exact"/>
              <w:rPr>
                <w:sz w:val="20"/>
                <w:szCs w:val="20"/>
                <w:color w:val="auto"/>
              </w:rPr>
            </w:pPr>
            <w:r>
              <w:rPr>
                <w:rFonts w:ascii="Arial" w:cs="Arial" w:eastAsia="Arial" w:hAnsi="Arial"/>
                <w:sz w:val="18"/>
                <w:szCs w:val="18"/>
                <w:color w:val="auto"/>
                <w:w w:val="90"/>
              </w:rPr>
              <w:t>7.48%</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Debentures due August 15, 2026, redeemable</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gridSpan w:val="2"/>
          </w:tcPr>
          <w:p>
            <w:pPr>
              <w:ind w:left="120"/>
              <w:spacing w:after="0"/>
              <w:rPr>
                <w:sz w:val="20"/>
                <w:szCs w:val="20"/>
                <w:color w:val="auto"/>
              </w:rPr>
            </w:pPr>
            <w:r>
              <w:rPr>
                <w:rFonts w:ascii="Arial" w:cs="Arial" w:eastAsia="Arial" w:hAnsi="Arial"/>
                <w:sz w:val="18"/>
                <w:szCs w:val="18"/>
                <w:color w:val="auto"/>
              </w:rPr>
              <w:t>at par by holder August 15, 2008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EEEEEE"/>
          </w:tcPr>
          <w:p>
            <w:pPr>
              <w:spacing w:after="0"/>
              <w:rPr>
                <w:sz w:val="20"/>
                <w:szCs w:val="20"/>
                <w:color w:val="auto"/>
              </w:rPr>
            </w:pPr>
            <w:r>
              <w:rPr>
                <w:rFonts w:ascii="Arial" w:cs="Arial" w:eastAsia="Arial" w:hAnsi="Arial"/>
                <w:sz w:val="18"/>
                <w:szCs w:val="18"/>
                <w:color w:val="auto"/>
                <w:w w:val="90"/>
              </w:rPr>
              <w:t>8.75%</w:t>
            </w:r>
          </w:p>
        </w:tc>
        <w:tc>
          <w:tcPr>
            <w:tcW w:w="7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Notes due December 1, 2009</w:t>
            </w: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shd w:val="clear" w:color="auto" w:fill="EEEEEE"/>
          </w:tcPr>
          <w:p>
            <w:pPr>
              <w:spacing w:after="0"/>
              <w:rPr>
                <w:sz w:val="18"/>
                <w:szCs w:val="18"/>
                <w:color w:val="auto"/>
              </w:rPr>
            </w:pPr>
          </w:p>
        </w:tc>
        <w:tc>
          <w:tcPr>
            <w:tcW w:w="13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$535,000</w:t>
            </w:r>
          </w:p>
        </w:tc>
        <w:tc>
          <w:tcPr>
            <w:tcW w:w="20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$535,000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November 19, 2002, we completed the sale of $150 million of senior notes in an underwritten public offering under our shelf registration statement declared effective by the SEC on September 30, 1998. Net proceeds, after deducting the discounts and commissions to the underwriters and other expenses of this offering, totaled approximately $148.7 million. The net proceeds, together with $20 million in available insurance proceeds relating to the Santana Row fire, and approximately $7.1 million in borrowings under our credit facility, were used to pay in full and retire the Santana Row construction loan, including all interest owed on the loan.</w:t>
      </w:r>
    </w:p>
    <w:p>
      <w:pPr>
        <w:spacing w:after="0" w:line="148" w:lineRule="exact"/>
        <w:rPr>
          <w:sz w:val="20"/>
          <w:szCs w:val="20"/>
          <w:color w:val="auto"/>
        </w:rPr>
      </w:pPr>
    </w:p>
    <w:p>
      <w:pPr>
        <w:ind w:right="700" w:firstLine="222"/>
        <w:spacing w:after="0" w:line="277" w:lineRule="auto"/>
        <w:rPr>
          <w:sz w:val="20"/>
          <w:szCs w:val="20"/>
          <w:color w:val="auto"/>
        </w:rPr>
      </w:pPr>
      <w:r>
        <w:rPr>
          <w:rFonts w:ascii="Arial" w:cs="Arial" w:eastAsia="Arial" w:hAnsi="Arial"/>
          <w:sz w:val="18"/>
          <w:szCs w:val="18"/>
          <w:color w:val="auto"/>
        </w:rPr>
        <w:t>The loan agreements contain various covenants, including limitations on the amount of debt and minimum debt service coverage ratios. We are in compliance with all covenants. No principal is due on these notes prior to maturity.</w:t>
      </w:r>
    </w:p>
    <w:p>
      <w:pPr>
        <w:spacing w:after="0" w:line="130" w:lineRule="exact"/>
        <w:rPr>
          <w:sz w:val="20"/>
          <w:szCs w:val="20"/>
          <w:color w:val="auto"/>
        </w:rPr>
      </w:pPr>
    </w:p>
    <w:p>
      <w:pPr>
        <w:ind w:right="160" w:firstLine="225"/>
        <w:spacing w:after="0" w:line="312" w:lineRule="auto"/>
        <w:rPr>
          <w:sz w:val="20"/>
          <w:szCs w:val="20"/>
          <w:color w:val="auto"/>
        </w:rPr>
      </w:pPr>
      <w:r>
        <w:rPr>
          <w:rFonts w:ascii="Arial" w:cs="Arial" w:eastAsia="Arial" w:hAnsi="Arial"/>
          <w:sz w:val="16"/>
          <w:szCs w:val="16"/>
          <w:color w:val="auto"/>
        </w:rPr>
        <w:t>In October 2002, we filed a $500 million shelf registration statement, declared effective on November 6, 2002, with the Securities and Exchange Commission which allows the issuance of debt securities, preferred shares and common shares. As of December 31, 2003, $400 million was available under the shelf registration. Subsequent to December 31, 2003, the capacity was reduced by $75 million as a result of a note offering in January 2004.</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7. </w:t>
      </w:r>
      <w:r>
        <w:rPr>
          <w:rFonts w:ascii="Arial" w:cs="Arial" w:eastAsia="Arial" w:hAnsi="Arial"/>
          <w:sz w:val="18"/>
          <w:szCs w:val="18"/>
          <w:u w:val="single" w:color="auto"/>
          <w:color w:val="auto"/>
        </w:rPr>
        <w:t>DIVIDENDS</w:t>
      </w:r>
    </w:p>
    <w:p>
      <w:pPr>
        <w:spacing w:after="0" w:line="20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On December 2, 2003 the Trustees declared a quarterly cash dividend of $0.49 per common share, payable January 15, 2004 to common shareholders of record January 2, 2004. The total dividend declared per common share for 2003 was $1.95.</w:t>
      </w:r>
    </w:p>
    <w:p>
      <w:pPr>
        <w:spacing w:after="0" w:line="130" w:lineRule="exact"/>
        <w:rPr>
          <w:sz w:val="20"/>
          <w:szCs w:val="20"/>
          <w:color w:val="auto"/>
        </w:rPr>
      </w:pPr>
    </w:p>
    <w:p>
      <w:pPr>
        <w:ind w:firstLine="215"/>
        <w:spacing w:after="0" w:line="277" w:lineRule="auto"/>
        <w:rPr>
          <w:sz w:val="20"/>
          <w:szCs w:val="20"/>
          <w:color w:val="auto"/>
        </w:rPr>
      </w:pPr>
      <w:r>
        <w:rPr>
          <w:rFonts w:ascii="Arial" w:cs="Arial" w:eastAsia="Arial" w:hAnsi="Arial"/>
          <w:sz w:val="18"/>
          <w:szCs w:val="18"/>
          <w:color w:val="auto"/>
        </w:rPr>
        <w:t>Also on December 2, 2003 the Trustees declared a quarterly cash dividend of $0.53125 per share on its Series B Cumulative Redeemable Preferred Shares, payable on January 30, 2004 to shareholders of record on January 15, 2004, respectively.</w:t>
      </w:r>
    </w:p>
    <w:p>
      <w:pPr>
        <w:spacing w:after="0" w:line="13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For the year ended December 31, 2003, $0.29 of dividends paid per common share represent a capital gain. $0.36 of dividends paid per Series B preferred share represent a capital gain. $0.21 dividends paid per Series A preferred share represent a capital gain. For the year ended December 31, 2002, $0.37 of dividends paid per common share and per Series B preferred share represent a capital gain. $0.38 of dividends paid per Series A preferred share represent a capital gain.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8. </w:t>
      </w:r>
      <w:r>
        <w:rPr>
          <w:rFonts w:ascii="Arial" w:cs="Arial" w:eastAsia="Arial" w:hAnsi="Arial"/>
          <w:sz w:val="18"/>
          <w:szCs w:val="18"/>
          <w:u w:val="single" w:color="auto"/>
          <w:color w:val="auto"/>
        </w:rPr>
        <w:t>COMMITMENTS AND CONTINGENCIES</w:t>
      </w:r>
    </w:p>
    <w:p>
      <w:pPr>
        <w:spacing w:after="0" w:line="189"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30" w:lineRule="exact"/>
        <w:rPr>
          <w:sz w:val="20"/>
          <w:szCs w:val="20"/>
          <w:color w:val="auto"/>
        </w:rPr>
      </w:pPr>
    </w:p>
    <w:p>
      <w:pPr>
        <w:ind w:right="620" w:firstLine="215"/>
        <w:spacing w:after="0" w:line="342" w:lineRule="auto"/>
        <w:rPr>
          <w:sz w:val="20"/>
          <w:szCs w:val="20"/>
          <w:color w:val="auto"/>
        </w:rPr>
      </w:pPr>
      <w:r>
        <w:rPr>
          <w:rFonts w:ascii="Arial" w:cs="Arial" w:eastAsia="Arial" w:hAnsi="Arial"/>
          <w:sz w:val="16"/>
          <w:szCs w:val="16"/>
          <w:color w:val="auto"/>
        </w:rPr>
        <w:t>As detailed at Note 1, “Summary of Significant Accounting Policies — Investment in Restaurant Joint Ventures at Santana Row,” we are currently committed to invest approximately $8.0 million in these joint ventures. As of December 31, 2003 we have invested approximately $7.8 million.</w:t>
      </w:r>
    </w:p>
    <w:p>
      <w:pPr>
        <w:spacing w:after="0" w:line="9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Under the terms of the Congressional Plaza partnership agreement, from and after January 1, 1986, an unaffiliated third party, has the right to require us and the two other minority partners to purchase from half to all of its 37.5% interest in Congressional Plaza at the interest’s then-current fair market value. Based on management’s current estimate of fair market value, our estimated liability upon exercise of the put option is approximately $28.0 million. In conjunction with the construction of apartments at the property completed in 2003, we have agreed to acquire 7.5% of the third party’s interest in Congressional Plaza, thereby lowering its ownership percentage to 30%, in exchange for our funding approximately $7 million of its share of the redevelopment cost. The development funding has taken place in 2003 and the acquisition of the third party’s 7.5% interest is anticipated to be completed in 2004. After the completion of this transaction, our estimated liability upon the exercise of the put option will be approximately $21 million.</w:t>
      </w:r>
    </w:p>
    <w:p>
      <w:pPr>
        <w:spacing w:after="0" w:line="12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Under the terms of various other partnerships which own shopping center properties with a cost of approximately $88.5 million, the partners may exchange their 852,222 operating units for cash or the same number of our common shares, at our option. On February 14, 2003 we paid $333,000 to redeem 12,000 operating units. On March 31, 2003 in connection with the acquisition of Mount Vernon Plaza we issued approximately 120,000 operating units. On April 3, 2003 we issued 64,952 of our common shares valued at $1.9 million in exchange for 64,952</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operating units. On January 5, 2004 we paid $199,000 to redeem an additional 5,100 operating units.</w:t>
      </w:r>
    </w:p>
    <w:p>
      <w:pPr>
        <w:spacing w:after="0" w:line="198"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Under the terms of four other partnerships which own street retail properties in southern California with a cost of approximately $61 million, if certain leasing and revenue levels are obtained for the properties owned by the partnerships, the other partners may require us to purchase their partnership interests at a formula price based upon net operating income. The purchase price may be paid in cash or for two of the partnerships, a limited number of our common shares at the election of the other partners. In these partnerships, if the other partners do not redeem their interest, we may choose to purchase the limited partnership interests upon the same terms.</w:t>
      </w:r>
    </w:p>
    <w:p>
      <w:pPr>
        <w:spacing w:after="0" w:line="148"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Street Retail San Antonio LP, a wholly-owned subsidiary of the Trust, entered into a Development Agreement (the “Agreement”) on March 13, 2000 with the City of San Antonio, Texas (the “City”) related to the redevelopment of land and buildings that we own along Houston Street in the City. Houston Street and the surrounding area have been designated by the City as a Reinvestment Zone (the “Zone”). The City has agreed to facilitate redevelopment of the Zone by undertaking and financing certain public improvements based on our agreement to redevelop our properties in the Zone. Under the terms of the Agreement, the City issued debt to fund specific public improvements within the Zone. The initial and primary source of funding to the City for repayment of the debt and debt service is the incremental tax revenue that accretes to the City as the taxable value of the redeveloped properties within the Zone increase. We are required to issue an annual letter of credit, commencing on October 1, 2002 through September 30, 2014, that covers our designated portion of the debt service should the incremental tax revenue generated in the Zone not cover the debt service. We posted a letter of credit with the City on September 25, 2002 for $795,000. Our obligation under this Agreement is estimated to range from $1.6 million to $3.0 million of which approximately $360,000 has been funded in 2003. We were not required to provide any funding in 2002 or for the semi-annual payment due March 15, 2003. We have accrued for additional payments of $1.2 million as of September 30, 2003 as part of the project costs due to the estimated shortfall of incremental tax revenues to the City. We could be required to provide funding beyond the $1.2 million currently accrued under the Agreement prior to its expiration on September 30, 2014. We do not anticipate that such obligation would exceed $600,000 in any year nor exceed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As of December 31, 2003 in connection with renovation and development projects, the Trust has contractual obligations of approximately $79 million.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are obligated under ground lease agreements on several shopping centers requiring minimum annual payments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$4,320</w:t>
            </w:r>
          </w:p>
        </w:tc>
        <w:tc>
          <w:tcPr>
            <w:tcW w:w="1620" w:type="dxa"/>
            <w:vAlign w:val="bottom"/>
            <w:shd w:val="clear" w:color="auto" w:fill="EEEEEE"/>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4,329</w:t>
            </w:r>
          </w:p>
        </w:tc>
        <w:tc>
          <w:tcPr>
            <w:tcW w:w="1620" w:type="dxa"/>
            <w:vAlign w:val="bottom"/>
          </w:tcPr>
          <w:p>
            <w:pPr>
              <w:spacing w:after="0"/>
              <w:rPr>
                <w:sz w:val="18"/>
                <w:szCs w:val="18"/>
                <w:color w:val="auto"/>
              </w:rPr>
            </w:pPr>
          </w:p>
        </w:tc>
      </w:t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4,376</w:t>
            </w:r>
          </w:p>
        </w:tc>
        <w:tc>
          <w:tcPr>
            <w:tcW w:w="1620" w:type="dxa"/>
            <w:vAlign w:val="bottom"/>
            <w:shd w:val="clear" w:color="auto" w:fill="EEEEEE"/>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4,423</w:t>
            </w:r>
          </w:p>
        </w:tc>
        <w:tc>
          <w:tcPr>
            <w:tcW w:w="1620" w:type="dxa"/>
            <w:vAlign w:val="bottom"/>
          </w:tcPr>
          <w:p>
            <w:pPr>
              <w:spacing w:after="0"/>
              <w:rPr>
                <w:sz w:val="18"/>
                <w:szCs w:val="18"/>
                <w:color w:val="auto"/>
              </w:rPr>
            </w:pPr>
          </w:p>
        </w:tc>
      </w:tr>
      <w:tr>
        <w:trPr>
          <w:trHeight w:val="216"/>
        </w:trPr>
        <w:tc>
          <w:tcPr>
            <w:tcW w:w="9060" w:type="dxa"/>
            <w:vAlign w:val="bottom"/>
            <w:shd w:val="clear" w:color="auto" w:fill="EEEEEE"/>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4,409</w:t>
            </w:r>
          </w:p>
        </w:tc>
        <w:tc>
          <w:tcPr>
            <w:tcW w:w="1620" w:type="dxa"/>
            <w:vAlign w:val="bottom"/>
            <w:shd w:val="clear" w:color="auto" w:fill="EEEEEE"/>
          </w:tcPr>
          <w:p>
            <w:pPr>
              <w:spacing w:after="0"/>
              <w:rPr>
                <w:sz w:val="18"/>
                <w:szCs w:val="18"/>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269,474</w:t>
            </w:r>
          </w:p>
        </w:tc>
        <w:tc>
          <w:tcPr>
            <w:tcW w:w="1620" w:type="dxa"/>
            <w:vAlign w:val="bottom"/>
          </w:tcPr>
          <w:p>
            <w:pPr>
              <w:spacing w:after="0"/>
              <w:rPr>
                <w:sz w:val="18"/>
                <w:szCs w:val="18"/>
                <w:color w:val="auto"/>
              </w:rPr>
            </w:pPr>
          </w:p>
        </w:tc>
      </w:tr>
      <w:tr>
        <w:trPr>
          <w:trHeight w:val="21"/>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3"/>
        </w:trPr>
        <w:tc>
          <w:tcPr>
            <w:tcW w:w="9060" w:type="dxa"/>
            <w:vAlign w:val="bottom"/>
            <w:tcBorders>
              <w:bottom w:val="single" w:sz="8" w:color="EEEEEE"/>
            </w:tcBorders>
            <w:shd w:val="clear" w:color="auto" w:fill="EEEEEE"/>
          </w:tcPr>
          <w:p>
            <w:pPr>
              <w:spacing w:after="0"/>
              <w:rPr>
                <w:sz w:val="22"/>
                <w:szCs w:val="22"/>
                <w:color w:val="auto"/>
              </w:rPr>
            </w:pPr>
          </w:p>
        </w:tc>
        <w:tc>
          <w:tcPr>
            <w:tcW w:w="20" w:type="dxa"/>
            <w:vAlign w:val="bottom"/>
            <w:tcBorders>
              <w:bottom w:val="single" w:sz="8" w:color="808080"/>
            </w:tcBorders>
            <w:shd w:val="clear" w:color="auto" w:fill="EEEEEE"/>
          </w:tcPr>
          <w:p>
            <w:pPr>
              <w:spacing w:after="0"/>
              <w:rPr>
                <w:sz w:val="22"/>
                <w:szCs w:val="22"/>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3"/>
              </w:rPr>
              <w:t>$291,331</w:t>
            </w:r>
          </w:p>
        </w:tc>
        <w:tc>
          <w:tcPr>
            <w:tcW w:w="1620" w:type="dxa"/>
            <w:vAlign w:val="bottom"/>
            <w:tcBorders>
              <w:bottom w:val="single" w:sz="8" w:color="EEEEEE"/>
            </w:tcBorders>
            <w:shd w:val="clear" w:color="auto" w:fill="EEEEEE"/>
          </w:tcPr>
          <w:p>
            <w:pPr>
              <w:spacing w:after="0"/>
              <w:rPr>
                <w:sz w:val="22"/>
                <w:szCs w:val="22"/>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9. </w:t>
      </w:r>
      <w:r>
        <w:rPr>
          <w:rFonts w:ascii="Arial" w:cs="Arial" w:eastAsia="Arial" w:hAnsi="Arial"/>
          <w:sz w:val="18"/>
          <w:szCs w:val="18"/>
          <w:u w:val="single" w:color="auto"/>
          <w:color w:val="auto"/>
        </w:rPr>
        <w:t>SHAREHOLDERS’ EQUITY</w:t>
      </w:r>
    </w:p>
    <w:p>
      <w:pPr>
        <w:spacing w:after="0" w:line="189"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May 1999, we reorganized as a Maryland real estate investment trust by amending and restating our declaration of trust and bylaws. The Amended Declaration of Trust changed the number of authorized shares of common and preferred shares from unlimited to 100,000,000 and 15,000,000, respectively. In addition, all common shares of beneficial interest, no par value, which were issued and outstanding were changed to common shares of beneficial interest, $0.01 par value per share and all Series A Cumulative Redeemable Preferred Shares of beneficial interest, no par value, which were issued and outstanding were changed to Series A Cumulative Redeemable Preferred Shares of beneficial interest, $0.01 par value per share.</w:t>
      </w:r>
    </w:p>
    <w:p>
      <w:pPr>
        <w:spacing w:after="0" w:line="13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October 6, 1997 we issued four million 7.95% Series A Cumulative Redeemable Preferred Shares at $25 per share in a public offering, realizing cash proceeds of approximately $96.6 million after costs of $3.4 million. The Series A Preferred Shares were not redeemable prior to October 6, 2002. On June 13, 2003, we redeemed these Preferred Shares using the proceeds from the May 14, 2003 common stock offering and available funds. Dividends on the Preferred Shares were payable quarterly in arrears on the last day of January, April, July and October.</w:t>
      </w:r>
    </w:p>
    <w:p>
      <w:pPr>
        <w:spacing w:after="0" w:line="146"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November 19, 2001 we issued 5.4 million 8.5% Series B Cumulative Redeemable Preferred Shares at $25 per share in a public offering, realizing cash proceeds of approximately $130.2 million after costs of $4.8 million. The Series B Preferred Shares are not redeemable prior to November 27, 2006. On or after that date, the Preferred Shares may be redeemed, in whole or in part, at our option, at a redemption price of $25 per share plus all accrued and unpaid dividends. Dividends on the Preferred Shares are payable quarterly in arrears on the last day of January, April, July and October.</w:t>
      </w:r>
    </w:p>
    <w:p>
      <w:pPr>
        <w:spacing w:after="0" w:line="114" w:lineRule="exact"/>
        <w:rPr>
          <w:sz w:val="20"/>
          <w:szCs w:val="20"/>
          <w:color w:val="auto"/>
        </w:rPr>
      </w:pPr>
    </w:p>
    <w:p>
      <w:pPr>
        <w:ind w:right="880" w:firstLine="225"/>
        <w:spacing w:after="0" w:line="277" w:lineRule="auto"/>
        <w:rPr>
          <w:sz w:val="20"/>
          <w:szCs w:val="20"/>
          <w:color w:val="auto"/>
        </w:rPr>
      </w:pPr>
      <w:r>
        <w:rPr>
          <w:rFonts w:ascii="Arial" w:cs="Arial" w:eastAsia="Arial" w:hAnsi="Arial"/>
          <w:sz w:val="18"/>
          <w:szCs w:val="18"/>
          <w:color w:val="auto"/>
        </w:rPr>
        <w:t>On June 12, 2002, we issued 2.2 million common shares at $25.9825 per share ($27.35 gross, before a 5.00% underwriters discount and selling concession) netting $56.6 million in cash proceeds after all expenses of the offering.</w:t>
      </w:r>
    </w:p>
    <w:p>
      <w:pPr>
        <w:spacing w:after="0" w:line="14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On May 14, 2003, we issued 3.2 million common shares at $30.457 per share ($31.48 gross, before an aggregate 3.25% underwriters discount and selling concession) netting $98.4 million in cash proceeds, after all expenses of the offering.</w:t>
      </w:r>
    </w:p>
    <w:p>
      <w:pPr>
        <w:spacing w:after="0" w:line="130"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We have a Dividend Reinvestment Plan, whereby shareholders may use their dividends and optional cash payments to purchase shares. In 2003, 2002 and 2001, 109,835 shares, 134,247 shares and 159,234 shares, respectively, were issued under the Plan.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December 1999, the Trustees authorized a share repurchase program for calendar year 2000 of up to an aggregate of 4 million of our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2000, a total of 1,325,900 shares were repurchased, at a cost of $25.2 million. We did not repurchase shares in 2003, 2002 or 2001.</w:t>
      </w:r>
    </w:p>
    <w:p>
      <w:pPr>
        <w:spacing w:after="0" w:line="184"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2003, 2002 and 2001, 138,568 common shares, 98,092 common shares and 96,657 common shares, respectively, were awarded to key employees, including our former Chief Executive Officer, under various incentive compensation programs designed to directly link a significant portion of their current and long term compensation to the prosperity of the Trust and its shareholders. The shares vest over terms from 3 to 5 years. Vesting of common shares awarded to the former Chief Executive Officer was accelerated pursuant to his contractual arrangement.</w:t>
      </w:r>
    </w:p>
    <w:p>
      <w:pPr>
        <w:spacing w:after="0" w:line="13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On January 26, 1998, we granted 75,000 Performance Shares to an employee for which vesting was tied to leasing performance as it relates to Santana Row and other projects. Performance was to be measured at three separate dates extending to 2003. By December 31, 2002, the first two performance measures had been met. In connection with the restructuring (See Note 13) the 2003 performance measure was accelerated and granted as of December 31, 2002. We applied variable accounting to these awards by valuing the shares at each date the performance measures were either met or accelerated and recorded a charge of $712,000 as part of the restructuring charge.</w:t>
      </w:r>
    </w:p>
    <w:p>
      <w:pPr>
        <w:spacing w:after="0" w:line="148"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 February 2002 and February 2003, we granted Performance Awards of 30,000 and 120,000, respectively, to certain officers and employees of the Trust. Pursuant to the terms of these awards, 20% of the Performance Shares will vest for any calendar year in which we exceed certain performance targets for the same period. Any performance awards which remain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unvested after 2011 and 2012, respectively, will be forfeited. We employ variable accounting for these Performance Awards. Compensation expense resulting from this accounting was not material in 2002 or 2003.</w:t>
      </w:r>
    </w:p>
    <w:p>
      <w:pPr>
        <w:spacing w:after="0" w:line="143" w:lineRule="exact"/>
        <w:rPr>
          <w:sz w:val="20"/>
          <w:szCs w:val="20"/>
          <w:color w:val="auto"/>
        </w:rPr>
      </w:pPr>
    </w:p>
    <w:p>
      <w:pPr>
        <w:ind w:right="140" w:firstLine="222"/>
        <w:spacing w:after="0" w:line="286" w:lineRule="auto"/>
        <w:rPr>
          <w:sz w:val="20"/>
          <w:szCs w:val="20"/>
          <w:color w:val="auto"/>
        </w:rPr>
      </w:pPr>
      <w:r>
        <w:rPr>
          <w:rFonts w:ascii="Arial" w:cs="Arial" w:eastAsia="Arial" w:hAnsi="Arial"/>
          <w:sz w:val="17"/>
          <w:szCs w:val="17"/>
          <w:color w:val="auto"/>
        </w:rPr>
        <w:t>Tax loans with a balance of $300,000 in 2003, $1.8 million in 2002 and $3.1 million in 2001 have been made in connection with restricted share grants to certain of our officers and in connection with the Share Purchase Plans. The loans, which bear interest ranging from 1.95% to 6.54%, are due over periods ranging from 8 to 13 years from the date of the loan. During 2003 tax loans in the amount of $1.5 million were repaid.</w:t>
      </w:r>
    </w:p>
    <w:p>
      <w:pPr>
        <w:spacing w:after="0" w:line="125"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April 13, 1999, the Shareholder Rights Plan adopted in 1989 expired. On March 11, 1999 we entered into an Amended and Restated Rights Agreement with American Stock Transfer and Trust Company, pursuant to which (i) the expiration date of our shareholder rights plan was extended for an additional ten years to April 24, 2009, (ii) the beneficial ownership percentage at which a person becomes an “Acquiring Person” under the plan was reduced from 20% to 15%, and (iii) certain other amendments were made. On October 29, 2003, we further amended the Amended and Restated Rights Agreement to increase the beneficial ownership percentage at which a person becomes an “Acquiring Person” under the plan from 15% to 20% and to require that the Trust’s Board of Trustees review the plan on a periodic basis.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w:t>
      </w:r>
      <w:r>
        <w:rPr>
          <w:rFonts w:ascii="Arial" w:cs="Arial" w:eastAsia="Arial" w:hAnsi="Arial"/>
          <w:sz w:val="18"/>
          <w:szCs w:val="18"/>
          <w:u w:val="single" w:color="auto"/>
          <w:color w:val="auto"/>
        </w:rPr>
        <w:t>. STOCK OPTION PLAN</w:t>
      </w:r>
    </w:p>
    <w:p>
      <w:pPr>
        <w:spacing w:after="0" w:line="20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1993 Long Term Incentive Plan (“Plan”) authorizes the grant of options and other stock based awards for up to 5.5 million shares. Options granted under the Plan have ten year terms and vest in one to five years. The Plan expired in May 2003.</w:t>
      </w:r>
    </w:p>
    <w:p>
      <w:pPr>
        <w:spacing w:after="0" w:line="130"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May 2001 our shareholders’ approved the 2001 Long Term Incentive Plan (“2001 Plan”) which authorized an additional 1,750,000 shares for future option and other stock based awards.</w:t>
      </w:r>
    </w:p>
    <w:p>
      <w:pPr>
        <w:spacing w:after="0" w:line="130"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option price to acquire shares under the 2001 Plan and previous plans is required to be at least the fair market value at the date of grant. As a result of the exercise of options, we had outstanding from our officers and employees notes for $3.3 million, $2.5 million and $2.5 million at December 31, 2003, 2002 and 2001, respectively. Notes issued after 2001 bear interest at LIBOR plus a market-rate spread with the rate adjusted annually. Notes issued prior to 2002 bear interest at the lesser of (i) our borrowing rate on the date of exercise or (ii) the dividend rate on the date of exercise divided by the purchase price of such shares. The notes issued under the previous plans bear interest at the lesser of (i) our borrowing rate or (ii) the current indicated annual dividend rate on the shares acquired pursuant to the option, divided by the purchase price of such shares. The notes are collateralized by the shares with recourse to the borrower and have five-year terms. Option awards made in 2001 and later do not provide for employees to be able to exercise their options with a loan from the Trust.</w:t>
      </w:r>
    </w:p>
    <w:p>
      <w:pPr>
        <w:spacing w:after="0" w:line="14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SFAS No. 123, “Accounting for Stock-Based Compensation” requires pro forma information regarding net income and earnings per share as if we accounted for our stock options under the fair value method of that Statement. Where at the date of grant, either the number of shares or exercise price are not known, we record compensation expense in accordance with variable accounting. The fair value for options issued in 2003, 2002 and 2001 has been estimated as $582,000, $536,000 and $350,000, respectively, as of the date of grant, using 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Black Scholes model with the following weighted-average assumptions for 2003, 2002 and 2001, respectively: risk-free interest rates of 3.2%, 4.5% and</w:t>
      </w:r>
    </w:p>
    <w:p>
      <w:pPr>
        <w:spacing w:after="0" w:line="35"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4.9%; volatility factors of the expected market price of our shares of 20%, 16% and 20%; and a weighted average expected life of the option of 6.0 years, 6.9 years and 6.9 years. Our assumed weighted average dividend yield used to estimate the fair value of the options issued was 8.85% in 2003.</w:t>
      </w:r>
    </w:p>
    <w:p>
      <w:pPr>
        <w:spacing w:after="0" w:line="112"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Shares Under</w:t>
            </w:r>
          </w:p>
        </w:tc>
        <w:tc>
          <w:tcPr>
            <w:tcW w:w="420" w:type="dxa"/>
            <w:vAlign w:val="bottom"/>
          </w:tcPr>
          <w:p>
            <w:pPr>
              <w:spacing w:after="0"/>
              <w:rPr>
                <w:sz w:val="14"/>
                <w:szCs w:val="14"/>
                <w:color w:val="auto"/>
              </w:rPr>
            </w:pP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color w:val="auto"/>
              </w:rPr>
              <w:t>Option</w:t>
            </w:r>
          </w:p>
        </w:tc>
        <w:tc>
          <w:tcPr>
            <w:tcW w:w="420" w:type="dxa"/>
            <w:vAlign w:val="bottom"/>
          </w:tcPr>
          <w:p>
            <w:pPr>
              <w:spacing w:after="0"/>
              <w:rPr>
                <w:sz w:val="15"/>
                <w:szCs w:val="15"/>
                <w:color w:val="auto"/>
              </w:rPr>
            </w:pPr>
          </w:p>
        </w:tc>
        <w:tc>
          <w:tcPr>
            <w:tcW w:w="2100" w:type="dxa"/>
            <w:vAlign w:val="bottom"/>
            <w:gridSpan w:val="2"/>
          </w:tcPr>
          <w:p>
            <w:pPr>
              <w:jc w:val="center"/>
              <w:ind w:right="920"/>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January 1, 2001</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3,718,281</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$23.46</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417,500</w:t>
            </w:r>
          </w:p>
        </w:tc>
        <w:tc>
          <w:tcPr>
            <w:tcW w:w="200" w:type="dxa"/>
            <w:vAlign w:val="bottom"/>
          </w:tcPr>
          <w:p>
            <w:pPr>
              <w:spacing w:after="0"/>
              <w:rPr>
                <w:sz w:val="18"/>
                <w:szCs w:val="18"/>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19.80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2001</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(27,566)</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20.81</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2001</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(351,834)</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22.88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2001</w:t>
            </w:r>
          </w:p>
        </w:tc>
        <w:tc>
          <w:tcPr>
            <w:tcW w:w="200" w:type="dxa"/>
            <w:vAlign w:val="bottom"/>
            <w:shd w:val="clear" w:color="auto" w:fill="EEEEEE"/>
          </w:tcPr>
          <w:p>
            <w:pPr>
              <w:spacing w:after="0"/>
              <w:rPr>
                <w:sz w:val="18"/>
                <w:szCs w:val="18"/>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3,756,381</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23.12</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435,500</w:t>
            </w:r>
          </w:p>
        </w:tc>
        <w:tc>
          <w:tcPr>
            <w:tcW w:w="200" w:type="dxa"/>
            <w:vAlign w:val="bottom"/>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25.26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2002</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(951,971)</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21.92</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2002</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(19,168)</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23.95</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2002</w:t>
            </w:r>
          </w:p>
        </w:tc>
        <w:tc>
          <w:tcPr>
            <w:tcW w:w="200" w:type="dxa"/>
            <w:vAlign w:val="bottom"/>
            <w:shd w:val="clear" w:color="auto" w:fill="EEEEEE"/>
          </w:tcPr>
          <w:p>
            <w:pPr>
              <w:spacing w:after="0"/>
              <w:rPr>
                <w:sz w:val="18"/>
                <w:szCs w:val="18"/>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3,220,742</w:t>
            </w:r>
          </w:p>
        </w:tc>
        <w:tc>
          <w:tcPr>
            <w:tcW w:w="2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23.76</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granted 2003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419,500</w:t>
            </w:r>
          </w:p>
        </w:tc>
        <w:tc>
          <w:tcPr>
            <w:tcW w:w="200" w:type="dxa"/>
            <w:vAlign w:val="bottom"/>
          </w:tcPr>
          <w:p>
            <w:pPr>
              <w:spacing w:after="0"/>
              <w:rPr>
                <w:sz w:val="24"/>
                <w:szCs w:val="24"/>
                <w:color w:val="auto"/>
              </w:rPr>
            </w:pP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28.30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exercised 2003</w:t>
            </w:r>
          </w:p>
        </w:tc>
        <w:tc>
          <w:tcPr>
            <w:tcW w:w="118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(2,124,869)</w:t>
            </w: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23.89</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00" w:type="dxa"/>
            <w:vAlign w:val="bottom"/>
          </w:tcPr>
          <w:p>
            <w:pPr>
              <w:ind w:left="120"/>
              <w:spacing w:after="0"/>
              <w:rPr>
                <w:sz w:val="20"/>
                <w:szCs w:val="20"/>
                <w:color w:val="auto"/>
              </w:rPr>
            </w:pPr>
            <w:r>
              <w:rPr>
                <w:rFonts w:ascii="Arial" w:cs="Arial" w:eastAsia="Arial" w:hAnsi="Arial"/>
                <w:sz w:val="18"/>
                <w:szCs w:val="18"/>
                <w:color w:val="auto"/>
              </w:rPr>
              <w:t>Options forfeited 2003</w:t>
            </w: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(53,333)</w:t>
            </w:r>
          </w:p>
        </w:tc>
        <w:tc>
          <w:tcPr>
            <w:tcW w:w="1600" w:type="dxa"/>
            <w:vAlign w:val="bottom"/>
            <w:gridSpan w:val="2"/>
          </w:tcPr>
          <w:p>
            <w:pPr>
              <w:jc w:val="right"/>
              <w:ind w:right="248"/>
              <w:spacing w:after="0"/>
              <w:rPr>
                <w:sz w:val="20"/>
                <w:szCs w:val="20"/>
                <w:color w:val="auto"/>
              </w:rPr>
            </w:pPr>
            <w:r>
              <w:rPr>
                <w:rFonts w:ascii="Arial" w:cs="Arial" w:eastAsia="Arial" w:hAnsi="Arial"/>
                <w:sz w:val="18"/>
                <w:szCs w:val="18"/>
                <w:color w:val="auto"/>
              </w:rPr>
              <w:t>25.00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December 31, 2003</w:t>
            </w:r>
          </w:p>
        </w:tc>
        <w:tc>
          <w:tcPr>
            <w:tcW w:w="200" w:type="dxa"/>
            <w:vAlign w:val="bottom"/>
            <w:shd w:val="clear" w:color="auto" w:fill="EEEEEE"/>
          </w:tcPr>
          <w:p>
            <w:pPr>
              <w:spacing w:after="0"/>
              <w:rPr>
                <w:sz w:val="19"/>
                <w:szCs w:val="19"/>
                <w:color w:val="auto"/>
              </w:rPr>
            </w:pPr>
          </w:p>
        </w:tc>
        <w:tc>
          <w:tcPr>
            <w:tcW w:w="78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4"/>
              </w:rPr>
              <w:t>1,462,040</w:t>
            </w:r>
          </w:p>
        </w:tc>
        <w:tc>
          <w:tcPr>
            <w:tcW w:w="2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24.86</w:t>
            </w:r>
          </w:p>
        </w:tc>
        <w:tc>
          <w:tcPr>
            <w:tcW w:w="9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60" w:firstLine="215"/>
        <w:spacing w:after="0" w:line="259" w:lineRule="auto"/>
        <w:rPr>
          <w:sz w:val="20"/>
          <w:szCs w:val="20"/>
          <w:color w:val="auto"/>
        </w:rPr>
      </w:pPr>
      <w:r>
        <w:rPr>
          <w:rFonts w:ascii="Arial" w:cs="Arial" w:eastAsia="Arial" w:hAnsi="Arial"/>
          <w:sz w:val="18"/>
          <w:szCs w:val="18"/>
          <w:color w:val="auto"/>
        </w:rPr>
        <w:t>At December 31, 2003, 2002 and 2001, options for 900,000, 2.5 million shares and 2.7 million shares, respectively, were exercisable. The average remaining contractual life of options outstanding at December 31, 2003, 2002 and 2001 was 6.3 years, 5.4 years and 5.8 years, respectively. The weighted average grant date fair value per option for options granted in 2003, 2002 and 2001 was $1.32, $1.23 and $1.04, respectively. The exercise price of options outstanding at December 31, 2003 ranged from $18.00 per share to $35.91 per share.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w:t>
      </w:r>
      <w:r>
        <w:rPr>
          <w:rFonts w:ascii="Arial" w:cs="Arial" w:eastAsia="Arial" w:hAnsi="Arial"/>
          <w:sz w:val="18"/>
          <w:szCs w:val="18"/>
          <w:u w:val="single" w:color="auto"/>
          <w:color w:val="auto"/>
        </w:rPr>
        <w:t>. SAVINGS AND RETIREMENT PLANS</w:t>
      </w:r>
    </w:p>
    <w:p>
      <w:pPr>
        <w:spacing w:after="0" w:line="189"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We have a savings and retirement plan in accordance with the provisions of Section 401(k) of the Internal Revenue Code. For employees who choose to contribute, their contributions range, at their discretion, from 1% to 20% of compensation up to a maximum of $11,000. Under the plan, we contribute out of our current net income, 50% of each employee’s first 5% of contributions. In addition, we may make discretionary contributions within the limits of deductibility set forth by the Code. Our employees are immediately eligible to become plan participants. Employees are not eligible to receive matching contributions until their first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employment. Our expense for the years ended December 31, 2003, 2002 and 2001 was $255,000, $271,000 and $243,000, respectively.</w:t>
      </w:r>
    </w:p>
    <w:p>
      <w:pPr>
        <w:spacing w:after="0" w:line="221" w:lineRule="exact"/>
        <w:rPr>
          <w:sz w:val="20"/>
          <w:szCs w:val="20"/>
          <w:color w:val="auto"/>
        </w:rPr>
      </w:pPr>
    </w:p>
    <w:p>
      <w:pPr>
        <w:jc w:val="both"/>
        <w:ind w:right="40" w:firstLine="215"/>
        <w:spacing w:after="0" w:line="279" w:lineRule="auto"/>
        <w:rPr>
          <w:sz w:val="20"/>
          <w:szCs w:val="20"/>
          <w:color w:val="auto"/>
        </w:rPr>
      </w:pPr>
      <w:r>
        <w:rPr>
          <w:rFonts w:ascii="Arial" w:cs="Arial" w:eastAsia="Arial" w:hAnsi="Arial"/>
          <w:sz w:val="17"/>
          <w:szCs w:val="17"/>
          <w:color w:val="auto"/>
        </w:rPr>
        <w:t>A nonqualified deferred compensation plan for our officers and certain other employees was established in 1994. The plan allows the participants to defer future income until the earlier of age 65 or termination of employment. As of December 31, 2003, we are liable to participants for approximately $3.2 million under this plan. Although this is an unfunded plan, we have purchased certain investments with which to match this obligation. Our obligation under this plan and the related investments are both included in the accompanying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w:t>
      </w:r>
      <w:r>
        <w:rPr>
          <w:rFonts w:ascii="Arial" w:cs="Arial" w:eastAsia="Arial" w:hAnsi="Arial"/>
          <w:sz w:val="18"/>
          <w:szCs w:val="18"/>
          <w:u w:val="single" w:color="auto"/>
          <w:color w:val="auto"/>
        </w:rPr>
        <w:t>. INTEREST EXPENSE</w:t>
      </w:r>
    </w:p>
    <w:p>
      <w:pPr>
        <w:spacing w:after="0" w:line="189" w:lineRule="exact"/>
        <w:rPr>
          <w:sz w:val="20"/>
          <w:szCs w:val="20"/>
          <w:color w:val="auto"/>
        </w:rPr>
      </w:pPr>
    </w:p>
    <w:p>
      <w:pPr>
        <w:ind w:right="200" w:firstLine="222"/>
        <w:spacing w:after="0" w:line="308" w:lineRule="auto"/>
        <w:rPr>
          <w:sz w:val="20"/>
          <w:szCs w:val="20"/>
          <w:color w:val="auto"/>
        </w:rPr>
      </w:pPr>
      <w:r>
        <w:rPr>
          <w:rFonts w:ascii="Arial" w:cs="Arial" w:eastAsia="Arial" w:hAnsi="Arial"/>
          <w:sz w:val="17"/>
          <w:szCs w:val="17"/>
          <w:color w:val="auto"/>
        </w:rPr>
        <w:t>We incurred interest totaling $88.7 million, $88.6 million and $87.1 million in 2003, 2002 and 2001, respectively, of which $13.5 million, $23.5 million, and $17.8 million respectively, was capitalized. Interest paid was $85.7 million in 2003, $86.2 million in 2002 and $84.1 million in 2001.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13. </w:t>
      </w:r>
      <w:r>
        <w:rPr>
          <w:rFonts w:ascii="Arial" w:cs="Arial" w:eastAsia="Arial" w:hAnsi="Arial"/>
          <w:sz w:val="18"/>
          <w:szCs w:val="18"/>
          <w:u w:val="single" w:color="auto"/>
          <w:color w:val="auto"/>
        </w:rPr>
        <w:t>CHANGE IN BUSINESS PLAN</w:t>
      </w:r>
    </w:p>
    <w:p>
      <w:pPr>
        <w:spacing w:after="0" w:line="189"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On February 28, 2002, we adopted a new business plan which returned our primary focus to our traditional business of acquiring and redeveloping community and neighborhood shopping centers that are anchored by supermarkets, drug stores, or high volume, value oriented retailers that provide consumer necessities. We will complete Bethesda Row and Santana Row (Pentagon Row was completed in 2002) but do not plan to develop any new large-scale, mixed-use, ground-up development projects. Rather, we will seek to acquire income producing centers in and around our existing markets and will identify and execute redevelopment opportunities in our existing portfolio. Concurrent with the adoption of the business plan, we adopted a management succession plan and restructured our management team.</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connection with this change in our business plan, we recorded a charge of $18.2 million. This charge included a reserve for a restructuring charge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$8.5 million made up of $6.9 million of severance and other compensation costs for several of our senior officers related to the management restructuring,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well as the write-off of $1.6 million of our development costs. All charges against the reserve, totaling $8.5 million, were expended during 2002.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component of the restructuring charge is an impairment loss of $9.7 million representing the estimated loss on the abandonment of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projects held for sale, primarily the Tanasbourne development project located in Washington County, Oregon, thereby adjusting the value of these assets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estimated fair value. The Tanasbourne land was sold in 2003 for approximately $9.7 million resulting in a gain of $1.9 million.</w:t>
      </w:r>
    </w:p>
    <w:p>
      <w:pPr>
        <w:spacing w:after="0" w:line="184"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On December 20, 2002, we announced the resignation of Steven J. Guttman as Trustee, Chief Executive Officer and Chairman of the Board of Trustees effective January 1, 2003. Donald C. Wood, our then President and Chief Operating Officer, was named Chief Executive Officer and a member of the Board of Trustees. Mark Ordan, a member of the Board of Trustees since 1996, was named non-executive chairman of the board. As a result of this transition, we recorded a charge of $13.8 million in the fourth quarter of 2002 for payments and benefits to Mr. Guttman pursuant to his contractual arrangements with the Trust and for other transition related costs. Of this amount, $7.9 million had not been paid as of December 31, 2002 and $0.8 million remains to be expended as of December 31, 2003.</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w:t>
      </w:r>
      <w:r>
        <w:rPr>
          <w:rFonts w:ascii="Arial" w:cs="Arial" w:eastAsia="Arial" w:hAnsi="Arial"/>
          <w:sz w:val="18"/>
          <w:szCs w:val="18"/>
          <w:u w:val="single" w:color="auto"/>
          <w:color w:val="auto"/>
        </w:rPr>
        <w:t>. SUBSEQUENT EVENTS (UNAUDITED)</w:t>
      </w:r>
    </w:p>
    <w:p>
      <w:pPr>
        <w:spacing w:after="0" w:line="202"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Pursuant to the 2003 Incentive Bonus Plan, vice presidents and certain key employees receive part of their 2003 bonus in our common shares which vest over three years. Consequently, on February 12, 2004, 9,025 shares were awarded under this plan. In addition, on February 12, 2004, 75,522 restricted shares which will vest over three years were awarded to the Trust’s officers. All of the restricted share awards were made under the 2001 Plan.</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NOTE 15. </w:t>
      </w:r>
      <w:r>
        <w:rPr>
          <w:rFonts w:ascii="Arial" w:cs="Arial" w:eastAsia="Arial" w:hAnsi="Arial"/>
          <w:sz w:val="18"/>
          <w:szCs w:val="18"/>
          <w:u w:val="single" w:color="auto"/>
          <w:color w:val="auto"/>
        </w:rPr>
        <w:t>SEGMENT INFORMATION</w:t>
      </w:r>
    </w:p>
    <w:p>
      <w:pPr>
        <w:spacing w:after="0" w:line="202" w:lineRule="exact"/>
        <w:rPr>
          <w:sz w:val="20"/>
          <w:szCs w:val="20"/>
          <w:color w:val="auto"/>
        </w:rPr>
      </w:pPr>
    </w:p>
    <w:p>
      <w:pPr>
        <w:ind w:right="400" w:firstLine="222"/>
        <w:spacing w:after="0" w:line="308" w:lineRule="auto"/>
        <w:rPr>
          <w:sz w:val="20"/>
          <w:szCs w:val="20"/>
          <w:color w:val="auto"/>
        </w:rPr>
      </w:pPr>
      <w:r>
        <w:rPr>
          <w:rFonts w:ascii="Arial" w:cs="Arial" w:eastAsia="Arial" w:hAnsi="Arial"/>
          <w:sz w:val="17"/>
          <w:szCs w:val="17"/>
          <w:color w:val="auto"/>
        </w:rPr>
        <w:t>We operate our portfolio of properties in three geographic operating regions: Northeast, Mid-Atlantic and West, which constitutes our segments under Statement of Financial Accounting Standard No. 131, “Disclosures about Segments of an Enterprise and Related Information”.</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our operations by geographic region is presented below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2003</w:t>
            </w:r>
          </w:p>
        </w:tc>
        <w:tc>
          <w:tcPr>
            <w:tcW w:w="4740" w:type="dxa"/>
            <w:vAlign w:val="bottom"/>
          </w:tcPr>
          <w:p>
            <w:pPr>
              <w:spacing w:after="0"/>
              <w:rPr>
                <w:sz w:val="14"/>
                <w:szCs w:val="14"/>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$121,325</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$151,206</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$62,166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$334,697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5,063</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7,525</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5,212</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3,409</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309</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1,661</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ind w:left="160"/>
              <w:spacing w:after="0"/>
              <w:rPr>
                <w:sz w:val="20"/>
                <w:szCs w:val="20"/>
                <w:color w:val="auto"/>
              </w:rPr>
            </w:pPr>
            <w:r>
              <w:rPr>
                <w:rFonts w:ascii="Arial" w:cs="Arial" w:eastAsia="Arial" w:hAnsi="Arial"/>
                <w:sz w:val="18"/>
                <w:szCs w:val="18"/>
                <w:color w:val="auto"/>
              </w:rPr>
              <w:t>(24,519)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(33,168)</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(25,760)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(83,447)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(16,881)</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(13,119)</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(4,596)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(34,596)</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rPr>
              <w:t>88,397</w:t>
            </w:r>
          </w:p>
        </w:tc>
        <w:tc>
          <w:tcPr>
            <w:tcW w:w="1320" w:type="dxa"/>
            <w:vAlign w:val="bottom"/>
          </w:tcPr>
          <w:p>
            <w:pPr>
              <w:jc w:val="right"/>
              <w:ind w:right="211"/>
              <w:spacing w:after="0"/>
              <w:rPr>
                <w:sz w:val="20"/>
                <w:szCs w:val="20"/>
                <w:color w:val="auto"/>
              </w:rPr>
            </w:pPr>
            <w:r>
              <w:rPr>
                <w:rFonts w:ascii="Arial" w:cs="Arial" w:eastAsia="Arial" w:hAnsi="Arial"/>
                <w:sz w:val="18"/>
                <w:szCs w:val="18"/>
                <w:b w:val="1"/>
                <w:bCs w:val="1"/>
                <w:color w:val="auto"/>
              </w:rPr>
              <w:t>112,753</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38,683</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239,833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(75,232)</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(75,232)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(11,820)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(27,732)</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(29,533)</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(16,814)</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(1,010)</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(75,089)</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tcBorders>
              <w:bottom w:val="single" w:sz="8" w:color="808080"/>
            </w:tcBorders>
          </w:tcPr>
          <w:p>
            <w:pPr>
              <w:jc w:val="right"/>
              <w:ind w:right="191"/>
              <w:spacing w:after="0"/>
              <w:rPr>
                <w:sz w:val="20"/>
                <w:szCs w:val="20"/>
                <w:color w:val="auto"/>
              </w:rPr>
            </w:pPr>
            <w:r>
              <w:rPr>
                <w:rFonts w:ascii="Arial" w:cs="Arial" w:eastAsia="Arial" w:hAnsi="Arial"/>
                <w:sz w:val="18"/>
                <w:szCs w:val="18"/>
                <w:b w:val="1"/>
                <w:bCs w:val="1"/>
                <w:color w:val="auto"/>
              </w:rPr>
              <w:t>$60,665</w:t>
            </w:r>
          </w:p>
        </w:tc>
        <w:tc>
          <w:tcPr>
            <w:tcW w:w="1320" w:type="dxa"/>
            <w:vAlign w:val="bottom"/>
            <w:tcBorders>
              <w:bottom w:val="single" w:sz="8" w:color="808080"/>
            </w:tcBorders>
          </w:tcPr>
          <w:p>
            <w:pPr>
              <w:jc w:val="right"/>
              <w:ind w:right="211"/>
              <w:spacing w:after="0"/>
              <w:rPr>
                <w:sz w:val="20"/>
                <w:szCs w:val="20"/>
                <w:color w:val="auto"/>
              </w:rPr>
            </w:pPr>
            <w:r>
              <w:rPr>
                <w:rFonts w:ascii="Arial" w:cs="Arial" w:eastAsia="Arial" w:hAnsi="Arial"/>
                <w:sz w:val="18"/>
                <w:szCs w:val="18"/>
                <w:b w:val="1"/>
                <w:bCs w:val="1"/>
                <w:color w:val="auto"/>
              </w:rPr>
              <w:t>$83,220</w:t>
            </w:r>
          </w:p>
        </w:tc>
        <w:tc>
          <w:tcPr>
            <w:tcW w:w="1280" w:type="dxa"/>
            <w:vAlign w:val="bottom"/>
            <w:tcBorders>
              <w:bottom w:val="single" w:sz="8" w:color="808080"/>
            </w:tcBorders>
          </w:tcPr>
          <w:p>
            <w:pPr>
              <w:jc w:val="right"/>
              <w:ind w:right="171"/>
              <w:spacing w:after="0"/>
              <w:rPr>
                <w:sz w:val="20"/>
                <w:szCs w:val="20"/>
                <w:color w:val="auto"/>
              </w:rPr>
            </w:pPr>
            <w:r>
              <w:rPr>
                <w:rFonts w:ascii="Arial" w:cs="Arial" w:eastAsia="Arial" w:hAnsi="Arial"/>
                <w:sz w:val="18"/>
                <w:szCs w:val="18"/>
                <w:b w:val="1"/>
                <w:bCs w:val="1"/>
                <w:color w:val="auto"/>
              </w:rPr>
              <w:t>$21,869</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($88,062)</w:t>
            </w:r>
          </w:p>
        </w:tc>
        <w:tc>
          <w:tcPr>
            <w:tcW w:w="1260" w:type="dxa"/>
            <w:vAlign w:val="bottom"/>
            <w:tcBorders>
              <w:bottom w:val="single" w:sz="8" w:color="808080"/>
            </w:tcBorders>
          </w:tcPr>
          <w:p>
            <w:pPr>
              <w:jc w:val="right"/>
              <w:ind w:right="31"/>
              <w:spacing w:after="0"/>
              <w:rPr>
                <w:sz w:val="20"/>
                <w:szCs w:val="20"/>
                <w:color w:val="auto"/>
              </w:rPr>
            </w:pPr>
            <w:r>
              <w:rPr>
                <w:rFonts w:ascii="Arial" w:cs="Arial" w:eastAsia="Arial" w:hAnsi="Arial"/>
                <w:sz w:val="18"/>
                <w:szCs w:val="18"/>
                <w:b w:val="1"/>
                <w:bCs w:val="1"/>
                <w:color w:val="auto"/>
              </w:rPr>
              <w:t>$77,692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$82,944</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$81,165</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$124,122</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$288,231</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040" w:type="dxa"/>
            <w:vAlign w:val="bottom"/>
            <w:gridSpan w:val="3"/>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$813,617</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$903,878</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$752,654</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$2,470,149</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2002</w:t>
            </w:r>
          </w:p>
        </w:tc>
        <w:tc>
          <w:tcPr>
            <w:tcW w:w="4740" w:type="dxa"/>
            <w:vAlign w:val="bottom"/>
          </w:tcPr>
          <w:p>
            <w:pPr>
              <w:spacing w:after="0"/>
              <w:rPr>
                <w:sz w:val="24"/>
                <w:szCs w:val="24"/>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23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47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9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$120,302</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$139,487</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$35,227</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$295,016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5,480</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7,509</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2,479</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3,736</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937</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483</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jc w:val="right"/>
              <w:ind w:right="271"/>
              <w:spacing w:after="0"/>
              <w:rPr>
                <w:sz w:val="20"/>
                <w:szCs w:val="20"/>
                <w:color w:val="auto"/>
              </w:rPr>
            </w:pPr>
            <w:r>
              <w:rPr>
                <w:rFonts w:ascii="Arial" w:cs="Arial" w:eastAsia="Arial" w:hAnsi="Arial"/>
                <w:sz w:val="18"/>
                <w:szCs w:val="18"/>
                <w:color w:val="auto"/>
              </w:rPr>
              <w:t>(22,751)</w:t>
            </w:r>
          </w:p>
        </w:tc>
        <w:tc>
          <w:tcPr>
            <w:tcW w:w="1320" w:type="dxa"/>
            <w:vAlign w:val="bottom"/>
          </w:tcPr>
          <w:p>
            <w:pPr>
              <w:jc w:val="right"/>
              <w:ind w:right="311"/>
              <w:spacing w:after="0"/>
              <w:rPr>
                <w:sz w:val="20"/>
                <w:szCs w:val="20"/>
                <w:color w:val="auto"/>
              </w:rPr>
            </w:pPr>
            <w:r>
              <w:rPr>
                <w:rFonts w:ascii="Arial" w:cs="Arial" w:eastAsia="Arial" w:hAnsi="Arial"/>
                <w:sz w:val="18"/>
                <w:szCs w:val="18"/>
                <w:color w:val="auto"/>
              </w:rPr>
              <w:t>(31,872)</w:t>
            </w:r>
          </w:p>
        </w:tc>
        <w:tc>
          <w:tcPr>
            <w:tcW w:w="1280" w:type="dxa"/>
            <w:vAlign w:val="bottom"/>
          </w:tcPr>
          <w:p>
            <w:pPr>
              <w:jc w:val="right"/>
              <w:ind w:right="291"/>
              <w:spacing w:after="0"/>
              <w:rPr>
                <w:sz w:val="20"/>
                <w:szCs w:val="20"/>
                <w:color w:val="auto"/>
              </w:rPr>
            </w:pPr>
            <w:r>
              <w:rPr>
                <w:rFonts w:ascii="Arial" w:cs="Arial" w:eastAsia="Arial" w:hAnsi="Arial"/>
                <w:sz w:val="18"/>
                <w:szCs w:val="18"/>
                <w:color w:val="auto"/>
              </w:rPr>
              <w:t>(18,367)</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(72,990)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jc w:val="right"/>
              <w:ind w:right="271"/>
              <w:spacing w:after="0"/>
              <w:rPr>
                <w:sz w:val="20"/>
                <w:szCs w:val="20"/>
                <w:color w:val="auto"/>
              </w:rPr>
            </w:pPr>
            <w:r>
              <w:rPr>
                <w:rFonts w:ascii="Arial" w:cs="Arial" w:eastAsia="Arial" w:hAnsi="Arial"/>
                <w:sz w:val="18"/>
                <w:szCs w:val="18"/>
                <w:color w:val="auto"/>
              </w:rPr>
              <w:t>(15,746)</w:t>
            </w:r>
          </w:p>
        </w:tc>
        <w:tc>
          <w:tcPr>
            <w:tcW w:w="1320" w:type="dxa"/>
            <w:vAlign w:val="bottom"/>
            <w:shd w:val="clear" w:color="auto" w:fill="EEEEEE"/>
          </w:tcPr>
          <w:p>
            <w:pPr>
              <w:jc w:val="right"/>
              <w:ind w:right="311"/>
              <w:spacing w:after="0"/>
              <w:rPr>
                <w:sz w:val="20"/>
                <w:szCs w:val="20"/>
                <w:color w:val="auto"/>
              </w:rPr>
            </w:pPr>
            <w:r>
              <w:rPr>
                <w:rFonts w:ascii="Arial" w:cs="Arial" w:eastAsia="Arial" w:hAnsi="Arial"/>
                <w:sz w:val="18"/>
                <w:szCs w:val="18"/>
                <w:color w:val="auto"/>
              </w:rPr>
              <w:t>(11,757)</w:t>
            </w:r>
          </w:p>
        </w:tc>
        <w:tc>
          <w:tcPr>
            <w:tcW w:w="1280" w:type="dxa"/>
            <w:vAlign w:val="bottom"/>
            <w:shd w:val="clear" w:color="auto" w:fill="EEEEEE"/>
          </w:tcPr>
          <w:p>
            <w:pPr>
              <w:jc w:val="right"/>
              <w:ind w:right="291"/>
              <w:spacing w:after="0"/>
              <w:rPr>
                <w:sz w:val="20"/>
                <w:szCs w:val="20"/>
                <w:color w:val="auto"/>
              </w:rPr>
            </w:pPr>
            <w:r>
              <w:rPr>
                <w:rFonts w:ascii="Arial" w:cs="Arial" w:eastAsia="Arial" w:hAnsi="Arial"/>
                <w:sz w:val="18"/>
                <w:szCs w:val="18"/>
                <w:color w:val="auto"/>
              </w:rPr>
              <w:t>(3,184)</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(30,687)</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Pr>
          <w:p>
            <w:pPr>
              <w:jc w:val="right"/>
              <w:ind w:right="231"/>
              <w:spacing w:after="0"/>
              <w:rPr>
                <w:sz w:val="20"/>
                <w:szCs w:val="20"/>
                <w:color w:val="auto"/>
              </w:rPr>
            </w:pPr>
            <w:r>
              <w:rPr>
                <w:rFonts w:ascii="Arial" w:cs="Arial" w:eastAsia="Arial" w:hAnsi="Arial"/>
                <w:sz w:val="18"/>
                <w:szCs w:val="18"/>
                <w:b w:val="1"/>
                <w:bCs w:val="1"/>
                <w:color w:val="auto"/>
              </w:rPr>
              <w:t>91,021</w:t>
            </w: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rPr>
              <w:t>104,304</w:t>
            </w:r>
          </w:p>
        </w:tc>
        <w:tc>
          <w:tcPr>
            <w:tcW w:w="1280" w:type="dxa"/>
            <w:vAlign w:val="bottom"/>
          </w:tcPr>
          <w:p>
            <w:pPr>
              <w:jc w:val="right"/>
              <w:ind w:right="251"/>
              <w:spacing w:after="0"/>
              <w:rPr>
                <w:sz w:val="20"/>
                <w:szCs w:val="20"/>
                <w:color w:val="auto"/>
              </w:rPr>
            </w:pPr>
            <w:r>
              <w:rPr>
                <w:rFonts w:ascii="Arial" w:cs="Arial" w:eastAsia="Arial" w:hAnsi="Arial"/>
                <w:sz w:val="18"/>
                <w:szCs w:val="18"/>
                <w:b w:val="1"/>
                <w:bCs w:val="1"/>
                <w:color w:val="auto"/>
              </w:rPr>
              <w:t>16,638</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211,963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(65,058)</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(65,058)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(13,790)</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Restructuring expense</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(22,269)</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808080"/>
            </w:tcBorders>
          </w:tcPr>
          <w:p>
            <w:pPr>
              <w:jc w:val="right"/>
              <w:ind w:right="271"/>
              <w:spacing w:after="0"/>
              <w:rPr>
                <w:sz w:val="20"/>
                <w:szCs w:val="20"/>
                <w:color w:val="auto"/>
              </w:rPr>
            </w:pPr>
            <w:r>
              <w:rPr>
                <w:rFonts w:ascii="Arial" w:cs="Arial" w:eastAsia="Arial" w:hAnsi="Arial"/>
                <w:sz w:val="18"/>
                <w:szCs w:val="18"/>
                <w:color w:val="auto"/>
              </w:rPr>
              <w:t>(27,338)</w:t>
            </w:r>
          </w:p>
        </w:tc>
        <w:tc>
          <w:tcPr>
            <w:tcW w:w="1320" w:type="dxa"/>
            <w:vAlign w:val="bottom"/>
            <w:tcBorders>
              <w:bottom w:val="single" w:sz="8" w:color="808080"/>
            </w:tcBorders>
          </w:tcPr>
          <w:p>
            <w:pPr>
              <w:jc w:val="right"/>
              <w:ind w:right="311"/>
              <w:spacing w:after="0"/>
              <w:rPr>
                <w:sz w:val="20"/>
                <w:szCs w:val="20"/>
                <w:color w:val="auto"/>
              </w:rPr>
            </w:pPr>
            <w:r>
              <w:rPr>
                <w:rFonts w:ascii="Arial" w:cs="Arial" w:eastAsia="Arial" w:hAnsi="Arial"/>
                <w:sz w:val="18"/>
                <w:szCs w:val="18"/>
                <w:color w:val="auto"/>
              </w:rPr>
              <w:t>(27,045)</w:t>
            </w:r>
          </w:p>
        </w:tc>
        <w:tc>
          <w:tcPr>
            <w:tcW w:w="1280" w:type="dxa"/>
            <w:vAlign w:val="bottom"/>
            <w:tcBorders>
              <w:bottom w:val="single" w:sz="8" w:color="808080"/>
            </w:tcBorders>
          </w:tcPr>
          <w:p>
            <w:pPr>
              <w:jc w:val="right"/>
              <w:ind w:right="291"/>
              <w:spacing w:after="0"/>
              <w:rPr>
                <w:sz w:val="20"/>
                <w:szCs w:val="20"/>
                <w:color w:val="auto"/>
              </w:rPr>
            </w:pPr>
            <w:r>
              <w:rPr>
                <w:rFonts w:ascii="Arial" w:cs="Arial" w:eastAsia="Arial" w:hAnsi="Arial"/>
                <w:sz w:val="18"/>
                <w:szCs w:val="18"/>
                <w:color w:val="auto"/>
              </w:rPr>
              <w:t>(8,583)</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color w:val="auto"/>
              </w:rPr>
              <w:t>(811)</w:t>
            </w:r>
          </w:p>
        </w:tc>
        <w:tc>
          <w:tcPr>
            <w:tcW w:w="1260" w:type="dxa"/>
            <w:vAlign w:val="bottom"/>
            <w:tcBorders>
              <w:bottom w:val="single" w:sz="8" w:color="808080"/>
            </w:tcBorders>
          </w:tcPr>
          <w:p>
            <w:pPr>
              <w:jc w:val="right"/>
              <w:ind w:right="71"/>
              <w:spacing w:after="0"/>
              <w:rPr>
                <w:sz w:val="20"/>
                <w:szCs w:val="20"/>
                <w:color w:val="auto"/>
              </w:rPr>
            </w:pPr>
            <w:r>
              <w:rPr>
                <w:rFonts w:ascii="Arial" w:cs="Arial" w:eastAsia="Arial" w:hAnsi="Arial"/>
                <w:sz w:val="18"/>
                <w:szCs w:val="18"/>
                <w:color w:val="auto"/>
              </w:rPr>
              <w:t>(63,777)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Borders>
              <w:right w:val="single" w:sz="8" w:color="EEEEEE"/>
            </w:tcBorders>
            <w:gridSpan w:val="2"/>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b w:val="1"/>
                <w:bCs w:val="1"/>
                <w:color w:val="auto"/>
              </w:rPr>
              <w:t>$63,683</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b w:val="1"/>
                <w:bCs w:val="1"/>
                <w:color w:val="auto"/>
              </w:rPr>
              <w:t>$77,259</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b w:val="1"/>
                <w:bCs w:val="1"/>
                <w:color w:val="auto"/>
              </w:rPr>
              <w:t>$8,055</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($101,928)</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b w:val="1"/>
                <w:bCs w:val="1"/>
                <w:color w:val="auto"/>
              </w:rPr>
              <w:t>$47,069</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04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jc w:val="right"/>
              <w:ind w:right="231"/>
              <w:spacing w:after="0"/>
              <w:rPr>
                <w:sz w:val="20"/>
                <w:szCs w:val="20"/>
                <w:color w:val="auto"/>
              </w:rPr>
            </w:pPr>
            <w:r>
              <w:rPr>
                <w:rFonts w:ascii="Arial" w:cs="Arial" w:eastAsia="Arial" w:hAnsi="Arial"/>
                <w:sz w:val="18"/>
                <w:szCs w:val="18"/>
                <w:color w:val="auto"/>
              </w:rPr>
              <w:t>$10,539</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$34,265</w:t>
            </w:r>
          </w:p>
        </w:tc>
        <w:tc>
          <w:tcPr>
            <w:tcW w:w="1280" w:type="dxa"/>
            <w:vAlign w:val="bottom"/>
          </w:tcPr>
          <w:p>
            <w:pPr>
              <w:jc w:val="right"/>
              <w:ind w:right="251"/>
              <w:spacing w:after="0"/>
              <w:rPr>
                <w:sz w:val="20"/>
                <w:szCs w:val="20"/>
                <w:color w:val="auto"/>
              </w:rPr>
            </w:pPr>
            <w:r>
              <w:rPr>
                <w:rFonts w:ascii="Arial" w:cs="Arial" w:eastAsia="Arial" w:hAnsi="Arial"/>
                <w:sz w:val="18"/>
                <w:szCs w:val="18"/>
                <w:color w:val="auto"/>
              </w:rPr>
              <w:t>$220,539</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$265,343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shd w:val="clear" w:color="auto" w:fill="EEEEEE"/>
          </w:tcPr>
          <w:p>
            <w:pPr>
              <w:jc w:val="right"/>
              <w:ind w:right="231"/>
              <w:spacing w:after="0"/>
              <w:rPr>
                <w:sz w:val="20"/>
                <w:szCs w:val="20"/>
                <w:color w:val="auto"/>
              </w:rPr>
            </w:pPr>
            <w:r>
              <w:rPr>
                <w:rFonts w:ascii="Arial" w:cs="Arial" w:eastAsia="Arial" w:hAnsi="Arial"/>
                <w:sz w:val="18"/>
                <w:szCs w:val="18"/>
                <w:color w:val="auto"/>
              </w:rPr>
              <w:t>$747,778</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$827,090</w:t>
            </w:r>
          </w:p>
        </w:tc>
        <w:tc>
          <w:tcPr>
            <w:tcW w:w="128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$731,958</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$2,306,826</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2001</w:t>
            </w:r>
          </w:p>
        </w:tc>
        <w:tc>
          <w:tcPr>
            <w:tcW w:w="474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4"/>
                <w:szCs w:val="14"/>
                <w:b w:val="1"/>
                <w:bCs w:val="1"/>
                <w:color w:val="auto"/>
              </w:rPr>
              <w:t>Northeast</w:t>
            </w:r>
          </w:p>
        </w:tc>
        <w:tc>
          <w:tcPr>
            <w:tcW w:w="1320" w:type="dxa"/>
            <w:vAlign w:val="bottom"/>
          </w:tcPr>
          <w:p>
            <w:pPr>
              <w:jc w:val="right"/>
              <w:ind w:right="191"/>
              <w:spacing w:after="0"/>
              <w:rPr>
                <w:sz w:val="20"/>
                <w:szCs w:val="20"/>
                <w:color w:val="auto"/>
              </w:rPr>
            </w:pPr>
            <w:r>
              <w:rPr>
                <w:rFonts w:ascii="Arial" w:cs="Arial" w:eastAsia="Arial" w:hAnsi="Arial"/>
                <w:sz w:val="14"/>
                <w:szCs w:val="14"/>
                <w:b w:val="1"/>
                <w:bCs w:val="1"/>
                <w:color w:val="auto"/>
              </w:rPr>
              <w:t>Mid Atlantic</w:t>
            </w: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rPr>
              <w:t>West</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Rental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$111,083</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$123,932</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$34,273</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$269,288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5,430</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5,697</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2,580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and other income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4,379</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1,434</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777</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1100" w:type="dxa"/>
            <w:vAlign w:val="bottom"/>
          </w:tcPr>
          <w:p>
            <w:pPr>
              <w:ind w:left="160"/>
              <w:spacing w:after="0"/>
              <w:rPr>
                <w:sz w:val="20"/>
                <w:szCs w:val="20"/>
                <w:color w:val="auto"/>
              </w:rPr>
            </w:pPr>
            <w:r>
              <w:rPr>
                <w:rFonts w:ascii="Arial" w:cs="Arial" w:eastAsia="Arial" w:hAnsi="Arial"/>
                <w:sz w:val="18"/>
                <w:szCs w:val="18"/>
                <w:color w:val="auto"/>
              </w:rPr>
              <w:t>(22,676)</w:t>
            </w:r>
          </w:p>
        </w:tc>
        <w:tc>
          <w:tcPr>
            <w:tcW w:w="1320" w:type="dxa"/>
            <w:vAlign w:val="bottom"/>
          </w:tcPr>
          <w:p>
            <w:pPr>
              <w:jc w:val="right"/>
              <w:ind w:right="251"/>
              <w:spacing w:after="0"/>
              <w:rPr>
                <w:sz w:val="20"/>
                <w:szCs w:val="20"/>
                <w:color w:val="auto"/>
              </w:rPr>
            </w:pPr>
            <w:r>
              <w:rPr>
                <w:rFonts w:ascii="Arial" w:cs="Arial" w:eastAsia="Arial" w:hAnsi="Arial"/>
                <w:sz w:val="18"/>
                <w:szCs w:val="18"/>
                <w:color w:val="auto"/>
              </w:rPr>
              <w:t>(28,239)</w:t>
            </w:r>
          </w:p>
        </w:tc>
        <w:tc>
          <w:tcPr>
            <w:tcW w:w="1280" w:type="dxa"/>
            <w:vAlign w:val="bottom"/>
          </w:tcPr>
          <w:p>
            <w:pPr>
              <w:jc w:val="right"/>
              <w:ind w:right="211"/>
              <w:spacing w:after="0"/>
              <w:rPr>
                <w:sz w:val="20"/>
                <w:szCs w:val="20"/>
                <w:color w:val="auto"/>
              </w:rPr>
            </w:pPr>
            <w:r>
              <w:rPr>
                <w:rFonts w:ascii="Arial" w:cs="Arial" w:eastAsia="Arial" w:hAnsi="Arial"/>
                <w:sz w:val="18"/>
                <w:szCs w:val="18"/>
                <w:color w:val="auto"/>
              </w:rPr>
              <w:t>(10,704)</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Real estate tax</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(14,959)</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(9,941)</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(2,746)</w:t>
            </w:r>
          </w:p>
        </w:tc>
        <w:tc>
          <w:tcPr>
            <w:tcW w:w="14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(27,646)</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Property operating income</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gridSpan w:val="3"/>
            <w:vMerge w:val="continue"/>
          </w:tcPr>
          <w:p>
            <w:pPr>
              <w:spacing w:after="0"/>
              <w:rPr>
                <w:sz w:val="18"/>
                <w:szCs w:val="18"/>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rPr>
              <w:t>83,257</w:t>
            </w:r>
          </w:p>
        </w:tc>
        <w:tc>
          <w:tcPr>
            <w:tcW w:w="1320" w:type="dxa"/>
            <w:vAlign w:val="bottom"/>
          </w:tcPr>
          <w:p>
            <w:pPr>
              <w:jc w:val="right"/>
              <w:ind w:right="211"/>
              <w:spacing w:after="0"/>
              <w:rPr>
                <w:sz w:val="20"/>
                <w:szCs w:val="20"/>
                <w:color w:val="auto"/>
              </w:rPr>
            </w:pPr>
            <w:r>
              <w:rPr>
                <w:rFonts w:ascii="Arial" w:cs="Arial" w:eastAsia="Arial" w:hAnsi="Arial"/>
                <w:sz w:val="18"/>
                <w:szCs w:val="18"/>
                <w:b w:val="1"/>
                <w:bCs w:val="1"/>
                <w:color w:val="auto"/>
              </w:rPr>
              <w:t>92,883</w:t>
            </w:r>
          </w:p>
        </w:tc>
        <w:tc>
          <w:tcPr>
            <w:tcW w:w="1280" w:type="dxa"/>
            <w:vAlign w:val="bottom"/>
          </w:tcPr>
          <w:p>
            <w:pPr>
              <w:jc w:val="right"/>
              <w:ind w:right="171"/>
              <w:spacing w:after="0"/>
              <w:rPr>
                <w:sz w:val="20"/>
                <w:szCs w:val="20"/>
                <w:color w:val="auto"/>
              </w:rPr>
            </w:pPr>
            <w:r>
              <w:rPr>
                <w:rFonts w:ascii="Arial" w:cs="Arial" w:eastAsia="Arial" w:hAnsi="Arial"/>
                <w:sz w:val="18"/>
                <w:szCs w:val="18"/>
                <w:b w:val="1"/>
                <w:bCs w:val="1"/>
                <w:color w:val="auto"/>
              </w:rPr>
              <w:t>24,180</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200,320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(69,313)</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Administrative expense</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(14,281)</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(14,281)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(26,475)</w:t>
            </w:r>
          </w:p>
        </w:tc>
        <w:tc>
          <w:tcPr>
            <w:tcW w:w="1320" w:type="dxa"/>
            <w:vAlign w:val="bottom"/>
            <w:shd w:val="clear" w:color="auto" w:fill="EEEEEE"/>
          </w:tcPr>
          <w:p>
            <w:pPr>
              <w:jc w:val="right"/>
              <w:ind w:right="251"/>
              <w:spacing w:after="0"/>
              <w:rPr>
                <w:sz w:val="20"/>
                <w:szCs w:val="20"/>
                <w:color w:val="auto"/>
              </w:rPr>
            </w:pPr>
            <w:r>
              <w:rPr>
                <w:rFonts w:ascii="Arial" w:cs="Arial" w:eastAsia="Arial" w:hAnsi="Arial"/>
                <w:sz w:val="18"/>
                <w:szCs w:val="18"/>
                <w:color w:val="auto"/>
              </w:rPr>
              <w:t>(23,736)</w:t>
            </w:r>
          </w:p>
        </w:tc>
        <w:tc>
          <w:tcPr>
            <w:tcW w:w="128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(6,986)</w:t>
            </w:r>
          </w:p>
        </w:tc>
        <w:tc>
          <w:tcPr>
            <w:tcW w:w="14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(1,034)</w:t>
            </w:r>
          </w:p>
        </w:tc>
        <w:tc>
          <w:tcPr>
            <w:tcW w:w="1260" w:type="dxa"/>
            <w:vAlign w:val="bottom"/>
            <w:shd w:val="clear" w:color="auto" w:fill="EEEEEE"/>
          </w:tcPr>
          <w:p>
            <w:pPr>
              <w:jc w:val="right"/>
              <w:ind w:right="71"/>
              <w:spacing w:after="0"/>
              <w:rPr>
                <w:sz w:val="20"/>
                <w:szCs w:val="20"/>
                <w:color w:val="auto"/>
              </w:rPr>
            </w:pPr>
            <w:r>
              <w:rPr>
                <w:rFonts w:ascii="Arial" w:cs="Arial" w:eastAsia="Arial" w:hAnsi="Arial"/>
                <w:sz w:val="18"/>
                <w:szCs w:val="18"/>
                <w:color w:val="auto"/>
              </w:rPr>
              <w:t>(58,231)</w:t>
            </w: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Income before minority interests and discontinued</w:t>
            </w:r>
          </w:p>
        </w:tc>
        <w:tc>
          <w:tcPr>
            <w:tcW w:w="110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1420" w:type="dxa"/>
            <w:vAlign w:val="bottom"/>
            <w:tcBorders>
              <w:bottom w:val="single" w:sz="8" w:color="808080"/>
            </w:tcBorders>
          </w:tcPr>
          <w:p>
            <w:pPr>
              <w:spacing w:after="0" w:line="20" w:lineRule="exact"/>
              <w:rPr>
                <w:sz w:val="1"/>
                <w:szCs w:val="1"/>
                <w:color w:val="auto"/>
              </w:rPr>
            </w:pPr>
          </w:p>
        </w:tc>
        <w:tc>
          <w:tcPr>
            <w:tcW w:w="126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4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rPr>
              <w:t>operations</w:t>
            </w:r>
          </w:p>
        </w:tc>
        <w:tc>
          <w:tcPr>
            <w:tcW w:w="1100" w:type="dxa"/>
            <w:vAlign w:val="bottom"/>
            <w:tcBorders>
              <w:bottom w:val="single" w:sz="8" w:color="808080"/>
            </w:tcBorders>
          </w:tcPr>
          <w:p>
            <w:pPr>
              <w:jc w:val="right"/>
              <w:ind w:right="191"/>
              <w:spacing w:after="0"/>
              <w:rPr>
                <w:sz w:val="20"/>
                <w:szCs w:val="20"/>
                <w:color w:val="auto"/>
              </w:rPr>
            </w:pPr>
            <w:r>
              <w:rPr>
                <w:rFonts w:ascii="Arial" w:cs="Arial" w:eastAsia="Arial" w:hAnsi="Arial"/>
                <w:sz w:val="18"/>
                <w:szCs w:val="18"/>
                <w:b w:val="1"/>
                <w:bCs w:val="1"/>
                <w:color w:val="auto"/>
              </w:rPr>
              <w:t>$56,782</w:t>
            </w:r>
          </w:p>
        </w:tc>
        <w:tc>
          <w:tcPr>
            <w:tcW w:w="1320" w:type="dxa"/>
            <w:vAlign w:val="bottom"/>
            <w:tcBorders>
              <w:bottom w:val="single" w:sz="8" w:color="808080"/>
            </w:tcBorders>
          </w:tcPr>
          <w:p>
            <w:pPr>
              <w:jc w:val="right"/>
              <w:ind w:right="211"/>
              <w:spacing w:after="0"/>
              <w:rPr>
                <w:sz w:val="20"/>
                <w:szCs w:val="20"/>
                <w:color w:val="auto"/>
              </w:rPr>
            </w:pPr>
            <w:r>
              <w:rPr>
                <w:rFonts w:ascii="Arial" w:cs="Arial" w:eastAsia="Arial" w:hAnsi="Arial"/>
                <w:sz w:val="18"/>
                <w:szCs w:val="18"/>
                <w:b w:val="1"/>
                <w:bCs w:val="1"/>
                <w:color w:val="auto"/>
              </w:rPr>
              <w:t>$69,147</w:t>
            </w:r>
          </w:p>
        </w:tc>
        <w:tc>
          <w:tcPr>
            <w:tcW w:w="1280" w:type="dxa"/>
            <w:vAlign w:val="bottom"/>
            <w:tcBorders>
              <w:bottom w:val="single" w:sz="8" w:color="808080"/>
            </w:tcBorders>
          </w:tcPr>
          <w:p>
            <w:pPr>
              <w:jc w:val="right"/>
              <w:ind w:right="171"/>
              <w:spacing w:after="0"/>
              <w:rPr>
                <w:sz w:val="20"/>
                <w:szCs w:val="20"/>
                <w:color w:val="auto"/>
              </w:rPr>
            </w:pPr>
            <w:r>
              <w:rPr>
                <w:rFonts w:ascii="Arial" w:cs="Arial" w:eastAsia="Arial" w:hAnsi="Arial"/>
                <w:sz w:val="18"/>
                <w:szCs w:val="18"/>
                <w:b w:val="1"/>
                <w:bCs w:val="1"/>
                <w:color w:val="auto"/>
              </w:rPr>
              <w:t>$17,194</w:t>
            </w:r>
          </w:p>
        </w:tc>
        <w:tc>
          <w:tcPr>
            <w:tcW w:w="1420" w:type="dxa"/>
            <w:vAlign w:val="bottom"/>
            <w:tcBorders>
              <w:bottom w:val="single" w:sz="8" w:color="808080"/>
            </w:tcBorders>
          </w:tcPr>
          <w:p>
            <w:pPr>
              <w:jc w:val="right"/>
              <w:ind w:right="292"/>
              <w:spacing w:after="0"/>
              <w:rPr>
                <w:sz w:val="20"/>
                <w:szCs w:val="20"/>
                <w:color w:val="auto"/>
              </w:rPr>
            </w:pPr>
            <w:r>
              <w:rPr>
                <w:rFonts w:ascii="Arial" w:cs="Arial" w:eastAsia="Arial" w:hAnsi="Arial"/>
                <w:sz w:val="18"/>
                <w:szCs w:val="18"/>
                <w:b w:val="1"/>
                <w:bCs w:val="1"/>
                <w:color w:val="auto"/>
              </w:rPr>
              <w:t>($84,628)</w:t>
            </w:r>
          </w:p>
        </w:tc>
        <w:tc>
          <w:tcPr>
            <w:tcW w:w="1260" w:type="dxa"/>
            <w:vAlign w:val="bottom"/>
            <w:tcBorders>
              <w:bottom w:val="single" w:sz="8" w:color="808080"/>
            </w:tcBorders>
          </w:tcPr>
          <w:p>
            <w:pPr>
              <w:jc w:val="right"/>
              <w:ind w:right="31"/>
              <w:spacing w:after="0"/>
              <w:rPr>
                <w:sz w:val="20"/>
                <w:szCs w:val="20"/>
                <w:color w:val="auto"/>
              </w:rPr>
            </w:pPr>
            <w:r>
              <w:rPr>
                <w:rFonts w:ascii="Arial" w:cs="Arial" w:eastAsia="Arial" w:hAnsi="Arial"/>
                <w:sz w:val="18"/>
                <w:szCs w:val="18"/>
                <w:b w:val="1"/>
                <w:bCs w:val="1"/>
                <w:color w:val="auto"/>
              </w:rPr>
              <w:t>$58,495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5020" w:type="dxa"/>
            <w:vAlign w:val="bottom"/>
            <w:tcBorders>
              <w:right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EEEEEE"/>
          </w:tcPr>
          <w:p>
            <w:pPr>
              <w:jc w:val="right"/>
              <w:ind w:right="191"/>
              <w:spacing w:after="0"/>
              <w:rPr>
                <w:sz w:val="20"/>
                <w:szCs w:val="20"/>
                <w:color w:val="auto"/>
              </w:rPr>
            </w:pPr>
            <w:r>
              <w:rPr>
                <w:rFonts w:ascii="Arial" w:cs="Arial" w:eastAsia="Arial" w:hAnsi="Arial"/>
                <w:sz w:val="18"/>
                <w:szCs w:val="18"/>
                <w:color w:val="auto"/>
              </w:rPr>
              <w:t>$15,386</w:t>
            </w:r>
          </w:p>
        </w:tc>
        <w:tc>
          <w:tcPr>
            <w:tcW w:w="1320" w:type="dxa"/>
            <w:vAlign w:val="bottom"/>
            <w:shd w:val="clear" w:color="auto" w:fill="EEEEEE"/>
          </w:tcPr>
          <w:p>
            <w:pPr>
              <w:jc w:val="right"/>
              <w:ind w:right="211"/>
              <w:spacing w:after="0"/>
              <w:rPr>
                <w:sz w:val="20"/>
                <w:szCs w:val="20"/>
                <w:color w:val="auto"/>
              </w:rPr>
            </w:pPr>
            <w:r>
              <w:rPr>
                <w:rFonts w:ascii="Arial" w:cs="Arial" w:eastAsia="Arial" w:hAnsi="Arial"/>
                <w:sz w:val="18"/>
                <w:szCs w:val="18"/>
                <w:color w:val="auto"/>
              </w:rPr>
              <w:t>$87,706</w:t>
            </w:r>
          </w:p>
        </w:tc>
        <w:tc>
          <w:tcPr>
            <w:tcW w:w="1280" w:type="dxa"/>
            <w:vAlign w:val="bottom"/>
            <w:shd w:val="clear" w:color="auto" w:fill="EEEEEE"/>
          </w:tcPr>
          <w:p>
            <w:pPr>
              <w:jc w:val="right"/>
              <w:ind w:right="171"/>
              <w:spacing w:after="0"/>
              <w:rPr>
                <w:sz w:val="20"/>
                <w:szCs w:val="20"/>
                <w:color w:val="auto"/>
              </w:rPr>
            </w:pPr>
            <w:r>
              <w:rPr>
                <w:rFonts w:ascii="Arial" w:cs="Arial" w:eastAsia="Arial" w:hAnsi="Arial"/>
                <w:sz w:val="18"/>
                <w:szCs w:val="18"/>
                <w:color w:val="auto"/>
              </w:rPr>
              <w:t>$169,278</w:t>
            </w:r>
          </w:p>
        </w:tc>
        <w:tc>
          <w:tcPr>
            <w:tcW w:w="142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31"/>
              <w:spacing w:after="0"/>
              <w:rPr>
                <w:sz w:val="20"/>
                <w:szCs w:val="20"/>
                <w:color w:val="auto"/>
              </w:rPr>
            </w:pPr>
            <w:r>
              <w:rPr>
                <w:rFonts w:ascii="Arial" w:cs="Arial" w:eastAsia="Arial" w:hAnsi="Arial"/>
                <w:sz w:val="18"/>
                <w:szCs w:val="18"/>
                <w:color w:val="auto"/>
              </w:rPr>
              <w:t>$272,370</w:t>
            </w:r>
          </w:p>
        </w:tc>
        <w:tc>
          <w:tcPr>
            <w:tcW w:w="0" w:type="dxa"/>
            <w:vAlign w:val="bottom"/>
          </w:tcPr>
          <w:p>
            <w:pPr>
              <w:spacing w:after="0"/>
              <w:rPr>
                <w:sz w:val="1"/>
                <w:szCs w:val="1"/>
                <w:color w:val="auto"/>
              </w:rPr>
            </w:pPr>
          </w:p>
        </w:tc>
      </w:tr>
      <w:tr>
        <w:trPr>
          <w:trHeight w:val="66"/>
        </w:trPr>
        <w:tc>
          <w:tcPr>
            <w:tcW w:w="300" w:type="dxa"/>
            <w:vAlign w:val="bottom"/>
            <w:gridSpan w:val="2"/>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48"/>
        </w:trPr>
        <w:tc>
          <w:tcPr>
            <w:tcW w:w="5040" w:type="dxa"/>
            <w:vAlign w:val="bottom"/>
            <w:gridSpan w:val="3"/>
          </w:tcPr>
          <w:p>
            <w:pPr>
              <w:spacing w:after="0"/>
              <w:rPr>
                <w:sz w:val="20"/>
                <w:szCs w:val="20"/>
                <w:color w:val="auto"/>
              </w:rPr>
            </w:pPr>
            <w:r>
              <w:rPr>
                <w:rFonts w:ascii="Arial" w:cs="Arial" w:eastAsia="Arial" w:hAnsi="Arial"/>
                <w:sz w:val="18"/>
                <w:szCs w:val="18"/>
                <w:color w:val="auto"/>
              </w:rPr>
              <w:t>Real estate assets</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$760,849</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$793,566</w:t>
            </w:r>
          </w:p>
        </w:tc>
        <w:tc>
          <w:tcPr>
            <w:tcW w:w="1280" w:type="dxa"/>
            <w:vAlign w:val="bottom"/>
          </w:tcPr>
          <w:p>
            <w:pPr>
              <w:jc w:val="right"/>
              <w:ind w:right="171"/>
              <w:spacing w:after="0"/>
              <w:rPr>
                <w:sz w:val="20"/>
                <w:szCs w:val="20"/>
                <w:color w:val="auto"/>
              </w:rPr>
            </w:pPr>
            <w:r>
              <w:rPr>
                <w:rFonts w:ascii="Arial" w:cs="Arial" w:eastAsia="Arial" w:hAnsi="Arial"/>
                <w:sz w:val="18"/>
                <w:szCs w:val="18"/>
                <w:color w:val="auto"/>
              </w:rPr>
              <w:t>$549,889</w:t>
            </w:r>
          </w:p>
        </w:tc>
        <w:tc>
          <w:tcPr>
            <w:tcW w:w="1420" w:type="dxa"/>
            <w:vAlign w:val="bottom"/>
          </w:tcPr>
          <w:p>
            <w:pPr>
              <w:spacing w:after="0"/>
              <w:rPr>
                <w:sz w:val="24"/>
                <w:szCs w:val="24"/>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$2,104,304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740" w:type="dxa"/>
            <w:vAlign w:val="bottom"/>
            <w:tcBorders>
              <w:right w:val="single" w:sz="8" w:color="808080"/>
            </w:tcBorders>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There are no transactions between geographic areas.</w:t>
            </w: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-F28-</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438"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w:t>
      </w:r>
      <w:r>
        <w:rPr>
          <w:rFonts w:ascii="Arial" w:cs="Arial" w:eastAsia="Arial" w:hAnsi="Arial"/>
          <w:sz w:val="18"/>
          <w:szCs w:val="18"/>
          <w:u w:val="single" w:color="auto"/>
          <w:color w:val="auto"/>
        </w:rPr>
        <w:t>. QUARTERLY DATA (UNAUDITED)</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summary represents the results of operations for each quarter in 2003 and 2002 (in thousands, except per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Second</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Third</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8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2003</w:t>
            </w:r>
          </w:p>
        </w:tc>
        <w:tc>
          <w:tcPr>
            <w:tcW w:w="59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Revenue (1)</w:t>
            </w:r>
          </w:p>
        </w:tc>
        <w:tc>
          <w:tcPr>
            <w:tcW w:w="1000" w:type="dxa"/>
            <w:vAlign w:val="bottom"/>
            <w:tcBorders>
              <w:top w:val="single" w:sz="8" w:color="EEEEEE"/>
            </w:tcBorders>
          </w:tcPr>
          <w:p>
            <w:pPr>
              <w:jc w:val="right"/>
              <w:ind w:right="96"/>
              <w:spacing w:after="0"/>
              <w:rPr>
                <w:sz w:val="20"/>
                <w:szCs w:val="20"/>
                <w:color w:val="auto"/>
              </w:rPr>
            </w:pPr>
            <w:r>
              <w:rPr>
                <w:rFonts w:ascii="Arial" w:cs="Arial" w:eastAsia="Arial" w:hAnsi="Arial"/>
                <w:sz w:val="18"/>
                <w:szCs w:val="18"/>
                <w:color w:val="auto"/>
              </w:rPr>
              <w:t>$84,091</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$84,745</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$85,836</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$97,825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(loss) available for common shares</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11,520</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10,213</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21,726</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Earnings (loss) per common share — basic</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0.26</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0.22</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0.44</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(loss) per common share — diluted</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8"/>
                <w:szCs w:val="18"/>
                <w:color w:val="auto"/>
              </w:rPr>
              <w:t>0.26</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0.21</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0.43</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Second</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Third</w:t>
            </w:r>
          </w:p>
        </w:tc>
        <w:tc>
          <w:tcPr>
            <w:tcW w:w="3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8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Arial" w:cs="Arial" w:eastAsia="Arial" w:hAnsi="Arial"/>
                <w:sz w:val="14"/>
                <w:szCs w:val="14"/>
                <w:color w:val="auto"/>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3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5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79"/>
              </w:rPr>
              <w:t>2002</w:t>
            </w:r>
          </w:p>
        </w:tc>
        <w:tc>
          <w:tcPr>
            <w:tcW w:w="592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36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top w:val="single" w:sz="8" w:color="EEEEEE"/>
            </w:tcBorders>
            <w:gridSpan w:val="2"/>
          </w:tcPr>
          <w:p>
            <w:pPr>
              <w:spacing w:after="0"/>
              <w:rPr>
                <w:sz w:val="20"/>
                <w:szCs w:val="20"/>
                <w:color w:val="auto"/>
              </w:rPr>
            </w:pPr>
            <w:r>
              <w:rPr>
                <w:rFonts w:ascii="Arial" w:cs="Arial" w:eastAsia="Arial" w:hAnsi="Arial"/>
                <w:sz w:val="18"/>
                <w:szCs w:val="18"/>
                <w:color w:val="auto"/>
              </w:rPr>
              <w:t>Revenue (1)</w:t>
            </w:r>
          </w:p>
        </w:tc>
        <w:tc>
          <w:tcPr>
            <w:tcW w:w="1000" w:type="dxa"/>
            <w:vAlign w:val="bottom"/>
            <w:tcBorders>
              <w:top w:val="single" w:sz="8" w:color="EEEEEE"/>
            </w:tcBorders>
          </w:tcPr>
          <w:p>
            <w:pPr>
              <w:jc w:val="right"/>
              <w:ind w:right="96"/>
              <w:spacing w:after="0"/>
              <w:rPr>
                <w:sz w:val="20"/>
                <w:szCs w:val="20"/>
                <w:color w:val="auto"/>
              </w:rPr>
            </w:pPr>
            <w:r>
              <w:rPr>
                <w:rFonts w:ascii="Arial" w:cs="Arial" w:eastAsia="Arial" w:hAnsi="Arial"/>
                <w:sz w:val="18"/>
                <w:szCs w:val="18"/>
                <w:color w:val="auto"/>
              </w:rPr>
              <w:t>$73,975</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$74,939</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$76,010</w:t>
            </w:r>
          </w:p>
        </w:tc>
        <w:tc>
          <w:tcPr>
            <w:tcW w:w="1380" w:type="dxa"/>
            <w:vAlign w:val="bottom"/>
            <w:tcBorders>
              <w:top w:val="single" w:sz="8" w:color="EEEEEE"/>
            </w:tcBorders>
            <w:gridSpan w:val="2"/>
          </w:tcPr>
          <w:p>
            <w:pPr>
              <w:jc w:val="right"/>
              <w:ind w:right="108"/>
              <w:spacing w:after="0"/>
              <w:rPr>
                <w:sz w:val="20"/>
                <w:szCs w:val="20"/>
                <w:color w:val="auto"/>
              </w:rPr>
            </w:pPr>
            <w:r>
              <w:rPr>
                <w:rFonts w:ascii="Arial" w:cs="Arial" w:eastAsia="Arial" w:hAnsi="Arial"/>
                <w:sz w:val="18"/>
                <w:szCs w:val="18"/>
                <w:color w:val="auto"/>
              </w:rPr>
              <w:t>$90,716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available for common shares</w:t>
            </w:r>
          </w:p>
        </w:tc>
        <w:tc>
          <w:tcPr>
            <w:tcW w:w="10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(6,187)</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30,479</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13,648</w:t>
            </w:r>
          </w:p>
        </w:tc>
        <w:tc>
          <w:tcPr>
            <w:tcW w:w="13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Earnings per common share — basic</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(0.15)</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0.75</w:t>
            </w:r>
          </w:p>
        </w:tc>
        <w:tc>
          <w:tcPr>
            <w:tcW w:w="1380" w:type="dxa"/>
            <w:vAlign w:val="bottom"/>
            <w:gridSpan w:val="2"/>
          </w:tcPr>
          <w:p>
            <w:pPr>
              <w:jc w:val="right"/>
              <w:ind w:right="108"/>
              <w:spacing w:after="0"/>
              <w:rPr>
                <w:sz w:val="20"/>
                <w:szCs w:val="20"/>
                <w:color w:val="auto"/>
              </w:rPr>
            </w:pPr>
            <w:r>
              <w:rPr>
                <w:rFonts w:ascii="Arial" w:cs="Arial" w:eastAsia="Arial" w:hAnsi="Arial"/>
                <w:sz w:val="18"/>
                <w:szCs w:val="18"/>
                <w:color w:val="auto"/>
              </w:rPr>
              <w:t>0.32</w:t>
            </w:r>
          </w:p>
        </w:tc>
        <w:tc>
          <w:tcPr>
            <w:tcW w:w="1380" w:type="dxa"/>
            <w:vAlign w:val="bottom"/>
            <w:gridSpan w:val="2"/>
          </w:tcPr>
          <w:p>
            <w:pPr>
              <w:jc w:val="right"/>
              <w:ind w:right="48"/>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per common share — diluted</w:t>
            </w:r>
          </w:p>
        </w:tc>
        <w:tc>
          <w:tcPr>
            <w:tcW w:w="1000" w:type="dxa"/>
            <w:vAlign w:val="bottom"/>
            <w:shd w:val="clear" w:color="auto" w:fill="EEEEEE"/>
          </w:tcPr>
          <w:p>
            <w:pPr>
              <w:jc w:val="right"/>
              <w:ind w:right="36"/>
              <w:spacing w:after="0"/>
              <w:rPr>
                <w:sz w:val="20"/>
                <w:szCs w:val="20"/>
                <w:color w:val="auto"/>
              </w:rPr>
            </w:pPr>
            <w:r>
              <w:rPr>
                <w:rFonts w:ascii="Arial" w:cs="Arial" w:eastAsia="Arial" w:hAnsi="Arial"/>
                <w:sz w:val="18"/>
                <w:szCs w:val="18"/>
                <w:color w:val="auto"/>
              </w:rPr>
              <w:t>(0.15)</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0.74</w:t>
            </w:r>
          </w:p>
        </w:tc>
        <w:tc>
          <w:tcPr>
            <w:tcW w:w="1380" w:type="dxa"/>
            <w:vAlign w:val="bottom"/>
            <w:gridSpan w:val="2"/>
            <w:shd w:val="clear" w:color="auto" w:fill="EEEEEE"/>
          </w:tcPr>
          <w:p>
            <w:pPr>
              <w:jc w:val="right"/>
              <w:ind w:right="108"/>
              <w:spacing w:after="0"/>
              <w:rPr>
                <w:sz w:val="20"/>
                <w:szCs w:val="20"/>
                <w:color w:val="auto"/>
              </w:rPr>
            </w:pPr>
            <w:r>
              <w:rPr>
                <w:rFonts w:ascii="Arial" w:cs="Arial" w:eastAsia="Arial" w:hAnsi="Arial"/>
                <w:sz w:val="18"/>
                <w:szCs w:val="18"/>
                <w:color w:val="auto"/>
              </w:rPr>
              <w:t>0.31</w:t>
            </w:r>
          </w:p>
        </w:tc>
        <w:tc>
          <w:tcPr>
            <w:tcW w:w="1380" w:type="dxa"/>
            <w:vAlign w:val="bottom"/>
            <w:gridSpan w:val="2"/>
            <w:shd w:val="clear" w:color="auto" w:fill="EEEEEE"/>
          </w:tcPr>
          <w:p>
            <w:pPr>
              <w:jc w:val="right"/>
              <w:ind w:right="48"/>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right="360" w:hanging="692"/>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required by SFAS No. 144 revenue has been reduced to reflect the discontinued assets sold. Total revenue from these discontinued assets, by quarter, is summarized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color w:val="auto"/>
              </w:rPr>
              <w:t>First</w:t>
            </w:r>
          </w:p>
        </w:tc>
        <w:tc>
          <w:tcPr>
            <w:tcW w:w="42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Second</w:t>
            </w:r>
          </w:p>
        </w:tc>
        <w:tc>
          <w:tcPr>
            <w:tcW w:w="42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Third</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3"/>
              </w:rPr>
              <w:t>Fourth</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Quarter</w:t>
            </w: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Quarter</w:t>
            </w:r>
          </w:p>
        </w:tc>
        <w:tc>
          <w:tcPr>
            <w:tcW w:w="0" w:type="dxa"/>
            <w:vAlign w:val="bottom"/>
          </w:tcPr>
          <w:p>
            <w:pPr>
              <w:spacing w:after="0"/>
              <w:rPr>
                <w:sz w:val="1"/>
                <w:szCs w:val="1"/>
                <w:color w:val="auto"/>
              </w:rPr>
            </w:pPr>
          </w:p>
        </w:tc>
      </w:tr>
      <w:tr>
        <w:trPr>
          <w:trHeight w:val="53"/>
        </w:trPr>
        <w:tc>
          <w:tcPr>
            <w:tcW w:w="720" w:type="dxa"/>
            <w:vAlign w:val="bottom"/>
          </w:tcPr>
          <w:p>
            <w:pPr>
              <w:spacing w:after="0"/>
              <w:rPr>
                <w:sz w:val="4"/>
                <w:szCs w:val="4"/>
                <w:color w:val="auto"/>
              </w:rPr>
            </w:pPr>
          </w:p>
        </w:tc>
        <w:tc>
          <w:tcPr>
            <w:tcW w:w="38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720" w:type="dxa"/>
            <w:vAlign w:val="bottom"/>
            <w:vMerge w:val="restart"/>
          </w:tcPr>
          <w:p>
            <w:pPr>
              <w:spacing w:after="0"/>
              <w:rPr>
                <w:sz w:val="6"/>
                <w:szCs w:val="6"/>
                <w:color w:val="auto"/>
              </w:rPr>
            </w:pPr>
          </w:p>
        </w:tc>
        <w:tc>
          <w:tcPr>
            <w:tcW w:w="38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gridSpan w:val="2"/>
          </w:tcPr>
          <w:p>
            <w:pPr>
              <w:spacing w:after="0"/>
              <w:rPr>
                <w:sz w:val="6"/>
                <w:szCs w:val="6"/>
                <w:color w:val="auto"/>
              </w:rPr>
            </w:pPr>
          </w:p>
        </w:tc>
        <w:tc>
          <w:tcPr>
            <w:tcW w:w="1180" w:type="dxa"/>
            <w:vAlign w:val="bottom"/>
            <w:gridSpan w:val="2"/>
          </w:tcPr>
          <w:p>
            <w:pPr>
              <w:spacing w:after="0"/>
              <w:rPr>
                <w:sz w:val="6"/>
                <w:szCs w:val="6"/>
                <w:color w:val="auto"/>
              </w:rPr>
            </w:pPr>
          </w:p>
        </w:tc>
        <w:tc>
          <w:tcPr>
            <w:tcW w:w="12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2003 Revenue from discontinued assets</w:t>
            </w:r>
          </w:p>
        </w:tc>
        <w:tc>
          <w:tcPr>
            <w:tcW w:w="256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2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68"/>
              <w:spacing w:after="0"/>
              <w:rPr>
                <w:sz w:val="20"/>
                <w:szCs w:val="20"/>
                <w:color w:val="auto"/>
              </w:rPr>
            </w:pPr>
            <w:r>
              <w:rPr>
                <w:rFonts w:ascii="Arial" w:cs="Arial" w:eastAsia="Arial" w:hAnsi="Arial"/>
                <w:sz w:val="18"/>
                <w:szCs w:val="18"/>
                <w:color w:val="auto"/>
              </w:rPr>
              <w:t>(9)</w:t>
            </w:r>
          </w:p>
        </w:tc>
        <w:tc>
          <w:tcPr>
            <w:tcW w:w="1180" w:type="dxa"/>
            <w:vAlign w:val="bottom"/>
            <w:gridSpan w:val="2"/>
            <w:shd w:val="clear" w:color="auto" w:fill="EEEEEE"/>
          </w:tcPr>
          <w:p>
            <w:pPr>
              <w:jc w:val="right"/>
              <w:ind w:right="88"/>
              <w:spacing w:after="0"/>
              <w:rPr>
                <w:sz w:val="20"/>
                <w:szCs w:val="20"/>
                <w:color w:val="auto"/>
              </w:rPr>
            </w:pPr>
            <w:r>
              <w:rPr>
                <w:rFonts w:ascii="Arial" w:cs="Arial" w:eastAsia="Arial" w:hAnsi="Arial"/>
                <w:sz w:val="18"/>
                <w:szCs w:val="18"/>
                <w:color w:val="auto"/>
              </w:rPr>
              <w:t>(180)</w:t>
            </w:r>
          </w:p>
        </w:tc>
        <w:tc>
          <w:tcPr>
            <w:tcW w:w="1220" w:type="dxa"/>
            <w:vAlign w:val="bottom"/>
            <w:gridSpan w:val="2"/>
            <w:shd w:val="clear" w:color="auto" w:fill="EEEEEE"/>
          </w:tcPr>
          <w:p>
            <w:pPr>
              <w:jc w:val="center"/>
              <w:ind w:left="330"/>
              <w:spacing w:after="0"/>
              <w:rPr>
                <w:sz w:val="20"/>
                <w:szCs w:val="20"/>
                <w:color w:val="auto"/>
              </w:rPr>
            </w:pPr>
            <w:r>
              <w:rPr>
                <w:rFonts w:ascii="Arial" w:cs="Arial" w:eastAsia="Arial" w:hAnsi="Arial"/>
                <w:sz w:val="18"/>
                <w:szCs w:val="18"/>
                <w:color w:val="auto"/>
                <w:w w:val="88"/>
              </w:rPr>
              <w:t>2,565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2002 Revenue from discontinued assets</w:t>
            </w:r>
          </w:p>
        </w:tc>
        <w:tc>
          <w:tcPr>
            <w:tcW w:w="3360" w:type="dxa"/>
            <w:vAlign w:val="bottom"/>
            <w:gridSpan w:val="2"/>
          </w:tcPr>
          <w:p>
            <w:pPr>
              <w:jc w:val="right"/>
              <w:ind w:right="122"/>
              <w:spacing w:after="0"/>
              <w:rPr>
                <w:sz w:val="20"/>
                <w:szCs w:val="20"/>
                <w:color w:val="auto"/>
              </w:rPr>
            </w:pPr>
            <w:r>
              <w:rPr>
                <w:rFonts w:ascii="Arial" w:cs="Arial" w:eastAsia="Arial" w:hAnsi="Arial"/>
                <w:sz w:val="18"/>
                <w:szCs w:val="18"/>
                <w:color w:val="auto"/>
              </w:rPr>
              <w:t>1,219</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624</w:t>
            </w: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590</w:t>
            </w:r>
          </w:p>
        </w:tc>
        <w:tc>
          <w:tcPr>
            <w:tcW w:w="1220" w:type="dxa"/>
            <w:vAlign w:val="bottom"/>
            <w:gridSpan w:val="2"/>
          </w:tcPr>
          <w:p>
            <w:pPr>
              <w:jc w:val="center"/>
              <w:ind w:left="330"/>
              <w:spacing w:after="0"/>
              <w:rPr>
                <w:sz w:val="20"/>
                <w:szCs w:val="20"/>
                <w:color w:val="auto"/>
              </w:rPr>
            </w:pPr>
            <w:r>
              <w:rPr>
                <w:rFonts w:ascii="Arial" w:cs="Arial" w:eastAsia="Arial" w:hAnsi="Arial"/>
                <w:sz w:val="18"/>
                <w:szCs w:val="18"/>
                <w:color w:val="auto"/>
                <w:w w:val="88"/>
              </w:rPr>
              <w:t>3,137</w:t>
            </w:r>
          </w:p>
        </w:tc>
        <w:tc>
          <w:tcPr>
            <w:tcW w:w="0" w:type="dxa"/>
            <w:vAlign w:val="bottom"/>
          </w:tcPr>
          <w:p>
            <w:pPr>
              <w:spacing w:after="0"/>
              <w:rPr>
                <w:sz w:val="1"/>
                <w:szCs w:val="1"/>
                <w:color w:val="auto"/>
              </w:rPr>
            </w:pPr>
          </w:p>
        </w:tc>
      </w:tr>
      <w:tr>
        <w:trPr>
          <w:trHeight w:val="377"/>
        </w:trPr>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360" w:type="dxa"/>
            <w:vAlign w:val="bottom"/>
            <w:gridSpan w:val="2"/>
          </w:tcPr>
          <w:p>
            <w:pPr>
              <w:jc w:val="right"/>
              <w:ind w:right="1902"/>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line="87"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FEDERAL REALTY INVESTMENT TRUST</w:t>
      </w:r>
    </w:p>
    <w:p>
      <w:pPr>
        <w:jc w:val="center"/>
        <w:spacing w:after="0" w:line="221" w:lineRule="auto"/>
        <w:rPr>
          <w:sz w:val="20"/>
          <w:szCs w:val="20"/>
          <w:color w:val="auto"/>
        </w:rPr>
      </w:pPr>
      <w:r>
        <w:rPr>
          <w:rFonts w:ascii="Arial" w:cs="Arial" w:eastAsia="Arial" w:hAnsi="Arial"/>
          <w:sz w:val="14"/>
          <w:szCs w:val="14"/>
          <w:color w:val="auto"/>
        </w:rPr>
        <w:t>SCHEDULE III</w:t>
      </w:r>
    </w:p>
    <w:p>
      <w:pPr>
        <w:jc w:val="center"/>
        <w:spacing w:after="0" w:line="221" w:lineRule="auto"/>
        <w:rPr>
          <w:sz w:val="20"/>
          <w:szCs w:val="20"/>
          <w:color w:val="auto"/>
        </w:rPr>
      </w:pPr>
      <w:r>
        <w:rPr>
          <w:rFonts w:ascii="Arial" w:cs="Arial" w:eastAsia="Arial" w:hAnsi="Arial"/>
          <w:sz w:val="14"/>
          <w:szCs w:val="14"/>
          <w:color w:val="auto"/>
        </w:rPr>
        <w:t>SUMMARY OF REAL ESTATE AND ACCUMULATED DEPRECIATION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DECEMBER 31, 2003</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960" w:type="dxa"/>
            <w:vAlign w:val="bottom"/>
            <w:gridSpan w:val="2"/>
          </w:tcPr>
          <w:p>
            <w:pPr>
              <w:ind w:left="620"/>
              <w:spacing w:after="0"/>
              <w:rPr>
                <w:sz w:val="20"/>
                <w:szCs w:val="20"/>
                <w:color w:val="auto"/>
              </w:rPr>
            </w:pPr>
            <w:r>
              <w:rPr>
                <w:rFonts w:ascii="Arial" w:cs="Arial" w:eastAsia="Arial" w:hAnsi="Arial"/>
                <w:sz w:val="11"/>
                <w:szCs w:val="11"/>
                <w:b w:val="1"/>
                <w:bCs w:val="1"/>
                <w:color w:val="auto"/>
              </w:rPr>
              <w:t>COLUMN A</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COLUMN B</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ind w:left="600"/>
              <w:spacing w:after="0"/>
              <w:rPr>
                <w:sz w:val="20"/>
                <w:szCs w:val="20"/>
                <w:color w:val="auto"/>
              </w:rPr>
            </w:pPr>
            <w:r>
              <w:rPr>
                <w:rFonts w:ascii="Arial" w:cs="Arial" w:eastAsia="Arial" w:hAnsi="Arial"/>
                <w:sz w:val="11"/>
                <w:szCs w:val="11"/>
                <w:b w:val="1"/>
                <w:bCs w:val="1"/>
                <w:color w:val="auto"/>
                <w:w w:val="97"/>
              </w:rPr>
              <w:t>COLUMN C</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rPr>
              <w:t>COLUMN 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rPr>
              <w:t>COLUMN 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gridSpan w:val="2"/>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1"/>
                <w:szCs w:val="11"/>
                <w:b w:val="1"/>
                <w:bCs w:val="1"/>
                <w:color w:val="auto"/>
              </w:rPr>
              <w:t>Initial cost to company</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80" w:type="dxa"/>
            <w:vAlign w:val="bottom"/>
            <w:gridSpan w:val="9"/>
          </w:tcPr>
          <w:p>
            <w:pPr>
              <w:jc w:val="center"/>
              <w:ind w:right="20"/>
              <w:spacing w:after="0"/>
              <w:rPr>
                <w:sz w:val="20"/>
                <w:szCs w:val="20"/>
                <w:color w:val="auto"/>
              </w:rPr>
            </w:pPr>
            <w:r>
              <w:rPr>
                <w:rFonts w:ascii="Arial" w:cs="Arial" w:eastAsia="Arial" w:hAnsi="Arial"/>
                <w:sz w:val="11"/>
                <w:szCs w:val="11"/>
                <w:b w:val="1"/>
                <w:bCs w:val="1"/>
                <w:color w:val="auto"/>
                <w:w w:val="87"/>
              </w:rPr>
              <w:t>Gross amount at which carried at close of period</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8"/>
              </w:rPr>
              <w:t>Cost Capitalized</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260"/>
              <w:spacing w:after="0" w:line="122" w:lineRule="exact"/>
              <w:rPr>
                <w:sz w:val="20"/>
                <w:szCs w:val="20"/>
                <w:color w:val="auto"/>
              </w:rPr>
            </w:pPr>
            <w:r>
              <w:rPr>
                <w:rFonts w:ascii="Arial" w:cs="Arial" w:eastAsia="Arial" w:hAnsi="Arial"/>
                <w:sz w:val="11"/>
                <w:szCs w:val="11"/>
                <w:b w:val="1"/>
                <w:bCs w:val="1"/>
                <w:color w:val="auto"/>
                <w:w w:val="95"/>
              </w:rPr>
              <w:t>Building and</w:t>
            </w:r>
          </w:p>
        </w:tc>
        <w:tc>
          <w:tcPr>
            <w:tcW w:w="12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Subsequent to</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Building and</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60" w:type="dxa"/>
            <w:vAlign w:val="bottom"/>
            <w:gridSpan w:val="2"/>
          </w:tcPr>
          <w:p>
            <w:pPr>
              <w:ind w:left="620"/>
              <w:spacing w:after="0"/>
              <w:rPr>
                <w:sz w:val="20"/>
                <w:szCs w:val="20"/>
                <w:color w:val="auto"/>
              </w:rPr>
            </w:pPr>
            <w:r>
              <w:rPr>
                <w:rFonts w:ascii="Arial" w:cs="Arial" w:eastAsia="Arial" w:hAnsi="Arial"/>
                <w:sz w:val="11"/>
                <w:szCs w:val="11"/>
                <w:b w:val="1"/>
                <w:bCs w:val="1"/>
                <w:color w:val="auto"/>
              </w:rPr>
              <w:t>Descriptions</w:t>
            </w:r>
          </w:p>
        </w:tc>
        <w:tc>
          <w:tcPr>
            <w:tcW w:w="96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rPr>
              <w:t>Encumbrance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1"/>
              </w:rPr>
              <w:t>Land</w:t>
            </w:r>
          </w:p>
        </w:tc>
        <w:tc>
          <w:tcPr>
            <w:tcW w:w="9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w w:val="87"/>
              </w:rPr>
              <w:t>Improvements</w:t>
            </w: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6"/>
              </w:rPr>
              <w:t>Acquisition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right"/>
              <w:ind w:right="386"/>
              <w:spacing w:after="0"/>
              <w:rPr>
                <w:sz w:val="20"/>
                <w:szCs w:val="20"/>
                <w:color w:val="auto"/>
              </w:rPr>
            </w:pPr>
            <w:r>
              <w:rPr>
                <w:rFonts w:ascii="Arial" w:cs="Arial" w:eastAsia="Arial" w:hAnsi="Arial"/>
                <w:sz w:val="11"/>
                <w:szCs w:val="11"/>
                <w:b w:val="1"/>
                <w:bCs w:val="1"/>
                <w:color w:val="auto"/>
              </w:rPr>
              <w:t>Land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Improvements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ind w:left="4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ALLWOOD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$ 3,501,000</w:t>
            </w:r>
          </w:p>
        </w:tc>
        <w:tc>
          <w:tcPr>
            <w:tcW w:w="140" w:type="dxa"/>
            <w:vAlign w:val="bottom"/>
            <w:shd w:val="clear" w:color="auto" w:fill="EEEEEE"/>
          </w:tcPr>
          <w:p>
            <w:pPr>
              <w:spacing w:after="0"/>
              <w:rPr>
                <w:sz w:val="10"/>
                <w:szCs w:val="10"/>
                <w:color w:val="auto"/>
              </w:rPr>
            </w:pPr>
          </w:p>
        </w:tc>
        <w:tc>
          <w:tcPr>
            <w:tcW w:w="460" w:type="dxa"/>
            <w:vAlign w:val="bottom"/>
            <w:gridSpan w:val="2"/>
            <w:shd w:val="clear" w:color="auto" w:fill="EEEEEE"/>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w w:val="96"/>
              </w:rPr>
              <w:t>$ 3,920,000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   376,465</w:t>
            </w:r>
          </w:p>
        </w:tc>
        <w:tc>
          <w:tcPr>
            <w:tcW w:w="520" w:type="dxa"/>
            <w:vAlign w:val="bottom"/>
            <w:gridSpan w:val="4"/>
            <w:shd w:val="clear" w:color="auto" w:fill="EEEEEE"/>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$ 4,296,465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$ 4,296,465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ANDORRA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2,432,000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12,346,000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4,538,531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2,432,107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16,884,531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19,316,638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ARIZONA BUILDINGS (2)</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1,334,000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9,104,000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629,481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1,334,085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9,733,481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11,067,566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BALA CYNWYD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3,565,000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14,466,000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5,967,942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3,565,000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20,433,942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23,998,942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BARRACKS ROAD (Virginia)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44,222,000</w:t>
            </w: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4,363,000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16,459,000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18,749,106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4,362,713</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35,208,106</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39,570,819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BETHESDA ROW (Maryland)</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12,576,000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9,114,000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20,821,000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51,277,294</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7,415,873</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72,085,294</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79,501,167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BLUESTAR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26,724,000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29,922,000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9,598,204</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39,520,204</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39,520,204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BRICK PLAZA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32,936,000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24,715,000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29,154,110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3,788,189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50,081,110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53,869,299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BRISTOL (Connecticut)</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3,856,000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15,959,000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2,517,080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3,856,302</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18,476,080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22,332,382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BRUNSWICK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11,125,000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12,456,000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8,878,078</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21,334,078</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21,334,078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CALIFORNIA RETAIL BUILDINGS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10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SANTA MONICA (9)</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22,645,000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12,709,000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36,912,290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22,644,437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49,621,290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72,265,727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SAN DIEGO (4)</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3,844,000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1,352,000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6,930,285</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3,843,617</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8,282,285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12,125,902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150 POST STREET (San Francisco)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11,685,000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9,181,000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9,159,102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11,685,000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18,340,102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30,025,102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OTHER (5)</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19,496,000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25,752,000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8,151,018</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11,830,439</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33,903,018</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45,733,457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CLIFTON (New Jersey)</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3,556,000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3,646,000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1,305,420</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4,951,420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4,951,420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CONGRESSIONAL PLAZA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2,793,000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7,424,000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58,026,387</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1,019,875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65,450,387</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66,470,262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CONNECTICUT RETAIL BUILDINGS</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860" w:type="dxa"/>
            <w:vAlign w:val="bottom"/>
            <w:gridSpan w:val="2"/>
          </w:tcPr>
          <w:p>
            <w:pPr>
              <w:ind w:left="140"/>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25,061,000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27,739,000</w:t>
            </w:r>
          </w:p>
        </w:tc>
        <w:tc>
          <w:tcPr>
            <w:tcW w:w="1480" w:type="dxa"/>
            <w:vAlign w:val="bottom"/>
            <w:gridSpan w:val="2"/>
          </w:tcPr>
          <w:p>
            <w:pPr>
              <w:jc w:val="right"/>
              <w:ind w:right="366"/>
              <w:spacing w:after="0"/>
              <w:rPr>
                <w:sz w:val="20"/>
                <w:szCs w:val="20"/>
                <w:color w:val="auto"/>
              </w:rPr>
            </w:pPr>
            <w:r>
              <w:rPr>
                <w:rFonts w:ascii="Arial" w:cs="Arial" w:eastAsia="Arial" w:hAnsi="Arial"/>
                <w:sz w:val="11"/>
                <w:szCs w:val="11"/>
                <w:color w:val="auto"/>
              </w:rPr>
              <w:t>(14,656,484)</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10,912,328</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13,082,516</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23,994,844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COURTHOUSE CENTER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1,750,000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1,869,000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675,890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1,750,000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2,544,890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4,294,890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CROSSROADS (Illinois)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4,635,000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11,611,000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5,566,137</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4,634,570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17,177,137</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21,811,707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DEDHAM PLAZA (Massachusetts)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12,369,000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12,918,000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4,363,599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12,368,893</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17,281,599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29,650,492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EASTGATE (North Carolina)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1,608,000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5,775,000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9,153,550</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1,607,610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14,928,550</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16,536,160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ELLISBURG CIRCLE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4,028,000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11,309,000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12,706,821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4,012,782</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24,015,821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28,028,603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ESCONDIDO PROMENADE</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2"/>
          </w:tcPr>
          <w:p>
            <w:pPr>
              <w:ind w:left="120"/>
              <w:spacing w:after="0"/>
              <w:rPr>
                <w:sz w:val="20"/>
                <w:szCs w:val="20"/>
                <w:color w:val="auto"/>
              </w:rPr>
            </w:pPr>
            <w:r>
              <w:rPr>
                <w:rFonts w:ascii="Arial" w:cs="Arial" w:eastAsia="Arial" w:hAnsi="Arial"/>
                <w:sz w:val="11"/>
                <w:szCs w:val="11"/>
                <w:color w:val="auto"/>
              </w:rPr>
              <w:t>(California)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11,505,000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12,147,000</w:t>
            </w:r>
          </w:p>
        </w:tc>
        <w:tc>
          <w:tcPr>
            <w:tcW w:w="1480" w:type="dxa"/>
            <w:vAlign w:val="bottom"/>
            <w:gridSpan w:val="2"/>
          </w:tcPr>
          <w:p>
            <w:pPr>
              <w:jc w:val="right"/>
              <w:ind w:right="406"/>
              <w:spacing w:after="0"/>
              <w:rPr>
                <w:sz w:val="20"/>
                <w:szCs w:val="20"/>
                <w:color w:val="auto"/>
              </w:rPr>
            </w:pPr>
            <w:r>
              <w:rPr>
                <w:rFonts w:ascii="Arial" w:cs="Arial" w:eastAsia="Arial" w:hAnsi="Arial"/>
                <w:sz w:val="11"/>
                <w:szCs w:val="11"/>
                <w:color w:val="auto"/>
              </w:rPr>
              <w:t>1,201,619</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11,504,980</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13,348,619</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24,853,599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FALLS PLAZA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1,260,000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735,000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6,199,419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1,260,216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6,934,419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8,194,635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FALLS PLAZA — East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538,000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535,000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2,282,313</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559,252</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2,796,061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3,355,313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FEASTERVILLE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1,431,000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1,600,000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8,618,959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1,430,781</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10,218,959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11,649,740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FEDERAL PLAZA (Maryland)</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35,543,000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10,216,000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17,895,000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33,813,475</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10,216,206</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51,708,475</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61,924,681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FINLEY SQUARE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9,252,000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9,544,000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9,563,089</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9,251,776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19,107,089</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28,358,865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FLORIDA RETAIL BUILDINGS (2)</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5,206,000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1,631,000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39,862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5,206,073</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1,670,862</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6,876,935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FLOURTOWN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1,345,000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3,943,000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3,467,840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1,345,075</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7,410,840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8,755,915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FRESH MEADOWS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24,625,000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25,255,000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14,764,654</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24,626,889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40,019,654</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64,646,543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60" w:type="dxa"/>
            <w:vAlign w:val="bottom"/>
            <w:gridSpan w:val="2"/>
            <w:shd w:val="clear" w:color="auto" w:fill="EEEEEE"/>
          </w:tcPr>
          <w:p>
            <w:pPr>
              <w:spacing w:after="0" w:line="112" w:lineRule="exact"/>
              <w:rPr>
                <w:sz w:val="20"/>
                <w:szCs w:val="20"/>
                <w:color w:val="auto"/>
              </w:rPr>
            </w:pPr>
            <w:r>
              <w:rPr>
                <w:rFonts w:ascii="Arial" w:cs="Arial" w:eastAsia="Arial" w:hAnsi="Arial"/>
                <w:sz w:val="11"/>
                <w:szCs w:val="11"/>
                <w:color w:val="auto"/>
              </w:rPr>
              <w:t>FRIENDSHIP CTR (District of</w:t>
            </w:r>
          </w:p>
        </w:tc>
        <w:tc>
          <w:tcPr>
            <w:tcW w:w="7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360" w:type="dxa"/>
            <w:vAlign w:val="bottom"/>
            <w:shd w:val="clear" w:color="auto" w:fill="EEEEEE"/>
          </w:tcPr>
          <w:p>
            <w:pPr>
              <w:spacing w:after="0"/>
              <w:rPr>
                <w:sz w:val="9"/>
                <w:szCs w:val="9"/>
                <w:color w:val="auto"/>
              </w:rPr>
            </w:pPr>
          </w:p>
        </w:tc>
        <w:tc>
          <w:tcPr>
            <w:tcW w:w="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12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100" w:type="dxa"/>
            <w:vAlign w:val="bottom"/>
            <w:shd w:val="clear" w:color="auto" w:fill="EEEE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60" w:type="dxa"/>
            <w:vAlign w:val="bottom"/>
            <w:gridSpan w:val="2"/>
            <w:shd w:val="clear" w:color="auto" w:fill="EEEEEE"/>
          </w:tcPr>
          <w:p>
            <w:pPr>
              <w:ind w:left="120"/>
              <w:spacing w:after="0"/>
              <w:rPr>
                <w:sz w:val="20"/>
                <w:szCs w:val="20"/>
                <w:color w:val="auto"/>
              </w:rPr>
            </w:pPr>
            <w:r>
              <w:rPr>
                <w:rFonts w:ascii="Arial" w:cs="Arial" w:eastAsia="Arial" w:hAnsi="Arial"/>
                <w:sz w:val="11"/>
                <w:szCs w:val="11"/>
                <w:color w:val="auto"/>
              </w:rPr>
              <w:t>Columbia)</w:t>
            </w:r>
          </w:p>
        </w:tc>
        <w:tc>
          <w:tcPr>
            <w:tcW w:w="7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1340" w:type="dxa"/>
            <w:vAlign w:val="bottom"/>
            <w:gridSpan w:val="3"/>
            <w:shd w:val="clear" w:color="auto" w:fill="EEEEEE"/>
          </w:tcPr>
          <w:p>
            <w:pPr>
              <w:jc w:val="right"/>
              <w:ind w:right="146"/>
              <w:spacing w:after="0"/>
              <w:rPr>
                <w:sz w:val="20"/>
                <w:szCs w:val="20"/>
                <w:color w:val="auto"/>
              </w:rPr>
            </w:pPr>
            <w:r>
              <w:rPr>
                <w:rFonts w:ascii="Arial" w:cs="Arial" w:eastAsia="Arial" w:hAnsi="Arial"/>
                <w:sz w:val="11"/>
                <w:szCs w:val="11"/>
                <w:color w:val="auto"/>
              </w:rPr>
              <w:t>12,696,000</w:t>
            </w:r>
          </w:p>
        </w:tc>
        <w:tc>
          <w:tcPr>
            <w:tcW w:w="1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gridSpan w:val="3"/>
            <w:shd w:val="clear" w:color="auto" w:fill="EEEEEE"/>
          </w:tcPr>
          <w:p>
            <w:pPr>
              <w:jc w:val="right"/>
              <w:ind w:right="340"/>
              <w:spacing w:after="0"/>
              <w:rPr>
                <w:sz w:val="20"/>
                <w:szCs w:val="20"/>
                <w:color w:val="auto"/>
              </w:rPr>
            </w:pPr>
            <w:r>
              <w:rPr>
                <w:rFonts w:ascii="Arial" w:cs="Arial" w:eastAsia="Arial" w:hAnsi="Arial"/>
                <w:sz w:val="11"/>
                <w:szCs w:val="11"/>
                <w:color w:val="auto"/>
              </w:rPr>
              <w:t>20,803,000</w:t>
            </w:r>
          </w:p>
        </w:tc>
        <w:tc>
          <w:tcPr>
            <w:tcW w:w="1480" w:type="dxa"/>
            <w:vAlign w:val="bottom"/>
            <w:gridSpan w:val="2"/>
            <w:shd w:val="clear" w:color="auto" w:fill="EEEEEE"/>
          </w:tcPr>
          <w:p>
            <w:pPr>
              <w:jc w:val="right"/>
              <w:ind w:right="366"/>
              <w:spacing w:after="0"/>
              <w:rPr>
                <w:sz w:val="20"/>
                <w:szCs w:val="20"/>
                <w:color w:val="auto"/>
              </w:rPr>
            </w:pPr>
            <w:r>
              <w:rPr>
                <w:rFonts w:ascii="Arial" w:cs="Arial" w:eastAsia="Arial" w:hAnsi="Arial"/>
                <w:sz w:val="11"/>
                <w:szCs w:val="11"/>
                <w:color w:val="auto"/>
              </w:rPr>
              <w:t>(190,317)</w:t>
            </w:r>
          </w:p>
        </w:tc>
        <w:tc>
          <w:tcPr>
            <w:tcW w:w="1640" w:type="dxa"/>
            <w:vAlign w:val="bottom"/>
            <w:gridSpan w:val="5"/>
            <w:shd w:val="clear" w:color="auto" w:fill="EEEEEE"/>
          </w:tcPr>
          <w:p>
            <w:pPr>
              <w:jc w:val="right"/>
              <w:ind w:right="266"/>
              <w:spacing w:after="0"/>
              <w:rPr>
                <w:sz w:val="20"/>
                <w:szCs w:val="20"/>
                <w:color w:val="auto"/>
              </w:rPr>
            </w:pPr>
            <w:r>
              <w:rPr>
                <w:rFonts w:ascii="Arial" w:cs="Arial" w:eastAsia="Arial" w:hAnsi="Arial"/>
                <w:sz w:val="11"/>
                <w:szCs w:val="11"/>
                <w:color w:val="auto"/>
              </w:rPr>
              <w:t>12,696,367</w:t>
            </w:r>
          </w:p>
        </w:tc>
        <w:tc>
          <w:tcPr>
            <w:tcW w:w="1120" w:type="dxa"/>
            <w:vAlign w:val="bottom"/>
            <w:gridSpan w:val="4"/>
            <w:shd w:val="clear" w:color="auto" w:fill="EEEEEE"/>
          </w:tcPr>
          <w:p>
            <w:pPr>
              <w:jc w:val="right"/>
              <w:ind w:right="120"/>
              <w:spacing w:after="0"/>
              <w:rPr>
                <w:sz w:val="20"/>
                <w:szCs w:val="20"/>
                <w:color w:val="auto"/>
              </w:rPr>
            </w:pPr>
            <w:r>
              <w:rPr>
                <w:rFonts w:ascii="Arial" w:cs="Arial" w:eastAsia="Arial" w:hAnsi="Arial"/>
                <w:sz w:val="11"/>
                <w:szCs w:val="11"/>
                <w:color w:val="auto"/>
              </w:rPr>
              <w:t>20,612,683</w:t>
            </w:r>
          </w:p>
        </w:tc>
        <w:tc>
          <w:tcPr>
            <w:tcW w:w="1520" w:type="dxa"/>
            <w:vAlign w:val="bottom"/>
            <w:gridSpan w:val="3"/>
            <w:shd w:val="clear" w:color="auto" w:fill="EEEEEE"/>
          </w:tcPr>
          <w:p>
            <w:pPr>
              <w:jc w:val="right"/>
              <w:ind w:right="266"/>
              <w:spacing w:after="0"/>
              <w:rPr>
                <w:sz w:val="20"/>
                <w:szCs w:val="20"/>
                <w:color w:val="auto"/>
              </w:rPr>
            </w:pPr>
            <w:r>
              <w:rPr>
                <w:rFonts w:ascii="Arial" w:cs="Arial" w:eastAsia="Arial" w:hAnsi="Arial"/>
                <w:sz w:val="11"/>
                <w:szCs w:val="11"/>
                <w:color w:val="auto"/>
              </w:rPr>
              <w:t>33,309,050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GAITHERSBURG SQUARE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7,701,000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5,271,000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10,933,112</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6,012,077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17,893,035</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23,905,112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GARDEN MARKET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2,677,000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4,829,000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3,632,391</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2,677,200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8,461,391</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11,138,591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GOVERNOR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2,068,000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4,905,000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11,667,108</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2,068,227</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16,572,108</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18,640,335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GRATIOT PLAZA (Michigan)</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525,000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1,601,000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14,510,795</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525,316</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16,111,795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16,637,111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GREENLAWN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2,294,000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3,864,000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4,881,221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2,294,400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8,745,221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11,039,621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HAMILTON (New Jersey)</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4,827,000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5,405,000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2,682,120</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8,087,120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8,087,120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HAUPPAUGE (New York)</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16,670,000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8,791,000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15,262,000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2,266,896</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8,791,315</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17,528,896</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26,320,211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HUNTINGTON (New York)</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14,297,000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16,008,000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6,424,765</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22,432,765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22,432,765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IDYLWOOD PLAZA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4,308,000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10,026,000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580,431</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4,307,775</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10,606,431</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14,914,206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ILLINOIS RETAIL BUILDINGS (1)</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1,291,000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2,325,000</w:t>
            </w:r>
          </w:p>
        </w:tc>
        <w:tc>
          <w:tcPr>
            <w:tcW w:w="1480" w:type="dxa"/>
            <w:vAlign w:val="bottom"/>
            <w:gridSpan w:val="2"/>
            <w:shd w:val="clear" w:color="auto" w:fill="EEEEEE"/>
          </w:tcPr>
          <w:p>
            <w:pPr>
              <w:jc w:val="right"/>
              <w:ind w:right="366"/>
              <w:spacing w:after="0" w:line="122" w:lineRule="exact"/>
              <w:rPr>
                <w:sz w:val="20"/>
                <w:szCs w:val="20"/>
                <w:color w:val="auto"/>
              </w:rPr>
            </w:pPr>
            <w:r>
              <w:rPr>
                <w:rFonts w:ascii="Arial" w:cs="Arial" w:eastAsia="Arial" w:hAnsi="Arial"/>
                <w:sz w:val="11"/>
                <w:szCs w:val="11"/>
                <w:color w:val="auto"/>
              </w:rPr>
              <w:t>(48,646)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943,500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2,276,354</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3,219,854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KINGS COURT (California)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10,714,000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695,069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11,409,069</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11,409,069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LANCASTER (Pennsylvania)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4,907,000</w:t>
            </w: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2,103,000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7,907,845</w:t>
            </w: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10,010,845</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10,010,845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9"/>
              </w:rPr>
              <w:t>LANGHORNE SQUARE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720,000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2,974,000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13,942,533</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720,000</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16,916,533</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17,636,533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LAUREL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7,458,000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22,525,000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15,674,386</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7,458,514</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38,199,386</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45,657,900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LAWRENCE PARK (Pennsylvania)</w:t>
            </w:r>
          </w:p>
        </w:tc>
        <w:tc>
          <w:tcPr>
            <w:tcW w:w="9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31,344,000</w:t>
            </w:r>
          </w:p>
        </w:tc>
        <w:tc>
          <w:tcPr>
            <w:tcW w:w="140" w:type="dxa"/>
            <w:vAlign w:val="bottom"/>
          </w:tcPr>
          <w:p>
            <w:pPr>
              <w:spacing w:after="0"/>
              <w:rPr>
                <w:sz w:val="10"/>
                <w:szCs w:val="10"/>
                <w:color w:val="auto"/>
              </w:rPr>
            </w:pPr>
          </w:p>
        </w:tc>
        <w:tc>
          <w:tcPr>
            <w:tcW w:w="1340" w:type="dxa"/>
            <w:vAlign w:val="bottom"/>
            <w:gridSpan w:val="3"/>
          </w:tcPr>
          <w:p>
            <w:pPr>
              <w:jc w:val="right"/>
              <w:ind w:right="146"/>
              <w:spacing w:after="0" w:line="122" w:lineRule="exact"/>
              <w:rPr>
                <w:sz w:val="20"/>
                <w:szCs w:val="20"/>
                <w:color w:val="auto"/>
              </w:rPr>
            </w:pPr>
            <w:r>
              <w:rPr>
                <w:rFonts w:ascii="Arial" w:cs="Arial" w:eastAsia="Arial" w:hAnsi="Arial"/>
                <w:sz w:val="11"/>
                <w:szCs w:val="11"/>
                <w:color w:val="auto"/>
              </w:rPr>
              <w:t>5,723,000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3"/>
          </w:tcPr>
          <w:p>
            <w:pPr>
              <w:jc w:val="right"/>
              <w:ind w:right="340"/>
              <w:spacing w:after="0" w:line="122" w:lineRule="exact"/>
              <w:rPr>
                <w:sz w:val="20"/>
                <w:szCs w:val="20"/>
                <w:color w:val="auto"/>
              </w:rPr>
            </w:pPr>
            <w:r>
              <w:rPr>
                <w:rFonts w:ascii="Arial" w:cs="Arial" w:eastAsia="Arial" w:hAnsi="Arial"/>
                <w:sz w:val="11"/>
                <w:szCs w:val="11"/>
                <w:color w:val="auto"/>
              </w:rPr>
              <w:t>7,160,000</w:t>
            </w:r>
          </w:p>
        </w:tc>
        <w:tc>
          <w:tcPr>
            <w:tcW w:w="1480" w:type="dxa"/>
            <w:vAlign w:val="bottom"/>
            <w:gridSpan w:val="2"/>
          </w:tcPr>
          <w:p>
            <w:pPr>
              <w:jc w:val="right"/>
              <w:ind w:right="406"/>
              <w:spacing w:after="0" w:line="122" w:lineRule="exact"/>
              <w:rPr>
                <w:sz w:val="20"/>
                <w:szCs w:val="20"/>
                <w:color w:val="auto"/>
              </w:rPr>
            </w:pPr>
            <w:r>
              <w:rPr>
                <w:rFonts w:ascii="Arial" w:cs="Arial" w:eastAsia="Arial" w:hAnsi="Arial"/>
                <w:sz w:val="11"/>
                <w:szCs w:val="11"/>
                <w:color w:val="auto"/>
              </w:rPr>
              <w:t>12,938,579</w:t>
            </w:r>
          </w:p>
        </w:tc>
        <w:tc>
          <w:tcPr>
            <w:tcW w:w="1640" w:type="dxa"/>
            <w:vAlign w:val="bottom"/>
            <w:gridSpan w:val="5"/>
          </w:tcPr>
          <w:p>
            <w:pPr>
              <w:jc w:val="right"/>
              <w:ind w:right="266"/>
              <w:spacing w:after="0" w:line="122" w:lineRule="exact"/>
              <w:rPr>
                <w:sz w:val="20"/>
                <w:szCs w:val="20"/>
                <w:color w:val="auto"/>
              </w:rPr>
            </w:pPr>
            <w:r>
              <w:rPr>
                <w:rFonts w:ascii="Arial" w:cs="Arial" w:eastAsia="Arial" w:hAnsi="Arial"/>
                <w:sz w:val="11"/>
                <w:szCs w:val="11"/>
                <w:color w:val="auto"/>
              </w:rPr>
              <w:t>5,734,209</w:t>
            </w:r>
          </w:p>
        </w:tc>
        <w:tc>
          <w:tcPr>
            <w:tcW w:w="1120" w:type="dxa"/>
            <w:vAlign w:val="bottom"/>
            <w:gridSpan w:val="4"/>
          </w:tcPr>
          <w:p>
            <w:pPr>
              <w:jc w:val="right"/>
              <w:ind w:right="120"/>
              <w:spacing w:after="0" w:line="122" w:lineRule="exact"/>
              <w:rPr>
                <w:sz w:val="20"/>
                <w:szCs w:val="20"/>
                <w:color w:val="auto"/>
              </w:rPr>
            </w:pPr>
            <w:r>
              <w:rPr>
                <w:rFonts w:ascii="Arial" w:cs="Arial" w:eastAsia="Arial" w:hAnsi="Arial"/>
                <w:sz w:val="11"/>
                <w:szCs w:val="11"/>
                <w:color w:val="auto"/>
              </w:rPr>
              <w:t>20,087,579</w:t>
            </w:r>
          </w:p>
        </w:tc>
        <w:tc>
          <w:tcPr>
            <w:tcW w:w="1520" w:type="dxa"/>
            <w:vAlign w:val="bottom"/>
            <w:gridSpan w:val="3"/>
          </w:tcPr>
          <w:p>
            <w:pPr>
              <w:jc w:val="right"/>
              <w:ind w:right="266"/>
              <w:spacing w:after="0" w:line="122" w:lineRule="exact"/>
              <w:rPr>
                <w:sz w:val="20"/>
                <w:szCs w:val="20"/>
                <w:color w:val="auto"/>
              </w:rPr>
            </w:pPr>
            <w:r>
              <w:rPr>
                <w:rFonts w:ascii="Arial" w:cs="Arial" w:eastAsia="Arial" w:hAnsi="Arial"/>
                <w:sz w:val="11"/>
                <w:szCs w:val="11"/>
                <w:color w:val="auto"/>
              </w:rPr>
              <w:t>25,821,788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LEESBURG PLAZA (Virginia)</w:t>
            </w:r>
          </w:p>
        </w:tc>
        <w:tc>
          <w:tcPr>
            <w:tcW w:w="960" w:type="dxa"/>
            <w:vAlign w:val="bottom"/>
            <w:gridSpan w:val="3"/>
            <w:shd w:val="clear" w:color="auto" w:fill="EEEEEE"/>
          </w:tcPr>
          <w:p>
            <w:pPr>
              <w:jc w:val="right"/>
              <w:ind w:right="160"/>
              <w:spacing w:after="0" w:line="122" w:lineRule="exact"/>
              <w:rPr>
                <w:sz w:val="20"/>
                <w:szCs w:val="20"/>
                <w:color w:val="auto"/>
              </w:rPr>
            </w:pPr>
            <w:r>
              <w:rPr>
                <w:rFonts w:ascii="Arial" w:cs="Arial" w:eastAsia="Arial" w:hAnsi="Arial"/>
                <w:sz w:val="11"/>
                <w:szCs w:val="11"/>
                <w:color w:val="auto"/>
              </w:rPr>
              <w:t>9,900,000</w:t>
            </w: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146"/>
              <w:spacing w:after="0" w:line="122" w:lineRule="exact"/>
              <w:rPr>
                <w:sz w:val="20"/>
                <w:szCs w:val="20"/>
                <w:color w:val="auto"/>
              </w:rPr>
            </w:pPr>
            <w:r>
              <w:rPr>
                <w:rFonts w:ascii="Arial" w:cs="Arial" w:eastAsia="Arial" w:hAnsi="Arial"/>
                <w:sz w:val="11"/>
                <w:szCs w:val="11"/>
                <w:color w:val="auto"/>
              </w:rPr>
              <w:t>8,184,000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920" w:type="dxa"/>
            <w:vAlign w:val="bottom"/>
            <w:gridSpan w:val="3"/>
            <w:shd w:val="clear" w:color="auto" w:fill="EEEEEE"/>
          </w:tcPr>
          <w:p>
            <w:pPr>
              <w:jc w:val="right"/>
              <w:ind w:right="340"/>
              <w:spacing w:after="0" w:line="122" w:lineRule="exact"/>
              <w:rPr>
                <w:sz w:val="20"/>
                <w:szCs w:val="20"/>
                <w:color w:val="auto"/>
              </w:rPr>
            </w:pPr>
            <w:r>
              <w:rPr>
                <w:rFonts w:ascii="Arial" w:cs="Arial" w:eastAsia="Arial" w:hAnsi="Arial"/>
                <w:sz w:val="11"/>
                <w:szCs w:val="11"/>
                <w:color w:val="auto"/>
              </w:rPr>
              <w:t>10,722,000</w:t>
            </w:r>
          </w:p>
        </w:tc>
        <w:tc>
          <w:tcPr>
            <w:tcW w:w="1480" w:type="dxa"/>
            <w:vAlign w:val="bottom"/>
            <w:gridSpan w:val="2"/>
            <w:shd w:val="clear" w:color="auto" w:fill="EEEEEE"/>
          </w:tcPr>
          <w:p>
            <w:pPr>
              <w:jc w:val="right"/>
              <w:ind w:right="406"/>
              <w:spacing w:after="0" w:line="122" w:lineRule="exact"/>
              <w:rPr>
                <w:sz w:val="20"/>
                <w:szCs w:val="20"/>
                <w:color w:val="auto"/>
              </w:rPr>
            </w:pPr>
            <w:r>
              <w:rPr>
                <w:rFonts w:ascii="Arial" w:cs="Arial" w:eastAsia="Arial" w:hAnsi="Arial"/>
                <w:sz w:val="11"/>
                <w:szCs w:val="11"/>
                <w:color w:val="auto"/>
              </w:rPr>
              <w:t>1,609,710</w:t>
            </w:r>
          </w:p>
        </w:tc>
        <w:tc>
          <w:tcPr>
            <w:tcW w:w="1640" w:type="dxa"/>
            <w:vAlign w:val="bottom"/>
            <w:gridSpan w:val="5"/>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8,184,400</w:t>
            </w:r>
          </w:p>
        </w:tc>
        <w:tc>
          <w:tcPr>
            <w:tcW w:w="1120" w:type="dxa"/>
            <w:vAlign w:val="bottom"/>
            <w:gridSpan w:val="4"/>
            <w:shd w:val="clear" w:color="auto" w:fill="EEEEEE"/>
          </w:tcPr>
          <w:p>
            <w:pPr>
              <w:jc w:val="right"/>
              <w:ind w:right="120"/>
              <w:spacing w:after="0" w:line="122" w:lineRule="exact"/>
              <w:rPr>
                <w:sz w:val="20"/>
                <w:szCs w:val="20"/>
                <w:color w:val="auto"/>
              </w:rPr>
            </w:pPr>
            <w:r>
              <w:rPr>
                <w:rFonts w:ascii="Arial" w:cs="Arial" w:eastAsia="Arial" w:hAnsi="Arial"/>
                <w:sz w:val="11"/>
                <w:szCs w:val="11"/>
                <w:color w:val="auto"/>
              </w:rPr>
              <w:t>12,331,710</w:t>
            </w:r>
          </w:p>
        </w:tc>
        <w:tc>
          <w:tcPr>
            <w:tcW w:w="1520" w:type="dxa"/>
            <w:vAlign w:val="bottom"/>
            <w:gridSpan w:val="3"/>
            <w:shd w:val="clear" w:color="auto" w:fill="EEEEEE"/>
          </w:tcPr>
          <w:p>
            <w:pPr>
              <w:jc w:val="right"/>
              <w:ind w:right="266"/>
              <w:spacing w:after="0" w:line="122" w:lineRule="exact"/>
              <w:rPr>
                <w:sz w:val="20"/>
                <w:szCs w:val="20"/>
                <w:color w:val="auto"/>
              </w:rPr>
            </w:pPr>
            <w:r>
              <w:rPr>
                <w:rFonts w:ascii="Arial" w:cs="Arial" w:eastAsia="Arial" w:hAnsi="Arial"/>
                <w:sz w:val="11"/>
                <w:szCs w:val="11"/>
                <w:color w:val="auto"/>
              </w:rPr>
              <w:t>20,516,110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60" w:type="dxa"/>
            <w:vAlign w:val="bottom"/>
            <w:gridSpan w:val="2"/>
          </w:tcPr>
          <w:p>
            <w:pPr>
              <w:spacing w:after="0"/>
              <w:rPr>
                <w:sz w:val="20"/>
                <w:szCs w:val="20"/>
                <w:color w:val="auto"/>
              </w:rPr>
            </w:pPr>
            <w:r>
              <w:rPr>
                <w:rFonts w:ascii="Arial" w:cs="Arial" w:eastAsia="Arial" w:hAnsi="Arial"/>
                <w:sz w:val="11"/>
                <w:szCs w:val="11"/>
                <w:color w:val="auto"/>
              </w:rPr>
              <w:t>LOEHMANN’S PLAZA (Virginia)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146"/>
              <w:spacing w:after="0"/>
              <w:rPr>
                <w:sz w:val="20"/>
                <w:szCs w:val="20"/>
                <w:color w:val="auto"/>
              </w:rPr>
            </w:pPr>
            <w:r>
              <w:rPr>
                <w:rFonts w:ascii="Arial" w:cs="Arial" w:eastAsia="Arial" w:hAnsi="Arial"/>
                <w:sz w:val="11"/>
                <w:szCs w:val="11"/>
                <w:color w:val="auto"/>
              </w:rPr>
              <w:t>1,237,000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1"/>
                <w:szCs w:val="11"/>
                <w:color w:val="auto"/>
              </w:rPr>
              <w:t>15,096,000</w:t>
            </w:r>
          </w:p>
        </w:tc>
        <w:tc>
          <w:tcPr>
            <w:tcW w:w="1480" w:type="dxa"/>
            <w:vAlign w:val="bottom"/>
            <w:gridSpan w:val="2"/>
          </w:tcPr>
          <w:p>
            <w:pPr>
              <w:jc w:val="right"/>
              <w:ind w:right="406"/>
              <w:spacing w:after="0"/>
              <w:rPr>
                <w:sz w:val="20"/>
                <w:szCs w:val="20"/>
                <w:color w:val="auto"/>
              </w:rPr>
            </w:pPr>
            <w:r>
              <w:rPr>
                <w:rFonts w:ascii="Arial" w:cs="Arial" w:eastAsia="Arial" w:hAnsi="Arial"/>
                <w:sz w:val="11"/>
                <w:szCs w:val="11"/>
                <w:color w:val="auto"/>
              </w:rPr>
              <w:t>9,060,647</w:t>
            </w:r>
          </w:p>
        </w:tc>
        <w:tc>
          <w:tcPr>
            <w:tcW w:w="1640" w:type="dxa"/>
            <w:vAlign w:val="bottom"/>
            <w:gridSpan w:val="5"/>
          </w:tcPr>
          <w:p>
            <w:pPr>
              <w:jc w:val="right"/>
              <w:ind w:right="266"/>
              <w:spacing w:after="0"/>
              <w:rPr>
                <w:sz w:val="20"/>
                <w:szCs w:val="20"/>
                <w:color w:val="auto"/>
              </w:rPr>
            </w:pPr>
            <w:r>
              <w:rPr>
                <w:rFonts w:ascii="Arial" w:cs="Arial" w:eastAsia="Arial" w:hAnsi="Arial"/>
                <w:sz w:val="11"/>
                <w:szCs w:val="11"/>
                <w:color w:val="auto"/>
              </w:rPr>
              <w:t>1,248,000</w:t>
            </w:r>
          </w:p>
        </w:tc>
        <w:tc>
          <w:tcPr>
            <w:tcW w:w="1120" w:type="dxa"/>
            <w:vAlign w:val="bottom"/>
            <w:gridSpan w:val="4"/>
          </w:tcPr>
          <w:p>
            <w:pPr>
              <w:jc w:val="right"/>
              <w:ind w:right="120"/>
              <w:spacing w:after="0"/>
              <w:rPr>
                <w:sz w:val="20"/>
                <w:szCs w:val="20"/>
                <w:color w:val="auto"/>
              </w:rPr>
            </w:pPr>
            <w:r>
              <w:rPr>
                <w:rFonts w:ascii="Arial" w:cs="Arial" w:eastAsia="Arial" w:hAnsi="Arial"/>
                <w:sz w:val="11"/>
                <w:szCs w:val="11"/>
                <w:color w:val="auto"/>
              </w:rPr>
              <w:t>24,145,647</w:t>
            </w:r>
          </w:p>
        </w:tc>
        <w:tc>
          <w:tcPr>
            <w:tcW w:w="1520" w:type="dxa"/>
            <w:vAlign w:val="bottom"/>
            <w:gridSpan w:val="3"/>
          </w:tcPr>
          <w:p>
            <w:pPr>
              <w:jc w:val="right"/>
              <w:ind w:right="266"/>
              <w:spacing w:after="0"/>
              <w:rPr>
                <w:sz w:val="20"/>
                <w:szCs w:val="20"/>
                <w:color w:val="auto"/>
              </w:rPr>
            </w:pPr>
            <w:r>
              <w:rPr>
                <w:rFonts w:ascii="Arial" w:cs="Arial" w:eastAsia="Arial" w:hAnsi="Arial"/>
                <w:sz w:val="11"/>
                <w:szCs w:val="11"/>
                <w:color w:val="auto"/>
              </w:rPr>
              <w:t>25,393,647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ind w:left="100"/>
              <w:spacing w:after="0"/>
              <w:rPr>
                <w:sz w:val="20"/>
                <w:szCs w:val="20"/>
                <w:color w:val="auto"/>
              </w:rPr>
            </w:pPr>
            <w:r>
              <w:rPr>
                <w:rFonts w:ascii="Arial" w:cs="Arial" w:eastAsia="Arial" w:hAnsi="Arial"/>
                <w:sz w:val="11"/>
                <w:szCs w:val="11"/>
                <w:color w:val="auto"/>
                <w:w w:val="93"/>
              </w:rPr>
              <w:t>[Additional columns below]</w:t>
            </w:r>
          </w:p>
        </w:tc>
        <w:tc>
          <w:tcPr>
            <w:tcW w:w="0" w:type="dxa"/>
            <w:vAlign w:val="bottom"/>
          </w:tcPr>
          <w:p>
            <w:pPr>
              <w:spacing w:after="0"/>
              <w:rPr>
                <w:sz w:val="1"/>
                <w:szCs w:val="1"/>
                <w:color w:val="auto"/>
              </w:rPr>
            </w:pPr>
          </w:p>
        </w:tc>
      </w:tr>
      <w:tr>
        <w:trPr>
          <w:trHeight w:val="230"/>
        </w:trPr>
        <w:tc>
          <w:tcPr>
            <w:tcW w:w="2940" w:type="dxa"/>
            <w:vAlign w:val="bottom"/>
            <w:gridSpan w:val="6"/>
          </w:tcPr>
          <w:p>
            <w:pPr>
              <w:spacing w:after="0"/>
              <w:rPr>
                <w:sz w:val="20"/>
                <w:szCs w:val="20"/>
                <w:color w:val="auto"/>
              </w:rPr>
            </w:pPr>
            <w:r>
              <w:rPr>
                <w:rFonts w:ascii="Arial" w:cs="Arial" w:eastAsia="Arial" w:hAnsi="Arial"/>
                <w:sz w:val="11"/>
                <w:szCs w:val="11"/>
                <w:color w:val="auto"/>
              </w:rPr>
              <w:t>[Continued from above table, first column(s) repeated]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960" w:type="dxa"/>
            <w:vAlign w:val="bottom"/>
            <w:gridSpan w:val="2"/>
          </w:tcPr>
          <w:p>
            <w:pPr>
              <w:ind w:left="1040"/>
              <w:spacing w:after="0"/>
              <w:rPr>
                <w:sz w:val="20"/>
                <w:szCs w:val="20"/>
                <w:color w:val="auto"/>
              </w:rPr>
            </w:pPr>
            <w:r>
              <w:rPr>
                <w:rFonts w:ascii="Arial" w:cs="Arial" w:eastAsia="Arial" w:hAnsi="Arial"/>
                <w:sz w:val="11"/>
                <w:szCs w:val="11"/>
                <w:b w:val="1"/>
                <w:bCs w:val="1"/>
                <w:color w:val="auto"/>
              </w:rPr>
              <w:t>COLUMN A</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rPr>
              <w:t>COLUMN 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466"/>
              <w:spacing w:after="0"/>
              <w:rPr>
                <w:sz w:val="20"/>
                <w:szCs w:val="20"/>
                <w:color w:val="auto"/>
              </w:rPr>
            </w:pPr>
            <w:r>
              <w:rPr>
                <w:rFonts w:ascii="Arial" w:cs="Arial" w:eastAsia="Arial" w:hAnsi="Arial"/>
                <w:sz w:val="11"/>
                <w:szCs w:val="11"/>
                <w:b w:val="1"/>
                <w:bCs w:val="1"/>
                <w:color w:val="auto"/>
              </w:rPr>
              <w:t>COLUMN G</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center"/>
              <w:ind w:right="26"/>
              <w:spacing w:after="0"/>
              <w:rPr>
                <w:sz w:val="20"/>
                <w:szCs w:val="20"/>
                <w:color w:val="auto"/>
              </w:rPr>
            </w:pPr>
            <w:r>
              <w:rPr>
                <w:rFonts w:ascii="Arial" w:cs="Arial" w:eastAsia="Arial" w:hAnsi="Arial"/>
                <w:sz w:val="11"/>
                <w:szCs w:val="11"/>
                <w:b w:val="1"/>
                <w:bCs w:val="1"/>
                <w:color w:val="auto"/>
              </w:rPr>
              <w:t>COLUMN H</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520" w:type="dxa"/>
            <w:vAlign w:val="bottom"/>
            <w:tcBorders>
              <w:bottom w:val="single" w:sz="8" w:color="808080"/>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gridSpan w:val="4"/>
          </w:tcPr>
          <w:p>
            <w:pPr>
              <w:jc w:val="center"/>
              <w:ind w:right="560"/>
              <w:spacing w:after="0"/>
              <w:rPr>
                <w:sz w:val="20"/>
                <w:szCs w:val="20"/>
                <w:color w:val="auto"/>
              </w:rPr>
            </w:pPr>
            <w:r>
              <w:rPr>
                <w:rFonts w:ascii="Arial" w:cs="Arial" w:eastAsia="Arial" w:hAnsi="Arial"/>
                <w:sz w:val="11"/>
                <w:szCs w:val="11"/>
                <w:b w:val="1"/>
                <w:bCs w:val="1"/>
                <w:color w:val="auto"/>
                <w:w w:val="88"/>
              </w:rPr>
              <w:t>Life on which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6"/>
              </w:rPr>
              <w:t>Accumulated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4"/>
          </w:tcPr>
          <w:p>
            <w:pPr>
              <w:jc w:val="center"/>
              <w:ind w:right="540"/>
              <w:spacing w:after="0" w:line="122" w:lineRule="exact"/>
              <w:rPr>
                <w:sz w:val="20"/>
                <w:szCs w:val="20"/>
                <w:color w:val="auto"/>
              </w:rPr>
            </w:pPr>
            <w:r>
              <w:rPr>
                <w:rFonts w:ascii="Arial" w:cs="Arial" w:eastAsia="Arial" w:hAnsi="Arial"/>
                <w:sz w:val="11"/>
                <w:szCs w:val="11"/>
                <w:b w:val="1"/>
                <w:bCs w:val="1"/>
                <w:color w:val="auto"/>
                <w:w w:val="87"/>
              </w:rPr>
              <w:t>depreciation in latest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Depreciation and</w:t>
            </w: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5"/>
              </w:rPr>
              <w:t>of</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2"/>
              </w:rPr>
              <w:t>Date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4"/>
          </w:tcPr>
          <w:p>
            <w:pPr>
              <w:jc w:val="center"/>
              <w:ind w:right="560"/>
              <w:spacing w:after="0" w:line="122" w:lineRule="exact"/>
              <w:rPr>
                <w:sz w:val="20"/>
                <w:szCs w:val="20"/>
                <w:color w:val="auto"/>
              </w:rPr>
            </w:pPr>
            <w:r>
              <w:rPr>
                <w:rFonts w:ascii="Arial" w:cs="Arial" w:eastAsia="Arial" w:hAnsi="Arial"/>
                <w:sz w:val="11"/>
                <w:szCs w:val="11"/>
                <w:b w:val="1"/>
                <w:bCs w:val="1"/>
                <w:color w:val="auto"/>
                <w:w w:val="86"/>
              </w:rPr>
              <w:t>income statements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60" w:type="dxa"/>
            <w:vAlign w:val="bottom"/>
            <w:gridSpan w:val="2"/>
          </w:tcPr>
          <w:p>
            <w:pPr>
              <w:ind w:left="1060"/>
              <w:spacing w:after="0"/>
              <w:rPr>
                <w:sz w:val="20"/>
                <w:szCs w:val="20"/>
                <w:color w:val="auto"/>
              </w:rPr>
            </w:pPr>
            <w:r>
              <w:rPr>
                <w:rFonts w:ascii="Arial" w:cs="Arial" w:eastAsia="Arial" w:hAnsi="Arial"/>
                <w:sz w:val="11"/>
                <w:szCs w:val="11"/>
                <w:b w:val="1"/>
                <w:bCs w:val="1"/>
                <w:color w:val="auto"/>
              </w:rPr>
              <w:t>Descriptions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2"/>
              </w:rPr>
              <w:t>Amortization</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446"/>
              <w:spacing w:after="0"/>
              <w:rPr>
                <w:sz w:val="20"/>
                <w:szCs w:val="20"/>
                <w:color w:val="auto"/>
              </w:rPr>
            </w:pPr>
            <w:r>
              <w:rPr>
                <w:rFonts w:ascii="Arial" w:cs="Arial" w:eastAsia="Arial" w:hAnsi="Arial"/>
                <w:sz w:val="11"/>
                <w:szCs w:val="11"/>
                <w:b w:val="1"/>
                <w:bCs w:val="1"/>
                <w:color w:val="auto"/>
                <w:w w:val="90"/>
              </w:rPr>
              <w:t>Construction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ind w:right="46"/>
              <w:spacing w:after="0"/>
              <w:rPr>
                <w:sz w:val="20"/>
                <w:szCs w:val="20"/>
                <w:color w:val="auto"/>
              </w:rPr>
            </w:pPr>
            <w:r>
              <w:rPr>
                <w:rFonts w:ascii="Arial" w:cs="Arial" w:eastAsia="Arial" w:hAnsi="Arial"/>
                <w:sz w:val="11"/>
                <w:szCs w:val="11"/>
                <w:b w:val="1"/>
                <w:bCs w:val="1"/>
                <w:color w:val="auto"/>
                <w:w w:val="87"/>
              </w:rPr>
              <w:t>Acquired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1"/>
                <w:szCs w:val="11"/>
                <w:b w:val="1"/>
                <w:bCs w:val="1"/>
                <w:color w:val="auto"/>
                <w:w w:val="86"/>
              </w:rPr>
              <w:t>is computed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gridSpan w:val="3"/>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gridSpan w:val="2"/>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Borders>
              <w:bottom w:val="single" w:sz="8" w:color="808080"/>
            </w:tcBorders>
            <w:gridSpan w:val="3"/>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ALLWOOD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1,933,125</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ANDORRA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8,898,022</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01/12/88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ARIZONA BUILDINGS (2)</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1,570,087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1995-1998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05/07/98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BALA CYNWYD (Pennsylvania)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6,615,057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1955</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09/22/93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BARRACKS ROAD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21,565,644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12/31/85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BETHESDA ROW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14,301,523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1945-2000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12/31/93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7"/>
              </w:rPr>
              <w:t>35 - 50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BLUESTAR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16,443,014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BRICK PLAZA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20,717,524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12/28/89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BRISTOL (Connecticut)</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4,825,019</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9/22/95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BRUNSWICK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8,042,794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1957</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CALIFORNIA RETAIL BUILDINGS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10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SANTA MONICA (9)</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8,152,631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1888-2000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1996-2000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SAN DIEGO (4)</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1,152,489</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1888-1995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1996-1997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150 POST STREET (San Francisco)</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3,203,171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1908</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10/23/97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ind w:left="120"/>
              <w:spacing w:after="0" w:line="122" w:lineRule="exact"/>
              <w:rPr>
                <w:sz w:val="20"/>
                <w:szCs w:val="20"/>
                <w:color w:val="auto"/>
              </w:rPr>
            </w:pPr>
            <w:r>
              <w:rPr>
                <w:rFonts w:ascii="Arial" w:cs="Arial" w:eastAsia="Arial" w:hAnsi="Arial"/>
                <w:sz w:val="11"/>
                <w:szCs w:val="11"/>
                <w:color w:val="auto"/>
              </w:rPr>
              <w:t>OTHER (5)</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3,694,367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360" w:type="dxa"/>
            <w:vAlign w:val="bottom"/>
            <w:shd w:val="clear" w:color="auto" w:fill="EEEEEE"/>
          </w:tcPr>
          <w:p>
            <w:pPr>
              <w:jc w:val="center"/>
              <w:ind w:right="446"/>
              <w:spacing w:after="0" w:line="122" w:lineRule="exact"/>
              <w:rPr>
                <w:sz w:val="20"/>
                <w:szCs w:val="20"/>
                <w:color w:val="auto"/>
              </w:rPr>
            </w:pPr>
            <w:r>
              <w:rPr>
                <w:rFonts w:ascii="Arial" w:cs="Arial" w:eastAsia="Arial" w:hAnsi="Arial"/>
                <w:sz w:val="11"/>
                <w:szCs w:val="11"/>
                <w:color w:val="auto"/>
                <w:w w:val="91"/>
              </w:rPr>
              <w:t>var</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1996-1999</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CLIFTON (New Jersey)</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2,259,063</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CONGRESSIONAL PLAZA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20,992,104</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04/01/65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6"/>
              </w:rPr>
              <w:t>CONNECTICUT RETAIL BUILDINGS (5)</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2,552,271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1900-1991</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1994-1996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COURTHOUSE CENTER (Maryland)</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393,826</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1975</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12/17/97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CROSSROADS (Illinois)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5,968,446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07/19/93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DEDHAM PLAZA (Massachusetts)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5,384,800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12/31/93</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EASTGATE (North Carolina)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6,749,644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12/18/86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ELLISBURG CIRCLE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10,974,900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1959</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10/16/92</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w w:val="98"/>
              </w:rPr>
              <w:t>ESCONDIDO PROMENADE (California)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2,782,374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1987</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12/31/96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FALLS PLAZA (Virginia)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2,556,176</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1962</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09/30/67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86"/>
              <w:spacing w:after="0" w:line="122" w:lineRule="exact"/>
              <w:rPr>
                <w:sz w:val="20"/>
                <w:szCs w:val="20"/>
                <w:color w:val="auto"/>
              </w:rPr>
            </w:pPr>
            <w:r>
              <w:rPr>
                <w:rFonts w:ascii="Arial" w:cs="Arial" w:eastAsia="Arial" w:hAnsi="Arial"/>
                <w:sz w:val="11"/>
                <w:szCs w:val="11"/>
                <w:color w:val="auto"/>
                <w:w w:val="89"/>
              </w:rPr>
              <w:t>22 3/4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FALLS PLAZA — East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2,693,618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10/05/72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25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FEASTERVILLE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5,418,488</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07/23/80</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20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FEDERAL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19,826,810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1970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06/29/89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FINLEY SQUARE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5,806,120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1974</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04/27/95</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FLORIDA RETAIL BUILDINGS (2)</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377,495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1920</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02/28/96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FLOURTOWN (Pennsylvania)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4,065,261</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1957</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04/25/80</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FRESH MEADOWS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7,973,500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1946-1949</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12/05/97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w w:val="97"/>
              </w:rPr>
              <w:t>FRIENDSHIP CTR (District of Columbia)</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1,384,762</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1998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09/21/01</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GAITHERSBURG SQUARE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7,438,264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1966</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04/22/93</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GARDEN MARKET (Illinois)</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2,210,595</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1958</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07/28/94</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GOVERNOR PLAZA (Maryland)</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9,841,899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10/01/85</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GRATIOT PLAZA (Michigan)</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5,685,297</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1964</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03/29/73</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86"/>
              <w:spacing w:after="0" w:line="122" w:lineRule="exact"/>
              <w:rPr>
                <w:sz w:val="20"/>
                <w:szCs w:val="20"/>
                <w:color w:val="auto"/>
              </w:rPr>
            </w:pPr>
            <w:r>
              <w:rPr>
                <w:rFonts w:ascii="Arial" w:cs="Arial" w:eastAsia="Arial" w:hAnsi="Arial"/>
                <w:sz w:val="11"/>
                <w:szCs w:val="11"/>
                <w:color w:val="auto"/>
                <w:w w:val="89"/>
              </w:rPr>
              <w:t>25 3/4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GREENLAWN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1,210,900</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1975</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01/05/00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HAMILTON (New Jersey)</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4,194,263</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1961</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HAUPPAUGE (New York)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2,747,127</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1963</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08/06/98</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HUNTINGTON (New York)</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10,877,818</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1962</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12/12/88</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IDYLWOOD PLAZA (Virginia)</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386"/>
              <w:spacing w:after="0" w:line="122" w:lineRule="exact"/>
              <w:rPr>
                <w:sz w:val="20"/>
                <w:szCs w:val="20"/>
                <w:color w:val="auto"/>
              </w:rPr>
            </w:pPr>
            <w:r>
              <w:rPr>
                <w:rFonts w:ascii="Arial" w:cs="Arial" w:eastAsia="Arial" w:hAnsi="Arial"/>
                <w:sz w:val="11"/>
                <w:szCs w:val="11"/>
                <w:color w:val="auto"/>
              </w:rPr>
              <w:t>3,081,516</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826"/>
              <w:spacing w:after="0" w:line="122" w:lineRule="exact"/>
              <w:rPr>
                <w:sz w:val="20"/>
                <w:szCs w:val="20"/>
                <w:color w:val="auto"/>
              </w:rPr>
            </w:pPr>
            <w:r>
              <w:rPr>
                <w:rFonts w:ascii="Arial" w:cs="Arial" w:eastAsia="Arial" w:hAnsi="Arial"/>
                <w:sz w:val="11"/>
                <w:szCs w:val="11"/>
                <w:color w:val="auto"/>
              </w:rPr>
              <w:t>1991</w:t>
            </w:r>
          </w:p>
        </w:tc>
        <w:tc>
          <w:tcPr>
            <w:tcW w:w="1640" w:type="dxa"/>
            <w:vAlign w:val="bottom"/>
            <w:gridSpan w:val="5"/>
          </w:tcPr>
          <w:p>
            <w:pPr>
              <w:jc w:val="right"/>
              <w:ind w:right="606"/>
              <w:spacing w:after="0" w:line="122" w:lineRule="exact"/>
              <w:rPr>
                <w:sz w:val="20"/>
                <w:szCs w:val="20"/>
                <w:color w:val="auto"/>
              </w:rPr>
            </w:pPr>
            <w:r>
              <w:rPr>
                <w:rFonts w:ascii="Arial" w:cs="Arial" w:eastAsia="Arial" w:hAnsi="Arial"/>
                <w:sz w:val="11"/>
                <w:szCs w:val="11"/>
                <w:color w:val="auto"/>
              </w:rPr>
              <w:t>04/15/94</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60" w:type="dxa"/>
            <w:vAlign w:val="bottom"/>
            <w:gridSpan w:val="2"/>
            <w:shd w:val="clear" w:color="auto" w:fill="EEEEEE"/>
          </w:tcPr>
          <w:p>
            <w:pPr>
              <w:spacing w:after="0" w:line="122" w:lineRule="exact"/>
              <w:rPr>
                <w:sz w:val="20"/>
                <w:szCs w:val="20"/>
                <w:color w:val="auto"/>
              </w:rPr>
            </w:pPr>
            <w:r>
              <w:rPr>
                <w:rFonts w:ascii="Arial" w:cs="Arial" w:eastAsia="Arial" w:hAnsi="Arial"/>
                <w:sz w:val="11"/>
                <w:szCs w:val="11"/>
                <w:color w:val="auto"/>
              </w:rPr>
              <w:t>ILLINOIS RETAIL BUILDINGS (1)</w:t>
            </w:r>
          </w:p>
        </w:tc>
        <w:tc>
          <w:tcPr>
            <w:tcW w:w="72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1340" w:type="dxa"/>
            <w:vAlign w:val="bottom"/>
            <w:gridSpan w:val="3"/>
            <w:shd w:val="clear" w:color="auto" w:fill="EEEEEE"/>
          </w:tcPr>
          <w:p>
            <w:pPr>
              <w:jc w:val="right"/>
              <w:ind w:right="386"/>
              <w:spacing w:after="0" w:line="122" w:lineRule="exact"/>
              <w:rPr>
                <w:sz w:val="20"/>
                <w:szCs w:val="20"/>
                <w:color w:val="auto"/>
              </w:rPr>
            </w:pPr>
            <w:r>
              <w:rPr>
                <w:rFonts w:ascii="Arial" w:cs="Arial" w:eastAsia="Arial" w:hAnsi="Arial"/>
                <w:sz w:val="11"/>
                <w:szCs w:val="11"/>
                <w:color w:val="auto"/>
              </w:rPr>
              <w:t>676,410</w:t>
            </w:r>
          </w:p>
        </w:tc>
        <w:tc>
          <w:tcPr>
            <w:tcW w:w="1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480" w:type="dxa"/>
            <w:vAlign w:val="bottom"/>
            <w:gridSpan w:val="2"/>
            <w:shd w:val="clear" w:color="auto" w:fill="EEEEEE"/>
          </w:tcPr>
          <w:p>
            <w:pPr>
              <w:jc w:val="right"/>
              <w:ind w:right="826"/>
              <w:spacing w:after="0" w:line="122" w:lineRule="exact"/>
              <w:rPr>
                <w:sz w:val="20"/>
                <w:szCs w:val="20"/>
                <w:color w:val="auto"/>
              </w:rPr>
            </w:pPr>
            <w:r>
              <w:rPr>
                <w:rFonts w:ascii="Arial" w:cs="Arial" w:eastAsia="Arial" w:hAnsi="Arial"/>
                <w:sz w:val="11"/>
                <w:szCs w:val="11"/>
                <w:color w:val="auto"/>
              </w:rPr>
              <w:t>1900-1927</w:t>
            </w:r>
          </w:p>
        </w:tc>
        <w:tc>
          <w:tcPr>
            <w:tcW w:w="1640" w:type="dxa"/>
            <w:vAlign w:val="bottom"/>
            <w:gridSpan w:val="5"/>
            <w:shd w:val="clear" w:color="auto" w:fill="EEEEEE"/>
          </w:tcPr>
          <w:p>
            <w:pPr>
              <w:jc w:val="right"/>
              <w:ind w:right="606"/>
              <w:spacing w:after="0" w:line="122" w:lineRule="exact"/>
              <w:rPr>
                <w:sz w:val="20"/>
                <w:szCs w:val="20"/>
                <w:color w:val="auto"/>
              </w:rPr>
            </w:pPr>
            <w:r>
              <w:rPr>
                <w:rFonts w:ascii="Arial" w:cs="Arial" w:eastAsia="Arial" w:hAnsi="Arial"/>
                <w:sz w:val="11"/>
                <w:szCs w:val="11"/>
                <w:color w:val="auto"/>
              </w:rPr>
              <w:t>1995-1997</w:t>
            </w: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320" w:type="dxa"/>
            <w:vAlign w:val="bottom"/>
            <w:gridSpan w:val="2"/>
            <w:shd w:val="clear" w:color="auto" w:fill="EEEEEE"/>
          </w:tcPr>
          <w:p>
            <w:pPr>
              <w:jc w:val="center"/>
              <w:ind w:right="666"/>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60" w:type="dxa"/>
            <w:vAlign w:val="bottom"/>
            <w:gridSpan w:val="2"/>
          </w:tcPr>
          <w:p>
            <w:pPr>
              <w:spacing w:after="0"/>
              <w:rPr>
                <w:sz w:val="20"/>
                <w:szCs w:val="20"/>
                <w:color w:val="auto"/>
              </w:rPr>
            </w:pPr>
            <w:r>
              <w:rPr>
                <w:rFonts w:ascii="Arial" w:cs="Arial" w:eastAsia="Arial" w:hAnsi="Arial"/>
                <w:sz w:val="11"/>
                <w:szCs w:val="11"/>
                <w:color w:val="auto"/>
              </w:rPr>
              <w:t>KINGS COURT (California)</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3"/>
          </w:tcPr>
          <w:p>
            <w:pPr>
              <w:jc w:val="right"/>
              <w:ind w:right="386"/>
              <w:spacing w:after="0"/>
              <w:rPr>
                <w:sz w:val="20"/>
                <w:szCs w:val="20"/>
                <w:color w:val="auto"/>
              </w:rPr>
            </w:pPr>
            <w:r>
              <w:rPr>
                <w:rFonts w:ascii="Arial" w:cs="Arial" w:eastAsia="Arial" w:hAnsi="Arial"/>
                <w:sz w:val="11"/>
                <w:szCs w:val="11"/>
                <w:color w:val="auto"/>
              </w:rPr>
              <w:t>2,320,554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2"/>
          </w:tcPr>
          <w:p>
            <w:pPr>
              <w:jc w:val="right"/>
              <w:ind w:right="826"/>
              <w:spacing w:after="0"/>
              <w:rPr>
                <w:sz w:val="20"/>
                <w:szCs w:val="20"/>
                <w:color w:val="auto"/>
              </w:rPr>
            </w:pPr>
            <w:r>
              <w:rPr>
                <w:rFonts w:ascii="Arial" w:cs="Arial" w:eastAsia="Arial" w:hAnsi="Arial"/>
                <w:sz w:val="11"/>
                <w:szCs w:val="11"/>
                <w:color w:val="auto"/>
              </w:rPr>
              <w:t>1960</w:t>
            </w:r>
          </w:p>
        </w:tc>
        <w:tc>
          <w:tcPr>
            <w:tcW w:w="1640" w:type="dxa"/>
            <w:vAlign w:val="bottom"/>
            <w:gridSpan w:val="5"/>
          </w:tcPr>
          <w:p>
            <w:pPr>
              <w:jc w:val="right"/>
              <w:ind w:right="606"/>
              <w:spacing w:after="0"/>
              <w:rPr>
                <w:sz w:val="20"/>
                <w:szCs w:val="20"/>
                <w:color w:val="auto"/>
              </w:rPr>
            </w:pPr>
            <w:r>
              <w:rPr>
                <w:rFonts w:ascii="Arial" w:cs="Arial" w:eastAsia="Arial" w:hAnsi="Arial"/>
                <w:sz w:val="11"/>
                <w:szCs w:val="11"/>
                <w:color w:val="auto"/>
              </w:rPr>
              <w:t>08/24/98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666"/>
              <w:spacing w:after="0"/>
              <w:rPr>
                <w:sz w:val="20"/>
                <w:szCs w:val="20"/>
                <w:color w:val="auto"/>
              </w:rPr>
            </w:pPr>
            <w:r>
              <w:rPr>
                <w:rFonts w:ascii="Arial" w:cs="Arial" w:eastAsia="Arial" w:hAnsi="Arial"/>
                <w:sz w:val="11"/>
                <w:szCs w:val="11"/>
                <w:color w:val="auto"/>
                <w:w w:val="85"/>
              </w:rPr>
              <w:t>26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926" w:orient="portrait"/>
          <w:cols w:equalWidth="0" w:num="1">
            <w:col w:w="11420"/>
          </w:cols>
          <w:pgMar w:left="240" w:top="419" w:right="2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60" w:type="dxa"/>
            <w:vAlign w:val="bottom"/>
            <w:shd w:val="clear" w:color="auto" w:fill="EEEEEE"/>
          </w:tcPr>
          <w:p>
            <w:pPr>
              <w:spacing w:after="0"/>
              <w:rPr>
                <w:sz w:val="20"/>
                <w:szCs w:val="20"/>
                <w:color w:val="auto"/>
              </w:rPr>
            </w:pPr>
            <w:r>
              <w:rPr>
                <w:rFonts w:ascii="Arial" w:cs="Arial" w:eastAsia="Arial" w:hAnsi="Arial"/>
                <w:sz w:val="11"/>
                <w:szCs w:val="11"/>
                <w:color w:val="auto"/>
              </w:rPr>
              <w:t>LANCASTER (Pennsylvania)</w:t>
            </w:r>
          </w:p>
        </w:tc>
        <w:tc>
          <w:tcPr>
            <w:tcW w:w="2120" w:type="dxa"/>
            <w:vAlign w:val="bottom"/>
            <w:shd w:val="clear" w:color="auto" w:fill="EEEEEE"/>
          </w:tcPr>
          <w:p>
            <w:pPr>
              <w:jc w:val="right"/>
              <w:ind w:right="746"/>
              <w:spacing w:after="0"/>
              <w:rPr>
                <w:sz w:val="20"/>
                <w:szCs w:val="20"/>
                <w:color w:val="auto"/>
              </w:rPr>
            </w:pPr>
            <w:r>
              <w:rPr>
                <w:rFonts w:ascii="Arial" w:cs="Arial" w:eastAsia="Arial" w:hAnsi="Arial"/>
                <w:sz w:val="11"/>
                <w:szCs w:val="11"/>
                <w:color w:val="auto"/>
              </w:rPr>
              <w:t>4,383,241</w:t>
            </w:r>
          </w:p>
        </w:tc>
        <w:tc>
          <w:tcPr>
            <w:tcW w:w="2220" w:type="dxa"/>
            <w:vAlign w:val="bottom"/>
            <w:shd w:val="clear" w:color="auto" w:fill="EEEEEE"/>
          </w:tcPr>
          <w:p>
            <w:pPr>
              <w:jc w:val="right"/>
              <w:ind w:right="686"/>
              <w:spacing w:after="0"/>
              <w:rPr>
                <w:sz w:val="20"/>
                <w:szCs w:val="20"/>
                <w:color w:val="auto"/>
              </w:rPr>
            </w:pPr>
            <w:r>
              <w:rPr>
                <w:rFonts w:ascii="Arial" w:cs="Arial" w:eastAsia="Arial" w:hAnsi="Arial"/>
                <w:sz w:val="11"/>
                <w:szCs w:val="11"/>
                <w:color w:val="auto"/>
              </w:rPr>
              <w:t>1958</w:t>
            </w:r>
          </w:p>
        </w:tc>
        <w:tc>
          <w:tcPr>
            <w:tcW w:w="2160" w:type="dxa"/>
            <w:vAlign w:val="bottom"/>
            <w:shd w:val="clear" w:color="auto" w:fill="EEEEEE"/>
          </w:tcPr>
          <w:p>
            <w:pPr>
              <w:jc w:val="right"/>
              <w:ind w:right="986"/>
              <w:spacing w:after="0"/>
              <w:rPr>
                <w:sz w:val="20"/>
                <w:szCs w:val="20"/>
                <w:color w:val="auto"/>
              </w:rPr>
            </w:pPr>
            <w:r>
              <w:rPr>
                <w:rFonts w:ascii="Arial" w:cs="Arial" w:eastAsia="Arial" w:hAnsi="Arial"/>
                <w:sz w:val="11"/>
                <w:szCs w:val="11"/>
                <w:color w:val="auto"/>
              </w:rPr>
              <w:t>04/24/80</w:t>
            </w:r>
          </w:p>
        </w:tc>
        <w:tc>
          <w:tcPr>
            <w:tcW w:w="2260" w:type="dxa"/>
            <w:vAlign w:val="bottom"/>
            <w:shd w:val="clear" w:color="auto" w:fill="EEEEEE"/>
          </w:tcPr>
          <w:p>
            <w:pPr>
              <w:ind w:left="1060"/>
              <w:spacing w:after="0"/>
              <w:rPr>
                <w:sz w:val="20"/>
                <w:szCs w:val="20"/>
                <w:color w:val="auto"/>
              </w:rPr>
            </w:pPr>
            <w:r>
              <w:rPr>
                <w:rFonts w:ascii="Arial" w:cs="Arial" w:eastAsia="Arial" w:hAnsi="Arial"/>
                <w:sz w:val="11"/>
                <w:szCs w:val="11"/>
                <w:color w:val="auto"/>
              </w:rPr>
              <w:t>22 years</w:t>
            </w: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LANGHORNE SQUARE (Pennsylvania)</w:t>
            </w:r>
          </w:p>
        </w:tc>
        <w:tc>
          <w:tcPr>
            <w:tcW w:w="212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6,917,094</w:t>
            </w:r>
          </w:p>
        </w:tc>
        <w:tc>
          <w:tcPr>
            <w:tcW w:w="22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1966</w:t>
            </w:r>
          </w:p>
        </w:tc>
        <w:tc>
          <w:tcPr>
            <w:tcW w:w="2160" w:type="dxa"/>
            <w:vAlign w:val="bottom"/>
          </w:tcPr>
          <w:p>
            <w:pPr>
              <w:jc w:val="right"/>
              <w:ind w:right="986"/>
              <w:spacing w:after="0" w:line="122" w:lineRule="exact"/>
              <w:rPr>
                <w:sz w:val="20"/>
                <w:szCs w:val="20"/>
                <w:color w:val="auto"/>
              </w:rPr>
            </w:pPr>
            <w:r>
              <w:rPr>
                <w:rFonts w:ascii="Arial" w:cs="Arial" w:eastAsia="Arial" w:hAnsi="Arial"/>
                <w:sz w:val="11"/>
                <w:szCs w:val="11"/>
                <w:color w:val="auto"/>
              </w:rPr>
              <w:t>01/31/85</w:t>
            </w:r>
          </w:p>
        </w:tc>
        <w:tc>
          <w:tcPr>
            <w:tcW w:w="2260" w:type="dxa"/>
            <w:vAlign w:val="bottom"/>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22"/>
        </w:trPr>
        <w:tc>
          <w:tcPr>
            <w:tcW w:w="26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LAUREL (Maryland)</w:t>
            </w:r>
          </w:p>
        </w:tc>
        <w:tc>
          <w:tcPr>
            <w:tcW w:w="2120" w:type="dxa"/>
            <w:vAlign w:val="bottom"/>
            <w:shd w:val="clear" w:color="auto" w:fill="EEEEEE"/>
          </w:tcPr>
          <w:p>
            <w:pPr>
              <w:jc w:val="right"/>
              <w:ind w:right="746"/>
              <w:spacing w:after="0" w:line="122" w:lineRule="exact"/>
              <w:rPr>
                <w:sz w:val="20"/>
                <w:szCs w:val="20"/>
                <w:color w:val="auto"/>
              </w:rPr>
            </w:pPr>
            <w:r>
              <w:rPr>
                <w:rFonts w:ascii="Arial" w:cs="Arial" w:eastAsia="Arial" w:hAnsi="Arial"/>
                <w:sz w:val="11"/>
                <w:szCs w:val="11"/>
                <w:color w:val="auto"/>
              </w:rPr>
              <w:t>20,213,360</w:t>
            </w:r>
          </w:p>
        </w:tc>
        <w:tc>
          <w:tcPr>
            <w:tcW w:w="2220" w:type="dxa"/>
            <w:vAlign w:val="bottom"/>
            <w:shd w:val="clear" w:color="auto" w:fill="EEEEEE"/>
          </w:tcPr>
          <w:p>
            <w:pPr>
              <w:jc w:val="right"/>
              <w:ind w:right="686"/>
              <w:spacing w:after="0" w:line="122" w:lineRule="exact"/>
              <w:rPr>
                <w:sz w:val="20"/>
                <w:szCs w:val="20"/>
                <w:color w:val="auto"/>
              </w:rPr>
            </w:pPr>
            <w:r>
              <w:rPr>
                <w:rFonts w:ascii="Arial" w:cs="Arial" w:eastAsia="Arial" w:hAnsi="Arial"/>
                <w:sz w:val="11"/>
                <w:szCs w:val="11"/>
                <w:color w:val="auto"/>
              </w:rPr>
              <w:t>1956</w:t>
            </w:r>
          </w:p>
        </w:tc>
        <w:tc>
          <w:tcPr>
            <w:tcW w:w="2160" w:type="dxa"/>
            <w:vAlign w:val="bottom"/>
            <w:shd w:val="clear" w:color="auto" w:fill="EEEEEE"/>
          </w:tcPr>
          <w:p>
            <w:pPr>
              <w:jc w:val="right"/>
              <w:ind w:right="986"/>
              <w:spacing w:after="0" w:line="122" w:lineRule="exact"/>
              <w:rPr>
                <w:sz w:val="20"/>
                <w:szCs w:val="20"/>
                <w:color w:val="auto"/>
              </w:rPr>
            </w:pPr>
            <w:r>
              <w:rPr>
                <w:rFonts w:ascii="Arial" w:cs="Arial" w:eastAsia="Arial" w:hAnsi="Arial"/>
                <w:sz w:val="11"/>
                <w:szCs w:val="11"/>
                <w:color w:val="auto"/>
              </w:rPr>
              <w:t>08/15/86</w:t>
            </w:r>
          </w:p>
        </w:tc>
        <w:tc>
          <w:tcPr>
            <w:tcW w:w="2260" w:type="dxa"/>
            <w:vAlign w:val="bottom"/>
            <w:shd w:val="clear" w:color="auto" w:fill="EEEEEE"/>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22"/>
        </w:trPr>
        <w:tc>
          <w:tcPr>
            <w:tcW w:w="2660" w:type="dxa"/>
            <w:vAlign w:val="bottom"/>
          </w:tcPr>
          <w:p>
            <w:pPr>
              <w:spacing w:after="0" w:line="122" w:lineRule="exact"/>
              <w:rPr>
                <w:sz w:val="20"/>
                <w:szCs w:val="20"/>
                <w:color w:val="auto"/>
              </w:rPr>
            </w:pPr>
            <w:r>
              <w:rPr>
                <w:rFonts w:ascii="Arial" w:cs="Arial" w:eastAsia="Arial" w:hAnsi="Arial"/>
                <w:sz w:val="11"/>
                <w:szCs w:val="11"/>
                <w:color w:val="auto"/>
              </w:rPr>
              <w:t>LAWRENCE PARK (Pennsylvania)</w:t>
            </w:r>
          </w:p>
        </w:tc>
        <w:tc>
          <w:tcPr>
            <w:tcW w:w="2120" w:type="dxa"/>
            <w:vAlign w:val="bottom"/>
          </w:tcPr>
          <w:p>
            <w:pPr>
              <w:jc w:val="right"/>
              <w:ind w:right="746"/>
              <w:spacing w:after="0" w:line="122" w:lineRule="exact"/>
              <w:rPr>
                <w:sz w:val="20"/>
                <w:szCs w:val="20"/>
                <w:color w:val="auto"/>
              </w:rPr>
            </w:pPr>
            <w:r>
              <w:rPr>
                <w:rFonts w:ascii="Arial" w:cs="Arial" w:eastAsia="Arial" w:hAnsi="Arial"/>
                <w:sz w:val="11"/>
                <w:szCs w:val="11"/>
                <w:color w:val="auto"/>
              </w:rPr>
              <w:t>15,299,908</w:t>
            </w:r>
          </w:p>
        </w:tc>
        <w:tc>
          <w:tcPr>
            <w:tcW w:w="2220" w:type="dxa"/>
            <w:vAlign w:val="bottom"/>
          </w:tcPr>
          <w:p>
            <w:pPr>
              <w:jc w:val="right"/>
              <w:ind w:right="686"/>
              <w:spacing w:after="0" w:line="122" w:lineRule="exact"/>
              <w:rPr>
                <w:sz w:val="20"/>
                <w:szCs w:val="20"/>
                <w:color w:val="auto"/>
              </w:rPr>
            </w:pPr>
            <w:r>
              <w:rPr>
                <w:rFonts w:ascii="Arial" w:cs="Arial" w:eastAsia="Arial" w:hAnsi="Arial"/>
                <w:sz w:val="11"/>
                <w:szCs w:val="11"/>
                <w:color w:val="auto"/>
              </w:rPr>
              <w:t>1972</w:t>
            </w:r>
          </w:p>
        </w:tc>
        <w:tc>
          <w:tcPr>
            <w:tcW w:w="2160" w:type="dxa"/>
            <w:vAlign w:val="bottom"/>
          </w:tcPr>
          <w:p>
            <w:pPr>
              <w:jc w:val="right"/>
              <w:ind w:right="986"/>
              <w:spacing w:after="0" w:line="122" w:lineRule="exact"/>
              <w:rPr>
                <w:sz w:val="20"/>
                <w:szCs w:val="20"/>
                <w:color w:val="auto"/>
              </w:rPr>
            </w:pPr>
            <w:r>
              <w:rPr>
                <w:rFonts w:ascii="Arial" w:cs="Arial" w:eastAsia="Arial" w:hAnsi="Arial"/>
                <w:sz w:val="11"/>
                <w:szCs w:val="11"/>
                <w:color w:val="auto"/>
              </w:rPr>
              <w:t>07/23/80</w:t>
            </w:r>
          </w:p>
        </w:tc>
        <w:tc>
          <w:tcPr>
            <w:tcW w:w="2260" w:type="dxa"/>
            <w:vAlign w:val="bottom"/>
          </w:tcPr>
          <w:p>
            <w:pPr>
              <w:ind w:left="1060"/>
              <w:spacing w:after="0" w:line="122" w:lineRule="exact"/>
              <w:rPr>
                <w:sz w:val="20"/>
                <w:szCs w:val="20"/>
                <w:color w:val="auto"/>
              </w:rPr>
            </w:pPr>
            <w:r>
              <w:rPr>
                <w:rFonts w:ascii="Arial" w:cs="Arial" w:eastAsia="Arial" w:hAnsi="Arial"/>
                <w:sz w:val="11"/>
                <w:szCs w:val="11"/>
                <w:color w:val="auto"/>
              </w:rPr>
              <w:t>22 years</w:t>
            </w:r>
          </w:p>
        </w:tc>
      </w:tr>
      <w:tr>
        <w:trPr>
          <w:trHeight w:val="122"/>
        </w:trPr>
        <w:tc>
          <w:tcPr>
            <w:tcW w:w="2660" w:type="dxa"/>
            <w:vAlign w:val="bottom"/>
            <w:shd w:val="clear" w:color="auto" w:fill="EEEEEE"/>
          </w:tcPr>
          <w:p>
            <w:pPr>
              <w:spacing w:after="0" w:line="122" w:lineRule="exact"/>
              <w:rPr>
                <w:sz w:val="20"/>
                <w:szCs w:val="20"/>
                <w:color w:val="auto"/>
              </w:rPr>
            </w:pPr>
            <w:r>
              <w:rPr>
                <w:rFonts w:ascii="Arial" w:cs="Arial" w:eastAsia="Arial" w:hAnsi="Arial"/>
                <w:sz w:val="11"/>
                <w:szCs w:val="11"/>
                <w:color w:val="auto"/>
              </w:rPr>
              <w:t>LEESBURG PLAZA (Virginia)</w:t>
            </w:r>
          </w:p>
        </w:tc>
        <w:tc>
          <w:tcPr>
            <w:tcW w:w="2120" w:type="dxa"/>
            <w:vAlign w:val="bottom"/>
            <w:shd w:val="clear" w:color="auto" w:fill="EEEEEE"/>
          </w:tcPr>
          <w:p>
            <w:pPr>
              <w:jc w:val="right"/>
              <w:ind w:right="746"/>
              <w:spacing w:after="0" w:line="122" w:lineRule="exact"/>
              <w:rPr>
                <w:sz w:val="20"/>
                <w:szCs w:val="20"/>
                <w:color w:val="auto"/>
              </w:rPr>
            </w:pPr>
            <w:r>
              <w:rPr>
                <w:rFonts w:ascii="Arial" w:cs="Arial" w:eastAsia="Arial" w:hAnsi="Arial"/>
                <w:sz w:val="11"/>
                <w:szCs w:val="11"/>
                <w:color w:val="auto"/>
              </w:rPr>
              <w:t>2,083,698</w:t>
            </w:r>
          </w:p>
        </w:tc>
        <w:tc>
          <w:tcPr>
            <w:tcW w:w="2220" w:type="dxa"/>
            <w:vAlign w:val="bottom"/>
            <w:shd w:val="clear" w:color="auto" w:fill="EEEEEE"/>
          </w:tcPr>
          <w:p>
            <w:pPr>
              <w:jc w:val="right"/>
              <w:ind w:right="686"/>
              <w:spacing w:after="0" w:line="122" w:lineRule="exact"/>
              <w:rPr>
                <w:sz w:val="20"/>
                <w:szCs w:val="20"/>
                <w:color w:val="auto"/>
              </w:rPr>
            </w:pPr>
            <w:r>
              <w:rPr>
                <w:rFonts w:ascii="Arial" w:cs="Arial" w:eastAsia="Arial" w:hAnsi="Arial"/>
                <w:sz w:val="11"/>
                <w:szCs w:val="11"/>
                <w:color w:val="auto"/>
              </w:rPr>
              <w:t>1967</w:t>
            </w:r>
          </w:p>
        </w:tc>
        <w:tc>
          <w:tcPr>
            <w:tcW w:w="2160" w:type="dxa"/>
            <w:vAlign w:val="bottom"/>
            <w:shd w:val="clear" w:color="auto" w:fill="EEEEEE"/>
          </w:tcPr>
          <w:p>
            <w:pPr>
              <w:jc w:val="right"/>
              <w:ind w:right="986"/>
              <w:spacing w:after="0" w:line="122" w:lineRule="exact"/>
              <w:rPr>
                <w:sz w:val="20"/>
                <w:szCs w:val="20"/>
                <w:color w:val="auto"/>
              </w:rPr>
            </w:pPr>
            <w:r>
              <w:rPr>
                <w:rFonts w:ascii="Arial" w:cs="Arial" w:eastAsia="Arial" w:hAnsi="Arial"/>
                <w:sz w:val="11"/>
                <w:szCs w:val="11"/>
                <w:color w:val="auto"/>
              </w:rPr>
              <w:t>09/15/98</w:t>
            </w:r>
          </w:p>
        </w:tc>
        <w:tc>
          <w:tcPr>
            <w:tcW w:w="2260" w:type="dxa"/>
            <w:vAlign w:val="bottom"/>
            <w:shd w:val="clear" w:color="auto" w:fill="EEEEEE"/>
          </w:tcPr>
          <w:p>
            <w:pPr>
              <w:ind w:left="1060"/>
              <w:spacing w:after="0" w:line="122" w:lineRule="exact"/>
              <w:rPr>
                <w:sz w:val="20"/>
                <w:szCs w:val="20"/>
                <w:color w:val="auto"/>
              </w:rPr>
            </w:pPr>
            <w:r>
              <w:rPr>
                <w:rFonts w:ascii="Arial" w:cs="Arial" w:eastAsia="Arial" w:hAnsi="Arial"/>
                <w:sz w:val="11"/>
                <w:szCs w:val="11"/>
                <w:color w:val="auto"/>
              </w:rPr>
              <w:t>35 years</w:t>
            </w:r>
          </w:p>
        </w:tc>
      </w:tr>
      <w:tr>
        <w:trPr>
          <w:trHeight w:val="136"/>
        </w:trPr>
        <w:tc>
          <w:tcPr>
            <w:tcW w:w="2660" w:type="dxa"/>
            <w:vAlign w:val="bottom"/>
          </w:tcPr>
          <w:p>
            <w:pPr>
              <w:spacing w:after="0"/>
              <w:rPr>
                <w:sz w:val="20"/>
                <w:szCs w:val="20"/>
                <w:color w:val="auto"/>
              </w:rPr>
            </w:pPr>
            <w:r>
              <w:rPr>
                <w:rFonts w:ascii="Arial" w:cs="Arial" w:eastAsia="Arial" w:hAnsi="Arial"/>
                <w:sz w:val="11"/>
                <w:szCs w:val="11"/>
                <w:color w:val="auto"/>
              </w:rPr>
              <w:t>LOEHMANN’S PLAZA (Virginia)</w:t>
            </w:r>
          </w:p>
        </w:tc>
        <w:tc>
          <w:tcPr>
            <w:tcW w:w="2120" w:type="dxa"/>
            <w:vAlign w:val="bottom"/>
          </w:tcPr>
          <w:p>
            <w:pPr>
              <w:jc w:val="right"/>
              <w:ind w:right="746"/>
              <w:spacing w:after="0"/>
              <w:rPr>
                <w:sz w:val="20"/>
                <w:szCs w:val="20"/>
                <w:color w:val="auto"/>
              </w:rPr>
            </w:pPr>
            <w:r>
              <w:rPr>
                <w:rFonts w:ascii="Arial" w:cs="Arial" w:eastAsia="Arial" w:hAnsi="Arial"/>
                <w:sz w:val="11"/>
                <w:szCs w:val="11"/>
                <w:color w:val="auto"/>
              </w:rPr>
              <w:t>4,007,035</w:t>
            </w:r>
          </w:p>
        </w:tc>
        <w:tc>
          <w:tcPr>
            <w:tcW w:w="2220" w:type="dxa"/>
            <w:vAlign w:val="bottom"/>
          </w:tcPr>
          <w:p>
            <w:pPr>
              <w:jc w:val="right"/>
              <w:ind w:right="686"/>
              <w:spacing w:after="0"/>
              <w:rPr>
                <w:sz w:val="20"/>
                <w:szCs w:val="20"/>
                <w:color w:val="auto"/>
              </w:rPr>
            </w:pPr>
            <w:r>
              <w:rPr>
                <w:rFonts w:ascii="Arial" w:cs="Arial" w:eastAsia="Arial" w:hAnsi="Arial"/>
                <w:sz w:val="11"/>
                <w:szCs w:val="11"/>
                <w:color w:val="auto"/>
              </w:rPr>
              <w:t>1971</w:t>
            </w:r>
          </w:p>
        </w:tc>
        <w:tc>
          <w:tcPr>
            <w:tcW w:w="2160" w:type="dxa"/>
            <w:vAlign w:val="bottom"/>
          </w:tcPr>
          <w:p>
            <w:pPr>
              <w:jc w:val="right"/>
              <w:ind w:right="986"/>
              <w:spacing w:after="0"/>
              <w:rPr>
                <w:sz w:val="20"/>
                <w:szCs w:val="20"/>
                <w:color w:val="auto"/>
              </w:rPr>
            </w:pPr>
            <w:r>
              <w:rPr>
                <w:rFonts w:ascii="Arial" w:cs="Arial" w:eastAsia="Arial" w:hAnsi="Arial"/>
                <w:sz w:val="11"/>
                <w:szCs w:val="11"/>
                <w:color w:val="auto"/>
              </w:rPr>
              <w:t>07/21/83</w:t>
            </w:r>
          </w:p>
        </w:tc>
        <w:tc>
          <w:tcPr>
            <w:tcW w:w="2260" w:type="dxa"/>
            <w:vAlign w:val="bottom"/>
          </w:tcPr>
          <w:p>
            <w:pPr>
              <w:ind w:left="1060"/>
              <w:spacing w:after="0"/>
              <w:rPr>
                <w:sz w:val="20"/>
                <w:szCs w:val="20"/>
                <w:color w:val="auto"/>
              </w:rPr>
            </w:pPr>
            <w:r>
              <w:rPr>
                <w:rFonts w:ascii="Arial" w:cs="Arial" w:eastAsia="Arial" w:hAnsi="Arial"/>
                <w:sz w:val="11"/>
                <w:szCs w:val="11"/>
                <w:color w:val="auto"/>
              </w:rPr>
              <w:t>35 years</w:t>
            </w:r>
          </w:p>
        </w:tc>
      </w:tr>
      <w:tr>
        <w:trPr>
          <w:trHeight w:val="220"/>
        </w:trPr>
        <w:tc>
          <w:tcPr>
            <w:tcW w:w="2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20" w:type="dxa"/>
            <w:vAlign w:val="bottom"/>
          </w:tcPr>
          <w:p>
            <w:pPr>
              <w:jc w:val="right"/>
              <w:ind w:right="1106"/>
              <w:spacing w:after="0"/>
              <w:rPr>
                <w:sz w:val="20"/>
                <w:szCs w:val="20"/>
                <w:color w:val="auto"/>
              </w:rPr>
            </w:pPr>
            <w:r>
              <w:rPr>
                <w:rFonts w:ascii="Arial" w:cs="Arial" w:eastAsia="Arial" w:hAnsi="Arial"/>
                <w:sz w:val="11"/>
                <w:szCs w:val="11"/>
                <w:color w:val="auto"/>
              </w:rPr>
              <w:t>-F30-</w:t>
            </w:r>
          </w:p>
        </w:tc>
        <w:tc>
          <w:tcPr>
            <w:tcW w:w="21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1"/>
        </w:trPr>
        <w:tc>
          <w:tcPr>
            <w:tcW w:w="26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2140" w:type="dxa"/>
            <w:vAlign w:val="bottom"/>
            <w:gridSpan w:val="3"/>
          </w:tcPr>
          <w:p>
            <w:pPr>
              <w:ind w:left="640"/>
              <w:spacing w:after="0"/>
              <w:rPr>
                <w:sz w:val="20"/>
                <w:szCs w:val="20"/>
                <w:color w:val="auto"/>
              </w:rPr>
            </w:pPr>
            <w:r>
              <w:rPr>
                <w:rFonts w:ascii="Arial" w:cs="Arial" w:eastAsia="Arial" w:hAnsi="Arial"/>
                <w:sz w:val="11"/>
                <w:szCs w:val="11"/>
                <w:b w:val="1"/>
                <w:bCs w:val="1"/>
                <w:color w:val="auto"/>
              </w:rPr>
              <w:t>COLUMN A</w:t>
            </w:r>
          </w:p>
        </w:tc>
        <w:tc>
          <w:tcPr>
            <w:tcW w:w="14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COLUMN B</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740"/>
              <w:spacing w:after="0"/>
              <w:rPr>
                <w:sz w:val="20"/>
                <w:szCs w:val="20"/>
                <w:color w:val="auto"/>
              </w:rPr>
            </w:pPr>
            <w:r>
              <w:rPr>
                <w:rFonts w:ascii="Arial" w:cs="Arial" w:eastAsia="Arial" w:hAnsi="Arial"/>
                <w:sz w:val="11"/>
                <w:szCs w:val="11"/>
                <w:b w:val="1"/>
                <w:bCs w:val="1"/>
                <w:color w:val="auto"/>
              </w:rPr>
              <w:t>COLUMN C</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7"/>
              </w:rPr>
              <w:t>COLUMN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8"/>
              </w:rPr>
              <w:t>COLUMN 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gridSpan w:val="2"/>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8"/>
          </w:tcPr>
          <w:p>
            <w:pPr>
              <w:jc w:val="center"/>
              <w:ind w:right="240"/>
              <w:spacing w:after="0"/>
              <w:rPr>
                <w:sz w:val="20"/>
                <w:szCs w:val="20"/>
                <w:color w:val="auto"/>
              </w:rPr>
            </w:pPr>
            <w:r>
              <w:rPr>
                <w:rFonts w:ascii="Arial" w:cs="Arial" w:eastAsia="Arial" w:hAnsi="Arial"/>
                <w:sz w:val="11"/>
                <w:szCs w:val="11"/>
                <w:b w:val="1"/>
                <w:bCs w:val="1"/>
                <w:color w:val="auto"/>
                <w:w w:val="88"/>
              </w:rPr>
              <w:t>Initial cost to company</w:t>
            </w:r>
          </w:p>
        </w:tc>
        <w:tc>
          <w:tcPr>
            <w:tcW w:w="120" w:type="dxa"/>
            <w:vAlign w:val="bottom"/>
          </w:tcPr>
          <w:p>
            <w:pPr>
              <w:spacing w:after="0"/>
              <w:rPr>
                <w:sz w:val="15"/>
                <w:szCs w:val="15"/>
                <w:color w:val="auto"/>
              </w:rPr>
            </w:pPr>
          </w:p>
        </w:tc>
        <w:tc>
          <w:tcPr>
            <w:tcW w:w="1100" w:type="dxa"/>
            <w:vAlign w:val="bottom"/>
            <w:gridSpan w:val="4"/>
            <w:vMerge w:val="restart"/>
          </w:tcPr>
          <w:p>
            <w:pPr>
              <w:jc w:val="center"/>
              <w:ind w:left="186"/>
              <w:spacing w:after="0"/>
              <w:rPr>
                <w:sz w:val="20"/>
                <w:szCs w:val="20"/>
                <w:color w:val="auto"/>
              </w:rPr>
            </w:pPr>
            <w:r>
              <w:rPr>
                <w:rFonts w:ascii="Arial" w:cs="Arial" w:eastAsia="Arial" w:hAnsi="Arial"/>
                <w:sz w:val="11"/>
                <w:szCs w:val="11"/>
                <w:b w:val="1"/>
                <w:bCs w:val="1"/>
                <w:color w:val="auto"/>
                <w:w w:val="91"/>
              </w:rPr>
              <w:t>Cost Capitalized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60" w:type="dxa"/>
            <w:vAlign w:val="bottom"/>
            <w:gridSpan w:val="13"/>
          </w:tcPr>
          <w:p>
            <w:pPr>
              <w:jc w:val="center"/>
              <w:ind w:right="820"/>
              <w:spacing w:after="0"/>
              <w:rPr>
                <w:sz w:val="20"/>
                <w:szCs w:val="20"/>
                <w:color w:val="auto"/>
              </w:rPr>
            </w:pPr>
            <w:r>
              <w:rPr>
                <w:rFonts w:ascii="Arial" w:cs="Arial" w:eastAsia="Arial" w:hAnsi="Arial"/>
                <w:sz w:val="11"/>
                <w:szCs w:val="11"/>
                <w:b w:val="1"/>
                <w:bCs w:val="1"/>
                <w:color w:val="auto"/>
                <w:w w:val="87"/>
              </w:rPr>
              <w:t>Gross amount at which carried at close of period</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3"/>
              </w:rPr>
              <w:t>Building and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Subsequent to</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Building and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gridSpan w:val="3"/>
          </w:tcPr>
          <w:p>
            <w:pPr>
              <w:ind w:left="640"/>
              <w:spacing w:after="0"/>
              <w:rPr>
                <w:sz w:val="20"/>
                <w:szCs w:val="20"/>
                <w:color w:val="auto"/>
              </w:rPr>
            </w:pPr>
            <w:r>
              <w:rPr>
                <w:rFonts w:ascii="Arial" w:cs="Arial" w:eastAsia="Arial" w:hAnsi="Arial"/>
                <w:sz w:val="11"/>
                <w:szCs w:val="11"/>
                <w:b w:val="1"/>
                <w:bCs w:val="1"/>
                <w:color w:val="auto"/>
              </w:rPr>
              <w:t>Descriptions</w:t>
            </w:r>
          </w:p>
        </w:tc>
        <w:tc>
          <w:tcPr>
            <w:tcW w:w="10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0"/>
              </w:rPr>
              <w:t>Encumbrance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Land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90"/>
              </w:rPr>
              <w:t>Improvements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90"/>
              </w:rPr>
              <w:t>Acquisition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46"/>
              <w:spacing w:after="0"/>
              <w:rPr>
                <w:sz w:val="20"/>
                <w:szCs w:val="20"/>
                <w:color w:val="auto"/>
              </w:rPr>
            </w:pPr>
            <w:r>
              <w:rPr>
                <w:rFonts w:ascii="Arial" w:cs="Arial" w:eastAsia="Arial" w:hAnsi="Arial"/>
                <w:sz w:val="11"/>
                <w:szCs w:val="11"/>
                <w:b w:val="1"/>
                <w:bCs w:val="1"/>
                <w:color w:val="auto"/>
              </w:rPr>
              <w:t>Land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Improvements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MAGRUDERS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4,554,000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4,859,000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1,612,568</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4,553,875</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6,471,693</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11,025,568</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MERCER MALL (New Jersey)</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60,039,000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4,488,340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70,076,308</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2,018,015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4,488,340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72,094,323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76,582,663</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MID PIKE PLAZA (Maryland)</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10,041,000</w:t>
            </w: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4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10,335,000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6,945,454</w:t>
            </w: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17,280,454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17,280,454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MOUNT VERNON PLAZA (Virginia)</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13,086,000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19,400,134</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389,568</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12,026,646</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19,790,302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19,790,302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NEW YORK RETAIL BUILDINGS (3)</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5,891,000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6,051,000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12,026,646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6,196,618</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17,772,028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23,968,646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NORTHEAST (Pennsylvania)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1,152,000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10,596,000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10,082,356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1,152,825</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20,677,531</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21,830,356</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NORTH LAKE COMMONS (Illinois)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2,782,000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8,604,000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1,606,300</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2,782,495</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10,210,300</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12,992,795</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OLD KEENE MILL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638,000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998,000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3,515,685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638,234</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4,513,685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5,151,919</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OLD TOWN CENTER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3,420,000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2,765,000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27,322,592</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3,420,000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30,087,592</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33,507,592</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PAN AM SHOPPING CENTER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8,694,000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12,929,000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3,454,960</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8,694,500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16,383,460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25,077,960</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PENTAGON ROW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2,955,000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84,582,651</w:t>
            </w: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87,537,651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87,537,651</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PERRING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2,800,000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6,461,000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14,728,058</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2,800,000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21,189,058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23,989,058</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PIKE 7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9,709,000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22,799,000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924,287</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9,708,997</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23,723,290</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33,432,287</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FR PLAZA DEL MERCADO, LLC</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(Maryland)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4"/>
          </w:tcPr>
          <w:p>
            <w:pPr>
              <w:jc w:val="right"/>
              <w:spacing w:after="0"/>
              <w:rPr>
                <w:sz w:val="20"/>
                <w:szCs w:val="20"/>
                <w:color w:val="auto"/>
              </w:rPr>
            </w:pPr>
            <w:r>
              <w:rPr>
                <w:rFonts w:ascii="Arial" w:cs="Arial" w:eastAsia="Arial" w:hAnsi="Arial"/>
                <w:sz w:val="11"/>
                <w:szCs w:val="11"/>
                <w:color w:val="auto"/>
              </w:rPr>
              <w:t>1,580,999</w:t>
            </w:r>
          </w:p>
        </w:tc>
        <w:tc>
          <w:tcPr>
            <w:tcW w:w="1140" w:type="dxa"/>
            <w:vAlign w:val="bottom"/>
            <w:gridSpan w:val="4"/>
          </w:tcPr>
          <w:p>
            <w:pPr>
              <w:jc w:val="right"/>
              <w:spacing w:after="0"/>
              <w:rPr>
                <w:sz w:val="20"/>
                <w:szCs w:val="20"/>
                <w:color w:val="auto"/>
              </w:rPr>
            </w:pPr>
            <w:r>
              <w:rPr>
                <w:rFonts w:ascii="Arial" w:cs="Arial" w:eastAsia="Arial" w:hAnsi="Arial"/>
                <w:sz w:val="11"/>
                <w:szCs w:val="11"/>
                <w:color w:val="auto"/>
              </w:rPr>
              <w:t>18,984,476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787,590</w:t>
            </w:r>
          </w:p>
        </w:tc>
        <w:tc>
          <w:tcPr>
            <w:tcW w:w="18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1,580,999</w:t>
            </w:r>
          </w:p>
        </w:tc>
        <w:tc>
          <w:tcPr>
            <w:tcW w:w="1540" w:type="dxa"/>
            <w:vAlign w:val="bottom"/>
            <w:gridSpan w:val="5"/>
          </w:tcPr>
          <w:p>
            <w:pPr>
              <w:jc w:val="right"/>
              <w:spacing w:after="0"/>
              <w:rPr>
                <w:sz w:val="20"/>
                <w:szCs w:val="20"/>
                <w:color w:val="auto"/>
              </w:rPr>
            </w:pPr>
            <w:r>
              <w:rPr>
                <w:rFonts w:ascii="Arial" w:cs="Arial" w:eastAsia="Arial" w:hAnsi="Arial"/>
                <w:sz w:val="11"/>
                <w:szCs w:val="11"/>
                <w:color w:val="auto"/>
              </w:rPr>
              <w:t>19,001,066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20,582,065</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QUEEN ANNE PLAZA (Massachusetts)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3,319,000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8,457,000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3,000,898</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3,319,148</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11,457,898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14,777,046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QUINCE ORCHARD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3,197,000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7,949,000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7,966,391</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2,928,242</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16,184,149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19,112,391</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ROLLINGWOOD APTS.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552,000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2,246,000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3,889,931</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572,160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6,115,771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6,687,931</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RUTGERS (New Jersey)</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12,887,000</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14,429,000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1,495,622</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15,924,622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15,924,622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shd w:val="clear" w:color="auto" w:fill="EEEEEE"/>
          </w:tcPr>
          <w:p>
            <w:pPr>
              <w:spacing w:after="0" w:line="112" w:lineRule="exact"/>
              <w:rPr>
                <w:sz w:val="20"/>
                <w:szCs w:val="20"/>
                <w:color w:val="auto"/>
              </w:rPr>
            </w:pPr>
            <w:r>
              <w:rPr>
                <w:rFonts w:ascii="Arial" w:cs="Arial" w:eastAsia="Arial" w:hAnsi="Arial"/>
                <w:sz w:val="11"/>
                <w:szCs w:val="11"/>
                <w:color w:val="auto"/>
              </w:rPr>
              <w:t>SAM’S PARK &amp; SHOP (District of</w:t>
            </w:r>
          </w:p>
        </w:tc>
        <w:tc>
          <w:tcPr>
            <w:tcW w:w="140" w:type="dxa"/>
            <w:vAlign w:val="bottom"/>
            <w:tcBorders>
              <w:right w:val="single" w:sz="8" w:color="EEEEEE"/>
            </w:tcBorders>
            <w:shd w:val="clear" w:color="auto" w:fill="EEEEEE"/>
          </w:tcPr>
          <w:p>
            <w:pPr>
              <w:spacing w:after="0"/>
              <w:rPr>
                <w:sz w:val="9"/>
                <w:szCs w:val="9"/>
                <w:color w:val="auto"/>
              </w:rPr>
            </w:pPr>
          </w:p>
        </w:tc>
        <w:tc>
          <w:tcPr>
            <w:tcW w:w="54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40" w:type="dxa"/>
            <w:vAlign w:val="bottom"/>
            <w:tcBorders>
              <w:right w:val="single" w:sz="8" w:color="EEEEEE"/>
            </w:tcBorders>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40" w:type="dxa"/>
            <w:vAlign w:val="bottom"/>
            <w:tcBorders>
              <w:right w:val="single" w:sz="8" w:color="EEEEEE"/>
            </w:tcBorders>
            <w:shd w:val="clear" w:color="auto" w:fill="EEEEEE"/>
          </w:tcPr>
          <w:p>
            <w:pPr>
              <w:spacing w:after="0"/>
              <w:rPr>
                <w:sz w:val="9"/>
                <w:szCs w:val="9"/>
                <w:color w:val="auto"/>
              </w:rPr>
            </w:pPr>
          </w:p>
        </w:tc>
        <w:tc>
          <w:tcPr>
            <w:tcW w:w="480" w:type="dxa"/>
            <w:vAlign w:val="bottom"/>
            <w:shd w:val="clear" w:color="auto" w:fill="EEEEEE"/>
          </w:tcPr>
          <w:p>
            <w:pPr>
              <w:spacing w:after="0"/>
              <w:rPr>
                <w:sz w:val="9"/>
                <w:szCs w:val="9"/>
                <w:color w:val="auto"/>
              </w:rPr>
            </w:pPr>
          </w:p>
        </w:tc>
        <w:tc>
          <w:tcPr>
            <w:tcW w:w="8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320" w:type="dxa"/>
            <w:vAlign w:val="bottom"/>
            <w:tcBorders>
              <w:right w:val="single" w:sz="8" w:color="EEEEEE"/>
            </w:tcBorders>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540" w:type="dxa"/>
            <w:vAlign w:val="bottom"/>
            <w:tcBorders>
              <w:right w:val="single" w:sz="8" w:color="EEEEEE"/>
            </w:tcBorders>
            <w:shd w:val="clear" w:color="auto" w:fill="EEEEEE"/>
          </w:tcPr>
          <w:p>
            <w:pPr>
              <w:spacing w:after="0"/>
              <w:rPr>
                <w:sz w:val="9"/>
                <w:szCs w:val="9"/>
                <w:color w:val="auto"/>
              </w:rPr>
            </w:pPr>
          </w:p>
        </w:tc>
        <w:tc>
          <w:tcPr>
            <w:tcW w:w="32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3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620" w:type="dxa"/>
            <w:vAlign w:val="bottom"/>
            <w:shd w:val="clear" w:color="auto" w:fill="EEEEEE"/>
          </w:tcPr>
          <w:p>
            <w:pPr>
              <w:spacing w:after="0"/>
              <w:rPr>
                <w:sz w:val="9"/>
                <w:szCs w:val="9"/>
                <w:color w:val="auto"/>
              </w:rPr>
            </w:pPr>
          </w:p>
        </w:tc>
        <w:tc>
          <w:tcPr>
            <w:tcW w:w="360" w:type="dxa"/>
            <w:vAlign w:val="bottom"/>
            <w:shd w:val="clear" w:color="auto" w:fill="EEEEE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shd w:val="clear" w:color="auto" w:fill="EEEEEE"/>
          </w:tcPr>
          <w:p>
            <w:pPr>
              <w:ind w:left="120"/>
              <w:spacing w:after="0"/>
              <w:rPr>
                <w:sz w:val="20"/>
                <w:szCs w:val="20"/>
                <w:color w:val="auto"/>
              </w:rPr>
            </w:pPr>
            <w:r>
              <w:rPr>
                <w:rFonts w:ascii="Arial" w:cs="Arial" w:eastAsia="Arial" w:hAnsi="Arial"/>
                <w:sz w:val="11"/>
                <w:szCs w:val="11"/>
                <w:color w:val="auto"/>
              </w:rPr>
              <w:t>Columbia)</w:t>
            </w:r>
          </w:p>
        </w:tc>
        <w:tc>
          <w:tcPr>
            <w:tcW w:w="14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8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4,840,000</w:t>
            </w:r>
          </w:p>
        </w:tc>
        <w:tc>
          <w:tcPr>
            <w:tcW w:w="11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6,319,000</w:t>
            </w:r>
          </w:p>
        </w:tc>
        <w:tc>
          <w:tcPr>
            <w:tcW w:w="8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4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626,900</w:t>
            </w:r>
          </w:p>
        </w:tc>
        <w:tc>
          <w:tcPr>
            <w:tcW w:w="180" w:type="dxa"/>
            <w:vAlign w:val="bottom"/>
            <w:shd w:val="clear" w:color="auto" w:fill="EEEEEE"/>
          </w:tcPr>
          <w:p>
            <w:pPr>
              <w:spacing w:after="0"/>
              <w:rPr>
                <w:sz w:val="11"/>
                <w:szCs w:val="11"/>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1"/>
                <w:szCs w:val="11"/>
                <w:color w:val="auto"/>
              </w:rPr>
              <w:t>4,840,000</w:t>
            </w:r>
          </w:p>
        </w:tc>
        <w:tc>
          <w:tcPr>
            <w:tcW w:w="1540" w:type="dxa"/>
            <w:vAlign w:val="bottom"/>
            <w:gridSpan w:val="5"/>
            <w:shd w:val="clear" w:color="auto" w:fill="EEEEEE"/>
          </w:tcPr>
          <w:p>
            <w:pPr>
              <w:jc w:val="right"/>
              <w:spacing w:after="0"/>
              <w:rPr>
                <w:sz w:val="20"/>
                <w:szCs w:val="20"/>
                <w:color w:val="auto"/>
              </w:rPr>
            </w:pPr>
            <w:r>
              <w:rPr>
                <w:rFonts w:ascii="Arial" w:cs="Arial" w:eastAsia="Arial" w:hAnsi="Arial"/>
                <w:sz w:val="11"/>
                <w:szCs w:val="11"/>
                <w:color w:val="auto"/>
              </w:rPr>
              <w:t>6,945,900</w:t>
            </w: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180" w:type="dxa"/>
            <w:vAlign w:val="bottom"/>
            <w:gridSpan w:val="4"/>
            <w:shd w:val="clear" w:color="auto" w:fill="EEEEEE"/>
          </w:tcPr>
          <w:p>
            <w:pPr>
              <w:jc w:val="right"/>
              <w:spacing w:after="0"/>
              <w:rPr>
                <w:sz w:val="20"/>
                <w:szCs w:val="20"/>
                <w:color w:val="auto"/>
              </w:rPr>
            </w:pPr>
            <w:r>
              <w:rPr>
                <w:rFonts w:ascii="Arial" w:cs="Arial" w:eastAsia="Arial" w:hAnsi="Arial"/>
                <w:sz w:val="11"/>
                <w:szCs w:val="11"/>
                <w:color w:val="auto"/>
              </w:rPr>
              <w:t>11,785,900</w:t>
            </w:r>
          </w:p>
        </w:tc>
        <w:tc>
          <w:tcPr>
            <w:tcW w:w="3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SAUGUS (Massachusetts)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4,383,000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8,291,000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509,805</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4,383,000</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8,800,805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13,183,805</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SHIRLINGTON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9,761,000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14,808,000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8,693,336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9,815,093</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23,447,243</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33,262,336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SOUTH VALLEY SHOPPING CENTER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(Virginia)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4"/>
          </w:tcPr>
          <w:p>
            <w:pPr>
              <w:jc w:val="right"/>
              <w:spacing w:after="0"/>
              <w:rPr>
                <w:sz w:val="20"/>
                <w:szCs w:val="20"/>
                <w:color w:val="auto"/>
              </w:rPr>
            </w:pPr>
            <w:r>
              <w:rPr>
                <w:rFonts w:ascii="Arial" w:cs="Arial" w:eastAsia="Arial" w:hAnsi="Arial"/>
                <w:sz w:val="11"/>
                <w:szCs w:val="11"/>
                <w:color w:val="auto"/>
              </w:rPr>
              <w:t>9,043,035</w:t>
            </w:r>
          </w:p>
        </w:tc>
        <w:tc>
          <w:tcPr>
            <w:tcW w:w="1140" w:type="dxa"/>
            <w:vAlign w:val="bottom"/>
            <w:gridSpan w:val="4"/>
          </w:tcPr>
          <w:p>
            <w:pPr>
              <w:jc w:val="right"/>
              <w:spacing w:after="0"/>
              <w:rPr>
                <w:sz w:val="20"/>
                <w:szCs w:val="20"/>
                <w:color w:val="auto"/>
              </w:rPr>
            </w:pPr>
            <w:r>
              <w:rPr>
                <w:rFonts w:ascii="Arial" w:cs="Arial" w:eastAsia="Arial" w:hAnsi="Arial"/>
                <w:sz w:val="11"/>
                <w:szCs w:val="11"/>
                <w:color w:val="auto"/>
              </w:rPr>
              <w:t>5,082,062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jc w:val="right"/>
              <w:spacing w:after="0"/>
              <w:rPr>
                <w:sz w:val="20"/>
                <w:szCs w:val="20"/>
                <w:color w:val="auto"/>
              </w:rPr>
            </w:pPr>
            <w:r>
              <w:rPr>
                <w:rFonts w:ascii="Arial" w:cs="Arial" w:eastAsia="Arial" w:hAnsi="Arial"/>
                <w:sz w:val="11"/>
                <w:szCs w:val="11"/>
                <w:color w:val="auto"/>
              </w:rPr>
              <w:t>168,404</w:t>
            </w:r>
          </w:p>
        </w:tc>
        <w:tc>
          <w:tcPr>
            <w:tcW w:w="18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9,043,035</w:t>
            </w:r>
          </w:p>
        </w:tc>
        <w:tc>
          <w:tcPr>
            <w:tcW w:w="1540" w:type="dxa"/>
            <w:vAlign w:val="bottom"/>
            <w:gridSpan w:val="5"/>
          </w:tcPr>
          <w:p>
            <w:pPr>
              <w:jc w:val="right"/>
              <w:spacing w:after="0"/>
              <w:rPr>
                <w:sz w:val="20"/>
                <w:szCs w:val="20"/>
                <w:color w:val="auto"/>
              </w:rPr>
            </w:pPr>
            <w:r>
              <w:rPr>
                <w:rFonts w:ascii="Arial" w:cs="Arial" w:eastAsia="Arial" w:hAnsi="Arial"/>
                <w:sz w:val="11"/>
                <w:szCs w:val="11"/>
                <w:color w:val="auto"/>
              </w:rPr>
              <w:t>5,250,466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right"/>
              <w:spacing w:after="0"/>
              <w:rPr>
                <w:sz w:val="20"/>
                <w:szCs w:val="20"/>
                <w:color w:val="auto"/>
              </w:rPr>
            </w:pPr>
            <w:r>
              <w:rPr>
                <w:rFonts w:ascii="Arial" w:cs="Arial" w:eastAsia="Arial" w:hAnsi="Arial"/>
                <w:sz w:val="11"/>
                <w:szCs w:val="11"/>
                <w:color w:val="auto"/>
              </w:rPr>
              <w:t>14,293,501</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41,969,000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1,161,000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376,732,114</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41,968,500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334,763,614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376,732,114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TEXAS RETAIL BUILDINGS (9)</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230,000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14,680,000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1,976,000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43,693,746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14,679,954</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45,669,792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60,349,746</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TOWER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7,170,000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10,518,000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767,369</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7,128,653</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11,326,716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18,455,369</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TROY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3,126,000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5,193,000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12,193,796</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3,125,728</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17,386,796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20,512,524</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TYSONS STATION (Virginia)</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6,752,000</w:t>
            </w: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388,000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453,000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2,510,443</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474,542</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2,876,901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3,351,443</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WILDWOOD (Maryland)</w:t>
            </w: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27,551,000</w:t>
            </w: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9,111,000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1,061,000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6,411,780</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9,110,822</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7,472,780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16,583,602</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WILLOW GROVE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1,499,000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6,643,000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18,119,984</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1,498,560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24,762,984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26,261,544</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WILLOW LAWN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3,192,000</w:t>
            </w:r>
          </w:p>
        </w:tc>
        <w:tc>
          <w:tcPr>
            <w:tcW w:w="11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7,723,000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49,975,061</w:t>
            </w:r>
          </w:p>
        </w:tc>
        <w:tc>
          <w:tcPr>
            <w:tcW w:w="18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7,790,283</w:t>
            </w:r>
          </w:p>
        </w:tc>
        <w:tc>
          <w:tcPr>
            <w:tcW w:w="1540" w:type="dxa"/>
            <w:vAlign w:val="bottom"/>
            <w:gridSpan w:val="5"/>
          </w:tcPr>
          <w:p>
            <w:pPr>
              <w:jc w:val="right"/>
              <w:spacing w:after="0" w:line="122" w:lineRule="exact"/>
              <w:rPr>
                <w:sz w:val="20"/>
                <w:szCs w:val="20"/>
                <w:color w:val="auto"/>
              </w:rPr>
            </w:pPr>
            <w:r>
              <w:rPr>
                <w:rFonts w:ascii="Arial" w:cs="Arial" w:eastAsia="Arial" w:hAnsi="Arial"/>
                <w:sz w:val="11"/>
                <w:szCs w:val="11"/>
                <w:color w:val="auto"/>
              </w:rPr>
              <w:t>53,099,778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60,890,061</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WYNNEWOOD (Pennsylvania)</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rPr>
              <w:t>31,943,000</w:t>
            </w:r>
          </w:p>
        </w:tc>
        <w:tc>
          <w:tcPr>
            <w:tcW w:w="360" w:type="dxa"/>
            <w:vAlign w:val="bottom"/>
            <w:shd w:val="clear" w:color="auto" w:fill="EEEEEE"/>
          </w:tcPr>
          <w:p>
            <w:pPr>
              <w:spacing w:after="0"/>
              <w:rPr>
                <w:sz w:val="10"/>
                <w:szCs w:val="10"/>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8,055,000</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13,759,000</w:t>
            </w: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13,436,507</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8,055,000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27,195,507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35,250,507</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DEVELOPMENT PROJECTS: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ind w:left="120"/>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40" w:type="dxa"/>
            <w:vAlign w:val="bottom"/>
            <w:tcBorders>
              <w:right w:val="single" w:sz="8" w:color="EEEEEE"/>
            </w:tcBorders>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73,411,286</w:t>
            </w:r>
          </w:p>
        </w:tc>
        <w:tc>
          <w:tcPr>
            <w:tcW w:w="180" w:type="dxa"/>
            <w:vAlign w:val="bottom"/>
            <w:shd w:val="clear" w:color="auto" w:fill="EEEEEE"/>
          </w:tcPr>
          <w:p>
            <w:pPr>
              <w:spacing w:after="0"/>
              <w:rPr>
                <w:sz w:val="10"/>
                <w:szCs w:val="10"/>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0</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74,572,286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74,572,286</w:t>
            </w:r>
          </w:p>
        </w:tc>
        <w:tc>
          <w:tcPr>
            <w:tcW w:w="360" w:type="dxa"/>
            <w:vAlign w:val="bottom"/>
            <w:shd w:val="clear" w:color="auto" w:fill="EEEEE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1"/>
                <w:szCs w:val="11"/>
                <w:color w:val="auto"/>
              </w:rPr>
              <w:t>Adj in consolidation trust acq cost Misc.</w:t>
            </w:r>
          </w:p>
        </w:tc>
        <w:tc>
          <w:tcPr>
            <w:tcW w:w="14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tcPr>
          <w:p>
            <w:pPr>
              <w:spacing w:after="0"/>
              <w:rPr>
                <w:sz w:val="12"/>
                <w:szCs w:val="12"/>
                <w:color w:val="auto"/>
              </w:rPr>
            </w:pPr>
          </w:p>
        </w:tc>
        <w:tc>
          <w:tcPr>
            <w:tcW w:w="620" w:type="dxa"/>
            <w:vAlign w:val="bottom"/>
            <w:tcBorders>
              <w:bottom w:val="single" w:sz="8" w:color="808080"/>
            </w:tcBorders>
          </w:tcPr>
          <w:p>
            <w:pPr>
              <w:jc w:val="right"/>
              <w:spacing w:after="0"/>
              <w:rPr>
                <w:sz w:val="20"/>
                <w:szCs w:val="20"/>
                <w:color w:val="auto"/>
              </w:rPr>
            </w:pPr>
            <w:r>
              <w:rPr>
                <w:rFonts w:ascii="Arial" w:cs="Arial" w:eastAsia="Arial" w:hAnsi="Arial"/>
                <w:sz w:val="11"/>
                <w:szCs w:val="11"/>
                <w:color w:val="auto"/>
              </w:rPr>
              <w:t>11,552</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TOTALS</w:t>
            </w:r>
          </w:p>
        </w:tc>
        <w:tc>
          <w:tcPr>
            <w:tcW w:w="680" w:type="dxa"/>
            <w:vAlign w:val="bottom"/>
            <w:gridSpan w:val="2"/>
            <w:shd w:val="clear" w:color="auto" w:fill="EEEEEE"/>
          </w:tcPr>
          <w:p>
            <w:pPr>
              <w:jc w:val="right"/>
              <w:spacing w:after="0" w:line="122" w:lineRule="exact"/>
              <w:rPr>
                <w:sz w:val="20"/>
                <w:szCs w:val="20"/>
                <w:color w:val="auto"/>
              </w:rPr>
            </w:pPr>
            <w:r>
              <w:rPr>
                <w:rFonts w:ascii="Arial" w:cs="Arial" w:eastAsia="Arial" w:hAnsi="Arial"/>
                <w:sz w:val="11"/>
                <w:szCs w:val="11"/>
                <w:color w:val="auto"/>
                <w:w w:val="98"/>
              </w:rPr>
              <w:t>$414,357,000</w:t>
            </w:r>
          </w:p>
        </w:tc>
        <w:tc>
          <w:tcPr>
            <w:tcW w:w="360" w:type="dxa"/>
            <w:vAlign w:val="bottom"/>
            <w:shd w:val="clear" w:color="auto" w:fill="EEEEEE"/>
          </w:tcPr>
          <w:p>
            <w:pPr>
              <w:spacing w:after="0"/>
              <w:rPr>
                <w:sz w:val="11"/>
                <w:szCs w:val="11"/>
                <w:color w:val="auto"/>
              </w:rPr>
            </w:pPr>
          </w:p>
        </w:tc>
        <w:tc>
          <w:tcPr>
            <w:tcW w:w="8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$435,623,374</w:t>
            </w:r>
          </w:p>
        </w:tc>
        <w:tc>
          <w:tcPr>
            <w:tcW w:w="11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$840,212,580</w:t>
            </w:r>
          </w:p>
        </w:tc>
        <w:tc>
          <w:tcPr>
            <w:tcW w:w="8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4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$1,361,930,013</w:t>
            </w:r>
          </w:p>
        </w:tc>
        <w:tc>
          <w:tcPr>
            <w:tcW w:w="180" w:type="dxa"/>
            <w:vAlign w:val="bottom"/>
            <w:shd w:val="clear" w:color="auto" w:fill="EEEEEE"/>
          </w:tcPr>
          <w:p>
            <w:pPr>
              <w:spacing w:after="0"/>
              <w:rPr>
                <w:sz w:val="11"/>
                <w:szCs w:val="11"/>
                <w:color w:val="auto"/>
              </w:rPr>
            </w:pPr>
          </w:p>
        </w:tc>
        <w:tc>
          <w:tcPr>
            <w:tcW w:w="1180" w:type="dxa"/>
            <w:vAlign w:val="bottom"/>
            <w:tcBorders>
              <w:right w:val="single" w:sz="8" w:color="EEEEEE"/>
            </w:tcBorders>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$416,875,971</w:t>
            </w:r>
          </w:p>
        </w:tc>
        <w:tc>
          <w:tcPr>
            <w:tcW w:w="1540" w:type="dxa"/>
            <w:vAlign w:val="bottom"/>
            <w:gridSpan w:val="5"/>
            <w:shd w:val="clear" w:color="auto" w:fill="EEEEEE"/>
          </w:tcPr>
          <w:p>
            <w:pPr>
              <w:jc w:val="right"/>
              <w:spacing w:after="0" w:line="122" w:lineRule="exact"/>
              <w:rPr>
                <w:sz w:val="20"/>
                <w:szCs w:val="20"/>
                <w:color w:val="auto"/>
              </w:rPr>
            </w:pPr>
            <w:r>
              <w:rPr>
                <w:rFonts w:ascii="Arial" w:cs="Arial" w:eastAsia="Arial" w:hAnsi="Arial"/>
                <w:sz w:val="11"/>
                <w:szCs w:val="11"/>
                <w:color w:val="auto"/>
              </w:rPr>
              <w:t>$2,053,262,293</w:t>
            </w: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180" w:type="dxa"/>
            <w:vAlign w:val="bottom"/>
            <w:gridSpan w:val="4"/>
            <w:shd w:val="clear" w:color="auto" w:fill="EEEEEE"/>
          </w:tcPr>
          <w:p>
            <w:pPr>
              <w:jc w:val="right"/>
              <w:spacing w:after="0" w:line="122" w:lineRule="exact"/>
              <w:rPr>
                <w:sz w:val="20"/>
                <w:szCs w:val="20"/>
                <w:color w:val="auto"/>
              </w:rPr>
            </w:pPr>
            <w:r>
              <w:rPr>
                <w:rFonts w:ascii="Arial" w:cs="Arial" w:eastAsia="Arial" w:hAnsi="Arial"/>
                <w:sz w:val="11"/>
                <w:szCs w:val="11"/>
                <w:color w:val="auto"/>
              </w:rPr>
              <w:t>$2,470,149,816</w:t>
            </w:r>
          </w:p>
        </w:tc>
        <w:tc>
          <w:tcPr>
            <w:tcW w:w="3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ind w:left="40"/>
              <w:spacing w:after="0"/>
              <w:rPr>
                <w:sz w:val="20"/>
                <w:szCs w:val="20"/>
                <w:color w:val="auto"/>
              </w:rPr>
            </w:pPr>
            <w:r>
              <w:rPr>
                <w:rFonts w:ascii="Arial" w:cs="Arial" w:eastAsia="Arial" w:hAnsi="Arial"/>
                <w:sz w:val="11"/>
                <w:szCs w:val="11"/>
                <w:color w:val="auto"/>
                <w:w w:val="93"/>
              </w:rPr>
              <w:t>[Additional columns below]</w:t>
            </w:r>
          </w:p>
        </w:tc>
        <w:tc>
          <w:tcPr>
            <w:tcW w:w="0" w:type="dxa"/>
            <w:vAlign w:val="bottom"/>
          </w:tcPr>
          <w:p>
            <w:pPr>
              <w:spacing w:after="0"/>
              <w:rPr>
                <w:sz w:val="1"/>
                <w:szCs w:val="1"/>
                <w:color w:val="auto"/>
              </w:rPr>
            </w:pPr>
          </w:p>
        </w:tc>
      </w:tr>
      <w:tr>
        <w:trPr>
          <w:trHeight w:val="230"/>
        </w:trPr>
        <w:tc>
          <w:tcPr>
            <w:tcW w:w="3200" w:type="dxa"/>
            <w:vAlign w:val="bottom"/>
            <w:gridSpan w:val="7"/>
          </w:tcPr>
          <w:p>
            <w:pPr>
              <w:spacing w:after="0"/>
              <w:rPr>
                <w:sz w:val="20"/>
                <w:szCs w:val="20"/>
                <w:color w:val="auto"/>
              </w:rPr>
            </w:pPr>
            <w:r>
              <w:rPr>
                <w:rFonts w:ascii="Arial" w:cs="Arial" w:eastAsia="Arial" w:hAnsi="Arial"/>
                <w:sz w:val="11"/>
                <w:szCs w:val="11"/>
                <w:color w:val="auto"/>
              </w:rPr>
              <w:t>[Continued from above table, first column(s) repeated]</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140" w:type="dxa"/>
            <w:vAlign w:val="bottom"/>
            <w:gridSpan w:val="3"/>
          </w:tcPr>
          <w:p>
            <w:pPr>
              <w:ind w:left="1460"/>
              <w:spacing w:after="0"/>
              <w:rPr>
                <w:sz w:val="20"/>
                <w:szCs w:val="20"/>
                <w:color w:val="auto"/>
              </w:rPr>
            </w:pPr>
            <w:r>
              <w:rPr>
                <w:rFonts w:ascii="Arial" w:cs="Arial" w:eastAsia="Arial" w:hAnsi="Arial"/>
                <w:sz w:val="11"/>
                <w:szCs w:val="11"/>
                <w:b w:val="1"/>
                <w:bCs w:val="1"/>
                <w:color w:val="auto"/>
              </w:rPr>
              <w:t>COLUMN A</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COLUMN F</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4"/>
          </w:tcPr>
          <w:p>
            <w:pPr>
              <w:jc w:val="center"/>
              <w:ind w:right="406"/>
              <w:spacing w:after="0"/>
              <w:rPr>
                <w:sz w:val="20"/>
                <w:szCs w:val="20"/>
                <w:color w:val="auto"/>
              </w:rPr>
            </w:pPr>
            <w:r>
              <w:rPr>
                <w:rFonts w:ascii="Arial" w:cs="Arial" w:eastAsia="Arial" w:hAnsi="Arial"/>
                <w:sz w:val="11"/>
                <w:szCs w:val="11"/>
                <w:b w:val="1"/>
                <w:bCs w:val="1"/>
                <w:color w:val="auto"/>
              </w:rPr>
              <w:t>COLUMN G</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rPr>
              <w:t>COLUMN 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rPr>
              <w:t>COLUMN I</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8"/>
              </w:rPr>
              <w:t>Life on which</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3"/>
              </w:rPr>
              <w:t>Accumulated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4"/>
          </w:tcPr>
          <w:p>
            <w:pPr>
              <w:jc w:val="center"/>
              <w:ind w:right="426"/>
              <w:spacing w:after="0" w:line="122" w:lineRule="exact"/>
              <w:rPr>
                <w:sz w:val="20"/>
                <w:szCs w:val="20"/>
                <w:color w:val="auto"/>
              </w:rPr>
            </w:pPr>
            <w:r>
              <w:rPr>
                <w:rFonts w:ascii="Arial" w:cs="Arial" w:eastAsia="Arial" w:hAnsi="Arial"/>
                <w:sz w:val="11"/>
                <w:szCs w:val="11"/>
                <w:b w:val="1"/>
                <w:bCs w:val="1"/>
                <w:color w:val="auto"/>
                <w:w w:val="92"/>
              </w:rPr>
              <w:t>Date</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0"/>
              <w:spacing w:after="0" w:line="122" w:lineRule="exact"/>
              <w:rPr>
                <w:sz w:val="20"/>
                <w:szCs w:val="20"/>
                <w:color w:val="auto"/>
              </w:rPr>
            </w:pPr>
            <w:r>
              <w:rPr>
                <w:rFonts w:ascii="Arial" w:cs="Arial" w:eastAsia="Arial" w:hAnsi="Arial"/>
                <w:sz w:val="11"/>
                <w:szCs w:val="11"/>
                <w:b w:val="1"/>
                <w:bCs w:val="1"/>
                <w:color w:val="auto"/>
                <w:w w:val="89"/>
              </w:rPr>
              <w:t>depreciation in latest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7"/>
              </w:rPr>
              <w:t>Depreciation and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666"/>
              <w:spacing w:after="0" w:line="122" w:lineRule="exact"/>
              <w:rPr>
                <w:sz w:val="20"/>
                <w:szCs w:val="20"/>
                <w:color w:val="auto"/>
              </w:rPr>
            </w:pPr>
            <w:r>
              <w:rPr>
                <w:rFonts w:ascii="Arial" w:cs="Arial" w:eastAsia="Arial" w:hAnsi="Arial"/>
                <w:sz w:val="11"/>
                <w:szCs w:val="11"/>
                <w:b w:val="1"/>
                <w:bCs w:val="1"/>
                <w:color w:val="auto"/>
                <w:w w:val="95"/>
              </w:rPr>
              <w:t>of</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3"/>
          </w:tcPr>
          <w:p>
            <w:pPr>
              <w:jc w:val="center"/>
              <w:ind w:right="680"/>
              <w:spacing w:after="0" w:line="122" w:lineRule="exact"/>
              <w:rPr>
                <w:sz w:val="20"/>
                <w:szCs w:val="20"/>
                <w:color w:val="auto"/>
              </w:rPr>
            </w:pPr>
            <w:r>
              <w:rPr>
                <w:rFonts w:ascii="Arial" w:cs="Arial" w:eastAsia="Arial" w:hAnsi="Arial"/>
                <w:sz w:val="11"/>
                <w:szCs w:val="11"/>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tcPr>
          <w:p>
            <w:pPr>
              <w:jc w:val="center"/>
              <w:ind w:right="20"/>
              <w:spacing w:after="0" w:line="122" w:lineRule="exact"/>
              <w:rPr>
                <w:sz w:val="20"/>
                <w:szCs w:val="20"/>
                <w:color w:val="auto"/>
              </w:rPr>
            </w:pPr>
            <w:r>
              <w:rPr>
                <w:rFonts w:ascii="Arial" w:cs="Arial" w:eastAsia="Arial" w:hAnsi="Arial"/>
                <w:sz w:val="11"/>
                <w:szCs w:val="11"/>
                <w:b w:val="1"/>
                <w:bCs w:val="1"/>
                <w:color w:val="auto"/>
                <w:w w:val="86"/>
              </w:rPr>
              <w:t>income statements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40" w:type="dxa"/>
            <w:vAlign w:val="bottom"/>
            <w:gridSpan w:val="3"/>
          </w:tcPr>
          <w:p>
            <w:pPr>
              <w:ind w:left="1480"/>
              <w:spacing w:after="0"/>
              <w:rPr>
                <w:sz w:val="20"/>
                <w:szCs w:val="20"/>
                <w:color w:val="auto"/>
              </w:rPr>
            </w:pPr>
            <w:r>
              <w:rPr>
                <w:rFonts w:ascii="Arial" w:cs="Arial" w:eastAsia="Arial" w:hAnsi="Arial"/>
                <w:sz w:val="11"/>
                <w:szCs w:val="11"/>
                <w:b w:val="1"/>
                <w:bCs w:val="1"/>
                <w:color w:val="auto"/>
                <w:w w:val="95"/>
              </w:rPr>
              <w:t>Descriptions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6"/>
              </w:rPr>
              <w:t>Amortization</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4"/>
          </w:tcPr>
          <w:p>
            <w:pPr>
              <w:jc w:val="center"/>
              <w:ind w:right="426"/>
              <w:spacing w:after="0"/>
              <w:rPr>
                <w:sz w:val="20"/>
                <w:szCs w:val="20"/>
                <w:color w:val="auto"/>
              </w:rPr>
            </w:pPr>
            <w:r>
              <w:rPr>
                <w:rFonts w:ascii="Arial" w:cs="Arial" w:eastAsia="Arial" w:hAnsi="Arial"/>
                <w:sz w:val="11"/>
                <w:szCs w:val="11"/>
                <w:b w:val="1"/>
                <w:bCs w:val="1"/>
                <w:color w:val="auto"/>
                <w:w w:val="90"/>
              </w:rPr>
              <w:t>Construction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4"/>
          </w:tcPr>
          <w:p>
            <w:pPr>
              <w:jc w:val="center"/>
              <w:ind w:right="320"/>
              <w:spacing w:after="0"/>
              <w:rPr>
                <w:sz w:val="20"/>
                <w:szCs w:val="20"/>
                <w:color w:val="auto"/>
              </w:rPr>
            </w:pPr>
            <w:r>
              <w:rPr>
                <w:rFonts w:ascii="Arial" w:cs="Arial" w:eastAsia="Arial" w:hAnsi="Arial"/>
                <w:sz w:val="11"/>
                <w:szCs w:val="11"/>
                <w:b w:val="1"/>
                <w:bCs w:val="1"/>
                <w:color w:val="auto"/>
                <w:w w:val="92"/>
              </w:rPr>
              <w:t>Acquired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1"/>
                <w:szCs w:val="11"/>
                <w:b w:val="1"/>
                <w:bCs w:val="1"/>
                <w:color w:val="auto"/>
                <w:w w:val="83"/>
              </w:rPr>
              <w:t>is computed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140" w:type="dxa"/>
            <w:vAlign w:val="bottom"/>
            <w:tcBorders>
              <w:bottom w:val="single" w:sz="8" w:color="808080"/>
            </w:tcBorders>
            <w:gridSpan w:val="3"/>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gridSpan w:val="3"/>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gridSpan w:val="3"/>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tcBorders>
              <w:bottom w:val="single" w:sz="8" w:color="808080"/>
            </w:tcBorders>
            <w:gridSpan w:val="4"/>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MAGRUDERS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1,037,021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1955</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12/17/97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MERCER MALL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611,396</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12/4/03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tcPr>
          <w:p>
            <w:pPr>
              <w:jc w:val="center"/>
              <w:spacing w:after="0" w:line="122" w:lineRule="exact"/>
              <w:rPr>
                <w:sz w:val="20"/>
                <w:szCs w:val="20"/>
                <w:color w:val="auto"/>
              </w:rPr>
            </w:pPr>
            <w:r>
              <w:rPr>
                <w:rFonts w:ascii="Arial" w:cs="Arial" w:eastAsia="Arial" w:hAnsi="Arial"/>
                <w:sz w:val="11"/>
                <w:szCs w:val="11"/>
                <w:color w:val="auto"/>
                <w:w w:val="86"/>
              </w:rPr>
              <w:t>35 years-50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MID PIKE PLAZA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9,733,402</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1963</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05/18/82</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MOUNT VERNON PLAZA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420,357</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3/31/03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NEW YORK RETAIL BUILDINGS (3)</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2,534,887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1937 - 1987</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12/16/97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NORTHEAST (Pennsylvania)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11,565,958</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1959</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08/30/83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NORTH LAKE COMMONS (Illinois)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2,927,225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1989</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04/27/94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OLD KEENE MILL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3,624,104</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1968</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06/15/76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89"/>
              </w:rPr>
              <w:t>33 1/3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OLD TOWN CENTER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5,425,367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1997-1998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10/22/97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PAN AM SHOPPING CENTER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6,392,970</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1979</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02/05/93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PENTAGON ROW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6,673,815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1998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PERRING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11,624,174</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10/01/85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PIKE 7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5,012,239</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03/31/97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w w:val="97"/>
              </w:rPr>
              <w:t>FR PLAZA DEL MERCADO, LLC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45,095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2,003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10/31/03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QUEEN ANNE PLAZA (Massachusetts)</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4,101,476</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1967</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12/23/94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QUINCE ORCHARD PLAZA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6,696,268</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1975</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04/22/93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ROLLINGWOOD APTS. (Maryland)</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6,052,622</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1960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01/15/71</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25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RUTGERS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7,030,201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1973</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12/12/88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w w:val="97"/>
              </w:rPr>
              <w:t>SAM’S PARK &amp; SHOP (District of Columbia)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1,864,897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1930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12/01/95</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SAUGUS (Massachusetts)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1,953,413</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1976</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10/01/96</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SHIRLINGTON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5,061,861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1940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12/21/95</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40" w:type="dxa"/>
            <w:vAlign w:val="bottom"/>
            <w:gridSpan w:val="3"/>
          </w:tcPr>
          <w:p>
            <w:pPr>
              <w:spacing w:after="0" w:line="112" w:lineRule="exact"/>
              <w:rPr>
                <w:sz w:val="20"/>
                <w:szCs w:val="20"/>
                <w:color w:val="auto"/>
              </w:rPr>
            </w:pPr>
            <w:r>
              <w:rPr>
                <w:rFonts w:ascii="Arial" w:cs="Arial" w:eastAsia="Arial" w:hAnsi="Arial"/>
                <w:sz w:val="11"/>
                <w:szCs w:val="11"/>
                <w:color w:val="auto"/>
              </w:rPr>
              <w:t>SOUTH VALLEY SHOPPING CENTER</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40" w:type="dxa"/>
            <w:vAlign w:val="bottom"/>
            <w:gridSpan w:val="3"/>
          </w:tcPr>
          <w:p>
            <w:pPr>
              <w:ind w:left="120"/>
              <w:spacing w:after="0"/>
              <w:rPr>
                <w:sz w:val="20"/>
                <w:szCs w:val="20"/>
                <w:color w:val="auto"/>
              </w:rPr>
            </w:pPr>
            <w:r>
              <w:rPr>
                <w:rFonts w:ascii="Arial" w:cs="Arial" w:eastAsia="Arial" w:hAnsi="Arial"/>
                <w:sz w:val="11"/>
                <w:szCs w:val="11"/>
                <w:color w:val="auto"/>
              </w:rPr>
              <w:t>(Virginia)</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5"/>
          </w:tcPr>
          <w:p>
            <w:pPr>
              <w:jc w:val="right"/>
              <w:ind w:right="20"/>
              <w:spacing w:after="0"/>
              <w:rPr>
                <w:sz w:val="20"/>
                <w:szCs w:val="20"/>
                <w:color w:val="auto"/>
              </w:rPr>
            </w:pPr>
            <w:r>
              <w:rPr>
                <w:rFonts w:ascii="Arial" w:cs="Arial" w:eastAsia="Arial" w:hAnsi="Arial"/>
                <w:sz w:val="11"/>
                <w:szCs w:val="11"/>
                <w:color w:val="auto"/>
              </w:rPr>
              <w:t>109,139</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1"/>
                <w:szCs w:val="11"/>
                <w:color w:val="auto"/>
              </w:rPr>
              <w:t>2,003</w:t>
            </w:r>
          </w:p>
        </w:tc>
        <w:tc>
          <w:tcPr>
            <w:tcW w:w="540" w:type="dxa"/>
            <w:vAlign w:val="bottom"/>
          </w:tcPr>
          <w:p>
            <w:pPr>
              <w:spacing w:after="0"/>
              <w:rPr>
                <w:sz w:val="11"/>
                <w:szCs w:val="11"/>
                <w:color w:val="auto"/>
              </w:rPr>
            </w:pPr>
          </w:p>
        </w:tc>
        <w:tc>
          <w:tcPr>
            <w:tcW w:w="1540" w:type="dxa"/>
            <w:vAlign w:val="bottom"/>
            <w:gridSpan w:val="5"/>
          </w:tcPr>
          <w:p>
            <w:pPr>
              <w:jc w:val="right"/>
              <w:ind w:right="186"/>
              <w:spacing w:after="0"/>
              <w:rPr>
                <w:sz w:val="20"/>
                <w:szCs w:val="20"/>
                <w:color w:val="auto"/>
              </w:rPr>
            </w:pPr>
            <w:r>
              <w:rPr>
                <w:rFonts w:ascii="Arial" w:cs="Arial" w:eastAsia="Arial" w:hAnsi="Arial"/>
                <w:sz w:val="11"/>
                <w:szCs w:val="11"/>
                <w:color w:val="auto"/>
              </w:rPr>
              <w:t>3/21/03</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1"/>
                <w:szCs w:val="11"/>
                <w:color w:val="auto"/>
                <w:w w:val="85"/>
              </w:rPr>
              <w:t>35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8,776,675</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03/05/97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TEXAS RETAIL BUILDINGS (9)</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2,631,199</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666"/>
              <w:spacing w:after="0" w:line="122" w:lineRule="exact"/>
              <w:rPr>
                <w:sz w:val="20"/>
                <w:szCs w:val="20"/>
                <w:color w:val="auto"/>
              </w:rPr>
            </w:pPr>
            <w:r>
              <w:rPr>
                <w:rFonts w:ascii="Arial" w:cs="Arial" w:eastAsia="Arial" w:hAnsi="Arial"/>
                <w:sz w:val="11"/>
                <w:szCs w:val="11"/>
                <w:color w:val="auto"/>
                <w:w w:val="91"/>
              </w:rPr>
              <w:t>var</w:t>
            </w: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1998-1999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TOWER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1,811,294</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1953-1960</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08/24/98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TROY (New Jersey)</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12,197,111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1966</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07/23/80</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22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TYSONS STATION (Virginia)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2,511,561</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1954</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01/17/78</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17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WILDWOOD (Maryland)</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6,217,473</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1958</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05/05/69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color w:val="auto"/>
                <w:w w:val="89"/>
              </w:rPr>
              <w:t>33 1/3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WILLOW GROVE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12,954,406</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1953</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11/20/84</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WILLOW LAWN (Virginia)</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20"/>
              <w:spacing w:after="0" w:line="122" w:lineRule="exact"/>
              <w:rPr>
                <w:sz w:val="20"/>
                <w:szCs w:val="20"/>
                <w:color w:val="auto"/>
              </w:rPr>
            </w:pPr>
            <w:r>
              <w:rPr>
                <w:rFonts w:ascii="Arial" w:cs="Arial" w:eastAsia="Arial" w:hAnsi="Arial"/>
                <w:sz w:val="11"/>
                <w:szCs w:val="11"/>
                <w:color w:val="auto"/>
              </w:rPr>
              <w:t>27,707,691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1957</w:t>
            </w:r>
          </w:p>
        </w:tc>
        <w:tc>
          <w:tcPr>
            <w:tcW w:w="540" w:type="dxa"/>
            <w:vAlign w:val="bottom"/>
          </w:tcPr>
          <w:p>
            <w:pPr>
              <w:spacing w:after="0"/>
              <w:rPr>
                <w:sz w:val="10"/>
                <w:szCs w:val="10"/>
                <w:color w:val="auto"/>
              </w:rPr>
            </w:pPr>
          </w:p>
        </w:tc>
        <w:tc>
          <w:tcPr>
            <w:tcW w:w="1540" w:type="dxa"/>
            <w:vAlign w:val="bottom"/>
            <w:gridSpan w:val="5"/>
          </w:tcPr>
          <w:p>
            <w:pPr>
              <w:jc w:val="right"/>
              <w:ind w:right="186"/>
              <w:spacing w:after="0" w:line="122" w:lineRule="exact"/>
              <w:rPr>
                <w:sz w:val="20"/>
                <w:szCs w:val="20"/>
                <w:color w:val="auto"/>
              </w:rPr>
            </w:pPr>
            <w:r>
              <w:rPr>
                <w:rFonts w:ascii="Arial" w:cs="Arial" w:eastAsia="Arial" w:hAnsi="Arial"/>
                <w:sz w:val="11"/>
                <w:szCs w:val="11"/>
                <w:color w:val="auto"/>
              </w:rPr>
              <w:t>12/05/83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WYNNEWOOD (Pennsylvania)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6,375,843</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1948</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10/29/96</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35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tcPr>
          <w:p>
            <w:pPr>
              <w:spacing w:after="0" w:line="122" w:lineRule="exact"/>
              <w:rPr>
                <w:sz w:val="20"/>
                <w:szCs w:val="20"/>
                <w:color w:val="auto"/>
              </w:rPr>
            </w:pPr>
            <w:r>
              <w:rPr>
                <w:rFonts w:ascii="Arial" w:cs="Arial" w:eastAsia="Arial" w:hAnsi="Arial"/>
                <w:sz w:val="11"/>
                <w:szCs w:val="11"/>
                <w:color w:val="auto"/>
              </w:rPr>
              <w:t>DEVELOPMENT PROJECTS:</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40" w:type="dxa"/>
            <w:vAlign w:val="bottom"/>
            <w:gridSpan w:val="3"/>
            <w:shd w:val="clear" w:color="auto" w:fill="EEEEEE"/>
          </w:tcPr>
          <w:p>
            <w:pPr>
              <w:ind w:left="120"/>
              <w:spacing w:after="0" w:line="122" w:lineRule="exact"/>
              <w:rPr>
                <w:sz w:val="20"/>
                <w:szCs w:val="20"/>
                <w:color w:val="auto"/>
              </w:rPr>
            </w:pPr>
            <w:r>
              <w:rPr>
                <w:rFonts w:ascii="Arial" w:cs="Arial" w:eastAsia="Arial" w:hAnsi="Arial"/>
                <w:sz w:val="11"/>
                <w:szCs w:val="11"/>
                <w:color w:val="auto"/>
              </w:rPr>
              <w:t>SANTANA ROW (California)</w:t>
            </w:r>
          </w:p>
        </w:tc>
        <w:tc>
          <w:tcPr>
            <w:tcW w:w="140" w:type="dxa"/>
            <w:vAlign w:val="bottom"/>
            <w:tcBorders>
              <w:right w:val="single" w:sz="8" w:color="EEEEEE"/>
            </w:tcBorders>
            <w:shd w:val="clear" w:color="auto" w:fill="EEEEEE"/>
          </w:tcPr>
          <w:p>
            <w:pPr>
              <w:spacing w:after="0"/>
              <w:rPr>
                <w:sz w:val="10"/>
                <w:szCs w:val="10"/>
                <w:color w:val="auto"/>
              </w:rPr>
            </w:pPr>
          </w:p>
        </w:tc>
        <w:tc>
          <w:tcPr>
            <w:tcW w:w="54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40" w:type="dxa"/>
            <w:vAlign w:val="bottom"/>
            <w:tcBorders>
              <w:right w:val="single" w:sz="8" w:color="EEEEEE"/>
            </w:tcBorders>
            <w:shd w:val="clear" w:color="auto" w:fill="EEEEEE"/>
          </w:tcPr>
          <w:p>
            <w:pPr>
              <w:spacing w:after="0"/>
              <w:rPr>
                <w:sz w:val="10"/>
                <w:szCs w:val="10"/>
                <w:color w:val="auto"/>
              </w:rPr>
            </w:pPr>
          </w:p>
        </w:tc>
        <w:tc>
          <w:tcPr>
            <w:tcW w:w="3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23,537</w:t>
            </w:r>
          </w:p>
        </w:tc>
        <w:tc>
          <w:tcPr>
            <w:tcW w:w="3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320" w:type="dxa"/>
            <w:vAlign w:val="bottom"/>
            <w:tcBorders>
              <w:right w:val="single" w:sz="8" w:color="EEEEEE"/>
            </w:tcBorders>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640" w:type="dxa"/>
            <w:vAlign w:val="bottom"/>
            <w:gridSpan w:val="3"/>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1999 - 2002</w:t>
            </w:r>
          </w:p>
        </w:tc>
        <w:tc>
          <w:tcPr>
            <w:tcW w:w="540" w:type="dxa"/>
            <w:vAlign w:val="bottom"/>
            <w:tcBorders>
              <w:right w:val="single" w:sz="8" w:color="EEEEEE"/>
            </w:tcBorders>
            <w:shd w:val="clear" w:color="auto" w:fill="EEEEEE"/>
          </w:tcPr>
          <w:p>
            <w:pPr>
              <w:spacing w:after="0"/>
              <w:rPr>
                <w:sz w:val="10"/>
                <w:szCs w:val="10"/>
                <w:color w:val="auto"/>
              </w:rPr>
            </w:pPr>
          </w:p>
        </w:tc>
        <w:tc>
          <w:tcPr>
            <w:tcW w:w="1540" w:type="dxa"/>
            <w:vAlign w:val="bottom"/>
            <w:gridSpan w:val="5"/>
            <w:shd w:val="clear" w:color="auto" w:fill="EEEEEE"/>
          </w:tcPr>
          <w:p>
            <w:pPr>
              <w:jc w:val="right"/>
              <w:ind w:right="186"/>
              <w:spacing w:after="0" w:line="122" w:lineRule="exact"/>
              <w:rPr>
                <w:sz w:val="20"/>
                <w:szCs w:val="20"/>
                <w:color w:val="auto"/>
              </w:rPr>
            </w:pPr>
            <w:r>
              <w:rPr>
                <w:rFonts w:ascii="Arial" w:cs="Arial" w:eastAsia="Arial" w:hAnsi="Arial"/>
                <w:sz w:val="11"/>
                <w:szCs w:val="11"/>
                <w:color w:val="auto"/>
              </w:rPr>
              <w:t>03/05/97</w:t>
            </w: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980" w:type="dxa"/>
            <w:vAlign w:val="bottom"/>
            <w:gridSpan w:val="2"/>
            <w:shd w:val="clear" w:color="auto" w:fill="EEEEEE"/>
          </w:tcPr>
          <w:p>
            <w:pPr>
              <w:jc w:val="center"/>
              <w:ind w:right="260"/>
              <w:spacing w:after="0" w:line="122" w:lineRule="exact"/>
              <w:rPr>
                <w:sz w:val="20"/>
                <w:szCs w:val="20"/>
                <w:color w:val="auto"/>
              </w:rPr>
            </w:pPr>
            <w:r>
              <w:rPr>
                <w:rFonts w:ascii="Arial" w:cs="Arial" w:eastAsia="Arial" w:hAnsi="Arial"/>
                <w:sz w:val="11"/>
                <w:szCs w:val="11"/>
                <w:color w:val="auto"/>
                <w:w w:val="85"/>
              </w:rPr>
              <w:t>50 years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gridSpan w:val="3"/>
          </w:tcPr>
          <w:p>
            <w:pPr>
              <w:spacing w:after="0"/>
              <w:rPr>
                <w:sz w:val="20"/>
                <w:szCs w:val="20"/>
                <w:color w:val="auto"/>
              </w:rPr>
            </w:pPr>
            <w:r>
              <w:rPr>
                <w:rFonts w:ascii="Arial" w:cs="Arial" w:eastAsia="Arial" w:hAnsi="Arial"/>
                <w:sz w:val="11"/>
                <w:szCs w:val="11"/>
                <w:color w:val="auto"/>
              </w:rPr>
              <w:t>Adj in consolidation trust acq cost Misc.</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140" w:type="dxa"/>
            <w:vAlign w:val="bottom"/>
            <w:gridSpan w:val="3"/>
            <w:shd w:val="clear" w:color="auto" w:fill="EEEEEE"/>
          </w:tcPr>
          <w:p>
            <w:pPr>
              <w:spacing w:after="0" w:line="122" w:lineRule="exact"/>
              <w:rPr>
                <w:sz w:val="20"/>
                <w:szCs w:val="20"/>
                <w:color w:val="auto"/>
              </w:rPr>
            </w:pPr>
            <w:r>
              <w:rPr>
                <w:rFonts w:ascii="Arial" w:cs="Arial" w:eastAsia="Arial" w:hAnsi="Arial"/>
                <w:sz w:val="11"/>
                <w:szCs w:val="11"/>
                <w:color w:val="auto"/>
              </w:rPr>
              <w:t>TOTALS</w:t>
            </w:r>
          </w:p>
        </w:tc>
        <w:tc>
          <w:tcPr>
            <w:tcW w:w="140" w:type="dxa"/>
            <w:vAlign w:val="bottom"/>
            <w:tcBorders>
              <w:right w:val="single" w:sz="8" w:color="EEEEEE"/>
            </w:tcBorders>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40" w:type="dxa"/>
            <w:vAlign w:val="bottom"/>
            <w:tcBorders>
              <w:right w:val="single" w:sz="8" w:color="EEEEEE"/>
            </w:tcBorders>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20" w:type="dxa"/>
            <w:vAlign w:val="bottom"/>
            <w:tcBorders>
              <w:right w:val="single" w:sz="8" w:color="EEEEEE"/>
            </w:tcBorders>
            <w:gridSpan w:val="5"/>
            <w:shd w:val="clear" w:color="auto" w:fill="EEEEEE"/>
          </w:tcPr>
          <w:p>
            <w:pPr>
              <w:jc w:val="right"/>
              <w:ind w:right="20"/>
              <w:spacing w:after="0" w:line="122" w:lineRule="exact"/>
              <w:rPr>
                <w:sz w:val="20"/>
                <w:szCs w:val="20"/>
                <w:color w:val="auto"/>
              </w:rPr>
            </w:pPr>
            <w:r>
              <w:rPr>
                <w:rFonts w:ascii="Arial" w:cs="Arial" w:eastAsia="Arial" w:hAnsi="Arial"/>
                <w:sz w:val="11"/>
                <w:szCs w:val="11"/>
                <w:color w:val="auto"/>
              </w:rPr>
              <w:t>$ 514,176,448</w:t>
            </w:r>
          </w:p>
        </w:tc>
        <w:tc>
          <w:tcPr>
            <w:tcW w:w="3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320" w:type="dxa"/>
            <w:vAlign w:val="bottom"/>
            <w:tcBorders>
              <w:right w:val="single" w:sz="8" w:color="EEEEEE"/>
            </w:tcBorders>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40" w:type="dxa"/>
            <w:vAlign w:val="bottom"/>
            <w:tcBorders>
              <w:right w:val="single" w:sz="8" w:color="EEEEEE"/>
            </w:tcBorders>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ind w:left="140"/>
        <w:spacing w:after="0"/>
        <w:rPr>
          <w:sz w:val="20"/>
          <w:szCs w:val="20"/>
          <w:color w:val="auto"/>
        </w:rPr>
      </w:pPr>
      <w:r>
        <w:rPr>
          <w:rFonts w:ascii="Arial" w:cs="Arial" w:eastAsia="Arial" w:hAnsi="Arial"/>
          <w:sz w:val="11"/>
          <w:szCs w:val="11"/>
          <w:color w:val="auto"/>
        </w:rPr>
        <w:t>1. Update encumbrances</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1"/>
          <w:szCs w:val="11"/>
          <w:color w:val="auto"/>
        </w:rPr>
        <w:t>2. Do nitial costs rollforward for 2003 acquisitions and dispositions’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jc w:val="right"/>
              <w:ind w:right="6650"/>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Arial" w:cs="Arial" w:eastAsia="Arial" w:hAnsi="Arial"/>
                <w:sz w:val="18"/>
                <w:szCs w:val="18"/>
                <w:b w:val="1"/>
                <w:bCs w:val="1"/>
                <w:color w:val="auto"/>
              </w:rPr>
              <w:t>FEDERAL REALTY INVESTMENT TRUST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jc w:val="center"/>
              <w:ind w:left="1890"/>
              <w:spacing w:after="0"/>
              <w:rPr>
                <w:sz w:val="20"/>
                <w:szCs w:val="20"/>
                <w:color w:val="auto"/>
              </w:rPr>
            </w:pPr>
            <w:r>
              <w:rPr>
                <w:rFonts w:ascii="Arial" w:cs="Arial" w:eastAsia="Arial" w:hAnsi="Arial"/>
                <w:sz w:val="18"/>
                <w:szCs w:val="18"/>
                <w:b w:val="1"/>
                <w:bCs w:val="1"/>
                <w:color w:val="auto"/>
              </w:rPr>
              <w:t>SCHEDULE III</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SUMMARY OF REAL ESTATE AND ACCUMULATED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jc w:val="center"/>
              <w:ind w:left="1890"/>
              <w:spacing w:after="0"/>
              <w:rPr>
                <w:sz w:val="20"/>
                <w:szCs w:val="20"/>
                <w:color w:val="auto"/>
              </w:rPr>
            </w:pPr>
            <w:r>
              <w:rPr>
                <w:rFonts w:ascii="Arial" w:cs="Arial" w:eastAsia="Arial" w:hAnsi="Arial"/>
                <w:sz w:val="18"/>
                <w:szCs w:val="18"/>
                <w:b w:val="1"/>
                <w:bCs w:val="1"/>
                <w:color w:val="auto"/>
              </w:rPr>
              <w:t>DEPRECIATION — CONTINUED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Three Years Ended December 31, 2003</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Reconciliation of Total Cost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gridSpan w:val="2"/>
            <w:shd w:val="clear" w:color="auto" w:fill="EEEEEE"/>
          </w:tcPr>
          <w:p>
            <w:pPr>
              <w:jc w:val="right"/>
              <w:ind w:right="4770"/>
              <w:spacing w:after="0"/>
              <w:rPr>
                <w:sz w:val="20"/>
                <w:szCs w:val="20"/>
                <w:color w:val="auto"/>
              </w:rPr>
            </w:pPr>
            <w:r>
              <w:rPr>
                <w:rFonts w:ascii="Arial" w:cs="Arial" w:eastAsia="Arial" w:hAnsi="Arial"/>
                <w:sz w:val="18"/>
                <w:szCs w:val="18"/>
                <w:color w:val="auto"/>
                <w:w w:val="88"/>
              </w:rPr>
              <w:t>Balance, December 31, 2000</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1,854,913,000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740" w:type="dxa"/>
            <w:vAlign w:val="bottom"/>
            <w:shd w:val="clear" w:color="auto" w:fill="EEEEEE"/>
          </w:tcPr>
          <w:p>
            <w:pPr>
              <w:ind w:left="60"/>
              <w:spacing w:after="0"/>
              <w:rPr>
                <w:sz w:val="20"/>
                <w:szCs w:val="20"/>
                <w:color w:val="auto"/>
              </w:rPr>
            </w:pPr>
            <w:r>
              <w:rPr>
                <w:rFonts w:ascii="Arial" w:cs="Arial" w:eastAsia="Arial" w:hAnsi="Arial"/>
                <w:sz w:val="18"/>
                <w:szCs w:val="18"/>
                <w:color w:val="auto"/>
              </w:rPr>
              <w:t>Acquisitions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52,820,000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Improvements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219,549,000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Deduction during period — disposition</w:t>
            </w:r>
          </w:p>
        </w:tc>
        <w:tc>
          <w:tcPr>
            <w:tcW w:w="280" w:type="dxa"/>
            <w:vAlign w:val="bottom"/>
            <w:tcBorders>
              <w:right w:val="single" w:sz="8" w:color="EEEEEE"/>
            </w:tcBorders>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740" w:type="dxa"/>
            <w:vAlign w:val="bottom"/>
            <w:shd w:val="clear" w:color="auto" w:fill="EEEEEE"/>
          </w:tcPr>
          <w:p>
            <w:pPr>
              <w:ind w:left="60"/>
              <w:spacing w:after="0"/>
              <w:rPr>
                <w:sz w:val="20"/>
                <w:szCs w:val="20"/>
                <w:color w:val="auto"/>
              </w:rPr>
            </w:pPr>
            <w:r>
              <w:rPr>
                <w:rFonts w:ascii="Arial" w:cs="Arial" w:eastAsia="Arial" w:hAnsi="Arial"/>
                <w:sz w:val="18"/>
                <w:szCs w:val="18"/>
                <w:color w:val="auto"/>
              </w:rPr>
              <w:t>of property and miscellaneous retirements</w:t>
            </w:r>
          </w:p>
        </w:tc>
        <w:tc>
          <w:tcPr>
            <w:tcW w:w="218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(22,978,000)</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jc w:val="right"/>
              <w:ind w:right="4770"/>
              <w:spacing w:after="0"/>
              <w:rPr>
                <w:sz w:val="20"/>
                <w:szCs w:val="20"/>
                <w:color w:val="auto"/>
              </w:rPr>
            </w:pPr>
            <w:r>
              <w:rPr>
                <w:rFonts w:ascii="Arial" w:cs="Arial" w:eastAsia="Arial" w:hAnsi="Arial"/>
                <w:sz w:val="18"/>
                <w:szCs w:val="18"/>
                <w:color w:val="auto"/>
              </w:rPr>
              <w:t>Balance, December 31, 2001</w:t>
            </w:r>
          </w:p>
        </w:tc>
        <w:tc>
          <w:tcPr>
            <w:tcW w:w="28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2,104,304,000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Acquisitions</w:t>
            </w:r>
          </w:p>
        </w:tc>
        <w:tc>
          <w:tcPr>
            <w:tcW w:w="28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740" w:type="dxa"/>
            <w:vAlign w:val="bottom"/>
            <w:shd w:val="clear" w:color="auto" w:fill="EEEEEE"/>
          </w:tcPr>
          <w:p>
            <w:pPr>
              <w:ind w:left="60"/>
              <w:spacing w:after="0"/>
              <w:rPr>
                <w:sz w:val="20"/>
                <w:szCs w:val="20"/>
                <w:color w:val="auto"/>
              </w:rPr>
            </w:pPr>
            <w:r>
              <w:rPr>
                <w:rFonts w:ascii="Arial" w:cs="Arial" w:eastAsia="Arial" w:hAnsi="Arial"/>
                <w:sz w:val="18"/>
                <w:szCs w:val="18"/>
                <w:color w:val="auto"/>
              </w:rPr>
              <w:t>Improvements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265,531,000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Deduction during period — disposition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of property and miscellaneous retirements</w:t>
            </w:r>
          </w:p>
        </w:tc>
        <w:tc>
          <w:tcPr>
            <w:tcW w:w="280" w:type="dxa"/>
            <w:vAlign w:val="bottom"/>
          </w:tcPr>
          <w:p>
            <w:pPr>
              <w:spacing w:after="0"/>
              <w:rPr>
                <w:sz w:val="20"/>
                <w:szCs w:val="20"/>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(63,009,000)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80808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6940" w:type="dxa"/>
            <w:vAlign w:val="bottom"/>
            <w:gridSpan w:val="2"/>
            <w:shd w:val="clear" w:color="auto" w:fill="EEEEEE"/>
          </w:tcPr>
          <w:p>
            <w:pPr>
              <w:jc w:val="right"/>
              <w:ind w:right="4770"/>
              <w:spacing w:after="0"/>
              <w:rPr>
                <w:sz w:val="20"/>
                <w:szCs w:val="20"/>
                <w:color w:val="auto"/>
              </w:rPr>
            </w:pPr>
            <w:r>
              <w:rPr>
                <w:rFonts w:ascii="Arial" w:cs="Arial" w:eastAsia="Arial" w:hAnsi="Arial"/>
                <w:sz w:val="18"/>
                <w:szCs w:val="18"/>
                <w:color w:val="auto"/>
                <w:w w:val="88"/>
              </w:rPr>
              <w:t>Balance, December 31, 2002</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$2,306,826,000</w:t>
            </w:r>
          </w:p>
        </w:tc>
        <w:tc>
          <w:tcPr>
            <w:tcW w:w="8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gridSpan w:val="2"/>
          </w:tcPr>
          <w:p>
            <w:pPr>
              <w:ind w:left="120"/>
              <w:spacing w:after="0"/>
              <w:rPr>
                <w:sz w:val="20"/>
                <w:szCs w:val="20"/>
                <w:color w:val="auto"/>
              </w:rPr>
            </w:pPr>
            <w:r>
              <w:rPr>
                <w:rFonts w:ascii="Arial" w:cs="Arial" w:eastAsia="Arial" w:hAnsi="Arial"/>
                <w:sz w:val="18"/>
                <w:szCs w:val="18"/>
                <w:color w:val="auto"/>
              </w:rPr>
              <w:t>Additions during period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740" w:type="dxa"/>
            <w:vAlign w:val="bottom"/>
            <w:shd w:val="clear" w:color="auto" w:fill="EEEEEE"/>
          </w:tcPr>
          <w:p>
            <w:pPr>
              <w:ind w:left="60"/>
              <w:spacing w:after="0"/>
              <w:rPr>
                <w:sz w:val="20"/>
                <w:szCs w:val="20"/>
                <w:color w:val="auto"/>
              </w:rPr>
            </w:pPr>
            <w:r>
              <w:rPr>
                <w:rFonts w:ascii="Arial" w:cs="Arial" w:eastAsia="Arial" w:hAnsi="Arial"/>
                <w:sz w:val="18"/>
                <w:szCs w:val="18"/>
                <w:color w:val="auto"/>
              </w:rPr>
              <w:t>Acquisitions</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127,489,000</w:t>
            </w: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740" w:type="dxa"/>
            <w:vAlign w:val="bottom"/>
          </w:tcPr>
          <w:p>
            <w:pPr>
              <w:ind w:left="60"/>
              <w:spacing w:after="0"/>
              <w:rPr>
                <w:sz w:val="20"/>
                <w:szCs w:val="20"/>
                <w:color w:val="auto"/>
              </w:rPr>
            </w:pPr>
            <w:r>
              <w:rPr>
                <w:rFonts w:ascii="Arial" w:cs="Arial" w:eastAsia="Arial" w:hAnsi="Arial"/>
                <w:sz w:val="18"/>
                <w:szCs w:val="18"/>
                <w:color w:val="auto"/>
              </w:rPr>
              <w:t>Improvements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64,848,000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gridSpan w:val="2"/>
            <w:shd w:val="clear" w:color="auto" w:fill="EEEEEE"/>
          </w:tcPr>
          <w:p>
            <w:pPr>
              <w:ind w:left="120"/>
              <w:spacing w:after="0" w:line="201" w:lineRule="exact"/>
              <w:rPr>
                <w:sz w:val="20"/>
                <w:szCs w:val="20"/>
                <w:color w:val="auto"/>
              </w:rPr>
            </w:pPr>
            <w:r>
              <w:rPr>
                <w:rFonts w:ascii="Arial" w:cs="Arial" w:eastAsia="Arial" w:hAnsi="Arial"/>
                <w:sz w:val="18"/>
                <w:szCs w:val="18"/>
                <w:color w:val="auto"/>
              </w:rPr>
              <w:t>Deduction during period — disposition of property and miscellaneous</w:t>
            </w:r>
          </w:p>
        </w:tc>
        <w:tc>
          <w:tcPr>
            <w:tcW w:w="280" w:type="dxa"/>
            <w:vAlign w:val="bottom"/>
            <w:tcBorders>
              <w:right w:val="single" w:sz="8" w:color="EEEEEE"/>
            </w:tcBorders>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6740" w:type="dxa"/>
            <w:vAlign w:val="bottom"/>
            <w:shd w:val="clear" w:color="auto" w:fill="EEEEEE"/>
          </w:tcPr>
          <w:p>
            <w:pPr>
              <w:ind w:left="60"/>
              <w:spacing w:after="0"/>
              <w:rPr>
                <w:sz w:val="20"/>
                <w:szCs w:val="20"/>
                <w:color w:val="auto"/>
              </w:rPr>
            </w:pPr>
            <w:r>
              <w:rPr>
                <w:rFonts w:ascii="Arial" w:cs="Arial" w:eastAsia="Arial" w:hAnsi="Arial"/>
                <w:sz w:val="18"/>
                <w:szCs w:val="18"/>
                <w:color w:val="auto"/>
              </w:rPr>
              <w:t>retirements</w:t>
            </w:r>
          </w:p>
        </w:tc>
        <w:tc>
          <w:tcPr>
            <w:tcW w:w="2180" w:type="dxa"/>
            <w:vAlign w:val="bottom"/>
            <w:gridSpan w:val="3"/>
            <w:shd w:val="clear" w:color="auto" w:fill="EEEEEE"/>
          </w:tcPr>
          <w:p>
            <w:pPr>
              <w:jc w:val="right"/>
              <w:ind w:right="840"/>
              <w:spacing w:after="0"/>
              <w:rPr>
                <w:sz w:val="20"/>
                <w:szCs w:val="20"/>
                <w:color w:val="auto"/>
              </w:rPr>
            </w:pPr>
            <w:r>
              <w:rPr>
                <w:rFonts w:ascii="Arial" w:cs="Arial" w:eastAsia="Arial" w:hAnsi="Arial"/>
                <w:sz w:val="18"/>
                <w:szCs w:val="18"/>
                <w:color w:val="auto"/>
              </w:rPr>
              <w:t>(29,014,000)</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jc w:val="right"/>
              <w:ind w:right="4770"/>
              <w:spacing w:after="0"/>
              <w:rPr>
                <w:sz w:val="20"/>
                <w:szCs w:val="20"/>
                <w:color w:val="auto"/>
              </w:rPr>
            </w:pPr>
            <w:r>
              <w:rPr>
                <w:rFonts w:ascii="Arial" w:cs="Arial" w:eastAsia="Arial" w:hAnsi="Arial"/>
                <w:sz w:val="18"/>
                <w:szCs w:val="18"/>
                <w:color w:val="auto"/>
              </w:rPr>
              <w:t>Balance, December 31, 2003</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808080"/>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gridSpan w:val="3"/>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2,470,149,000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7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2980" w:right="920" w:hanging="629"/>
        <w:spacing w:after="0" w:line="277" w:lineRule="auto"/>
        <w:tabs>
          <w:tab w:leader="none" w:pos="2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Federal tax purposes, the aggregate cost basis is approximately $2,194,269,000 as of December 31, 2003.</w:t>
      </w:r>
    </w:p>
    <w:p>
      <w:pPr>
        <w:spacing w:after="0" w:line="13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405" w:right="1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920" w:type="dxa"/>
            <w:vAlign w:val="bottom"/>
          </w:tcPr>
          <w:p>
            <w:pPr>
              <w:jc w:val="center"/>
              <w:ind w:left="1690"/>
              <w:spacing w:after="0"/>
              <w:rPr>
                <w:sz w:val="20"/>
                <w:szCs w:val="20"/>
                <w:color w:val="auto"/>
              </w:rPr>
            </w:pPr>
            <w:r>
              <w:rPr>
                <w:rFonts w:ascii="Arial" w:cs="Arial" w:eastAsia="Arial" w:hAnsi="Arial"/>
                <w:sz w:val="18"/>
                <w:szCs w:val="18"/>
                <w:b w:val="1"/>
                <w:bCs w:val="1"/>
                <w:color w:val="auto"/>
              </w:rPr>
              <w:t>FEDERAL REALTY INVESTMENT TRUST</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Pr>
          <w:p>
            <w:pPr>
              <w:jc w:val="center"/>
              <w:ind w:left="1710"/>
              <w:spacing w:after="0"/>
              <w:rPr>
                <w:sz w:val="20"/>
                <w:szCs w:val="20"/>
                <w:color w:val="auto"/>
              </w:rPr>
            </w:pPr>
            <w:r>
              <w:rPr>
                <w:rFonts w:ascii="Arial" w:cs="Arial" w:eastAsia="Arial" w:hAnsi="Arial"/>
                <w:sz w:val="18"/>
                <w:szCs w:val="18"/>
                <w:b w:val="1"/>
                <w:bCs w:val="1"/>
                <w:color w:val="auto"/>
              </w:rPr>
              <w:t>SCHEDULE III</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SUMMARY OF REAL ESTATE AND ACCUMULATED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Pr>
          <w:p>
            <w:pPr>
              <w:jc w:val="center"/>
              <w:ind w:left="1710"/>
              <w:spacing w:after="0"/>
              <w:rPr>
                <w:sz w:val="20"/>
                <w:szCs w:val="20"/>
                <w:color w:val="auto"/>
              </w:rPr>
            </w:pPr>
            <w:r>
              <w:rPr>
                <w:rFonts w:ascii="Arial" w:cs="Arial" w:eastAsia="Arial" w:hAnsi="Arial"/>
                <w:sz w:val="18"/>
                <w:szCs w:val="18"/>
                <w:b w:val="1"/>
                <w:bCs w:val="1"/>
                <w:color w:val="auto"/>
              </w:rPr>
              <w:t>DEPRECIATION — CONTINUED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0"/>
              </w:rPr>
              <w:t>Three Years Ended December 31, 2003</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Reconciliation of Accumulated</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1"/>
              </w:rPr>
              <w:t>Depreciation and Amortization</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December 31, 2000</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351,258,000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20" w:type="dxa"/>
            <w:vAlign w:val="bottom"/>
            <w:gridSpan w:val="2"/>
          </w:tcPr>
          <w:p>
            <w:pPr>
              <w:ind w:left="120"/>
              <w:spacing w:after="0"/>
              <w:rPr>
                <w:sz w:val="20"/>
                <w:szCs w:val="20"/>
                <w:color w:val="auto"/>
              </w:rPr>
            </w:pPr>
            <w:r>
              <w:rPr>
                <w:rFonts w:ascii="Arial" w:cs="Arial" w:eastAsia="Arial" w:hAnsi="Arial"/>
                <w:sz w:val="18"/>
                <w:szCs w:val="18"/>
                <w:color w:val="auto"/>
              </w:rPr>
              <w:t>Additions during period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92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55,048,000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acquisition of minority interest</w:t>
            </w:r>
          </w:p>
        </w:tc>
        <w:tc>
          <w:tcPr>
            <w:tcW w:w="44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(10,539,000)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7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December 31, 2001</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395,767,000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20" w:type="dxa"/>
            <w:vAlign w:val="bottom"/>
            <w:gridSpan w:val="2"/>
          </w:tcPr>
          <w:p>
            <w:pPr>
              <w:ind w:left="120"/>
              <w:spacing w:after="0"/>
              <w:rPr>
                <w:sz w:val="20"/>
                <w:szCs w:val="20"/>
                <w:color w:val="auto"/>
              </w:rPr>
            </w:pPr>
            <w:r>
              <w:rPr>
                <w:rFonts w:ascii="Arial" w:cs="Arial" w:eastAsia="Arial" w:hAnsi="Arial"/>
                <w:sz w:val="18"/>
                <w:szCs w:val="18"/>
                <w:color w:val="auto"/>
              </w:rPr>
              <w:t>Additions during period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92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59,296,000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acquisition of minority interest</w:t>
            </w:r>
          </w:p>
        </w:tc>
        <w:tc>
          <w:tcPr>
            <w:tcW w:w="44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(4,366,000)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7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$450,697,000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20" w:type="dxa"/>
            <w:vAlign w:val="bottom"/>
            <w:gridSpan w:val="2"/>
          </w:tcPr>
          <w:p>
            <w:pPr>
              <w:ind w:left="120"/>
              <w:spacing w:after="0"/>
              <w:rPr>
                <w:sz w:val="20"/>
                <w:szCs w:val="20"/>
                <w:color w:val="auto"/>
              </w:rPr>
            </w:pPr>
            <w:r>
              <w:rPr>
                <w:rFonts w:ascii="Arial" w:cs="Arial" w:eastAsia="Arial" w:hAnsi="Arial"/>
                <w:sz w:val="18"/>
                <w:szCs w:val="18"/>
                <w:color w:val="auto"/>
              </w:rPr>
              <w:t>Additions during period</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920" w:type="dxa"/>
            <w:vAlign w:val="bottom"/>
            <w:shd w:val="clear" w:color="auto" w:fill="EEEEEE"/>
          </w:tcPr>
          <w:p>
            <w:pPr>
              <w:ind w:left="6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68,125,000</w:t>
            </w:r>
          </w:p>
        </w:tc>
        <w:tc>
          <w:tcPr>
            <w:tcW w:w="66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Deductions during period — disposition of property, miscellaneous retirements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acquisition of minority interest</w:t>
            </w:r>
          </w:p>
        </w:tc>
        <w:tc>
          <w:tcPr>
            <w:tcW w:w="440" w:type="dxa"/>
            <w:vAlign w:val="bottom"/>
          </w:tcPr>
          <w:p>
            <w:pPr>
              <w:spacing w:after="0"/>
              <w:rPr>
                <w:sz w:val="20"/>
                <w:szCs w:val="20"/>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(4,645,000)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80808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60" w:type="dxa"/>
            <w:vAlign w:val="bottom"/>
          </w:tcPr>
          <w:p>
            <w:pPr>
              <w:spacing w:after="0"/>
              <w:rPr>
                <w:sz w:val="19"/>
                <w:szCs w:val="19"/>
                <w:color w:val="auto"/>
              </w:rPr>
            </w:pPr>
          </w:p>
        </w:tc>
        <w:tc>
          <w:tcPr>
            <w:tcW w:w="71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Balance, December 31, 2003</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$514,177,000</w:t>
            </w:r>
          </w:p>
        </w:tc>
        <w:tc>
          <w:tcPr>
            <w:tcW w:w="66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920" w:type="dxa"/>
            <w:vAlign w:val="bottom"/>
            <w:vMerge w:val="restart"/>
          </w:tcPr>
          <w:p>
            <w:pPr>
              <w:jc w:val="center"/>
              <w:ind w:left="1710"/>
              <w:spacing w:after="0"/>
              <w:rPr>
                <w:sz w:val="20"/>
                <w:szCs w:val="20"/>
                <w:color w:val="auto"/>
              </w:rPr>
            </w:pPr>
            <w:r>
              <w:rPr>
                <w:rFonts w:ascii="Arial" w:cs="Arial" w:eastAsia="Arial" w:hAnsi="Arial"/>
                <w:sz w:val="18"/>
                <w:szCs w:val="18"/>
                <w:color w:val="auto"/>
                <w:w w:val="92"/>
              </w:rPr>
              <w:t>-F33-</w:t>
            </w:r>
          </w:p>
        </w:tc>
        <w:tc>
          <w:tcPr>
            <w:tcW w:w="440" w:type="dxa"/>
            <w:vAlign w:val="bottom"/>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2"/>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9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Column A</w:t>
            </w:r>
          </w:p>
        </w:tc>
        <w:tc>
          <w:tcPr>
            <w:tcW w:w="8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Column B</w:t>
            </w:r>
          </w:p>
        </w:tc>
        <w:tc>
          <w:tcPr>
            <w:tcW w:w="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Column C</w:t>
            </w:r>
          </w:p>
        </w:tc>
        <w:tc>
          <w:tcPr>
            <w:tcW w:w="4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Column D</w:t>
            </w:r>
          </w:p>
        </w:tc>
        <w:tc>
          <w:tcPr>
            <w:tcW w:w="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Column 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Column 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Column G</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Periodic Payment</w:t>
            </w: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Face 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 Lien</w:t>
            </w:r>
          </w:p>
        </w:tc>
        <w:tc>
          <w:tcPr>
            <w:tcW w:w="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Maturity Date</w:t>
            </w:r>
          </w:p>
        </w:tc>
        <w:tc>
          <w:tcPr>
            <w:tcW w:w="4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Prior Liens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Amount of</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Terms</w:t>
            </w:r>
          </w:p>
        </w:tc>
        <w:tc>
          <w:tcPr>
            <w:tcW w:w="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of Mortgages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Mortgages (1)</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Leasehold mortgage</w:t>
            </w:r>
          </w:p>
        </w:tc>
        <w:tc>
          <w:tcPr>
            <w:tcW w:w="1820" w:type="dxa"/>
            <w:vAlign w:val="bottom"/>
            <w:gridSpan w:val="2"/>
            <w:shd w:val="clear" w:color="auto" w:fill="EEEEEE"/>
          </w:tcPr>
          <w:p>
            <w:pPr>
              <w:jc w:val="right"/>
              <w:ind w:right="1062"/>
              <w:spacing w:after="0"/>
              <w:rPr>
                <w:sz w:val="20"/>
                <w:szCs w:val="20"/>
                <w:color w:val="auto"/>
              </w:rPr>
            </w:pPr>
            <w:r>
              <w:rPr>
                <w:rFonts w:ascii="Arial" w:cs="Arial" w:eastAsia="Arial" w:hAnsi="Arial"/>
                <w:sz w:val="18"/>
                <w:szCs w:val="18"/>
                <w:color w:val="auto"/>
              </w:rPr>
              <w:t>6.00%</w:t>
            </w:r>
          </w:p>
        </w:tc>
        <w:tc>
          <w:tcPr>
            <w:tcW w:w="13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March 2005</w:t>
            </w: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Interest only</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5,618,000</w:t>
            </w:r>
          </w:p>
        </w:tc>
        <w:tc>
          <w:tcPr>
            <w:tcW w:w="40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5,876,000</w:t>
            </w:r>
          </w:p>
        </w:tc>
        <w:tc>
          <w:tcPr>
            <w:tcW w:w="4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on office building</w:t>
            </w: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w w:val="95"/>
              </w:rPr>
              <w:t>monthly; ballon payment</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in San Francisco, CA</w:t>
            </w: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due at maturity</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Mortgage on Hotel</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12% to 15%</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January 2012</w:t>
            </w:r>
          </w:p>
        </w:tc>
        <w:tc>
          <w:tcPr>
            <w:tcW w:w="1920" w:type="dxa"/>
            <w:vAlign w:val="bottom"/>
            <w:gridSpan w:val="2"/>
          </w:tcPr>
          <w:p>
            <w:pPr>
              <w:jc w:val="right"/>
              <w:ind w:right="145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10,600,000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10,600,000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in San Jose, CA</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1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EEEEEE"/>
          </w:tcPr>
          <w:p>
            <w:pPr>
              <w:spacing w:after="0"/>
              <w:rPr>
                <w:sz w:val="20"/>
                <w:szCs w:val="20"/>
                <w:color w:val="auto"/>
              </w:rPr>
            </w:pPr>
            <w:r>
              <w:rPr>
                <w:rFonts w:ascii="Arial" w:cs="Arial" w:eastAsia="Arial" w:hAnsi="Arial"/>
                <w:sz w:val="18"/>
                <w:szCs w:val="18"/>
                <w:color w:val="auto"/>
              </w:rPr>
              <w:t>Mortgage on retail</w:t>
            </w:r>
          </w:p>
        </w:tc>
        <w:tc>
          <w:tcPr>
            <w:tcW w:w="182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Greater of prime plus</w:t>
            </w:r>
          </w:p>
        </w:tc>
        <w:tc>
          <w:tcPr>
            <w:tcW w:w="1300" w:type="dxa"/>
            <w:vAlign w:val="bottom"/>
            <w:gridSpan w:val="2"/>
            <w:shd w:val="clear" w:color="auto" w:fill="EEEEEE"/>
          </w:tcPr>
          <w:p>
            <w:pPr>
              <w:ind w:left="60"/>
              <w:spacing w:after="0"/>
              <w:rPr>
                <w:sz w:val="20"/>
                <w:szCs w:val="20"/>
                <w:color w:val="auto"/>
              </w:rPr>
            </w:pPr>
            <w:r>
              <w:rPr>
                <w:rFonts w:ascii="Arial" w:cs="Arial" w:eastAsia="Arial" w:hAnsi="Arial"/>
                <w:sz w:val="18"/>
                <w:szCs w:val="18"/>
                <w:color w:val="auto"/>
              </w:rPr>
              <w:t>May 2021</w:t>
            </w: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Interest only</w:t>
            </w:r>
          </w:p>
        </w:tc>
        <w:tc>
          <w:tcPr>
            <w:tcW w:w="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25,000,000</w:t>
            </w: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15,774,000</w:t>
            </w:r>
          </w:p>
        </w:tc>
        <w:tc>
          <w:tcPr>
            <w:tcW w:w="42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1"/>
              </w:rPr>
              <w:t>buildings in Philadelphia, PA</w:t>
            </w:r>
          </w:p>
        </w:tc>
        <w:tc>
          <w:tcPr>
            <w:tcW w:w="8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2% or 10%</w:t>
            </w:r>
          </w:p>
        </w:tc>
        <w:tc>
          <w:tcPr>
            <w:tcW w:w="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8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monthly; balloon</w:t>
            </w:r>
          </w:p>
        </w:tc>
        <w:tc>
          <w:tcPr>
            <w:tcW w:w="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74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payment</w:t>
            </w:r>
          </w:p>
        </w:tc>
        <w:tc>
          <w:tcPr>
            <w:tcW w:w="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due at maturity</w:t>
            </w:r>
          </w:p>
        </w:tc>
        <w:tc>
          <w:tcPr>
            <w:tcW w:w="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120" w:type="dxa"/>
            <w:vAlign w:val="bottom"/>
            <w:gridSpan w:val="2"/>
          </w:tcPr>
          <w:p>
            <w:pPr>
              <w:spacing w:after="0"/>
              <w:rPr>
                <w:sz w:val="20"/>
                <w:szCs w:val="20"/>
                <w:color w:val="auto"/>
              </w:rPr>
            </w:pPr>
            <w:r>
              <w:rPr>
                <w:rFonts w:ascii="Arial" w:cs="Arial" w:eastAsia="Arial" w:hAnsi="Arial"/>
                <w:sz w:val="18"/>
                <w:szCs w:val="18"/>
                <w:color w:val="auto"/>
              </w:rPr>
              <w:t>Mortgage on retail</w:t>
            </w:r>
          </w:p>
        </w:tc>
        <w:tc>
          <w:tcPr>
            <w:tcW w:w="1820" w:type="dxa"/>
            <w:vAlign w:val="bottom"/>
            <w:gridSpan w:val="2"/>
          </w:tcPr>
          <w:p>
            <w:pPr>
              <w:ind w:left="80"/>
              <w:spacing w:after="0"/>
              <w:rPr>
                <w:sz w:val="20"/>
                <w:szCs w:val="20"/>
                <w:color w:val="auto"/>
              </w:rPr>
            </w:pPr>
            <w:r>
              <w:rPr>
                <w:rFonts w:ascii="Arial" w:cs="Arial" w:eastAsia="Arial" w:hAnsi="Arial"/>
                <w:sz w:val="18"/>
                <w:szCs w:val="18"/>
                <w:color w:val="auto"/>
                <w:w w:val="97"/>
              </w:rPr>
              <w:t>10% plus participation</w:t>
            </w: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May 2021</w:t>
            </w:r>
          </w:p>
        </w:tc>
        <w:tc>
          <w:tcPr>
            <w:tcW w:w="40" w:type="dxa"/>
            <w:vAlign w:val="bottom"/>
          </w:tcPr>
          <w:p>
            <w:pPr>
              <w:spacing w:after="0"/>
              <w:rPr>
                <w:sz w:val="24"/>
                <w:szCs w:val="24"/>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Interest only; balloon</w:t>
            </w: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9,250,000</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9,250,000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w w:val="92"/>
              </w:rPr>
              <w:t>buildings in Philadelphia, PA</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6"/>
              </w:rPr>
              <w:t>payment due at maturity</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50,468,000</w:t>
            </w:r>
          </w:p>
        </w:tc>
        <w:tc>
          <w:tcPr>
            <w:tcW w:w="4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41,500,000</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-297180</wp:posOffset>
            </wp:positionV>
            <wp:extent cx="3429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-297180</wp:posOffset>
            </wp:positionV>
            <wp:extent cx="3429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-297180</wp:posOffset>
            </wp:positionV>
            <wp:extent cx="34290"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-297180</wp:posOffset>
            </wp:positionV>
            <wp:extent cx="3429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0" w:lineRule="exact"/>
        <w:rPr>
          <w:sz w:val="20"/>
          <w:szCs w:val="20"/>
          <w:color w:val="auto"/>
        </w:rPr>
      </w:pPr>
    </w:p>
    <w:p>
      <w:pPr>
        <w:ind w:left="280" w:right="840" w:hanging="260"/>
        <w:spacing w:after="0" w:line="277"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Federal tax purposes, the aggregate tax basis is approximately $41,500,000 as of December 31, 2003. No payments are delinquent on these mortgages.</w:t>
      </w:r>
    </w:p>
    <w:p>
      <w:pPr>
        <w:spacing w:after="0" w:line="170" w:lineRule="exact"/>
        <w:rPr>
          <w:rFonts w:ascii="Arial" w:cs="Arial" w:eastAsia="Arial" w:hAnsi="Arial"/>
          <w:sz w:val="18"/>
          <w:szCs w:val="18"/>
          <w:color w:val="auto"/>
        </w:rPr>
      </w:pPr>
    </w:p>
    <w:p>
      <w:pPr>
        <w:ind w:left="280" w:right="160" w:hanging="260"/>
        <w:spacing w:after="0" w:line="257" w:lineRule="auto"/>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$5.9 million loan receivable, which currently bears interest at 7.88% and is secured by an office building in San Francisco, California, was due February 28, 2003 but was not repaid on the due date. We are currently negotiating with the borrower to extend the loan until March 31, 2005. When the loan modification is complete, the interest rate on the note will decrease to 6% retroactive to July 1, 2003. Interest on the loan is current through December 31, 2003 and based in part on the value of the underlying collateral, we believe that the loan is collectible and as such, no reserve has been established at this time.</w:t>
      </w:r>
    </w:p>
    <w:p>
      <w:pPr>
        <w:spacing w:after="0" w:line="188" w:lineRule="exact"/>
        <w:rPr>
          <w:rFonts w:ascii="Arial" w:cs="Arial" w:eastAsia="Arial" w:hAnsi="Arial"/>
          <w:sz w:val="18"/>
          <w:szCs w:val="18"/>
          <w:color w:val="auto"/>
        </w:rPr>
      </w:pPr>
    </w:p>
    <w:p>
      <w:pPr>
        <w:ind w:left="280" w:right="100" w:hanging="260"/>
        <w:spacing w:after="0" w:line="286" w:lineRule="auto"/>
        <w:tabs>
          <w:tab w:leader="none" w:pos="2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the first five years interest is payable from cash flow, if available. If cash flow is not sufficient to pay interest in full, the unpaid amount will accrue and bear interest at the same rate as the principal. After year five, current interest payments are required. After year seven, mortgagee is required to apply 50% of all available cash flow to repayment of principal. In March 2004, an additional $900,000 advance was made on this loan.</w:t>
      </w:r>
    </w:p>
    <w:p>
      <w:pPr>
        <w:spacing w:after="0" w:line="165" w:lineRule="exact"/>
        <w:rPr>
          <w:rFonts w:ascii="Arial" w:cs="Arial" w:eastAsia="Arial" w:hAnsi="Arial"/>
          <w:sz w:val="17"/>
          <w:szCs w:val="17"/>
          <w:color w:val="auto"/>
        </w:rPr>
      </w:pPr>
    </w:p>
    <w:p>
      <w:pPr>
        <w:ind w:left="280" w:hanging="260"/>
        <w:spacing w:after="0"/>
        <w:tabs>
          <w:tab w:leader="none" w:pos="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mortgage is available for up to $25,000,000.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Carrying Amount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89"/>
              </w:rPr>
              <w:t>Balance, December 31, 2000</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47,360,000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925,000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 and satisfaction of loans</w:t>
            </w:r>
          </w:p>
        </w:tc>
        <w:tc>
          <w:tcPr>
            <w:tcW w:w="5540" w:type="dxa"/>
            <w:vAlign w:val="bottom"/>
            <w:gridSpan w:val="3"/>
            <w:shd w:val="clear" w:color="auto" w:fill="EEEEEE"/>
          </w:tcPr>
          <w:p>
            <w:pPr>
              <w:jc w:val="right"/>
              <w:ind w:right="940"/>
              <w:spacing w:after="0"/>
              <w:rPr>
                <w:sz w:val="20"/>
                <w:szCs w:val="20"/>
                <w:color w:val="auto"/>
              </w:rPr>
            </w:pPr>
            <w:r>
              <w:rPr>
                <w:rFonts w:ascii="Arial" w:cs="Arial" w:eastAsia="Arial" w:hAnsi="Arial"/>
                <w:sz w:val="18"/>
                <w:szCs w:val="18"/>
                <w:color w:val="auto"/>
              </w:rPr>
              <w:t>(12,678,000)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0"/>
              </w:rPr>
              <w:t>Balance, December 31, 2001</w:t>
            </w:r>
          </w:p>
        </w:tc>
        <w:tc>
          <w:tcPr>
            <w:tcW w:w="3680" w:type="dxa"/>
            <w:vAlign w:val="bottom"/>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gridSpan w:val="2"/>
            <w:vMerge w:val="continue"/>
          </w:tcPr>
          <w:p>
            <w:pPr>
              <w:spacing w:after="0"/>
              <w:rPr>
                <w:sz w:val="18"/>
                <w:szCs w:val="18"/>
                <w:color w:val="auto"/>
              </w:rPr>
            </w:pPr>
          </w:p>
        </w:tc>
        <w:tc>
          <w:tcPr>
            <w:tcW w:w="3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35,607,000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14,362,000</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Borders>
              <w:right w:val="single" w:sz="8" w:color="EEEEEE"/>
            </w:tcBorders>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80" w:type="dxa"/>
            <w:vAlign w:val="bottom"/>
          </w:tcPr>
          <w:p>
            <w:pPr>
              <w:ind w:left="260"/>
              <w:spacing w:after="0"/>
              <w:rPr>
                <w:sz w:val="20"/>
                <w:szCs w:val="20"/>
                <w:color w:val="auto"/>
              </w:rPr>
            </w:pPr>
            <w:r>
              <w:rPr>
                <w:rFonts w:ascii="Arial" w:cs="Arial" w:eastAsia="Arial" w:hAnsi="Arial"/>
                <w:sz w:val="18"/>
                <w:szCs w:val="18"/>
                <w:color w:val="auto"/>
              </w:rPr>
              <w:t>Collection and satisfaction of loans</w:t>
            </w:r>
          </w:p>
        </w:tc>
        <w:tc>
          <w:tcPr>
            <w:tcW w:w="5540" w:type="dxa"/>
            <w:vAlign w:val="bottom"/>
            <w:gridSpan w:val="3"/>
          </w:tcPr>
          <w:p>
            <w:pPr>
              <w:jc w:val="right"/>
              <w:ind w:right="940"/>
              <w:spacing w:after="0"/>
              <w:rPr>
                <w:sz w:val="20"/>
                <w:szCs w:val="20"/>
                <w:color w:val="auto"/>
              </w:rPr>
            </w:pPr>
            <w:r>
              <w:rPr>
                <w:rFonts w:ascii="Arial" w:cs="Arial" w:eastAsia="Arial" w:hAnsi="Arial"/>
                <w:sz w:val="18"/>
                <w:szCs w:val="18"/>
                <w:color w:val="auto"/>
              </w:rPr>
              <w:t>(14,392,000)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60" w:type="dxa"/>
            <w:vAlign w:val="bottom"/>
            <w:shd w:val="clear" w:color="auto" w:fill="808080"/>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80" w:type="dxa"/>
            <w:vAlign w:val="bottom"/>
            <w:shd w:val="clear" w:color="auto" w:fill="EEEEEE"/>
          </w:tcPr>
          <w:p>
            <w:pPr>
              <w:jc w:val="center"/>
              <w:ind w:right="1410"/>
              <w:spacing w:after="0"/>
              <w:rPr>
                <w:sz w:val="20"/>
                <w:szCs w:val="20"/>
                <w:color w:val="auto"/>
              </w:rPr>
            </w:pPr>
            <w:r>
              <w:rPr>
                <w:rFonts w:ascii="Arial" w:cs="Arial" w:eastAsia="Arial" w:hAnsi="Arial"/>
                <w:sz w:val="18"/>
                <w:szCs w:val="18"/>
                <w:color w:val="auto"/>
                <w:w w:val="89"/>
              </w:rPr>
              <w:t>Balance, December 31, 2002</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$ 35,577,000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20"/>
              <w:spacing w:after="0"/>
              <w:rPr>
                <w:sz w:val="20"/>
                <w:szCs w:val="20"/>
                <w:color w:val="auto"/>
              </w:rPr>
            </w:pPr>
            <w:r>
              <w:rPr>
                <w:rFonts w:ascii="Arial" w:cs="Arial" w:eastAsia="Arial" w:hAnsi="Arial"/>
                <w:sz w:val="18"/>
                <w:szCs w:val="18"/>
                <w:color w:val="auto"/>
              </w:rPr>
              <w:t>Additions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Issuance of loans</w:t>
            </w:r>
          </w:p>
        </w:tc>
        <w:tc>
          <w:tcPr>
            <w:tcW w:w="4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5,923,000</w:t>
            </w:r>
          </w:p>
        </w:tc>
        <w:tc>
          <w:tcPr>
            <w:tcW w:w="10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jc w:val="center"/>
              <w:ind w:right="1410"/>
              <w:spacing w:after="0"/>
              <w:rPr>
                <w:sz w:val="20"/>
                <w:szCs w:val="20"/>
                <w:color w:val="auto"/>
              </w:rPr>
            </w:pPr>
            <w:r>
              <w:rPr>
                <w:rFonts w:ascii="Arial" w:cs="Arial" w:eastAsia="Arial" w:hAnsi="Arial"/>
                <w:sz w:val="18"/>
                <w:szCs w:val="18"/>
                <w:color w:val="auto"/>
                <w:w w:val="91"/>
              </w:rPr>
              <w:t>Deductions during period</w:t>
            </w:r>
          </w:p>
        </w:tc>
        <w:tc>
          <w:tcPr>
            <w:tcW w:w="3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Collection and satisfaction of loans</w:t>
            </w:r>
          </w:p>
        </w:tc>
        <w:tc>
          <w:tcPr>
            <w:tcW w:w="3680" w:type="dxa"/>
            <w:vAlign w:val="bottom"/>
            <w:tcBorders>
              <w:right w:val="single" w:sz="8" w:color="EEEEEE"/>
            </w:tcBorders>
            <w:shd w:val="clear" w:color="auto" w:fill="EEEEEE"/>
          </w:tcPr>
          <w:p>
            <w:pPr>
              <w:spacing w:after="0"/>
              <w:rPr>
                <w:sz w:val="18"/>
                <w:szCs w:val="18"/>
                <w:color w:val="auto"/>
              </w:rPr>
            </w:pPr>
          </w:p>
        </w:tc>
        <w:tc>
          <w:tcPr>
            <w:tcW w:w="1860" w:type="dxa"/>
            <w:vAlign w:val="bottom"/>
            <w:gridSpan w:val="2"/>
            <w:shd w:val="clear" w:color="auto" w:fill="EEEEEE"/>
          </w:tcPr>
          <w:p>
            <w:pPr>
              <w:jc w:val="right"/>
              <w:ind w:right="10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center"/>
              <w:ind w:right="270"/>
              <w:spacing w:after="0"/>
              <w:rPr>
                <w:sz w:val="20"/>
                <w:szCs w:val="20"/>
                <w:color w:val="auto"/>
              </w:rPr>
            </w:pPr>
            <w:r>
              <w:rPr>
                <w:rFonts w:ascii="Arial" w:cs="Arial" w:eastAsia="Arial" w:hAnsi="Arial"/>
                <w:sz w:val="18"/>
                <w:szCs w:val="18"/>
                <w:color w:val="auto"/>
                <w:w w:val="90"/>
              </w:rPr>
              <w:t>Balance, December 31, 2003</w:t>
            </w:r>
          </w:p>
        </w:tc>
        <w:tc>
          <w:tcPr>
            <w:tcW w:w="3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808080"/>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gridSpan w:val="2"/>
            <w:vMerge w:val="continue"/>
          </w:tcPr>
          <w:p>
            <w:pPr>
              <w:spacing w:after="0"/>
              <w:rPr>
                <w:sz w:val="19"/>
                <w:szCs w:val="19"/>
                <w:color w:val="auto"/>
              </w:rPr>
            </w:pPr>
          </w:p>
        </w:tc>
        <w:tc>
          <w:tcPr>
            <w:tcW w:w="368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41,500,000</w:t>
            </w: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1160" w:type="dxa"/>
            <w:vAlign w:val="bottom"/>
          </w:tcPr>
          <w:p>
            <w:pPr>
              <w:spacing w:after="0"/>
              <w:rPr>
                <w:sz w:val="5"/>
                <w:szCs w:val="5"/>
                <w:color w:val="auto"/>
              </w:rPr>
            </w:pPr>
          </w:p>
        </w:tc>
        <w:tc>
          <w:tcPr>
            <w:tcW w:w="3580" w:type="dxa"/>
            <w:vAlign w:val="bottom"/>
          </w:tcPr>
          <w:p>
            <w:pPr>
              <w:spacing w:after="0"/>
              <w:rPr>
                <w:sz w:val="5"/>
                <w:szCs w:val="5"/>
                <w:color w:val="auto"/>
              </w:rPr>
            </w:pPr>
          </w:p>
        </w:tc>
        <w:tc>
          <w:tcPr>
            <w:tcW w:w="3680" w:type="dxa"/>
            <w:vAlign w:val="bottom"/>
            <w:tcBorders>
              <w:right w:val="single" w:sz="8" w:color="808080"/>
            </w:tcBorders>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2"/>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540" w:type="dxa"/>
            <w:vAlign w:val="bottom"/>
            <w:gridSpan w:val="3"/>
          </w:tcPr>
          <w:p>
            <w:pPr>
              <w:jc w:val="right"/>
              <w:ind w:right="4360"/>
              <w:spacing w:after="0"/>
              <w:rPr>
                <w:sz w:val="20"/>
                <w:szCs w:val="20"/>
                <w:color w:val="auto"/>
              </w:rPr>
            </w:pPr>
            <w:r>
              <w:rPr>
                <w:rFonts w:ascii="Arial" w:cs="Arial" w:eastAsia="Arial" w:hAnsi="Arial"/>
                <w:sz w:val="18"/>
                <w:szCs w:val="18"/>
                <w:color w:val="auto"/>
              </w:rPr>
              <w:t>-F35-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116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Grant Thornton LLP has been selected as our independent public accountants for the current year and examined our financial statements for the year ended December 31, 2003. On June 4, 2002, Arthur Andersen LLP was dismissed and Grant Thornton LLP was engaged as our principal independent public accountants. The decision to change accountants was approved by the Board of Trustees upon the recommendation of the Audit Committee. The reports of Arthur Andersen LLP for the year ended December 31, 2001 and the subsequent interim period through June 4, 2002 did not contain any adverse opinion or disclaimer of opinion, nor were they qualified as to uncertainty, audit scope or accounting principles. During our fiscal year ended December 31, 2001 and the subsequent interim period through June 4, 2002, there were no disagreements with Arthur Andersen LLP on any matter of accounting principles or practices, financial statement disclosure, or auditing scope or procedures, which disagreements, if not resolved to the satisfaction of Arthur Andersen LLP, would have caused them to make reference thereto in their reports on the financial statements for those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based closely on the definition of “disclosure controls and procedures” in Rule 13a-15(e) promulgated under the Exchange Act.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40"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our disclosure controls and procedures as of the end of the period covered by this annual report. Based on that evaluation, the Chief Executive Officer and Chief Financial Officer concluded that such controls and procedures were effective as of the end of the period covered by this report.</w:t>
      </w:r>
    </w:p>
    <w:p>
      <w:pPr>
        <w:spacing w:after="0" w:line="14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period covered by this report that materially affected, or is reasonably likely to materially affect, our internal control over financial reporting.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2004 Annual Meeting of Shareholders (the “Proxy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Trustees and Executive Officers</w:t>
      </w:r>
    </w:p>
    <w:p>
      <w:pPr>
        <w:spacing w:after="0" w:line="20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a.) The table identifying our Trustees under the caption “Election of Trustees” and the section entitled “Executive Officers” of the Proxy Statement is incorporated herein by reference.</w:t>
      </w:r>
    </w:p>
    <w:p>
      <w:pPr>
        <w:spacing w:after="0" w:line="130" w:lineRule="exact"/>
        <w:rPr>
          <w:sz w:val="20"/>
          <w:szCs w:val="20"/>
          <w:color w:val="auto"/>
        </w:rPr>
      </w:pPr>
    </w:p>
    <w:p>
      <w:pPr>
        <w:ind w:right="120" w:firstLine="225"/>
        <w:spacing w:after="0" w:line="342" w:lineRule="auto"/>
        <w:rPr>
          <w:sz w:val="20"/>
          <w:szCs w:val="20"/>
          <w:color w:val="auto"/>
        </w:rPr>
      </w:pPr>
      <w:r>
        <w:rPr>
          <w:rFonts w:ascii="Arial" w:cs="Arial" w:eastAsia="Arial" w:hAnsi="Arial"/>
          <w:sz w:val="16"/>
          <w:szCs w:val="16"/>
          <w:color w:val="auto"/>
        </w:rPr>
        <w:t>b.) The information required by this item is included in this report at Item 1 under the caption “Executive Officers of the Registrant”. The information contained in the Proxy Statement under the captions “Election of Trustees” and “Executive Officers” is incorporated herein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2"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sections entitled “Summary Compensation Table” and “Aggregated Option Exercises in 2003 and December 31, 2003 Option Values” of the Proxy Statement are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sections entitled “Share Ownership” and “Equity Compensation Plan Information” of the Proxy Statement are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section entitled “Certain Relationship and Related Transactions” of the Proxy Statement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section entitled “Relationship with Independent Public Accountants” of the Proxy Statement is incorporated herein by reference.</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00" w:lineRule="exact"/>
        <w:rPr>
          <w:sz w:val="20"/>
          <w:szCs w:val="20"/>
          <w:color w:val="auto"/>
        </w:rPr>
      </w:pPr>
    </w:p>
    <w:p>
      <w:pPr>
        <w:spacing w:after="0" w:line="20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Grant Thornton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Report of Independent Public Accountants — Arthur Andersen LLP</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Balance Sheets — December 31, 2003 and 2002</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Operations — Years Ended December 31, 2003, 2002 and 2001</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Common Shareholders’ Equity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Consolidated Statements of Cash Flows — Years Ended December 31, 2003, 2002 and 2001</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Notes to Consolidated Financial Statements (including selected quarterly data)</w:t>
      </w:r>
    </w:p>
    <w:p>
      <w:pPr>
        <w:spacing w:after="0" w:line="198"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III. Schedule of Real Estate and Accumulated Depreciation</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960"/>
              <w:spacing w:after="0"/>
              <w:rPr>
                <w:sz w:val="20"/>
                <w:szCs w:val="20"/>
                <w:color w:val="auto"/>
              </w:rPr>
            </w:pPr>
            <w:r>
              <w:rPr>
                <w:rFonts w:ascii="Arial" w:cs="Arial" w:eastAsia="Arial" w:hAnsi="Arial"/>
                <w:sz w:val="18"/>
                <w:szCs w:val="18"/>
                <w:color w:val="auto"/>
              </w:rPr>
              <w:t>Schedule IV. Mortgage Loans on Real Estate</w:t>
            </w:r>
          </w:p>
        </w:tc>
        <w:tc>
          <w:tcPr>
            <w:tcW w:w="0" w:type="dxa"/>
            <w:vAlign w:val="bottom"/>
          </w:tcPr>
          <w:p>
            <w:pPr>
              <w:spacing w:after="0"/>
              <w:rPr>
                <w:sz w:val="1"/>
                <w:szCs w:val="1"/>
                <w:color w:val="auto"/>
              </w:rPr>
            </w:pPr>
          </w:p>
        </w:tc>
      </w:tr>
      <w:tr>
        <w:trPr>
          <w:trHeight w:val="392"/>
        </w:trPr>
        <w:tc>
          <w:tcPr>
            <w:tcW w:w="11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 xml:space="preserve">(3) </w:t>
            </w:r>
            <w:r>
              <w:rPr>
                <w:rFonts w:ascii="Arial" w:cs="Arial" w:eastAsia="Arial" w:hAnsi="Arial"/>
                <w:sz w:val="18"/>
                <w:szCs w:val="18"/>
                <w:i w:val="1"/>
                <w:iCs w:val="1"/>
                <w:color w:val="auto"/>
                <w:w w:val="95"/>
              </w:rPr>
              <w:t>Exhibits</w:t>
            </w:r>
          </w:p>
        </w:tc>
        <w:tc>
          <w:tcPr>
            <w:tcW w:w="10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1"/>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No.</w:t>
            </w: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0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820" w:type="dxa"/>
            <w:vAlign w:val="bottom"/>
          </w:tcPr>
          <w:p>
            <w:pPr>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Declaration of Trust of Federal Realty Investment Trust dated May 5, 1999 (previously filed as Exhibit 3.2 to the Trust’s Current Report 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8-K filed on May 25, 1999 (File No. 1-07533) and incorporated herein by 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Amended and Restated Bylaws of Federal Realty Investment Trust last amended October 29, 2003 (filed herewith)</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1999 (File No. 1-07533)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Articles Supplementary relating to the 8 1/2% Series B Cumulative Redeemable Preferred Shares (previously filed as Exhibit 4.1 to the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Trust’s Registration Statement on Form 8-A filed on November 26, 2001 (File No. 1-07533) (the “2001 Form 8-A”) and incorporated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Specimen 8 1/2% Series B Cumulative Redeemable Preferred Share certificate (previously filed as Exhibit 4.2 to the 2001 Form 8-A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Rights Agreement, dated March 11, 1999, between the Trust and American Stock Transfer &amp; Trust Company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Exhibit 1 to the Trust’s Registration Statement on Form 8-A/A filed on March 11, 1999</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First Amendment to Amended and Restated Rights Agreement, dated as of November _, 2003, between the Trust and American Stock</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Transfer &amp; Trust Company (filed herewith)</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Indenture dated December 13, 1993 related to the Trust’s 7.48% Debentures due August 15, 2026; 6 5/8% Notes due 2005; 6.82% Medium</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Term Notes due August 1, 2027; and 6.99% Medium Term Notes due March 10, 2006 (previously filed as Exhibit 4(a)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Registration Statement on Form S-3 (File No. 33-51029), and amended on Form S-3 (File No. 33-63687), filed on December 13, 1993 is</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Indenture dated September 1, 1998 related to the Trust’s 8.75% Notes due December 1, 2009 and the Trust’s 6 1/8% Notes due November 15,</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2007 and the Trust’s 4.50% Notes due 2011 (previously filed as Exhibit 4(a) to the Trust’s Registration Statement on Form S-3 (File No. 333-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63619) filed on September 17, 1998 is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1983 Stock Option Plan and 1985 Non-Qualified Stock Option Plan of Federal Realty Investment Trust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filed as exhibits to the Trust’s Registration Statement in Form S-8 (File No. 33-55111), filed on August 17, 1994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392"/>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60" w:type="dxa"/>
            <w:vAlign w:val="bottom"/>
          </w:tcPr>
          <w:p>
            <w:pPr>
              <w:ind w:left="44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1985 Non-Qualified Stock Option Plan (previously filed as a portion of Exhibit 10 to the Trust’s Annual Report on Form 10-K for the year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ended December 31, 1985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8"/>
              </w:rPr>
              <w:t>1991 Share Purchase Plan (previously filed as a portion of Exhibit 10 to the Trust’s Annual Report on Form 10-K for the year ended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December 31, 1990 (File No. 1-07533)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Amendment dated October 1, 1992 to Voting Trust Agreement dated as of March 3, 1989 by and between I. Wolford Berman and Dennis L.</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Berman (previously filed as an exhibit to the Trust’s Annual Report on Form 10-K for the year ended December 31, 1992 (File No. 1-07533)</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Amended and Restated 1993 Long-Term Incentive Plan, as amended on October 6, 1997 and further amended on May 6, 1998 (previously</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filed as a portion of Exhibit 10 to the Trust’s Annual Report on Form 10-K for the year ended December 31, 1998 (File No. 1-07533)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Fiscal Agency Agreement dated as of October 28, 1993 between the Trust and Citibank, N.A. (previously filed as an exhibit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Quarterly Report on Form 10-Q for the quarter ended September 30, 1993 (File No. 1-07533) (the “1993 Form 10-Q”) and incorporated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Form of Severance Agreement between the Trust and Certain of its Officers dated December 31, 1994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1994 (File No. 1-07533)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Performance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1999 (File No. 1-07533) (the “1999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Restricted Share Award Agreement dated as of February 9, 2000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Executive Agreement between Federal Realty Investment Trust and Donald C. Wood dated February 22, 1999 (previously filed as a portion</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 Exhibit 10 to the 1999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Restricted Share Award Agreement dated December 8, 2000 the Trust and Donald C. Wood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2000 (File No. 1-07533) (the “2000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 Split Dollar Life Insurance Agreement dated August 12, 1998 between the Trust and Donald C. Wood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2000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Restricted Share Award Agreement dated as of February 15, 2000 between the Trust and Jeffrey S. Berkes (previously filed as a portion of</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Exhibit 10 to the Trust’s Annual Report on Form 10-K for the year ended December 31, 2001 (File No. 1-07533) (the “2001 Form 10-K”)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Severance Agreement between the Trust and Jeffrey S. Berkes dated March 1, 2000 (previously filed as a portion of Exhibit 10 to the 2001</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 Severance Agreement dated March 1, 2002 between the Trust and Larry E. Finger (previously filed as a portion of Exhibit 10 to the Trust’s</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Annual Report on Form 10-K for the year ended December 31, 2002 (File No. 1-07533) (the “2002 Form 10-K”) and incorporated herein by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 Combined Incentive and Non-Qualified Stock Option Agreement dated February 28, 2002 between the Trust and Larry E. Finger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(previously filed as a portion of 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Donald C. Wood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 Performance Share Award Agreement between the Trust and Jeffrey S. Berkes dated February 28, 2002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 Amendment to Stock Option Agreement dated August 15, 2002 between the Trust and Dawn M. Becker (previously filed as a portion of</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10 to the 2002 Form 10-K and incorporated herein by reference)</w:t>
            </w: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10600" w:type="dxa"/>
            <w:vAlign w:val="bottom"/>
            <w:gridSpan w:val="2"/>
          </w:tcPr>
          <w:p>
            <w:pPr>
              <w:jc w:val="right"/>
              <w:ind w:right="547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8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820" w:type="dxa"/>
            <w:vAlign w:val="bottom"/>
          </w:tcPr>
          <w:p>
            <w:pPr>
              <w:ind w:left="300"/>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6"/>
                <w:szCs w:val="16"/>
                <w:color w:val="auto"/>
              </w:rPr>
            </w:pPr>
          </w:p>
        </w:tc>
        <w:tc>
          <w:tcPr>
            <w:tcW w:w="10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8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79"/>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 Amendment to Stock Option Agreement dated August 15, 2002 between Federal Realty Investment Trust and Jeffrey S. Berkes (previously</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as Exhibit 10.31 to the 2002 Form 10-K and incorporated herein by reference)</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2001 Long-Term Incentive Plan (previously file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Grant Thornton LLP (filed herewith)</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w:t>
            </w:r>
          </w:p>
        </w:tc>
        <w:tc>
          <w:tcPr>
            <w:tcW w:w="0" w:type="dxa"/>
            <w:vAlign w:val="bottom"/>
          </w:tcPr>
          <w:p>
            <w:pPr>
              <w:spacing w:after="0"/>
              <w:rPr>
                <w:sz w:val="1"/>
                <w:szCs w:val="1"/>
                <w:color w:val="auto"/>
              </w:rPr>
            </w:pP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Reports on Form 8-K</w:t>
      </w:r>
    </w:p>
    <w:p>
      <w:pPr>
        <w:spacing w:after="0" w:line="200" w:lineRule="exact"/>
        <w:rPr>
          <w:sz w:val="20"/>
          <w:szCs w:val="20"/>
          <w:color w:val="auto"/>
        </w:rPr>
      </w:pPr>
    </w:p>
    <w:p>
      <w:pPr>
        <w:spacing w:after="0" w:line="376"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90" w:lineRule="exact"/>
        <w:rPr>
          <w:sz w:val="20"/>
          <w:szCs w:val="20"/>
          <w:color w:val="auto"/>
        </w:rPr>
      </w:pPr>
    </w:p>
    <w:p>
      <w:pPr>
        <w:ind w:left="5560" w:right="5000" w:hanging="5552"/>
        <w:spacing w:after="0" w:line="523" w:lineRule="auto"/>
        <w:tabs>
          <w:tab w:leader="none" w:pos="139"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Management contract or compensatory plan to be filed under item 15(c) of Form 10-K.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this 12th day of March, 2004.</w:t>
      </w:r>
    </w:p>
    <w:p>
      <w:pPr>
        <w:spacing w:after="0" w:line="3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Donald C. Wood</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Executive Officer</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Pursuant to the requirements of the Securities Exchange Act of 1934, as amended, this Report has been signed below by the following persons in the capacities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ind w:left="1460"/>
              <w:spacing w:after="0"/>
              <w:rPr>
                <w:sz w:val="20"/>
                <w:szCs w:val="20"/>
                <w:color w:val="auto"/>
              </w:rPr>
            </w:pPr>
            <w:r>
              <w:rPr>
                <w:rFonts w:ascii="Arial" w:cs="Arial" w:eastAsia="Arial" w:hAnsi="Arial"/>
                <w:sz w:val="14"/>
                <w:szCs w:val="14"/>
                <w:b w:val="1"/>
                <w:bCs w:val="1"/>
                <w:color w:val="auto"/>
              </w:rPr>
              <w:t>Signature</w:t>
            </w:r>
          </w:p>
        </w:tc>
        <w:tc>
          <w:tcPr>
            <w:tcW w:w="800" w:type="dxa"/>
            <w:vAlign w:val="bottom"/>
          </w:tcPr>
          <w:p>
            <w:pPr>
              <w:spacing w:after="0"/>
              <w:rPr>
                <w:sz w:val="16"/>
                <w:szCs w:val="16"/>
                <w:color w:val="auto"/>
              </w:rPr>
            </w:pPr>
          </w:p>
        </w:tc>
        <w:tc>
          <w:tcPr>
            <w:tcW w:w="4560" w:type="dxa"/>
            <w:vAlign w:val="bottom"/>
          </w:tcPr>
          <w:p>
            <w:pPr>
              <w:ind w:left="214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6"/>
                <w:szCs w:val="16"/>
                <w:color w:val="auto"/>
              </w:rPr>
            </w:pPr>
          </w:p>
        </w:tc>
        <w:tc>
          <w:tcPr>
            <w:tcW w:w="1760" w:type="dxa"/>
            <w:vAlign w:val="bottom"/>
          </w:tcPr>
          <w:p>
            <w:pPr>
              <w:ind w:left="7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3500" w:type="dxa"/>
            <w:vAlign w:val="bottom"/>
            <w:tcBorders>
              <w:bottom w:val="single" w:sz="8" w:color="808080"/>
            </w:tcBorders>
          </w:tcPr>
          <w:p>
            <w:pPr>
              <w:spacing w:after="0"/>
              <w:rPr>
                <w:sz w:val="4"/>
                <w:szCs w:val="4"/>
                <w:color w:val="auto"/>
              </w:rPr>
            </w:pPr>
          </w:p>
        </w:tc>
        <w:tc>
          <w:tcPr>
            <w:tcW w:w="800" w:type="dxa"/>
            <w:vAlign w:val="bottom"/>
          </w:tcPr>
          <w:p>
            <w:pPr>
              <w:spacing w:after="0"/>
              <w:rPr>
                <w:sz w:val="4"/>
                <w:szCs w:val="4"/>
                <w:color w:val="auto"/>
              </w:rPr>
            </w:pPr>
          </w:p>
        </w:tc>
        <w:tc>
          <w:tcPr>
            <w:tcW w:w="4560" w:type="dxa"/>
            <w:vAlign w:val="bottom"/>
            <w:tcBorders>
              <w:bottom w:val="single" w:sz="8" w:color="808080"/>
            </w:tcBorders>
          </w:tcPr>
          <w:p>
            <w:pPr>
              <w:spacing w:after="0"/>
              <w:rPr>
                <w:sz w:val="4"/>
                <w:szCs w:val="4"/>
                <w:color w:val="auto"/>
              </w:rPr>
            </w:pPr>
          </w:p>
        </w:tc>
        <w:tc>
          <w:tcPr>
            <w:tcW w:w="800" w:type="dxa"/>
            <w:vAlign w:val="bottom"/>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92"/>
        </w:trPr>
        <w:tc>
          <w:tcPr>
            <w:tcW w:w="3500" w:type="dxa"/>
            <w:vAlign w:val="bottom"/>
          </w:tcPr>
          <w:p>
            <w:pPr>
              <w:spacing w:after="0"/>
              <w:rPr>
                <w:sz w:val="20"/>
                <w:szCs w:val="20"/>
                <w:color w:val="auto"/>
              </w:rPr>
            </w:pPr>
            <w:r>
              <w:rPr>
                <w:rFonts w:ascii="Arial" w:cs="Arial" w:eastAsia="Arial" w:hAnsi="Arial"/>
                <w:sz w:val="18"/>
                <w:szCs w:val="18"/>
                <w:color w:val="auto"/>
              </w:rPr>
              <w:t>/S/ DONALD C. WOOD</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95"/>
        </w:trPr>
        <w:tc>
          <w:tcPr>
            <w:tcW w:w="350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Donald C. Wood</w:t>
            </w:r>
          </w:p>
        </w:tc>
        <w:tc>
          <w:tcPr>
            <w:tcW w:w="80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3500" w:type="dxa"/>
            <w:vAlign w:val="bottom"/>
          </w:tcPr>
          <w:p>
            <w:pPr>
              <w:spacing w:after="0"/>
              <w:rPr>
                <w:sz w:val="20"/>
                <w:szCs w:val="20"/>
                <w:color w:val="auto"/>
              </w:rPr>
            </w:pPr>
            <w:r>
              <w:rPr>
                <w:rFonts w:ascii="Arial" w:cs="Arial" w:eastAsia="Arial" w:hAnsi="Arial"/>
                <w:sz w:val="18"/>
                <w:szCs w:val="18"/>
                <w:color w:val="auto"/>
              </w:rPr>
              <w:t>/S/ LARRY E. FINGER</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4"/>
              </w:rPr>
              <w:t>Senior Vice President, Chief Financial Officer and Treasurer</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95"/>
        </w:trPr>
        <w:tc>
          <w:tcPr>
            <w:tcW w:w="350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(principal financial and accounting officer)</w:t>
            </w:r>
          </w:p>
        </w:tc>
        <w:tc>
          <w:tcPr>
            <w:tcW w:w="8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Larry E. Finger</w:t>
            </w:r>
          </w:p>
        </w:tc>
        <w:tc>
          <w:tcPr>
            <w:tcW w:w="80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MARK S. ORDAN</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Non-Executive Chairman</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Mark S. Ordan</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DENNIS L. BERMAN</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Dennis L. Berman</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DAVID W. FAEDER</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David W. Faeder</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KRISTIN GAMBLE</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Kristin Gamble</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AMY B. LANE</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Amy B. Lane</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WALTER F. LOEB</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Walter F. Loeb</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/S/ JOSEPH S. VASSALLUZZO</w:t>
            </w:r>
          </w:p>
        </w:tc>
        <w:tc>
          <w:tcPr>
            <w:tcW w:w="80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Trustee</w:t>
            </w:r>
          </w:p>
        </w:tc>
        <w:tc>
          <w:tcPr>
            <w:tcW w:w="2560" w:type="dxa"/>
            <w:vAlign w:val="bottom"/>
            <w:gridSpan w:val="2"/>
          </w:tcPr>
          <w:p>
            <w:pPr>
              <w:ind w:left="800"/>
              <w:spacing w:after="0"/>
              <w:rPr>
                <w:sz w:val="20"/>
                <w:szCs w:val="20"/>
                <w:color w:val="auto"/>
              </w:rPr>
            </w:pPr>
            <w:r>
              <w:rPr>
                <w:rFonts w:ascii="Arial" w:cs="Arial" w:eastAsia="Arial" w:hAnsi="Arial"/>
                <w:sz w:val="18"/>
                <w:szCs w:val="18"/>
                <w:color w:val="auto"/>
              </w:rPr>
              <w:t>March 12, 2004</w:t>
            </w:r>
          </w:p>
        </w:tc>
        <w:tc>
          <w:tcPr>
            <w:tcW w:w="0" w:type="dxa"/>
            <w:vAlign w:val="bottom"/>
          </w:tcPr>
          <w:p>
            <w:pPr>
              <w:spacing w:after="0"/>
              <w:rPr>
                <w:sz w:val="1"/>
                <w:szCs w:val="1"/>
                <w:color w:val="auto"/>
              </w:rPr>
            </w:pPr>
          </w:p>
        </w:tc>
      </w:tr>
      <w:tr>
        <w:trPr>
          <w:trHeight w:val="81"/>
        </w:trPr>
        <w:tc>
          <w:tcPr>
            <w:tcW w:w="3500" w:type="dxa"/>
            <w:vAlign w:val="bottom"/>
            <w:tcBorders>
              <w:bottom w:val="single" w:sz="8" w:color="808080"/>
            </w:tcBorders>
          </w:tcPr>
          <w:p>
            <w:pPr>
              <w:spacing w:after="0"/>
              <w:rPr>
                <w:sz w:val="7"/>
                <w:szCs w:val="7"/>
                <w:color w:val="auto"/>
              </w:rPr>
            </w:pPr>
          </w:p>
        </w:tc>
        <w:tc>
          <w:tcPr>
            <w:tcW w:w="800" w:type="dxa"/>
            <w:vAlign w:val="bottom"/>
          </w:tcPr>
          <w:p>
            <w:pPr>
              <w:spacing w:after="0"/>
              <w:rPr>
                <w:sz w:val="7"/>
                <w:szCs w:val="7"/>
                <w:color w:val="auto"/>
              </w:rPr>
            </w:pPr>
          </w:p>
        </w:tc>
        <w:tc>
          <w:tcPr>
            <w:tcW w:w="45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500" w:type="dxa"/>
            <w:vAlign w:val="bottom"/>
          </w:tcPr>
          <w:p>
            <w:pPr>
              <w:ind w:left="60"/>
              <w:spacing w:after="0"/>
              <w:rPr>
                <w:sz w:val="20"/>
                <w:szCs w:val="20"/>
                <w:color w:val="auto"/>
              </w:rPr>
            </w:pPr>
            <w:r>
              <w:rPr>
                <w:rFonts w:ascii="Arial" w:cs="Arial" w:eastAsia="Arial" w:hAnsi="Arial"/>
                <w:sz w:val="18"/>
                <w:szCs w:val="18"/>
                <w:b w:val="1"/>
                <w:bCs w:val="1"/>
                <w:color w:val="auto"/>
              </w:rPr>
              <w:t>Joseph S. Vassalluzzo</w:t>
            </w:r>
          </w:p>
        </w:tc>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500" w:type="dxa"/>
            <w:vAlign w:val="bottom"/>
          </w:tcPr>
          <w:p>
            <w:pPr>
              <w:spacing w:after="0"/>
              <w:rPr>
                <w:sz w:val="24"/>
                <w:szCs w:val="24"/>
                <w:color w:val="auto"/>
              </w:rPr>
            </w:pPr>
          </w:p>
        </w:tc>
        <w:tc>
          <w:tcPr>
            <w:tcW w:w="5360" w:type="dxa"/>
            <w:vAlign w:val="bottom"/>
            <w:gridSpan w:val="2"/>
          </w:tcPr>
          <w:p>
            <w:pPr>
              <w:jc w:val="right"/>
              <w:ind w:right="2911"/>
              <w:spacing w:after="0"/>
              <w:rPr>
                <w:sz w:val="20"/>
                <w:szCs w:val="20"/>
                <w:color w:val="auto"/>
              </w:rPr>
            </w:pPr>
            <w:r>
              <w:rPr>
                <w:rFonts w:ascii="Arial" w:cs="Arial" w:eastAsia="Arial" w:hAnsi="Arial"/>
                <w:sz w:val="18"/>
                <w:szCs w:val="18"/>
                <w:color w:val="auto"/>
              </w:rPr>
              <w:t>-59-</w:t>
            </w:r>
          </w:p>
        </w:tc>
        <w:tc>
          <w:tcPr>
            <w:tcW w:w="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95" w:name="page96"/>
    <w:bookmarkEnd w:id="95"/>
    <w:p>
      <w:pPr>
        <w:spacing w:after="0"/>
        <w:tabs>
          <w:tab w:leader="none" w:pos="4420" w:val="left"/>
        </w:tabs>
        <w:rPr>
          <w:sz w:val="20"/>
          <w:szCs w:val="20"/>
          <w:color w:val="auto"/>
        </w:rPr>
      </w:pPr>
      <w:r>
        <w:rPr>
          <w:rFonts w:ascii="Courier New" w:cs="Courier New" w:eastAsia="Courier New" w:hAnsi="Courier New"/>
          <w:sz w:val="16"/>
          <w:szCs w:val="16"/>
          <w:color w:val="auto"/>
        </w:rPr>
        <w:t>BYLAWS</w:t>
      </w:r>
      <w:r>
        <w:rPr>
          <w:sz w:val="20"/>
          <w:szCs w:val="20"/>
          <w:color w:val="auto"/>
        </w:rPr>
        <w:tab/>
      </w:r>
      <w:r>
        <w:rPr>
          <w:rFonts w:ascii="Courier New" w:cs="Courier New" w:eastAsia="Courier New" w:hAnsi="Courier New"/>
          <w:sz w:val="16"/>
          <w:szCs w:val="16"/>
          <w:color w:val="auto"/>
        </w:rPr>
        <w:t>[FEDERAL REALTY INVESTMENT TRUST LOGO]</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FEDERAL REALTY INVESTMENT TRUST</w:t>
      </w:r>
    </w:p>
    <w:p>
      <w:pPr>
        <w:ind w:left="2860"/>
        <w:spacing w:after="0" w:line="238" w:lineRule="auto"/>
        <w:rPr>
          <w:sz w:val="20"/>
          <w:szCs w:val="20"/>
          <w:color w:val="auto"/>
        </w:rPr>
      </w:pPr>
      <w:r>
        <w:rPr>
          <w:rFonts w:ascii="Courier New" w:cs="Courier New" w:eastAsia="Courier New" w:hAnsi="Courier New"/>
          <w:sz w:val="18"/>
          <w:szCs w:val="18"/>
          <w:color w:val="auto"/>
        </w:rPr>
        <w:t>AMENDED AND RESTATED BYLAWS</w:t>
      </w:r>
    </w:p>
    <w:p>
      <w:pPr>
        <w:ind w:left="3280"/>
        <w:spacing w:after="0"/>
        <w:rPr>
          <w:sz w:val="20"/>
          <w:szCs w:val="20"/>
          <w:color w:val="auto"/>
        </w:rPr>
      </w:pPr>
      <w:r>
        <w:rPr>
          <w:rFonts w:ascii="Courier New" w:cs="Courier New" w:eastAsia="Courier New" w:hAnsi="Courier New"/>
          <w:sz w:val="18"/>
          <w:szCs w:val="18"/>
          <w:color w:val="auto"/>
        </w:rPr>
        <w:t>(OCTOBER 29, 2003)</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1. PRINCIPAL OFFICE. The principal office of the Trust shall be located at such place or places as the Board of Trustees may designate.</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Section 2. ADDITIONAL OFFICES. The Trust may have additional offices at such places as the Board of Trustees may from time to time determine or the business of the Trust may require.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MEETINGS OF SHAREHOLDERS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 PLACE. All meetings of shareholders shall be held at the principal executive office of the Trust or at such other place within the United States as shall be stated in the notice of the meeting.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ANNUAL MEETING. An annual meeting of the shareholders for the election of Trustees and the transaction of any business within the powers of the Trust shall be held during the month of May of each year, after the delivery of the annual report referred to in Section 12 of this Article II, at a convenient location and on proper notice, on a date and at the time set by the Trustees, beginning with the year 1999. Failure to hold an annual meeting does not invalidate the Trust's existence or affect any otherwise valid acts of the Trust.</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3. SPECIAL MEETINGS. The Chairman of the Board, the Chief Executive Officer, the President or one-third of the Trustees may call special meetings of the shareholders. Special meetings of shareholders shall also be called by the Secretary upon the written request of the holders of shares entitled to cast not less than a twenty-five percent of all the votes entitled to be cast at such meeting. Such request shall state the purpose of such meeting and the matters proposed to be acted on at such meeting. The Secretary shall inform such shareholders of the reasonably estimated cost of preparing and mailing notice of the meeting and, upon payment by such shareholders to the Trust of such costs, the Secretary shall give notice to each shareholder entitled to notice of the meeting. Unless requested by shareholders entitled to cast a majority of all the votes entitled to be cast at such meeting, a special meeting need not be called to consider any matter which is substantially the same as a matter voted on at any meeting of the shareholders held during the preceding twelve months.</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1</w:t>
      </w:r>
    </w:p>
    <w:p>
      <w:pPr>
        <w:sectPr>
          <w:pgSz w:w="11900" w:h="16838" w:orient="portrait"/>
          <w:cols w:equalWidth="0" w:num="1">
            <w:col w:w="10219"/>
          </w:cols>
          <w:pgMar w:left="240" w:top="547" w:right="1440" w:bottom="1440" w:gutter="0" w:footer="0" w:header="0"/>
        </w:sectPr>
      </w:pPr>
    </w:p>
    <w:bookmarkStart w:id="96" w:name="page97"/>
    <w:bookmarkEnd w:id="96"/>
    <w:p>
      <w:pPr>
        <w:ind w:right="1879"/>
        <w:spacing w:after="0" w:line="237" w:lineRule="auto"/>
        <w:rPr>
          <w:sz w:val="20"/>
          <w:szCs w:val="20"/>
          <w:color w:val="auto"/>
        </w:rPr>
      </w:pPr>
      <w:r>
        <w:rPr>
          <w:rFonts w:ascii="Courier New" w:cs="Courier New" w:eastAsia="Courier New" w:hAnsi="Courier New"/>
          <w:sz w:val="18"/>
          <w:szCs w:val="18"/>
          <w:color w:val="auto"/>
        </w:rPr>
        <w:t>Section 4. NOTICE. Not less than ten nor more than 90 days before each meeting of shareholders, the Secretary shall give to each shareholder entitled to vote at such meeting and to each shareholder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shareholder personally or by leaving it at his residence or usual place of business. If mailed, such notice shall be deemed to be given when deposited in the United States mail addressed to the shareholder at his post office address as it appears on the records of the Trust, with postage thereon prepaid.</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 SCOPE OF NOTICE. Any business of the Trust may be transacted at an annual meeting of shareholders without being specifically designated in the notice, except such business as is required by any statute to be stated in such notice. No business shall be transacted at a special meeting of shareholders except as specifically designated in the notice.</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6. ORGANIZATION. The Chairman of the Board shall preside over every meeting of the shareholders. If there is no Chairman or the Chairman is not present at any meeting of the shareholders, the Chief Executive Officer shall preside. In the case of a vacancy in office or an absence of both the Chairman and the Chief Executive Officer, one of the following officers present shall conduct the meeting in the order stated: the President, the Vice Presidents (as defined in Article V, Section 8) in their order of rank and seniority, or a Chairman chosen by the shareholders entitled to cast a majority of the votes which all shareholders present in person or by proxy are entitled to cast, shall act as Chairman. The Secretary, or, in his absence, an Assistant Secretary, or in the absence of both the Secretary and Assistant Secretaries, a person appointed by the Chief Executive Officer, shall act as Secretary of the meeting.</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QUORUM. At any meeting of shareholders, the presence in person or by proxy of shareholders entitled to cast a majority of all the votes entitled to be cast at such meeting shall constitute a quorum; but this section shall not affect any requirement under any statute or the Declaration of Trust for the vote necessary for the adoption of any measure. The shareholders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8. VOTING. A plurality of all the votes cast at a meeting of shareholders duly called and at which a quorum is present shall be sufficient to elect a Trustee. Each share may be voted for as many individuals as there are Trustees to be elected and for whose election the share is entitled to be voted. A majority of the votes cast at a meeting of shareholders duly called and at which a quorum is present shall be sufficient to approve any other matter which may properly come before the meeting, unless more than a majority of the votes cast is required herein or by statute or by the Declaration of Trust. Unless otherwise provided in the Declaration of Trust, each outstanding share, regardless of class, shall be entitled to one vote on each matter submitted to a vote at a meeting of shareholders.</w:t>
      </w:r>
    </w:p>
    <w:p>
      <w:pPr>
        <w:spacing w:after="0" w:line="21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Section 9. PROXIES. A shareholder may cast the votes entitled to be cast by the shares owned of record by him either in person or by proxy executed by the shareholder or by his duly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723" w:right="1440" w:bottom="1440" w:gutter="0" w:footer="0" w:header="0"/>
        </w:sectPr>
      </w:pPr>
    </w:p>
    <w:bookmarkStart w:id="97" w:name="page98"/>
    <w:bookmarkEnd w:id="97"/>
    <w:p>
      <w:pPr>
        <w:ind w:right="1879"/>
        <w:spacing w:after="0" w:line="237" w:lineRule="auto"/>
        <w:rPr>
          <w:sz w:val="20"/>
          <w:szCs w:val="20"/>
          <w:color w:val="auto"/>
        </w:rPr>
      </w:pPr>
      <w:r>
        <w:rPr>
          <w:rFonts w:ascii="Courier New" w:cs="Courier New" w:eastAsia="Courier New" w:hAnsi="Courier New"/>
          <w:sz w:val="18"/>
          <w:szCs w:val="18"/>
          <w:color w:val="auto"/>
        </w:rPr>
        <w:t>authorized agent in any manner allowed by law. Such proxy shall be filed with the Secretary of the Trust before or at the time of the meeting. No proxy shall be valid after eleven months from the date of its execution, unless otherwise provided in the proxy.</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Section 10. VOTING OF SHARES BY CERTAIN HOLDERS. Shares of the Trust registered in the name of a corporation, partnership, limited liability company, trust or other entity, if entitled to be voted, may be voted by the president or a vice president, a general partner, a manager, a managing member or trustee thereof, as the case may be, or a proxy appointed by any of the foregoing individuals, unless some other person who has been appointed to vote such shares pursuant to a bylaw or a resolution of the governing board of such corporation or other entity or agreement of the partners of the partnership or agreement of the members of the limited liability company presents a certified copy of such bylaw, resolution or agreement, in which case such person may vote such shares. Any trustee or other fiduciary may vote shares registered in his name as such fiduciary, either in person or by proxy.</w:t>
      </w:r>
    </w:p>
    <w:p>
      <w:pPr>
        <w:spacing w:after="0" w:line="39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Shares of the Trust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Trustees may adopt by resolution a procedure by which a shareholder may certify in writing to the Trust that any shares registered in the name of the shareholder are held for the account of a specified person other than the shareholder. The resolution shall set forth the class of shareholders who may make the certification, the purpose for which the certification may be made, the form of certification and the information to be contained in it; if the certification is with respect to a record date or closing of the share transfer books, the time after the record date or closing of the share transfer books within which the certification must be received by the Trust; and any other provisions with respect to the procedure which the Trustees consider necessary or desirable. On receipt of such certification, the person specified in the certification shall be regarded as, for the purposes set forth in the certification, the shareholder of record of the specified shares in place of the shareholder who makes the certification.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other provision contained herein or in the Declaration of Trust or these Bylaws, Title 3, Subtitle 7 of the Corporations and Associations Article of the Annotated Code of Maryland (or any successor statute) shall not apply to any acquisition by any person of shares of beneficial interest of the Trust. This section may be repealed, in whole or in part, at any time, whether before or after an acquisition of control shares and, upon such repeal, may, to the extent provided by any successor bylaw, apply to any prior or subsequent control share acquisition; provided, however, that this section may be repealed only with the approval of at least a majority of the shares then outstanding and entitled to vote on the matter.</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11. INSPECTORS. At any meeting of shareholders, the chairman of the meeting may appoint one or more persons as inspectors for such meeting. Such inspectors shall ascertain and report the number of shares represented at the meeting based upon their determination of the validity and effect of proxies, count all votes, report the results and perform such other acts as are proper to conduct the election and voting with impartiality and fairness to all the shareholders.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723" w:right="1440" w:bottom="1440" w:gutter="0" w:footer="0" w:header="0"/>
        </w:sectPr>
      </w:pPr>
    </w:p>
    <w:bookmarkStart w:id="98" w:name="page99"/>
    <w:bookmarkEnd w:id="98"/>
    <w:p>
      <w:pPr>
        <w:ind w:right="1879"/>
        <w:spacing w:after="0" w:line="237" w:lineRule="auto"/>
        <w:rPr>
          <w:sz w:val="20"/>
          <w:szCs w:val="20"/>
          <w:color w:val="auto"/>
        </w:rPr>
      </w:pPr>
      <w:r>
        <w:rPr>
          <w:rFonts w:ascii="Courier New" w:cs="Courier New" w:eastAsia="Courier New" w:hAnsi="Courier New"/>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12. REPORTS TO SHAREHOLDERS. The Trustees shall submit to the shareholders at or before the annual meeting of shareholders a report of the business and operations of the Trust during such fiscal year, containing a balance sheet and a statement of income and surplus of the Trust, accompanied by the certification of an independent certified public accountant, and such further information as the Trustees may determine is required pursuant to any law or regulation to which the Trust is subject. Within the earlier of 20 days after the annual meeting of shareholders or 120 days after the end of the fiscal year of the Trust, the Trustees shall place the annual report on file at the principal office of the Trust and with any governmental agencies as may be required by law and as the Trustees may deem appropriate.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 NOMINATIONS AND PROPOSALS BY SHAREHOLDERS.</w:t>
      </w:r>
    </w:p>
    <w:p>
      <w:pPr>
        <w:spacing w:after="0" w:line="201" w:lineRule="exact"/>
        <w:rPr>
          <w:sz w:val="20"/>
          <w:szCs w:val="20"/>
          <w:color w:val="auto"/>
        </w:rPr>
      </w:pPr>
    </w:p>
    <w:p>
      <w:pPr>
        <w:ind w:left="960" w:hanging="952"/>
        <w:spacing w:after="0"/>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Shareholders.</w:t>
      </w:r>
    </w:p>
    <w:p>
      <w:pPr>
        <w:spacing w:after="0" w:line="206" w:lineRule="exact"/>
        <w:rPr>
          <w:rFonts w:ascii="Courier New" w:cs="Courier New" w:eastAsia="Courier New" w:hAnsi="Courier New"/>
          <w:sz w:val="18"/>
          <w:szCs w:val="18"/>
          <w:color w:val="auto"/>
        </w:rPr>
      </w:pPr>
    </w:p>
    <w:p>
      <w:pPr>
        <w:ind w:left="960" w:right="1779" w:hanging="4"/>
        <w:spacing w:after="0" w:line="237" w:lineRule="auto"/>
        <w:tabs>
          <w:tab w:leader="none" w:pos="19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of persons for election to the Board of Trustees and the proposal of business to be considered by the shareholders may be made at an annual meeting of shareholders: (A) pursuant to the Trust's notice of meeting; (B) by or at the direction of the Trustees; or (C) by any shareholder of the Trust who was a shareholder of record both at the time of giving of notice provided for in this Section 13(a) and at the time of the annual meeting, who is entitled to vote at the meeting and who complied with the notice procedures set forth in this Section 13(a).</w:t>
      </w:r>
    </w:p>
    <w:p>
      <w:pPr>
        <w:spacing w:after="0" w:line="213" w:lineRule="exact"/>
        <w:rPr>
          <w:rFonts w:ascii="Courier New" w:cs="Courier New" w:eastAsia="Courier New" w:hAnsi="Courier New"/>
          <w:sz w:val="18"/>
          <w:szCs w:val="18"/>
          <w:color w:val="auto"/>
        </w:rPr>
      </w:pPr>
    </w:p>
    <w:p>
      <w:pPr>
        <w:ind w:left="960" w:right="1779" w:hanging="4"/>
        <w:spacing w:after="0" w:line="238" w:lineRule="auto"/>
        <w:tabs>
          <w:tab w:leader="none" w:pos="190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nominations or other business to be properly brought before an annual meeting by a shareholder pursuant to clause (C) of paragraph (a)(1) of this Section 13, the shareholder must have given timely notice thereof in writing to the Secretary of the Trust and such other business must otherwise be a proper matter for action by shareholders. To be timely, a shareholder's notice shall be delivered to the Secretary at the principal executive offices of the Trust not later than the close of business on the 120th calendar day before the first anniversary of the date of the Trust's proxy statement released to shareholders in connection with the preceding year's annual meeting; provided, however, that in the event that the date of the current year's annual meeting has been changed by more than 30 days from the date of the preceding year's meeting or if the Trust did not hold an annual meeting the preceding year, notice by the shareholder to be timely must be so delivered within a reasonable time before the Trust begins to print and mail its proxy materials. In no event shall the public announcement of a postponement or adjournment of an annual meeting to a later date or time commence a new time period for the giving of a shareholder's notice as described above. Such shareholder's notice shall set forth: (A) as to each person whom the shareholder proposes to nominate for election or reelection as a Trustee all information relating to such person that is required to be disclosed in solicitations of proxies for election of Trustees in an election contest, or is otherwise required, in each case pursuant to Regulation 14A under the Securities Exchange Act of 1934, as amended (the "Exchange Act") (including such person's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722" w:right="1440" w:bottom="1440" w:gutter="0" w:footer="0" w:header="0"/>
        </w:sectPr>
      </w:pPr>
    </w:p>
    <w:bookmarkStart w:id="99" w:name="page100"/>
    <w:bookmarkEnd w:id="99"/>
    <w:p>
      <w:pPr>
        <w:ind w:left="952" w:right="1779"/>
        <w:spacing w:after="0" w:line="238" w:lineRule="auto"/>
        <w:rPr>
          <w:sz w:val="20"/>
          <w:szCs w:val="20"/>
          <w:color w:val="auto"/>
        </w:rPr>
      </w:pPr>
      <w:r>
        <w:rPr>
          <w:rFonts w:ascii="Courier New" w:cs="Courier New" w:eastAsia="Courier New" w:hAnsi="Courier New"/>
          <w:sz w:val="18"/>
          <w:szCs w:val="18"/>
          <w:color w:val="auto"/>
        </w:rPr>
        <w:t>written consent to being named in the proxy statement as a nominee and to serving as a Trustee if elected); (B) as to any other business that the shareholder proposes to bring before the meeting, a brief description of the business desired to be brought before the meeting, the reasons for conducting such business at the meeting and any material interest in such business of such shareholder and of the beneficial owner, if any, on whose behalf the proposal is made; and (C) as to the shareholder giving the notice and the beneficial owner, if any, on whose behalf the nomination or proposal is made: (i) the name and address of such shareholder, as they appear on the Trust's books, and of such beneficial owner; and (ii) the number of each class of shares of the Trust which are owned beneficially and of record by such shareholder and such beneficial owner.</w:t>
      </w:r>
    </w:p>
    <w:p>
      <w:pPr>
        <w:spacing w:after="0" w:line="207" w:lineRule="exact"/>
        <w:rPr>
          <w:sz w:val="20"/>
          <w:szCs w:val="20"/>
          <w:color w:val="auto"/>
        </w:rPr>
      </w:pPr>
    </w:p>
    <w:p>
      <w:pPr>
        <w:ind w:left="952" w:right="1779" w:hanging="4"/>
        <w:spacing w:after="0" w:line="270" w:lineRule="auto"/>
        <w:tabs>
          <w:tab w:leader="none" w:pos="190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the second sentence of paragraph (a)(2) of this Section 13 to the contrary, in the event that the number of Trustees to be elected to the Board of Trustees is increased and there is no public announcement by the Trust naming all of the nominees for Trustee or specifying the size of the increased Board of Trustees at least 70 days prior to the first anniversary of the preceding year's annual meeting, a shareholder's notice required by this Section 13(a) shall also be considered timely, but only with respect to nominees for any new positions created by such increase, if it shall be delivered to the Secretary at the principal executive offices of the Trust not later than the close of business on the tenth day following the day on which such public announcement is first made by the Trust.</w:t>
      </w:r>
    </w:p>
    <w:p>
      <w:pPr>
        <w:spacing w:after="0" w:line="186" w:lineRule="exact"/>
        <w:rPr>
          <w:rFonts w:ascii="Courier New" w:cs="Courier New" w:eastAsia="Courier New" w:hAnsi="Courier New"/>
          <w:sz w:val="16"/>
          <w:szCs w:val="16"/>
          <w:color w:val="auto"/>
        </w:rPr>
      </w:pPr>
    </w:p>
    <w:p>
      <w:pPr>
        <w:ind w:left="-8" w:right="1779" w:firstLine="8"/>
        <w:spacing w:after="0" w:line="268" w:lineRule="auto"/>
        <w:tabs>
          <w:tab w:leader="none" w:pos="9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Shareholders. Only such business shall be conducted at a special meeting of shareholders as shall have been brought before the meeting pursuant to the Trust's notice of meeting. Nominations of persons for election to the Board of Trustees may be made at a special meeting of shareholders at which Trustees are to be elected: (i) pursuant to the Trust's notice of meeting; (ii) by or at the direction of the Board of Trustees; or</w:t>
      </w:r>
    </w:p>
    <w:p>
      <w:pPr>
        <w:spacing w:after="0" w:line="1" w:lineRule="exact"/>
        <w:rPr>
          <w:rFonts w:ascii="Courier New" w:cs="Courier New" w:eastAsia="Courier New" w:hAnsi="Courier New"/>
          <w:sz w:val="16"/>
          <w:szCs w:val="16"/>
          <w:color w:val="auto"/>
        </w:rPr>
      </w:pPr>
    </w:p>
    <w:p>
      <w:pPr>
        <w:ind w:left="-8" w:right="1779" w:firstLine="8"/>
        <w:spacing w:after="0" w:line="269" w:lineRule="auto"/>
        <w:tabs>
          <w:tab w:leader="none" w:pos="62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Board of Trustees has determined that Trustees shall be elected at such special meeting, by any shareholder of the Trust who was a shareholder of record both at the time of giving of notice provided for in this Section 13(b) and at the time of the special meeting, who is entitled to vote at the meeting and who complied with the notice procedures set forth in this Section 13(b). In the event the Trust calls a special meeting of shareholders for the purpose of electing one or more Trustees to the Board of Trustees, any such shareholder may nominate a person or persons (as the case may be) for election to such position as specified in the Trust's notice of meeting, if the shareholder's notice containing the information required by paragraph (a)(2) of this Section 13 shall be delivered to the Secretary at the principal executive offices of the Trust not earlier than the close of business on the 120th day prior to such special meeting and not later than the close of business on the later of the 90th day prior to such special meeting or the tenth day following the day on which public announcement is first made of the date of the special meeting and of the nominees proposed by the Trustees to be elected at such meeting. In no event shall the public announcement of a postponement or adjournment of a special meeting to a later date or time commence a new time period for the giving of a shareholder's notice as described above.</w:t>
      </w:r>
    </w:p>
    <w:p>
      <w:pPr>
        <w:spacing w:after="0" w:line="389" w:lineRule="exact"/>
        <w:rPr>
          <w:rFonts w:ascii="Courier New" w:cs="Courier New" w:eastAsia="Courier New" w:hAnsi="Courier New"/>
          <w:sz w:val="16"/>
          <w:szCs w:val="16"/>
          <w:color w:val="auto"/>
        </w:rPr>
      </w:pPr>
    </w:p>
    <w:p>
      <w:pPr>
        <w:ind w:left="952" w:hanging="952"/>
        <w:spacing w:after="0"/>
        <w:tabs>
          <w:tab w:leader="none" w:pos="95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6" w:lineRule="exact"/>
        <w:rPr>
          <w:rFonts w:ascii="Courier New" w:cs="Courier New" w:eastAsia="Courier New" w:hAnsi="Courier New"/>
          <w:sz w:val="18"/>
          <w:szCs w:val="18"/>
          <w:color w:val="auto"/>
        </w:rPr>
      </w:pPr>
    </w:p>
    <w:p>
      <w:pPr>
        <w:ind w:left="952" w:right="1999" w:hanging="4"/>
        <w:spacing w:after="0" w:line="237" w:lineRule="auto"/>
        <w:tabs>
          <w:tab w:leader="none" w:pos="190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Only such persons who are nominated in accordance with the procedures set forth in this Section 13 shall be eligible to serve as Trustees and only such business shall be conducted at a meeting of shareholders as shall have been brought before the meeting in</w:t>
      </w:r>
    </w:p>
    <w:p>
      <w:pPr>
        <w:spacing w:after="0" w:line="202"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1"/>
          </w:cols>
          <w:pgMar w:left="248" w:top="723" w:right="1440" w:bottom="1440" w:gutter="0" w:footer="0" w:header="0"/>
        </w:sectPr>
      </w:pPr>
    </w:p>
    <w:bookmarkStart w:id="100" w:name="page101"/>
    <w:bookmarkEnd w:id="100"/>
    <w:p>
      <w:pPr>
        <w:ind w:left="960" w:right="1879"/>
        <w:spacing w:after="0" w:line="271" w:lineRule="auto"/>
        <w:rPr>
          <w:sz w:val="20"/>
          <w:szCs w:val="20"/>
          <w:color w:val="auto"/>
        </w:rPr>
      </w:pPr>
      <w:r>
        <w:rPr>
          <w:rFonts w:ascii="Courier New" w:cs="Courier New" w:eastAsia="Courier New" w:hAnsi="Courier New"/>
          <w:sz w:val="16"/>
          <w:szCs w:val="16"/>
          <w:color w:val="auto"/>
        </w:rPr>
        <w:t>accordance with the procedures set forth in this Section 13. The chairman of the meeting shall have the power and duty to determine whether a nomination or any business proposed to be brought before the meeting was made or proposed, as the case may be, in accordance with the procedures set forth in this Section 13 and, if any proposed nomination or business is not in compliance with this Section 13, to declare that such nomination or proposal shall be disregarded.</w:t>
      </w:r>
    </w:p>
    <w:p>
      <w:pPr>
        <w:spacing w:after="0" w:line="188" w:lineRule="exact"/>
        <w:rPr>
          <w:sz w:val="20"/>
          <w:szCs w:val="20"/>
          <w:color w:val="auto"/>
        </w:rPr>
      </w:pPr>
    </w:p>
    <w:p>
      <w:pPr>
        <w:ind w:left="960" w:right="1779" w:hanging="4"/>
        <w:spacing w:after="0" w:line="237" w:lineRule="auto"/>
        <w:tabs>
          <w:tab w:leader="none" w:pos="190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13, "public announcement" shall mean disclosure in a press release reported by the Dow Jones News Service, Associated Press or comparable news service or in a document publicly filed by the Trust with the Securities and Exchange Commission pursuant to Section 13, 14 or 15(d) of the Exchange Act.</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90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provisions of this Section 13, a shareholder shall also comply with all applicable requirements of state law and of the Exchange Act and the rules and regulations thereunder with respect to the matters set forth in this Section 13. Nothing in this Section 13 shall be deemed to affect any rights of shareholders to request inclusion of proposals in, nor the right of the Trust to omit a proposal from, the Trust's proxy statement pursuant to Rule 14a-8 under the Exchange Act.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 INFORMAL ACTION BY SHAREHOLDERS.</w:t>
      </w:r>
    </w:p>
    <w:p>
      <w:pPr>
        <w:spacing w:after="0" w:line="207" w:lineRule="exact"/>
        <w:rPr>
          <w:sz w:val="20"/>
          <w:szCs w:val="20"/>
          <w:color w:val="auto"/>
        </w:rPr>
      </w:pPr>
    </w:p>
    <w:p>
      <w:pPr>
        <w:ind w:right="1879" w:firstLine="8"/>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Shareholders may be taken without a meeting, if a majority of Shares entitled to vote on the matter (or such larger proportion of Shares as shall be required to take such action) consent to the action in writing and the written consents are filed with the records of the meetings of Shareholders.</w:t>
      </w:r>
    </w:p>
    <w:p>
      <w:pPr>
        <w:spacing w:after="0" w:line="208" w:lineRule="exact"/>
        <w:rPr>
          <w:rFonts w:ascii="Courier New" w:cs="Courier New" w:eastAsia="Courier New" w:hAnsi="Courier New"/>
          <w:sz w:val="18"/>
          <w:szCs w:val="18"/>
          <w:color w:val="auto"/>
        </w:rPr>
      </w:pPr>
    </w:p>
    <w:p>
      <w:pPr>
        <w:ind w:right="1779" w:firstLine="8"/>
        <w:spacing w:after="0" w:line="269" w:lineRule="auto"/>
        <w:tabs>
          <w:tab w:leader="none" w:pos="94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 (10) days of the date on which such a request is received and no prior action by the Board of Trustees is required by applicable law, the record date for determining shareholders entitled to consent to action in writing without a meeting shall be the first date on which a signed written consent setting forth the action taken or proposed to be taken is delivered to the Trust by delivery to its registered office in the State of Maryland, its principal place of business, or an officer or agent of the Trust having custody of the book in which proceedings of shareholders meetings are recorded, in each case to the attention of the Secretary of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w:t>
      </w:r>
    </w:p>
    <w:p>
      <w:pPr>
        <w:spacing w:after="0" w:line="200" w:lineRule="exact"/>
        <w:rPr>
          <w:sz w:val="20"/>
          <w:szCs w:val="20"/>
          <w:color w:val="auto"/>
        </w:rPr>
      </w:pPr>
    </w:p>
    <w:p>
      <w:pPr>
        <w:spacing w:after="0" w:line="38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723"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resolution taking such prior action.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Section 15. VOTING BY BALLOT. Voting on any question or in any election may be viva voce unless the presiding officer shall order or any shareholder shall demand that voting be by ballot.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ind w:left="3800"/>
        <w:spacing w:after="0" w:line="238" w:lineRule="auto"/>
        <w:rPr>
          <w:sz w:val="20"/>
          <w:szCs w:val="20"/>
          <w:color w:val="auto"/>
        </w:rPr>
      </w:pPr>
      <w:r>
        <w:rPr>
          <w:rFonts w:ascii="Courier New" w:cs="Courier New" w:eastAsia="Courier New" w:hAnsi="Courier New"/>
          <w:sz w:val="18"/>
          <w:szCs w:val="18"/>
          <w:color w:val="auto"/>
        </w:rPr>
        <w:t>TRUSTEES</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Section 1. GENERAL POWERS; QUALIFICATIONS; TRUSTEES HOLDING OVER. The business and affairs of the Trust shall be managed under the direction of its Board of Trustees. A Trustee shall be an individual at least 21 years of age who is not under legal disability. In case of failure to elect Trustees at an annual meeting of the shareholders, the Trustees holding over shall continue to direct the management of the business and affairs of the Trust until their successors are elected and qualify. At no time shall there be more than one Trustee on the Board of Trustees that fails to satisfy the definitions for independence as established from time to time in the Securities Exchange Act of 1934, the New York Stock Exchange's Listed Company Manual and other laws, rules and regulations applicable to the Trust from time to time except during a period of no more than ninety (90) days following changed circumstances.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NUMBER. At any regular meeting or at any special meeting called for that purpose, a majority of the entire Board of Trustees may establish, increase or decrease the number of Trustees; provided, however, that the total number of Trustees shall not be less than three (3) or more than fifteen (15).</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3. ANNUAL AND REGULAR MEETINGS. An annual meeting of the Trustees shall be held immediately after and at the same place as the annual meeting of shareholders, no notice other than this Bylaw being necessary. The Trustees may provide, by resolution, the time and place, either within or without the State of Maryland, for the holding of regular meetings of the Trustees without other notice than such resolution.</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4. SPECIAL MEETINGS. Special meetings of the Trustees may be called by or at the request of the Chairman of the Board, the Chief Executive Officer or the President or by a majority of the Trustees then in office. The person or persons authorized to call special meetings of the Trustees may fix any place, either within or without the State of Maryland, as the place for holding any special meeting of the Trustees called by them.</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Section 5. NOTICE. Notice of any special meeting shall be given by written notice delivered personally, telegraphed, facsimile-transmitted or mailed to each Trustee at his business or residence address. Personally delivered or telegraphed notices shall be given at least two days prior to the meeting. Notice by mail shall be given at least five days prior to the meeting. Telephone or facsimile-transmission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Trustee is personally given such notice in a telephone call to which the Trustee is a party. Facsimile-transmission notice shall be deemed given upon</w:t>
      </w:r>
    </w:p>
    <w:p>
      <w:pPr>
        <w:spacing w:after="0" w:line="38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717" w:right="1440" w:bottom="1440" w:gutter="0" w:footer="0" w:header="0"/>
        </w:sectPr>
      </w:pPr>
    </w:p>
    <w:bookmarkStart w:id="102" w:name="page103"/>
    <w:bookmarkEnd w:id="102"/>
    <w:p>
      <w:pPr>
        <w:ind w:right="1779"/>
        <w:spacing w:after="0" w:line="237" w:lineRule="auto"/>
        <w:rPr>
          <w:sz w:val="20"/>
          <w:szCs w:val="20"/>
          <w:color w:val="auto"/>
        </w:rPr>
      </w:pPr>
      <w:r>
        <w:rPr>
          <w:rFonts w:ascii="Courier New" w:cs="Courier New" w:eastAsia="Courier New" w:hAnsi="Courier New"/>
          <w:sz w:val="18"/>
          <w:szCs w:val="18"/>
          <w:color w:val="auto"/>
        </w:rPr>
        <w:t>completion of the transmission of the message to the number given to the Trust by the Trustee and receipt of a completed transmission report confirming delivery. Neither the business to be transacted at, nor the purpose of, any annual, regular or special meeting of the Trustees need be stated in the notice, unless specifically required by statute or these Bylaws.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Section 6. QUORUM. A majority of the Trustees shall constitute a quorum for transaction of business at any meeting of the Trustees, provided that, if less than a majority of such Trustees are present at said meeting, a majority of the Trustees present may adjourn the meeting from time to time without further notice, and provided further that if, pursuant to the Declaration of Trust or these Bylaws, the vote of a majority of a particular group of Trustees is required for action, a quorum must also include a majority of such group.</w:t>
      </w:r>
    </w:p>
    <w:p>
      <w:pPr>
        <w:spacing w:after="0" w:line="18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Trustees present at a meeting which has been duly called and convened may continue to transact business until adjournment, notwithstanding the withdrawal of enough Trustees to leave less than a quorum.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7. VOTING. The action of the majority of the Trustees present at a meeting at which a quorum is present shall be the action of the Trustees, unless the concurrence of a greater proportion is required for such action by applicable statute.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Section 8. TELEPHONE MEETINGS.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9. INFORMAL ACTION BY TRUSTEES. Any action required or permitted to be taken at any meeting of the Trustees may be taken without a meeting, if a consent in writing to such action is signed by each Trustee and such written consent is filed with the minutes of proceedings of the Trustees.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10. VACANCIES. If for any reason any or all the Trustees cease to be Trustees, such event shall not terminate the Trust or affect these Bylaws or the powers of the remaining Trustees hereunder (even if fewer than 3 Trustees remain). Subject to the rights of holders of one or more classes or series of preferred shares then outstanding, any vacancy on the Board of Trustees (including a vacancy created by an increase in the number of Trustees) may be filled by a majority of the remaining Trustees or, if the remaining Trustees fail to act or there is no remaining Trustee, by the vote of holders of at least a majority of the Shares entitled to vote thereon and present in person or by proxy at any meeting of the shareholders called for that purpose. Any individual so elected as Trustee shall serve for the unexpired term of the Trustee he is replacing.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 COMPENSATION; FINANCIAL ASSISTANCE.</w:t>
      </w:r>
    </w:p>
    <w:p>
      <w:pPr>
        <w:spacing w:after="0" w:line="207" w:lineRule="exact"/>
        <w:rPr>
          <w:sz w:val="20"/>
          <w:szCs w:val="20"/>
          <w:color w:val="auto"/>
        </w:rPr>
      </w:pPr>
    </w:p>
    <w:p>
      <w:pPr>
        <w:ind w:right="1779" w:firstLine="8"/>
        <w:spacing w:after="0" w:line="237" w:lineRule="auto"/>
        <w:tabs>
          <w:tab w:leader="none" w:pos="94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Trustees shall not receive any stated salary for their services as Trustees but, by resolution of the Trustees, may receive compensation per year and/or per meeting and/or per visit to real property owned or to be acquired by the Trust and for any service or activity they performed or engaged in as Trustees. Trustees may be reimbursed for expenses of attendance, if any, at each annual, regular or special meeting of the Trustees or of any committee thereof; and</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722" w:right="1440" w:bottom="1440" w:gutter="0" w:footer="0" w:header="0"/>
        </w:sectPr>
      </w:pPr>
    </w:p>
    <w:bookmarkStart w:id="103" w:name="page104"/>
    <w:bookmarkEnd w:id="103"/>
    <w:p>
      <w:pPr>
        <w:ind w:right="1779"/>
        <w:spacing w:after="0" w:line="237" w:lineRule="auto"/>
        <w:rPr>
          <w:sz w:val="20"/>
          <w:szCs w:val="20"/>
          <w:color w:val="auto"/>
        </w:rPr>
      </w:pPr>
      <w:r>
        <w:rPr>
          <w:rFonts w:ascii="Courier New" w:cs="Courier New" w:eastAsia="Courier New" w:hAnsi="Courier New"/>
          <w:sz w:val="18"/>
          <w:szCs w:val="18"/>
          <w:color w:val="auto"/>
        </w:rPr>
        <w:t>for their expenses, if any, in connection with each property visit and any other service or activity performed or engaged in as Trustees; but nothing herein contained shall be construed to preclude any Trustees from serving the Trust in any other capacity and receiving compensation therefor.</w:t>
      </w:r>
    </w:p>
    <w:p>
      <w:pPr>
        <w:spacing w:after="0" w:line="207" w:lineRule="exact"/>
        <w:rPr>
          <w:sz w:val="20"/>
          <w:szCs w:val="20"/>
          <w:color w:val="auto"/>
        </w:rPr>
      </w:pPr>
    </w:p>
    <w:p>
      <w:pPr>
        <w:ind w:right="1999" w:firstLine="8"/>
        <w:spacing w:after="0" w:line="273"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Assistance to Trustees. To the extent permitted by law, the Trust may lend money to, guarantee an obligation of or otherwise assist a Trustee or a trustee of its direct or indirect subsidiary. The loan, guarantee or other assistance may be with or without interest, unsecured, or secured in any manner that the Board of Trustees approves, including a pledge of Shares.</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Section 12. REMOVAL OF TRUSTEES. The shareholders may, at any time, remove any Trustee in the manner provided in the Declaration of Trust.</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13. LOSS OF DEPOSITS. No Trustee shall be liable for any loss which may occur by reason of the failure of the bank, trust company, savings and loan association, or other institution with whom moneys or shares have been deposited.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14. SURETY BONDS. Unless required by law, no Trustee shall be obligated to give any bond or surety or other security for the performance of any of his duties.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15. RELIANCE. Each Trustee, officer, employee and agent of the Trust shall, in the performance of his duties with respect to the Trust, be fully justified and protected with regard to any act or failure to act in reliance in good faith upon the books of account or other records of the Trust, upon an opinion of counsel or upon reports made to the Trust by any of its officers or employees or by the adviser, accountants, appraisers or other experts or consultants selected by the Trustees or officers of the Trust, regardless of whether such counsel or expert may also be a Trustee.</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16. INTERESTED TRUSTEE TRANSACTIONS. Section 2-419 of the Maryland General Corporation Law (the "MGCL") shall be available for and apply to any contract or other transaction between the Trust and any of its Trustees or between the Trust and any other trust, corporation, firm or other entity in which any of its Trustees is a trustee or director or has a material financial interest.</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17. CERTAIN RIGHTS OF TRUSTEES, OFFICERS, EMPLOYEES AND AGENTS. The Trustees shall have no responsibility to devote their full time to the affairs of the Trust. Any Trustee or officer, employee or agent of the Trust (other than a full-time officer, employee or agent of the Trust), in his personal capacity or in a capacity as an affiliate, employee, or agent of any other person, or otherwise, may have business interests and engage in business activities similar or in addition to those of or relating to the Trust, subject to any limitations imposed by applicable law or any policies adopted by the Board of Trustees.</w:t>
      </w:r>
    </w:p>
    <w:p>
      <w:pPr>
        <w:spacing w:after="0" w:line="18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18. CHAIRMAN OF THE BOARD OF TRUSTEES. The Board of Trustees may elect from among the Trustees a Chairman of the Board of Trustees by the affirmative vote of a majority of the full Board of Trustees taken at any regular or special meeting of the Trustees. The Chairman shall preside over the meetings of shareholders and the meetings of the Trustees at which he shall be present. The Chairman may be removed at any time by the affirmative vote of a majority of the full Board of Trustees taken at any regular or special meeting of the Trustees.</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722" w:right="1440" w:bottom="1440" w:gutter="0" w:footer="0" w:header="0"/>
        </w:sectPr>
      </w:pPr>
    </w:p>
    <w:bookmarkStart w:id="104" w:name="page105"/>
    <w:bookmarkEnd w:id="104"/>
    <w:p>
      <w:pPr>
        <w:ind w:right="1999"/>
        <w:spacing w:after="0" w:line="237" w:lineRule="auto"/>
        <w:rPr>
          <w:sz w:val="20"/>
          <w:szCs w:val="20"/>
          <w:color w:val="auto"/>
        </w:rPr>
      </w:pPr>
      <w:r>
        <w:rPr>
          <w:rFonts w:ascii="Courier New" w:cs="Courier New" w:eastAsia="Courier New" w:hAnsi="Courier New"/>
          <w:sz w:val="18"/>
          <w:szCs w:val="18"/>
          <w:color w:val="auto"/>
        </w:rPr>
        <w:t>The Chairman may resign from the position of Chairman at any time by written notice to the Board of Trustees effective upon execution and delivery to the Trust of such written notice or upon any future date specified in such notice, provided that such notice shall not constitute written notice to resign as a Trustee unless so designated.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3700"/>
        <w:spacing w:after="0" w:line="238" w:lineRule="auto"/>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NUMBER, TENURE AND QUALIFICATIONS. The Trustees shall appoint from among its members an Audit Committee, a Compensation Committee, and a Nominating and Corporate Governance Committee. The Trustees may appoint from among its members an Executive Committee and such other committees as they may deem necessary or appropriate. All committees so appointed shall be composed of one or more Trustees to serve at the pleasure of the Trustees; provided, however, that the following committees, to the extent they are created by the Trustees, shall always consist of two or more Trustees: (a) Audit Committee; (b) Compensation Committee; (c) Executive Committee; and (d) Nominating and Corporate Governance Committee.</w:t>
      </w:r>
    </w:p>
    <w:p>
      <w:pPr>
        <w:spacing w:after="0" w:line="215"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Section 2. POWERS. The Trustees may delegate to committees appointed under Section 1 of this Article any of the powers of the Trustees, except as prohibited by law.</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3. MEETINGS. In the absence of any member of any such committee, the members thereof present at any meeting, whether or not they constitute a quorum, may appoint another Trustee to act in the place of such absent member. Notice of committee meetings shall be given in the same manner as notice for special meetings of the Board of Trustees.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One-third, but not less than two, of the members of any committee shall be present in person at any meeting of such committee in order to constitute a quorum for the transaction of business at such meeting, and the act of a majority present shall be the act of such committee. The Board of Trustees may designate a chairman of any committee, and such chairman or any two members of any committee may fix the time and place of its meetings unless the Board shall otherwise provide. In the absence or disqualification of any member of any such committee, the members thereof present at any meeting and not disqualified from voting, whether or not they constitute a quorum, may unanimously appoint another Trustee to act at the meeting in the place of such absent or disqualified members.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committee shall keep minutes of its proceedings and shall report the same to the Board of Trustees at the next succeeding meeting, and any action by the committee shall be subject to revision and alteration by the Board of Trustees, provided that no vested or contractual rights of third persons shall be affected by any such revision or alteration.</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Section 4. TELEPHONE MEETINGS. Members of a committee of the Trustees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5. INFORMAL ACTION BY COMMITTEES. Any action required or permitted to be taken at any meeting of a committee of the Trustees may be taken without a meeting, if a</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723" w:right="1440" w:bottom="1440" w:gutter="0" w:footer="0" w:header="0"/>
        </w:sectPr>
      </w:pPr>
    </w:p>
    <w:bookmarkStart w:id="105" w:name="page106"/>
    <w:bookmarkEnd w:id="105"/>
    <w:p>
      <w:pPr>
        <w:ind w:right="1779"/>
        <w:spacing w:after="0" w:line="290" w:lineRule="auto"/>
        <w:rPr>
          <w:sz w:val="20"/>
          <w:szCs w:val="20"/>
          <w:color w:val="auto"/>
        </w:rPr>
      </w:pPr>
      <w:r>
        <w:rPr>
          <w:rFonts w:ascii="Courier New" w:cs="Courier New" w:eastAsia="Courier New" w:hAnsi="Courier New"/>
          <w:sz w:val="16"/>
          <w:szCs w:val="16"/>
          <w:color w:val="auto"/>
        </w:rPr>
        <w:t>consent in writing to such action is signed by each member of the committee and such written consent is filed with the minutes of proceedings of such committee.</w:t>
      </w:r>
    </w:p>
    <w:p>
      <w:pPr>
        <w:spacing w:after="0" w:line="17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Section 6. VACANCIES. Subject to the provisions hereof, the Board of Trustees shall have the power at any time to change the membership of any committee, to fill all vacancies, to designate alternate members to replace any absent or disqualified member or to dissolve any such committee unless such committee is required to be maintained pursuant to any applicable law, rule or regulation.</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3800"/>
        <w:spacing w:after="0" w:line="238" w:lineRule="auto"/>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1. GENERAL PROVISIONS. The officers of the Trust shall include a President, a Secretary and a Treasurer and may include a Chief Executive Officer, a Chief Operating Officer, a Chief Financial Officer, one or more Vice Presidents, one or more Assistant Secretaries and one or more Assistant Treasurers. In addition: (a) the Trustees may from time to time appoint such other officers who the Trustees designate by resolution as "Executive Officers" of the Trust with such powers and duties as they shall deem necessary or desirable; and (b) the Chief Executive Officer (or, if there is no Chief Executive Officer, the President) may from time to time appoint any other officers with such powers and duties as the Chief Executive Officer (or the President, as applicable) shall deem necessary or desirable. The Chief Executive Officer and other Executive Officers of the Trust shall be appointed at such intervals as the Trustees may determine, and all other officers of the Trust shall be appointed at such intervals as the Chief Executive Officer (or, if there is no Chief Executive Officer, the President) may determine. Each officer shall hold office until his successor is elected and qualifies or until the earlier of his death, resignation or removal in the manner hereinafter provided. Any two or more offices except President and Vice President may be held by the same person. The Trustees, in their discretion, or the Chief Executive Officer (or, if there is no Chief Executive Officer, the President) may leave unfilled any office except those of President, Secretary and Treasurer. Appointment of an officer or agent shall not of itself create contract rights between the Trust and such officer or agent.</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2. REMOVAL AND RESIGNATION. Any officer or agent of the Trust may be removed at any time by the affirmative vote of two-thirds of the full Board of Trustees taken at any regular or special meeting of the Trustees if in their judgment the best interests of the Trust would be served thereby, but such removal shall be without prejudice to the contract rights, if any, of the person so removed. In addition, the Chief Executive Officer (or, if there is no Chief Executive Officer at such time, the President) may remove any officer or agent of the Trust other than an Executive Officer at any time if, in his judgment, the best interests of the Trust would be served thereby, but such removal shall be without prejudice to the contract rights, if any, of the person so removed. Any officer of the Trust may resign at any time by giving written notice of his resignation to the Trustees, the Chairman of the Board, the Chief Executive Officer,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Trust.</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722" w:right="1440" w:bottom="1440" w:gutter="0" w:footer="0" w:header="0"/>
        </w:sectPr>
      </w:pPr>
    </w:p>
    <w:bookmarkStart w:id="106" w:name="page107"/>
    <w:bookmarkEnd w:id="106"/>
    <w:p>
      <w:pPr>
        <w:ind w:right="1879"/>
        <w:spacing w:after="0" w:line="273" w:lineRule="auto"/>
        <w:rPr>
          <w:sz w:val="20"/>
          <w:szCs w:val="20"/>
          <w:color w:val="auto"/>
        </w:rPr>
      </w:pPr>
      <w:r>
        <w:rPr>
          <w:rFonts w:ascii="Courier New" w:cs="Courier New" w:eastAsia="Courier New" w:hAnsi="Courier New"/>
          <w:sz w:val="16"/>
          <w:szCs w:val="16"/>
          <w:color w:val="auto"/>
        </w:rPr>
        <w:t>Section 3. VACANCIES. A vacancy in any office may be filled by the Trustees for the balance of the term of office, and a vacancy in any office other than those of Chief Executive Officer, President and any other Executive Officer may be filled by the Chief Executive Officer (or, if there is no Chief Executive Officer at such time, the President) for the balance of the term of office.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4. CHIEF EXECUTIVE OFFICER. The Trustees may designate a Chief Executive Officer from among the elected or appointed officers. The Chief Executive Officer shall have responsibility for implementation of the policies of the Trust, as determined by the Trustees, and for the administration of the business affairs of the Trust. In the absence of the Chairman of the Board or if there is no Chairman of the Board, the Chief Executive Officer shall preside over the meetings of the shareholders and the meetings of the Trustees at which he shall be present. The Chief Executive Officer shall have the right to delegate any rights and responsibilities relating to the appointment and removal of officers to any other Executive Officer, subject to such limitations as the Chief Executive Officer shall determine.</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5. CHIEF OPERATING OFFICER. The Trustees may designate a Chief Operating Officer from among the elected or appointed officers. The Chief Operating Officer shall have the responsibilities and duties as set forth by the Trustees or the Chief Executive Officer (or, if there is no Chief Executive Officer at such time, the President).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6. CHIEF FINANCIAL OFFICER. The Trustees may designate a Chief Financial Officer from among the elected or appointed officers. The Chief Financial Officer shall have the responsibilities and duties as set forth by the Trustees or the Chief Executive Officer (or, if there is no Chief Executive Officer at such time, the President).</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7. PRESIDENT. In the absence of the Chairman of the Board (or if there is no Chairman of the Board) and the absence of the Chief Executive Officer, the President shall preside over the meetings of the shareholders and meetings of the Trustees at which he shall be present. In the absence of a designation of a Chief Executive Officer by the Trustees, the President shall be the Chief Executive Officer and shall be ex officio a member of all committees that may, from time to time, be constituted by the Trustees. The President may execute any deed, mortgage, bond, contract or other instrument, except in cases where the execution thereof shall be expressly delegated by the Trustees or by these Bylaws to some other officer or agent of the Trust or shall be required by law to be otherwise executed; and in general shall perform all duties incident to the office of President and such other duties as may be prescribed by the Trustees from time to time. The President shall have the right to delegate any rights and responsibilities relating to the appointment and removal of officers to any other Executive Officer, subject to such limitations as the President shall determine.</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8.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Trustees. The Trustees may designate one or more Vice Presidents as Executive Vice Presidents, Senior Vice Presidents or Vice Presidents for particular areas of responsibility.</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23" w:right="1440" w:bottom="1440" w:gutter="0" w:footer="0" w:header="0"/>
        </w:sectPr>
      </w:pPr>
    </w:p>
    <w:bookmarkStart w:id="107" w:name="page108"/>
    <w:bookmarkEnd w:id="107"/>
    <w:p>
      <w:pPr>
        <w:ind w:right="1879"/>
        <w:spacing w:after="0" w:line="268" w:lineRule="auto"/>
        <w:rPr>
          <w:sz w:val="20"/>
          <w:szCs w:val="20"/>
          <w:color w:val="auto"/>
        </w:rPr>
      </w:pPr>
      <w:r>
        <w:rPr>
          <w:rFonts w:ascii="Courier New" w:cs="Courier New" w:eastAsia="Courier New" w:hAnsi="Courier New"/>
          <w:sz w:val="16"/>
          <w:szCs w:val="16"/>
          <w:color w:val="auto"/>
        </w:rPr>
        <w:t>Section 9. SECRETARY. The Secretary shall: (a) keep the minutes of the proceedings of the shareholders, the Trustees and committees of the Trustees in one or more books provided for that purpose; (b) see that all notices are duly given in accordance with the provisions of these Bylaws or as required by law;</w:t>
      </w:r>
    </w:p>
    <w:p>
      <w:pPr>
        <w:spacing w:after="0" w:line="1" w:lineRule="exact"/>
        <w:rPr>
          <w:sz w:val="20"/>
          <w:szCs w:val="20"/>
          <w:color w:val="auto"/>
        </w:rPr>
      </w:pPr>
    </w:p>
    <w:p>
      <w:pPr>
        <w:ind w:right="1779" w:firstLine="8"/>
        <w:spacing w:after="0" w:line="237" w:lineRule="auto"/>
        <w:tabs>
          <w:tab w:leader="none" w:pos="42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custodian of the Trust records and of the seal of the Trust; (d) keep a register of the post office address of each shareholder which shall be furnished to the Secretary by such shareholder; (e) have general charge of the share transfer books of the Trust; (f) vote, on behalf of the Trust, all of the shares of any subsidiary of the Trust, whether currently existing or created in the future, on each matter presented to shareholders of any such subsidiary for a vote; and (g) in general, perform such other duties as from time to time may be assigned to him or her by the Chief Executive Officer, the President or the Trustees.</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10. TREASURER. The Treasurer shall have the custody of the funds and securities of the Trust and shall keep full and accurate accounts of receipts and disbursements in books belonging to the Trust and shall deposit all moneys and other valuable effects in the name and to the credit of the Trust in such depositories as may be designated by the Trustees.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He shall disburse the funds of the Trust in accordance with the authority granted by the Chief Executive Officer, the President or the Trustees, taking proper vouchers for such disbursements, and shall render to the President and Trustees, whenever they may require it, an account of all his transactions as Treasurer and of the financial condition of the Trust.</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required by the Trustees, he shall give the Trust a bond in such sum and with such surety or sureties as shall be satisfactory to the Trustees for the faithful performance of the duties of his office and for the restoration to the Trust, in case of his death, resignation, retirement or removal from office, of all books, papers, vouchers, moneys and other property of whatever kind in his possession or under his control belonging to the Trust.</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11. ASSISTANT SECRETARIES AND ASSISTANT TREASURERS. The Assistant Secretaries and Assistant Treasurers, in general, shall perform such duties as shall be assigned to them by the Secretary or Treasurer, respectively, or by the Chief Executive Officer, the President or the Trustees. The Assistant Treasurers shall, if required by the Trustees, give bonds for the faithful performance of their duties in such sums and with such surety or sureties as shall be satisfactory to the Trustees.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12. SALARIES. The salaries and other compensation of the officers shall be fixed from time to time by or with the approval of the Trustees and no officer shall be prevented from receiving such salary or other compensation by reason of the fact that he is also a Trustee.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CONTRACTS, LOANS, CHECKS AND DEPOSITS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CONTRACTS. The Trustees may authorize any officer or agent to enter into any contract or to execute and deliver any instrument in the name of and on behalf of the Trust and such authority may be general or confined to specific instances. Any agreement, deed, mortgage, lease or other document executed by one or more of the Trustees or by an authorized person shall be valid and binding upon the Trustees and upon the Trust when authorized or ratified by action of the Trustees.</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723" w:right="1440" w:bottom="1440" w:gutter="0" w:footer="0" w:header="0"/>
        </w:sectPr>
      </w:pPr>
    </w:p>
    <w:bookmarkStart w:id="108" w:name="page109"/>
    <w:bookmarkEnd w:id="108"/>
    <w:p>
      <w:pPr>
        <w:ind w:right="1779"/>
        <w:spacing w:after="0" w:line="237" w:lineRule="auto"/>
        <w:rPr>
          <w:sz w:val="20"/>
          <w:szCs w:val="20"/>
          <w:color w:val="auto"/>
        </w:rPr>
      </w:pPr>
      <w:r>
        <w:rPr>
          <w:rFonts w:ascii="Courier New" w:cs="Courier New" w:eastAsia="Courier New" w:hAnsi="Courier New"/>
          <w:sz w:val="18"/>
          <w:szCs w:val="18"/>
          <w:color w:val="auto"/>
        </w:rPr>
        <w:t>Section 2. CHECKS AND DRAFTS. All checks, drafts or other orders for the payment of money, notes or other evidences of indebtedness issued in the name of the Trust shall be signed by such officer or agent of the Trust in such manner as shall from time to time be determined by the Trustees.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Section 3. DEPOSITS. All funds of the Trust not otherwise employed shall be deposited from time to time to the credit of the Trust in such banks, trust companies or other depositories as the Trustees may designate. If the Trustees fail to designate a depository, the Chief Executive Officer (or if there is no Chief Executive Officer, the President) may do so.</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3900"/>
        <w:spacing w:after="0" w:line="238" w:lineRule="auto"/>
        <w:rPr>
          <w:sz w:val="20"/>
          <w:szCs w:val="20"/>
          <w:color w:val="auto"/>
        </w:rPr>
      </w:pPr>
      <w:r>
        <w:rPr>
          <w:rFonts w:ascii="Courier New" w:cs="Courier New" w:eastAsia="Courier New" w:hAnsi="Courier New"/>
          <w:sz w:val="18"/>
          <w:szCs w:val="18"/>
          <w:color w:val="auto"/>
        </w:rPr>
        <w:t>SHARES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 CERTIFICATES. Each shareholder shall be entitled to a certificate or certificates which shall represent and certify the number of shares of each class of beneficial interests held by him in the Trust. Each certificate shall be signed by the Chief Executive Officer, the President or an Executive Officer and countersigned by the Secretary or an Assistant Secretary or the Treasurer or an Assistant Treasurer and may be sealed with the seal, if any, of the Trust. The signatures may be either manual or facsimile. Certificates shall be consecutively numbered; and if the Trust shall, from time to time, issue several classes of shares, each class may have its own number series. A certificate is valid and may be issued whether or not an officer who signed it is still an officer when it is issued. Each certificate representing shares which are restricted as to their transferability or voting powers, which are preferred or limited as to their dividends or as to their allocable portion of the assets upon liquidation or which are redeemable at the option of the Trust, shall have a statement of such restriction, limitation, preference or redemption provision, or a summary thereof, plainly stated on the certificate. In lieu of such statement or summary, the Trust may set forth upon the face or back of the certificate a statement that the Trust will furnish to any shareholder, upon request and without charge, a full statement of such information.</w:t>
      </w:r>
    </w:p>
    <w:p>
      <w:pPr>
        <w:spacing w:after="0" w:line="39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TRANSFERS. Certificates shall be treated as negotiable and title thereto and to the shares they represent shall be transferred by delivery thereof to the same extent as those of a Maryland stock corporation. Upon surrender to the Trust or the transfer agent of the Trust of a share certificate duly endorsed or accompanied by proper evidence of succession, assignment or authority to transfer, the Trust shall issue a new certificate to the person entitled thereto, cancel the old certificate and record the transaction upon its books.</w:t>
      </w:r>
    </w:p>
    <w:p>
      <w:pPr>
        <w:spacing w:after="0" w:line="21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Trust shall be entitled to treat the holder of record of any share or shares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Maryland.</w:t>
      </w:r>
    </w:p>
    <w:p>
      <w:pPr>
        <w:spacing w:after="0" w:line="18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Notwithstanding the foregoing, transfers of shares of beneficial interest of the Trust will be subject in all respects to the Declaration of Trust and all of the terms and conditions contained therein.</w:t>
      </w: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Section 3. REPLACEMENT CERTIFICATE. Any officer designated by the Trustees may</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723" w:right="1440" w:bottom="1440" w:gutter="0" w:footer="0" w:header="0"/>
        </w:sectPr>
      </w:pPr>
    </w:p>
    <w:bookmarkStart w:id="109" w:name="page110"/>
    <w:bookmarkEnd w:id="109"/>
    <w:p>
      <w:pPr>
        <w:ind w:right="1779"/>
        <w:spacing w:after="0" w:line="237" w:lineRule="auto"/>
        <w:rPr>
          <w:sz w:val="20"/>
          <w:szCs w:val="20"/>
          <w:color w:val="auto"/>
        </w:rPr>
      </w:pPr>
      <w:r>
        <w:rPr>
          <w:rFonts w:ascii="Courier New" w:cs="Courier New" w:eastAsia="Courier New" w:hAnsi="Courier New"/>
          <w:sz w:val="18"/>
          <w:szCs w:val="18"/>
          <w:color w:val="auto"/>
        </w:rPr>
        <w:t>direct a new certificate to be issued in place of any certificate previously issued by the Trust alleged to have been lost, stolen or destroyed upon the making of an affidavit of that fact by the person claiming the certificate to be lost, stolen or destroyed. When authorizing the issuance of a new certificate, an officer designated by the Trustees may, in his discretion and as a condition precedent to the issuance thereof, require the owner of such lost, stolen or destroyed certificate or the owner's legal representative to advertise the same in such manner as the officer shall require and/or to give bond, with sufficient surety, to the Trust to indemnify it against any loss or claim which may arise as a result of the issuance of a new certificate.</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4. CLOSING OF TRANSFER BOOKS OR FIXING OF RECORD DATE. The Trustees may set, in advance, a record date for the purpose of determining shareholders entitled to notice of or to vote at any meeting of shareholders or determining shareholders entitled to receive payment of any dividend or the allotment of any other rights, or in order to make a determination of shareholders for any other proper purpose. Such date, in any case, shall not be prior to the close of business on the day the record date is fixed and shall be not more than 90 days and, in the case of a meeting of shareholders not less than ten days, before the date on which the meeting or particular action requiring such determination of shareholders of record is to be held or taken.</w:t>
      </w:r>
    </w:p>
    <w:p>
      <w:pPr>
        <w:spacing w:after="0" w:line="21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lieu of fixing a record date, the Trustees may provide that the share transfer books shall be closed for a stated period but not longer than 20 days. If the share transfer books are closed for the purpose of determining shareholders entitled to notice of or to vote at a meeting of shareholders, such books shall be closed for at least ten days before the date of such meeting.</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no record date is fixed and the share transfer books are not closed for the determination of shareholders: (a) the record date for the determination of shareholders entitled to notice of or to vote at a meeting of shareholders shall be at the close of business on the day on which the notice of meeting is mailed or the 30th day before the meeting, whichever is the closer date to the meeting; and (b) the record date for the determination of shareholders entitled to receive payment of a dividend or an allotment of any other rights shall be the close of business on the day on which the resolution of the Trustees, declaring the dividend or allotment of rights, is adopted.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a determination of shareholders entitled to vote at any meeting of shareholders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 STOCK LEDGER. The Trust shall maintain at its principal office or at the office of its counsel, accountants or transfer agent, an original or duplicate share ledger containing the name and address of each shareholder and the number of shares of each class held by such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6. FRACTIONAL SHARES; ISSUANCE OF UNITS. The Trustees may issue fractional shares or provide for the issuance of scrip, all on such terms and under such conditions as they may determine. Notwithstanding any other provision of the Declaration of Trust or these Bylaws, the Trustees may issue units consisting of different securities of the Trust. Any security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15</w:t>
      </w:r>
    </w:p>
    <w:p>
      <w:pPr>
        <w:sectPr>
          <w:pgSz w:w="11900" w:h="16838" w:orient="portrait"/>
          <w:cols w:equalWidth="0" w:num="1">
            <w:col w:w="10219"/>
          </w:cols>
          <w:pgMar w:left="240" w:top="722" w:right="1440" w:bottom="1440" w:gutter="0" w:footer="0" w:header="0"/>
        </w:sectPr>
      </w:pPr>
    </w:p>
    <w:bookmarkStart w:id="110" w:name="page111"/>
    <w:bookmarkEnd w:id="110"/>
    <w:p>
      <w:pPr>
        <w:ind w:right="1779"/>
        <w:spacing w:after="0" w:line="237" w:lineRule="auto"/>
        <w:rPr>
          <w:sz w:val="20"/>
          <w:szCs w:val="20"/>
          <w:color w:val="auto"/>
        </w:rPr>
      </w:pPr>
      <w:r>
        <w:rPr>
          <w:rFonts w:ascii="Courier New" w:cs="Courier New" w:eastAsia="Courier New" w:hAnsi="Courier New"/>
          <w:sz w:val="18"/>
          <w:szCs w:val="18"/>
          <w:color w:val="auto"/>
        </w:rPr>
        <w:t>issued in a unit shall have the same characteristics as any identical securities issued by the Trust, except that the Trustees may provide that for a specified period securities of the Trust issued in such unit may be transferred on the books of the Trust only in such unit.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3480"/>
        <w:spacing w:after="0" w:line="238" w:lineRule="auto"/>
        <w:rPr>
          <w:sz w:val="20"/>
          <w:szCs w:val="20"/>
          <w:color w:val="auto"/>
        </w:rPr>
      </w:pPr>
      <w:r>
        <w:rPr>
          <w:rFonts w:ascii="Courier New" w:cs="Courier New" w:eastAsia="Courier New" w:hAnsi="Courier New"/>
          <w:sz w:val="18"/>
          <w:szCs w:val="18"/>
          <w:color w:val="auto"/>
        </w:rPr>
        <w:t>ACCOUNTING YEAR</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Trustees shall have the power, from time to time, to fix the fiscal year of the Trust by a duly adopted resolution.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580"/>
        <w:spacing w:after="0" w:line="238" w:lineRule="auto"/>
        <w:rPr>
          <w:sz w:val="20"/>
          <w:szCs w:val="20"/>
          <w:color w:val="auto"/>
        </w:rPr>
      </w:pPr>
      <w:r>
        <w:rPr>
          <w:rFonts w:ascii="Courier New" w:cs="Courier New" w:eastAsia="Courier New" w:hAnsi="Courier New"/>
          <w:sz w:val="18"/>
          <w:szCs w:val="18"/>
          <w:color w:val="auto"/>
        </w:rPr>
        <w:t>DISTRIBUTIONS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AUTHORIZATION. Dividends and other distributions upon the shares of beneficial interest of the Trust may be authorized and declared by the Trustees, subject to the provisions of law and the Declaration of Trust. Dividends and other distributions may be paid in cash, property or shares of the Trust, subject to the provisions of law and the Declaration of Trust.</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Section 2. CONTINGENCIES. Before payment of any dividends or other distributions, there may be set aside out of any funds of the Trust available for dividends or other distributions such sum or sums as the Trustees may from time to time, in their absolute discretion, think proper as a reserve fund for contingencies, for equalizing dividends or other distributions, for repairing or maintaining any property of the Trust or for such other purpose as the Trustees shall determine to be in the best interest of the Trust, and the Trustees may modify or abolish any such reserve in the manner in which it was created.</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INVESTMENT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provisions of the Declaration of Trust, the Board of Trustees may from time to time adopt, amend, revise or terminate any policy or policies with respect to investments by the Trust as it shall deem appropriate in its sole discretion.</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1. SEAL. The Trustees may authorize the adoption of a seal by the Trust. The seal shall have inscribed thereon the name of the Trust and the year of its formation. The Trustees may authorize one or more duplicate seals and provide for the custody thereof.</w:t>
      </w:r>
    </w:p>
    <w:p>
      <w:pPr>
        <w:spacing w:after="0" w:line="207" w:lineRule="exact"/>
        <w:rPr>
          <w:sz w:val="20"/>
          <w:szCs w:val="20"/>
          <w:color w:val="auto"/>
        </w:rPr>
      </w:pPr>
    </w:p>
    <w:p>
      <w:pPr>
        <w:jc w:val="both"/>
        <w:ind w:right="1999"/>
        <w:spacing w:after="0" w:line="237" w:lineRule="auto"/>
        <w:rPr>
          <w:sz w:val="20"/>
          <w:szCs w:val="20"/>
          <w:color w:val="auto"/>
        </w:rPr>
      </w:pPr>
      <w:r>
        <w:rPr>
          <w:rFonts w:ascii="Courier New" w:cs="Courier New" w:eastAsia="Courier New" w:hAnsi="Courier New"/>
          <w:sz w:val="18"/>
          <w:szCs w:val="18"/>
          <w:color w:val="auto"/>
        </w:rPr>
        <w:t>Section 2. AFFIXING SEAL. Whenever the Trust is permitted or required to affix its seal to a document, it shall be sufficient to meet the requirements of any law, rule or regulation relating to a seal to place the word "(SEAL)" adjacent to the signature of the person authorized to execute the document on behalf of the Trust.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INDEMNIFICATION AND ADVANCE OF EXPENSES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16</w:t>
      </w:r>
    </w:p>
    <w:p>
      <w:pPr>
        <w:sectPr>
          <w:pgSz w:w="11900" w:h="16838" w:orient="portrait"/>
          <w:cols w:equalWidth="0" w:num="1">
            <w:col w:w="10219"/>
          </w:cols>
          <w:pgMar w:left="240" w:top="722" w:right="1440" w:bottom="1440" w:gutter="0" w:footer="0" w:header="0"/>
        </w:sectPr>
      </w:pPr>
    </w:p>
    <w:bookmarkStart w:id="111" w:name="page112"/>
    <w:bookmarkEnd w:id="111"/>
    <w:p>
      <w:pPr>
        <w:ind w:right="1779"/>
        <w:spacing w:after="0" w:line="269"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Trust shall indemnify: (a) any Trustee, officer or shareholder or any former Trustee, officer or shareholder (including among the foregoing, for all purposes of this Article XII and without limitation, any individual who, while a Trustee, officer or shareholder and at the express request of the Trust,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or she was made a party by reason of service in such capacity, against reasonable expenses incurred by him or her in connection with the proceeding;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deliberate dishonesty; (ii) he or she actually received an improper personal benefit in money, property or services; or (iii) in the case of a criminal proceeding, he or she had reasonable cause to believe that his or her act or omission was unlawful; and (c) each shareholder or former shareholder against any claim or liability to which he or she may become subject by reason of such status. In addition, the Trust shall,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such status, provided that, in the case of a Trustee or officer, the Trust shall have received: (1) a written affirmation by the Trustee or officer of his or her good faith belief that he or she has met the applicable standard of conduct necessary for indemnification by the Trust as authorized by these Bylaws; and</w:t>
      </w:r>
    </w:p>
    <w:p>
      <w:pPr>
        <w:spacing w:after="0" w:line="389" w:lineRule="exact"/>
        <w:rPr>
          <w:sz w:val="20"/>
          <w:szCs w:val="20"/>
          <w:color w:val="auto"/>
        </w:rPr>
      </w:pPr>
    </w:p>
    <w:p>
      <w:pPr>
        <w:ind w:right="1779" w:firstLine="8"/>
        <w:spacing w:after="0" w:line="238"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written undertaking by or on his or her behalf to repay the amount paid or reimbursed by the Trust if it shall ultimately be determined that the applicable standard of conduct was not met. The Trust may, with the approval of its Trustees, provide such indemnification or payment or reimbursement of expenses to any Trustee, officer or shareholder or any former Trustee, officer or shareholder who served a predecessor of the Trust and to any employee or agent of the Trust or a predecessor of the Trust. Neither the amendment nor repeal of this Article, nor the adoption or amendment of any other provision of the Declaration of Trust or these Bylaws inconsistent with this Article, shall apply to or affect in any respect the applicability of this Article with respect to any act or failure to act which occurred prior to such amendment, repeal or adoption.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Trust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WAIVER OF NOTICE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17</w:t>
      </w:r>
    </w:p>
    <w:p>
      <w:pPr>
        <w:sectPr>
          <w:pgSz w:w="11900" w:h="16838" w:orient="portrait"/>
          <w:cols w:equalWidth="0" w:num="1">
            <w:col w:w="10219"/>
          </w:cols>
          <w:pgMar w:left="240" w:top="723" w:right="1440" w:bottom="1440" w:gutter="0" w:footer="0" w:header="0"/>
        </w:sectPr>
      </w:pPr>
    </w:p>
    <w:bookmarkStart w:id="112" w:name="page113"/>
    <w:bookmarkEnd w:id="112"/>
    <w:p>
      <w:pPr>
        <w:ind w:right="1779"/>
        <w:spacing w:after="0" w:line="271" w:lineRule="auto"/>
        <w:rPr>
          <w:sz w:val="20"/>
          <w:szCs w:val="20"/>
          <w:color w:val="auto"/>
        </w:rPr>
      </w:pPr>
      <w:r>
        <w:rPr>
          <w:rFonts w:ascii="Courier New" w:cs="Courier New" w:eastAsia="Courier New" w:hAnsi="Courier New"/>
          <w:sz w:val="16"/>
          <w:szCs w:val="16"/>
          <w:color w:val="auto"/>
        </w:rPr>
        <w:t>Whenever any notice is required to be given pursuant to the Declaration of Trust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38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XIV</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OF BYLAWS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1. AMENDMENT BY SHAREHOLDERS. Any provision of these Bylaws may be adopted, altered or repealed by the shareholders at any meeting of shareholders called for that purpose, by the affirmative vote of holders of not less than a majority of the shares then outstanding and entitled to vote.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Section 2. AMENDMENT BY TRUSTEES. Except as otherwise provided in any Bylaws adopted pursuant to Section 1 of this Article XIV or as otherwise required pursuant to the last paragraph of Section 10 of Article II, any provision of these Bylaws may be adopted, altered or repealed by the Trustees provided that the Trustees may not repeal Section 1 of this Article XIV, or the last paragraph of Section 10 of Article II, or increase the shareholder vote required under either of such sections.</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XV</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references to the Declaration of Trust shall include any amendments thereto.</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Amended on October 29, 2003</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Page 18</w:t>
      </w:r>
    </w:p>
    <w:p>
      <w:pPr>
        <w:sectPr>
          <w:pgSz w:w="11900" w:h="16838" w:orient="portrait"/>
          <w:cols w:equalWidth="0" w:num="1">
            <w:col w:w="10219"/>
          </w:cols>
          <w:pgMar w:left="240" w:top="723" w:right="1440" w:bottom="1440" w:gutter="0" w:footer="0" w:header="0"/>
        </w:sectPr>
      </w:pPr>
    </w:p>
    <w:bookmarkStart w:id="113" w:name="page114"/>
    <w:bookmarkEnd w:id="113"/>
    <w:p>
      <w:pPr>
        <w:jc w:val="right"/>
        <w:ind w:right="1779"/>
        <w:spacing w:after="0"/>
        <w:rPr>
          <w:sz w:val="20"/>
          <w:szCs w:val="20"/>
          <w:color w:val="auto"/>
        </w:rPr>
      </w:pPr>
      <w:r>
        <w:rPr>
          <w:rFonts w:ascii="Courier New" w:cs="Courier New" w:eastAsia="Courier New" w:hAnsi="Courier New"/>
          <w:sz w:val="18"/>
          <w:szCs w:val="18"/>
          <w:color w:val="auto"/>
        </w:rPr>
        <w:t>EXHIBIT 4.5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FIRST AMENDMENT TO</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AMENDED AND RESTATED AGREEMENT</w:t>
      </w:r>
    </w:p>
    <w:p>
      <w:pPr>
        <w:spacing w:after="0" w:line="200" w:lineRule="exact"/>
        <w:rPr>
          <w:sz w:val="20"/>
          <w:szCs w:val="20"/>
          <w:color w:val="auto"/>
        </w:rPr>
      </w:pPr>
    </w:p>
    <w:p>
      <w:pPr>
        <w:spacing w:after="0" w:line="210"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THIS FIRST AMENDMENT TO AMENDED AND RESTATED AGREEMENT ("Amendment") is made as of this ____ day of November, 2003 between FEDERAL REALTY INVESTMENT</w:t>
      </w:r>
    </w:p>
    <w:p>
      <w:pPr>
        <w:ind w:right="2619"/>
        <w:spacing w:after="0" w:line="235" w:lineRule="auto"/>
        <w:rPr>
          <w:sz w:val="20"/>
          <w:szCs w:val="20"/>
          <w:color w:val="auto"/>
        </w:rPr>
      </w:pPr>
      <w:r>
        <w:rPr>
          <w:rFonts w:ascii="Courier New" w:cs="Courier New" w:eastAsia="Courier New" w:hAnsi="Courier New"/>
          <w:sz w:val="18"/>
          <w:szCs w:val="18"/>
          <w:color w:val="auto"/>
        </w:rPr>
        <w:t>TRUST ("Trust") and AMERICAN STOCK TRANSFER &amp; TRUST COMPANY (the "Rights Agent").</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319" w:firstLine="640"/>
        <w:spacing w:after="0" w:line="236"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and the Rights Agent are parties to that certain Amended and Restated Rights Agreement dated as of March 11, 1999 ("Original Rights Agreement").</w:t>
      </w:r>
    </w:p>
    <w:p>
      <w:pPr>
        <w:spacing w:after="0" w:line="208" w:lineRule="exact"/>
        <w:rPr>
          <w:rFonts w:ascii="Courier New" w:cs="Courier New" w:eastAsia="Courier New" w:hAnsi="Courier New"/>
          <w:sz w:val="18"/>
          <w:szCs w:val="18"/>
          <w:color w:val="auto"/>
        </w:rPr>
      </w:pPr>
    </w:p>
    <w:p>
      <w:pPr>
        <w:ind w:right="2419" w:firstLine="640"/>
        <w:spacing w:after="0" w:line="237"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28 of the Original Rights Agreement, the Trust and the Rights Agent may amend or supplement from time to time such provisions of the Original Rights Agreement which the Trust may deem necessary or desirable, without approval of holders of Rights Certificates (as defined in the Original Rights Agreement).</w:t>
      </w:r>
    </w:p>
    <w:p>
      <w:pPr>
        <w:spacing w:after="0" w:line="208" w:lineRule="exact"/>
        <w:rPr>
          <w:rFonts w:ascii="Courier New" w:cs="Courier New" w:eastAsia="Courier New" w:hAnsi="Courier New"/>
          <w:sz w:val="18"/>
          <w:szCs w:val="18"/>
          <w:color w:val="auto"/>
        </w:rPr>
      </w:pPr>
    </w:p>
    <w:p>
      <w:pPr>
        <w:ind w:right="2199" w:firstLine="640"/>
        <w:spacing w:after="0" w:line="236" w:lineRule="auto"/>
        <w:tabs>
          <w:tab w:leader="none" w:pos="1264"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pursuant to a resolution duly adopted by its Board of Trustees, has determined that it is necessary and desirable to amend the Original Rights Agreement as provided in this Amendment.</w:t>
      </w:r>
    </w:p>
    <w:p>
      <w:pPr>
        <w:spacing w:after="0" w:line="20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Trust and the Rights Agent hereby agree as follows:</w:t>
      </w:r>
    </w:p>
    <w:p>
      <w:pPr>
        <w:spacing w:after="0" w:line="209" w:lineRule="exact"/>
        <w:rPr>
          <w:sz w:val="20"/>
          <w:szCs w:val="20"/>
          <w:color w:val="auto"/>
        </w:rPr>
      </w:pPr>
    </w:p>
    <w:p>
      <w:pPr>
        <w:ind w:right="2099" w:firstLine="640"/>
        <w:spacing w:after="0" w:line="236"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Except as otherwise set forth in this Amendment, each capitalized term used in this Amendment shall have the meanings for such terms set forth in the Original Rights Agreement.</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"AGREEMENT." From and after the date hereof, all references in the Original Rights Agreement to the "Agreement" shall mean and refer to the Original Rights Agreement as modified by this Amendment.</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Section 1(a) of the Original Rights Agreement is hereby amended by deleting all references therein to "15%" and replacing them with "20%."</w:t>
      </w:r>
    </w:p>
    <w:p>
      <w:pPr>
        <w:spacing w:after="0" w:line="208" w:lineRule="exact"/>
        <w:rPr>
          <w:rFonts w:ascii="Courier New" w:cs="Courier New" w:eastAsia="Courier New" w:hAnsi="Courier New"/>
          <w:sz w:val="18"/>
          <w:szCs w:val="18"/>
          <w:color w:val="auto"/>
        </w:rPr>
      </w:pPr>
    </w:p>
    <w:p>
      <w:pPr>
        <w:ind w:right="2319" w:firstLine="640"/>
        <w:spacing w:after="0" w:line="279" w:lineRule="auto"/>
        <w:tabs>
          <w:tab w:leader="none" w:pos="136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AND TERMINATION. Section 24(a)(ii) of the Original Rights Agreement is hereby amended by deleting the reference therein to "fifteen percent (15%)" and replacing it with "twenty percent (20%)."</w:t>
      </w:r>
    </w:p>
    <w:p>
      <w:pPr>
        <w:spacing w:after="0" w:line="178" w:lineRule="exact"/>
        <w:rPr>
          <w:rFonts w:ascii="Courier New" w:cs="Courier New" w:eastAsia="Courier New" w:hAnsi="Courier New"/>
          <w:sz w:val="16"/>
          <w:szCs w:val="16"/>
          <w:color w:val="auto"/>
        </w:rPr>
      </w:pPr>
    </w:p>
    <w:p>
      <w:pPr>
        <w:ind w:right="2319" w:firstLine="640"/>
        <w:spacing w:after="0" w:line="235" w:lineRule="auto"/>
        <w:tabs>
          <w:tab w:leader="none" w:pos="136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BY BOARD OF TRUSTEES. The Original Rights Agreement is hereby amended by adding the following new Section 37:</w:t>
      </w:r>
    </w:p>
    <w:p>
      <w:pPr>
        <w:sectPr>
          <w:pgSz w:w="11900" w:h="16838" w:orient="portrait"/>
          <w:cols w:equalWidth="0" w:num="1">
            <w:col w:w="10219"/>
          </w:cols>
          <w:pgMar w:left="240" w:top="339" w:right="1440" w:bottom="1440" w:gutter="0" w:footer="0" w:header="0"/>
        </w:sectPr>
      </w:pPr>
    </w:p>
    <w:bookmarkStart w:id="114" w:name="page115"/>
    <w:bookmarkEnd w:id="114"/>
    <w:p>
      <w:pPr>
        <w:ind w:right="2739" w:firstLine="737"/>
        <w:spacing w:after="0" w:line="237" w:lineRule="auto"/>
        <w:rPr>
          <w:sz w:val="20"/>
          <w:szCs w:val="20"/>
          <w:color w:val="auto"/>
        </w:rPr>
      </w:pPr>
      <w:r>
        <w:rPr>
          <w:rFonts w:ascii="Courier New" w:cs="Courier New" w:eastAsia="Courier New" w:hAnsi="Courier New"/>
          <w:sz w:val="18"/>
          <w:szCs w:val="18"/>
          <w:color w:val="auto"/>
        </w:rPr>
        <w:t>Section 37. Review by Board of Trustees. The Board of Trustees shall, at least once every three (3) years, commencing in 2003, review this Agreement to determine whether it should be continued or revoked. Following such determination, the Board of Trustees shall take actions as they deem appropriate to reflect their determination. The obligations of the Board of Trustees under this Section 37 may be delegated to a committee of the Board of Trustees.</w:t>
      </w:r>
    </w:p>
    <w:p>
      <w:pPr>
        <w:spacing w:after="0" w:line="212" w:lineRule="exact"/>
        <w:rPr>
          <w:sz w:val="20"/>
          <w:szCs w:val="20"/>
          <w:color w:val="auto"/>
        </w:rPr>
      </w:pPr>
    </w:p>
    <w:p>
      <w:pPr>
        <w:ind w:left="-640" w:right="2099" w:firstLine="640"/>
        <w:spacing w:after="0" w:line="237" w:lineRule="auto"/>
        <w:tabs>
          <w:tab w:leader="none" w:pos="72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RIGHTS. Exhibit B to the Original Rights Agreement is hereby amended by deleting the reference to "15%" included in the first paragraph of the section entitled "DISTRIBUTION DATE, TRANSFER OF RIGHTS" and replacing it with "20%."</w:t>
      </w:r>
    </w:p>
    <w:p>
      <w:pPr>
        <w:spacing w:after="0" w:line="207" w:lineRule="exact"/>
        <w:rPr>
          <w:rFonts w:ascii="Courier New" w:cs="Courier New" w:eastAsia="Courier New" w:hAnsi="Courier New"/>
          <w:sz w:val="18"/>
          <w:szCs w:val="18"/>
          <w:color w:val="auto"/>
        </w:rPr>
      </w:pPr>
    </w:p>
    <w:p>
      <w:pPr>
        <w:ind w:left="-640" w:right="2199" w:firstLine="640"/>
        <w:spacing w:after="0" w:line="237" w:lineRule="auto"/>
        <w:tabs>
          <w:tab w:leader="none" w:pos="72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AGREEMENT. Except as specifically modified by this Amendment, the Original Rights Agreement remains in full force and effect and is hereby ratified, confirmed and reaffirmed for all purposes and in all respects.</w:t>
      </w:r>
    </w:p>
    <w:p>
      <w:pPr>
        <w:spacing w:after="0" w:line="207" w:lineRule="exact"/>
        <w:rPr>
          <w:rFonts w:ascii="Courier New" w:cs="Courier New" w:eastAsia="Courier New" w:hAnsi="Courier New"/>
          <w:sz w:val="18"/>
          <w:szCs w:val="18"/>
          <w:color w:val="auto"/>
        </w:rPr>
      </w:pPr>
    </w:p>
    <w:p>
      <w:pPr>
        <w:ind w:left="-640" w:right="2099" w:firstLine="640"/>
        <w:spacing w:after="0" w:line="237" w:lineRule="auto"/>
        <w:tabs>
          <w:tab w:leader="none" w:pos="72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one or more counterparts, each of which shall constitute an original and all of which together shall constitute but one original; provided, however, this Amendment shall not be effective unless and until signed by the Trust and the Rights Agent.</w:t>
      </w:r>
    </w:p>
    <w:p>
      <w:pPr>
        <w:spacing w:after="0" w:line="203"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TRUST:</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Dawn M. Becker</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 General Counsel</w:t>
      </w:r>
    </w:p>
    <w:p>
      <w:pPr>
        <w:ind w:left="3160"/>
        <w:spacing w:after="0" w:line="238" w:lineRule="auto"/>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RIGHTS AGENT:</w:t>
      </w:r>
    </w:p>
    <w:p>
      <w:pPr>
        <w:spacing w:after="0" w:line="201"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AMERICAN STOCK TRANSFER &amp; TRUST COMPANY</w:t>
      </w: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By:</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w:t>
      </w:r>
    </w:p>
    <w:p>
      <w:pPr>
        <w:spacing w:after="0" w:line="3"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520" w:right="1440"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EXHIBIT 21.1</w:t>
            </w:r>
          </w:p>
        </w:tc>
      </w:tr>
      <w:tr>
        <w:trPr>
          <w:trHeight w:val="405"/>
        </w:trPr>
        <w:tc>
          <w:tcPr>
            <w:tcW w:w="40" w:type="dxa"/>
            <w:vAlign w:val="bottom"/>
          </w:tcPr>
          <w:p>
            <w:pPr>
              <w:spacing w:after="0"/>
              <w:rPr>
                <w:sz w:val="24"/>
                <w:szCs w:val="24"/>
                <w:color w:val="auto"/>
              </w:rPr>
            </w:pPr>
          </w:p>
        </w:tc>
        <w:tc>
          <w:tcPr>
            <w:tcW w:w="8580" w:type="dxa"/>
            <w:vAlign w:val="bottom"/>
            <w:gridSpan w:val="2"/>
          </w:tcPr>
          <w:p>
            <w:pPr>
              <w:ind w:left="3020"/>
              <w:spacing w:after="0"/>
              <w:rPr>
                <w:sz w:val="20"/>
                <w:szCs w:val="20"/>
                <w:color w:val="auto"/>
              </w:rPr>
            </w:pPr>
            <w:r>
              <w:rPr>
                <w:rFonts w:ascii="Arial" w:cs="Arial" w:eastAsia="Arial" w:hAnsi="Arial"/>
                <w:sz w:val="18"/>
                <w:szCs w:val="18"/>
                <w:b w:val="1"/>
                <w:bCs w:val="1"/>
                <w:color w:val="auto"/>
              </w:rPr>
              <w:t>FEDERAL REALTY INVESTMENT TRUST AND SUBSIDIARIES</w:t>
            </w: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3"/>
        </w:trPr>
        <w:tc>
          <w:tcPr>
            <w:tcW w:w="40" w:type="dxa"/>
            <w:vAlign w:val="bottom"/>
            <w:tcBorders>
              <w:bottom w:val="single" w:sz="8" w:color="auto"/>
            </w:tcBorders>
          </w:tcPr>
          <w:p>
            <w:pPr>
              <w:spacing w:after="0"/>
              <w:rPr>
                <w:sz w:val="18"/>
                <w:szCs w:val="18"/>
                <w:color w:val="auto"/>
              </w:rPr>
            </w:pPr>
          </w:p>
        </w:tc>
        <w:tc>
          <w:tcPr>
            <w:tcW w:w="8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390"/>
        </w:trPr>
        <w:tc>
          <w:tcPr>
            <w:tcW w:w="40" w:type="dxa"/>
            <w:vAlign w:val="bottom"/>
            <w:tcBorders>
              <w:left w:val="single" w:sz="8" w:color="auto"/>
            </w:tcBorders>
          </w:tcPr>
          <w:p>
            <w:pPr>
              <w:spacing w:after="0"/>
              <w:rPr>
                <w:sz w:val="24"/>
                <w:szCs w:val="24"/>
                <w:color w:val="auto"/>
              </w:rPr>
            </w:pPr>
          </w:p>
        </w:tc>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STATE OF INCORPORATION</w:t>
            </w:r>
          </w:p>
        </w:tc>
      </w:tr>
      <w:tr>
        <w:trPr>
          <w:trHeight w:val="53"/>
        </w:trPr>
        <w:tc>
          <w:tcPr>
            <w:tcW w:w="40" w:type="dxa"/>
            <w:vAlign w:val="bottom"/>
            <w:tcBorders>
              <w:left w:val="single" w:sz="8" w:color="auto"/>
            </w:tcBorders>
          </w:tcPr>
          <w:p>
            <w:pPr>
              <w:spacing w:after="0"/>
              <w:rPr>
                <w:sz w:val="4"/>
                <w:szCs w:val="4"/>
                <w:color w:val="auto"/>
              </w:rPr>
            </w:pPr>
          </w:p>
        </w:tc>
        <w:tc>
          <w:tcPr>
            <w:tcW w:w="82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820" w:type="dxa"/>
            <w:vAlign w:val="bottom"/>
            <w:tcBorders>
              <w:bottom w:val="single" w:sz="8" w:color="808080"/>
            </w:tcBorders>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580" w:type="dxa"/>
            <w:vAlign w:val="bottom"/>
            <w:tcBorders>
              <w:bottom w:val="single" w:sz="8" w:color="808080"/>
            </w:tcBorders>
            <w:gridSpan w:val="2"/>
          </w:tcPr>
          <w:p>
            <w:pPr>
              <w:ind w:left="3020"/>
              <w:spacing w:after="0"/>
              <w:rPr>
                <w:sz w:val="20"/>
                <w:szCs w:val="20"/>
                <w:color w:val="auto"/>
              </w:rPr>
            </w:pPr>
            <w:r>
              <w:rPr>
                <w:rFonts w:ascii="Arial" w:cs="Arial" w:eastAsia="Arial" w:hAnsi="Arial"/>
                <w:sz w:val="14"/>
                <w:szCs w:val="14"/>
                <w:b w:val="1"/>
                <w:bCs w:val="1"/>
                <w:color w:val="auto"/>
              </w:rPr>
              <w:t>NAME OF SUBSIDIARY</w:t>
            </w:r>
          </w:p>
        </w:tc>
        <w:tc>
          <w:tcPr>
            <w:tcW w:w="2820" w:type="dxa"/>
            <w:vAlign w:val="bottom"/>
            <w:tcBorders>
              <w:bottom w:val="single" w:sz="8" w:color="808080"/>
            </w:tcBorders>
          </w:tcPr>
          <w:p>
            <w:pPr>
              <w:jc w:val="center"/>
              <w:ind w:right="264"/>
              <w:spacing w:after="0"/>
              <w:rPr>
                <w:sz w:val="20"/>
                <w:szCs w:val="20"/>
                <w:color w:val="auto"/>
              </w:rPr>
            </w:pPr>
            <w:r>
              <w:rPr>
                <w:rFonts w:ascii="Arial" w:cs="Arial" w:eastAsia="Arial" w:hAnsi="Arial"/>
                <w:sz w:val="14"/>
                <w:szCs w:val="14"/>
                <w:b w:val="1"/>
                <w:bCs w:val="1"/>
                <w:color w:val="auto"/>
              </w:rPr>
              <w:t>OR ORGANIZATION</w:t>
            </w:r>
          </w:p>
        </w:tc>
        <w:tc>
          <w:tcPr>
            <w:tcW w:w="40" w:type="dxa"/>
            <w:vAlign w:val="bottom"/>
            <w:tcBorders>
              <w:right w:val="single" w:sz="8" w:color="auto"/>
            </w:tcBorders>
          </w:tcPr>
          <w:p>
            <w:pPr>
              <w:spacing w:after="0"/>
              <w:rPr>
                <w:sz w:val="19"/>
                <w:szCs w:val="19"/>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580" w:type="dxa"/>
            <w:vAlign w:val="bottom"/>
            <w:gridSpan w:val="2"/>
          </w:tcPr>
          <w:p>
            <w:pPr>
              <w:ind w:left="3340"/>
              <w:spacing w:after="0"/>
              <w:rPr>
                <w:sz w:val="20"/>
                <w:szCs w:val="20"/>
                <w:color w:val="auto"/>
              </w:rPr>
            </w:pPr>
            <w:r>
              <w:rPr>
                <w:rFonts w:ascii="Arial" w:cs="Arial" w:eastAsia="Arial" w:hAnsi="Arial"/>
                <w:sz w:val="14"/>
                <w:szCs w:val="14"/>
                <w:color w:val="auto"/>
              </w:rPr>
              <w:t>Street Retail, Inc</w:t>
            </w:r>
          </w:p>
        </w:tc>
        <w:tc>
          <w:tcPr>
            <w:tcW w:w="286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7"/>
              </w:rPr>
              <w:t>Maryland</w:t>
            </w: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top w:val="single" w:sz="8" w:color="808080"/>
              <w:bottom w:val="single" w:sz="8" w:color="808080"/>
            </w:tcBorders>
          </w:tcPr>
          <w:p>
            <w:pPr>
              <w:spacing w:after="0"/>
              <w:rPr>
                <w:sz w:val="20"/>
                <w:szCs w:val="20"/>
                <w:color w:val="auto"/>
              </w:rPr>
            </w:pPr>
          </w:p>
        </w:tc>
        <w:tc>
          <w:tcPr>
            <w:tcW w:w="340" w:type="dxa"/>
            <w:vAlign w:val="bottom"/>
            <w:tcBorders>
              <w:top w:val="single" w:sz="8" w:color="808080"/>
              <w:bottom w:val="single" w:sz="8" w:color="808080"/>
            </w:tcBorders>
          </w:tcPr>
          <w:p>
            <w:pPr>
              <w:spacing w:after="0"/>
              <w:rPr>
                <w:sz w:val="20"/>
                <w:szCs w:val="20"/>
                <w:color w:val="auto"/>
              </w:rPr>
            </w:pPr>
          </w:p>
        </w:tc>
        <w:tc>
          <w:tcPr>
            <w:tcW w:w="2820" w:type="dxa"/>
            <w:vAlign w:val="bottom"/>
            <w:tcBorders>
              <w:top w:val="single" w:sz="8" w:color="808080"/>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82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2820" w:type="dxa"/>
            <w:vAlign w:val="bottom"/>
            <w:tcBorders>
              <w:bottom w:val="single" w:sz="8" w:color="808080"/>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247"/>
        </w:trPr>
        <w:tc>
          <w:tcPr>
            <w:tcW w:w="40" w:type="dxa"/>
            <w:vAlign w:val="bottom"/>
            <w:tcBorders>
              <w:left w:val="single" w:sz="8" w:color="auto"/>
              <w:bottom w:val="single" w:sz="8" w:color="auto"/>
            </w:tcBorders>
          </w:tcPr>
          <w:p>
            <w:pPr>
              <w:spacing w:after="0"/>
              <w:rPr>
                <w:sz w:val="21"/>
                <w:szCs w:val="21"/>
                <w:color w:val="auto"/>
              </w:rPr>
            </w:pPr>
          </w:p>
        </w:tc>
        <w:tc>
          <w:tcPr>
            <w:tcW w:w="8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480"/>
          </w:cols>
          <w:pgMar w:left="240" w:top="931" w:right="17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CERTIFIED PUBLIC ACCOUNTANTS</w:t>
      </w:r>
    </w:p>
    <w:p>
      <w:pPr>
        <w:spacing w:after="0" w:line="189" w:lineRule="exact"/>
        <w:rPr>
          <w:sz w:val="20"/>
          <w:szCs w:val="20"/>
          <w:color w:val="auto"/>
        </w:rPr>
      </w:pPr>
    </w:p>
    <w:p>
      <w:pPr>
        <w:ind w:right="160" w:firstLine="222"/>
        <w:spacing w:after="0" w:line="286" w:lineRule="auto"/>
        <w:rPr>
          <w:sz w:val="20"/>
          <w:szCs w:val="20"/>
          <w:color w:val="auto"/>
        </w:rPr>
      </w:pPr>
      <w:r>
        <w:rPr>
          <w:rFonts w:ascii="Arial" w:cs="Arial" w:eastAsia="Arial" w:hAnsi="Arial"/>
          <w:sz w:val="16"/>
          <w:szCs w:val="16"/>
          <w:color w:val="auto"/>
        </w:rPr>
        <w:t>We have issued our report dated February 5, 2004 accompanying the consolidated financial statements and schedules included in the Annual Report of Federal Realty Investment Trust on Form 10-K for the year ended December 31, 2003. We hereby consent to the incorporation by reference of said report in the Registration Statements of Federal Realty Investment Trust on Forms S-3 (File No. 333-100819, 333-84210, 333-97945, 333-63619, File No. 33-63687, File No. 33-63955 and File No. 33-15264) and Forms S-8 (File No. 33-60252, File No. 333-39593, File No. 333-63617, File No. 333-60364 and File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 333-63986).</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Vienna,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2004</w:t>
      </w:r>
    </w:p>
    <w:p>
      <w:pPr>
        <w:sectPr>
          <w:pgSz w:w="11900" w:h="16838" w:orient="portrait"/>
          <w:cols w:equalWidth="0" w:num="1">
            <w:col w:w="11420"/>
          </w:cols>
          <w:pgMar w:left="240" w:top="93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Donald C. Wood</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980" w:right="180" w:hanging="299"/>
        <w:spacing w:after="0" w:line="308" w:lineRule="auto"/>
        <w:tabs>
          <w:tab w:leader="none" w:pos="96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12, 2004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74930</wp:posOffset>
            </wp:positionV>
            <wp:extent cx="32588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9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Larry E. Finger</w:t>
      </w:r>
      <w:r>
        <w:rPr>
          <w:rFonts w:ascii="Arial" w:cs="Arial" w:eastAsia="Arial" w:hAnsi="Arial"/>
          <w:sz w:val="18"/>
          <w:szCs w:val="18"/>
          <w:color w:val="auto"/>
        </w:rPr>
        <w:t>, certify that:</w:t>
      </w:r>
    </w:p>
    <w:p>
      <w:pPr>
        <w:spacing w:after="0" w:line="225" w:lineRule="exact"/>
        <w:rPr>
          <w:sz w:val="20"/>
          <w:szCs w:val="20"/>
          <w:color w:val="auto"/>
        </w:rPr>
      </w:pPr>
    </w:p>
    <w:p>
      <w:pPr>
        <w:ind w:left="580" w:hanging="234"/>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225"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560" w:hanging="234"/>
        <w:spacing w:after="0" w:line="277"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left="1000" w:right="260" w:hanging="299"/>
        <w:spacing w:after="0" w:line="264" w:lineRule="auto"/>
        <w:tabs>
          <w:tab w:leader="none" w:pos="980" w:val="left"/>
        </w:tabs>
        <w:rPr>
          <w:sz w:val="20"/>
          <w:szCs w:val="20"/>
          <w:color w:val="auto"/>
        </w:rPr>
      </w:pPr>
      <w:r>
        <w:rPr>
          <w:rFonts w:ascii="Arial" w:cs="Arial" w:eastAsia="Arial" w:hAnsi="Arial"/>
          <w:sz w:val="18"/>
          <w:szCs w:val="18"/>
          <w:color w:val="auto"/>
        </w:rPr>
        <w:t>a.)</w:t>
        <w:tab/>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1000" w:right="700" w:hanging="299"/>
        <w:spacing w:after="0" w:line="342" w:lineRule="auto"/>
        <w:tabs>
          <w:tab w:leader="none" w:pos="980" w:val="left"/>
        </w:tabs>
        <w:rPr>
          <w:sz w:val="20"/>
          <w:szCs w:val="20"/>
          <w:color w:val="auto"/>
        </w:rPr>
      </w:pPr>
      <w:r>
        <w:rPr>
          <w:rFonts w:ascii="Arial" w:cs="Arial" w:eastAsia="Arial" w:hAnsi="Arial"/>
          <w:sz w:val="16"/>
          <w:szCs w:val="16"/>
          <w:color w:val="auto"/>
        </w:rPr>
        <w:t>b.)</w:t>
        <w:tab/>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sz w:val="20"/>
          <w:szCs w:val="20"/>
          <w:color w:val="auto"/>
        </w:rPr>
      </w:pPr>
    </w:p>
    <w:p>
      <w:pPr>
        <w:ind w:left="1000" w:right="240" w:hanging="299"/>
        <w:spacing w:after="0" w:line="264" w:lineRule="auto"/>
        <w:tabs>
          <w:tab w:leader="none" w:pos="980" w:val="left"/>
        </w:tabs>
        <w:rPr>
          <w:sz w:val="20"/>
          <w:szCs w:val="20"/>
          <w:color w:val="auto"/>
        </w:rPr>
      </w:pPr>
      <w:r>
        <w:rPr>
          <w:rFonts w:ascii="Arial" w:cs="Arial" w:eastAsia="Arial" w:hAnsi="Arial"/>
          <w:sz w:val="18"/>
          <w:szCs w:val="18"/>
          <w:color w:val="auto"/>
        </w:rPr>
        <w:t>c.)</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580" w:right="240" w:hanging="234"/>
        <w:spacing w:after="0" w:line="308"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trustees (or persons performing the equivalent functions):</w:t>
      </w:r>
    </w:p>
    <w:p>
      <w:pPr>
        <w:spacing w:after="0" w:line="147" w:lineRule="exact"/>
        <w:rPr>
          <w:sz w:val="20"/>
          <w:szCs w:val="20"/>
          <w:color w:val="auto"/>
        </w:rPr>
      </w:pPr>
    </w:p>
    <w:p>
      <w:pPr>
        <w:ind w:left="1000" w:right="160" w:hanging="299"/>
        <w:spacing w:after="0" w:line="308" w:lineRule="auto"/>
        <w:tabs>
          <w:tab w:leader="none" w:pos="980" w:val="left"/>
        </w:tabs>
        <w:rPr>
          <w:sz w:val="20"/>
          <w:szCs w:val="20"/>
          <w:color w:val="auto"/>
        </w:rPr>
      </w:pPr>
      <w:r>
        <w:rPr>
          <w:rFonts w:ascii="Arial" w:cs="Arial" w:eastAsia="Arial" w:hAnsi="Arial"/>
          <w:sz w:val="17"/>
          <w:szCs w:val="17"/>
          <w:color w:val="auto"/>
        </w:rPr>
        <w:t>a.)</w:t>
        <w:tab/>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sz w:val="20"/>
          <w:szCs w:val="20"/>
          <w:color w:val="auto"/>
        </w:rPr>
      </w:pPr>
    </w:p>
    <w:p>
      <w:pPr>
        <w:ind w:left="1000" w:right="120" w:hanging="299"/>
        <w:spacing w:after="0" w:line="277" w:lineRule="auto"/>
        <w:tabs>
          <w:tab w:leader="none" w:pos="980" w:val="left"/>
        </w:tabs>
        <w:rPr>
          <w:sz w:val="20"/>
          <w:szCs w:val="20"/>
          <w:color w:val="auto"/>
        </w:rPr>
      </w:pPr>
      <w:r>
        <w:rPr>
          <w:rFonts w:ascii="Arial" w:cs="Arial" w:eastAsia="Arial" w:hAnsi="Arial"/>
          <w:sz w:val="18"/>
          <w:szCs w:val="18"/>
          <w:color w:val="auto"/>
        </w:rPr>
        <w:t>b.)</w:t>
        <w:tab/>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12,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E. Finger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9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year ending December 31, 2003 (the “Report”). The undersigned hereby certifies that:</w:t>
      </w:r>
    </w:p>
    <w:p>
      <w:pPr>
        <w:spacing w:after="0" w:line="181" w:lineRule="exact"/>
        <w:rPr>
          <w:sz w:val="20"/>
          <w:szCs w:val="20"/>
          <w:color w:val="auto"/>
        </w:rPr>
      </w:pPr>
    </w:p>
    <w:p>
      <w:pPr>
        <w:ind w:left="660" w:hanging="30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10, 2004</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Donald C. Wood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932"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undersigned, Larry E. Finger, the Senior Vice President — Chief Financial Officer and Treasurer of Federal Realty Investment Trust (the “Company”), has executed this certification in connection with the filing with the Securities and Exchange Commission of the Company’s Annual Report on Form 10-K for the year ending December 31, 2003 (the “Report”). The undersigned hereby certifies that:</w:t>
      </w:r>
    </w:p>
    <w:p>
      <w:pPr>
        <w:spacing w:after="0" w:line="181" w:lineRule="exact"/>
        <w:rPr>
          <w:sz w:val="20"/>
          <w:szCs w:val="20"/>
          <w:color w:val="auto"/>
        </w:rPr>
      </w:pPr>
    </w:p>
    <w:p>
      <w:pPr>
        <w:ind w:left="660" w:hanging="30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08"/>
        <w:spacing w:after="0"/>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12,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Larry E. Finger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Senior Vice President — Chief Financial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lvl w:ilvl="1">
      <w:lvlJc w:val="left"/>
      <w:lvlText w:val="•"/>
      <w:numFmt w:val="bullet"/>
      <w:start w:val="1"/>
    </w:lvl>
  </w:abstractNum>
  <w:abstractNum w:abstractNumId="7">
    <w:nsid w:val="440BADFC"/>
    <w:multiLevelType w:val="hybridMultilevel"/>
    <w:lvl w:ilvl="0">
      <w:lvlJc w:val="left"/>
      <w:lvlText w:val="•"/>
      <w:numFmt w:val="bullet"/>
      <w:start w:val="1"/>
    </w:lvl>
    <w:lvl w:ilvl="1">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3"/>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1)"/>
      <w:numFmt w:val="lowerLetter"/>
      <w:start w:val="1"/>
    </w:lvl>
  </w:abstractNum>
  <w:abstractNum w:abstractNumId="28">
    <w:nsid w:val="4B588F54"/>
    <w:multiLevelType w:val="hybridMultilevel"/>
    <w:lvl w:ilvl="0">
      <w:lvlJc w:val="left"/>
      <w:lvlText w:val="(%1)"/>
      <w:numFmt w:val="lowerLetter"/>
      <w:start w:val="4"/>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5"/>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upperLetter"/>
      <w:start w:val="1"/>
    </w:lvl>
  </w:abstractNum>
  <w:abstractNum w:abstractNumId="38">
    <w:nsid w:val="1BA026FA"/>
    <w:multiLevelType w:val="hybridMultilevel"/>
    <w:lvl w:ilvl="0">
      <w:lvlJc w:val="left"/>
      <w:lvlText w:val="%1)"/>
      <w:numFmt w:val="decimal"/>
      <w:start w:val="1"/>
    </w:lvl>
  </w:abstractNum>
  <w:abstractNum w:abstractNumId="39">
    <w:nsid w:val="79A1DEAA"/>
    <w:multiLevelType w:val="hybridMultilevel"/>
    <w:lvl w:ilvl="0">
      <w:lvlJc w:val="left"/>
      <w:lvlText w:val="(%1)"/>
      <w:numFmt w:val="decimal"/>
      <w:start w:val="2"/>
    </w:lvl>
  </w:abstractNum>
  <w:abstractNum w:abstractNumId="40">
    <w:nsid w:val="75C6C33A"/>
    <w:multiLevelType w:val="hybridMultilevel"/>
    <w:lvl w:ilvl="0">
      <w:lvlJc w:val="left"/>
      <w:lvlText w:val="(%1)"/>
      <w:numFmt w:val="lowerLetter"/>
      <w:start w:val="2"/>
    </w:lvl>
  </w:abstractNum>
  <w:abstractNum w:abstractNumId="41">
    <w:nsid w:val="12E685FB"/>
    <w:multiLevelType w:val="hybridMultilevel"/>
    <w:lvl w:ilvl="0">
      <w:lvlJc w:val="left"/>
      <w:lvlText w:val="(%1)"/>
      <w:numFmt w:val="lowerLetter"/>
      <w:start w:val="3"/>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lowerLetter"/>
      <w:start w:val="1"/>
    </w:lvl>
    <w:lvl w:ilvl="1">
      <w:lvlJc w:val="left"/>
      <w:lvlText w:val="(%2)"/>
      <w:numFmt w:val="decimal"/>
      <w:start w:val="1"/>
    </w:lvl>
  </w:abstractNum>
  <w:abstractNum w:abstractNumId="44">
    <w:nsid w:val="374A3FE6"/>
    <w:multiLevelType w:val="hybridMultilevel"/>
    <w:lvl w:ilvl="0">
      <w:lvlJc w:val="left"/>
      <w:lvlText w:val="%1"/>
      <w:numFmt w:val="lowerLetter"/>
      <w:start w:val="1"/>
    </w:lvl>
    <w:lvl w:ilvl="1">
      <w:lvlJc w:val="left"/>
      <w:lvlText w:val="(%2)"/>
      <w:numFmt w:val="decimal"/>
      <w:start w:val="3"/>
    </w:lvl>
  </w:abstractNum>
  <w:abstractNum w:abstractNumId="45">
    <w:nsid w:val="4F4EF005"/>
    <w:multiLevelType w:val="hybridMultilevel"/>
    <w:lvl w:ilvl="0">
      <w:lvlJc w:val="left"/>
      <w:lvlText w:val="(%1)"/>
      <w:numFmt w:val="lowerLetter"/>
      <w:start w:val="2"/>
    </w:lvl>
    <w:lvl w:ilvl="1">
      <w:lvlJc w:val="left"/>
      <w:lvlText w:val="%2"/>
      <w:numFmt w:val="decimal"/>
      <w:start w:val="1"/>
    </w:lvl>
  </w:abstractNum>
  <w:abstractNum w:abstractNumId="46">
    <w:nsid w:val="23F9C13C"/>
    <w:multiLevelType w:val="hybridMultilevel"/>
    <w:lvl w:ilvl="0">
      <w:lvlJc w:val="left"/>
      <w:lvlText w:val="(%1)"/>
      <w:numFmt w:val="lowerLetter"/>
      <w:start w:val="61"/>
    </w:lvl>
    <w:lvl w:ilvl="1">
      <w:lvlJc w:val="left"/>
      <w:lvlText w:val="%2"/>
      <w:numFmt w:val="decimal"/>
      <w:start w:val="1"/>
    </w:lvl>
  </w:abstractNum>
  <w:abstractNum w:abstractNumId="47">
    <w:nsid w:val="649BB77C"/>
    <w:multiLevelType w:val="hybridMultilevel"/>
    <w:lvl w:ilvl="0">
      <w:lvlJc w:val="left"/>
      <w:lvlText w:val="(%1)"/>
      <w:numFmt w:val="lowerLetter"/>
      <w:start w:val="3"/>
    </w:lvl>
    <w:lvl w:ilvl="1">
      <w:lvlJc w:val="left"/>
      <w:lvlText w:val="(%2)"/>
      <w:numFmt w:val="decimal"/>
      <w:start w:val="1"/>
    </w:lvl>
  </w:abstractNum>
  <w:abstractNum w:abstractNumId="48">
    <w:nsid w:val="275AC794"/>
    <w:multiLevelType w:val="hybridMultilevel"/>
    <w:lvl w:ilvl="0">
      <w:lvlJc w:val="left"/>
      <w:lvlText w:val="(%1)"/>
      <w:numFmt w:val="decimal"/>
      <w:start w:val="2"/>
    </w:lvl>
  </w:abstractNum>
  <w:abstractNum w:abstractNumId="49">
    <w:nsid w:val="39386575"/>
    <w:multiLevelType w:val="hybridMultilevel"/>
    <w:lvl w:ilvl="0">
      <w:lvlJc w:val="left"/>
      <w:lvlText w:val="(%1)"/>
      <w:numFmt w:val="lowerLetter"/>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2"/>
    </w:lvl>
  </w:abstractNum>
  <w:abstractNum w:abstractNumId="52">
    <w:nsid w:val="235BA861"/>
    <w:multiLevelType w:val="hybridMultilevel"/>
    <w:lvl w:ilvl="0">
      <w:lvlJc w:val="left"/>
      <w:lvlText w:val="(%1)"/>
      <w:numFmt w:val="lowerLetter"/>
      <w:start w:val="3"/>
    </w:lvl>
  </w:abstractNum>
  <w:abstractNum w:abstractNumId="53">
    <w:nsid w:val="47398C89"/>
    <w:multiLevelType w:val="hybridMultilevel"/>
    <w:lvl w:ilvl="0">
      <w:lvlJc w:val="left"/>
      <w:lvlText w:val="(%1)"/>
      <w:numFmt w:val="decimal"/>
      <w:start w:val="2"/>
    </w:lvl>
  </w:abstractNum>
  <w:abstractNum w:abstractNumId="54">
    <w:nsid w:val="354FE9F9"/>
    <w:multiLevelType w:val="hybridMultilevel"/>
    <w:lvl w:ilvl="0">
      <w:lvlJc w:val="left"/>
      <w:lvlText w:val="%1."/>
      <w:numFmt w:val="upperLetter"/>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6"/>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decimal"/>
      <w:start w:val="5"/>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decimal"/>
      <w:start w:val="5"/>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2019-12-13T00:53:56Z</dcterms:created>
  <dcterms:modified xsi:type="dcterms:W3CDTF">2019-12-13T00:53:56Z</dcterms:modified>
</cp:coreProperties>
</file>