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77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Federal Realty Investment Trust</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Common stock</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313747206</w:t>
      </w:r>
    </w:p>
    <w:p>
      <w:pPr>
        <w:ind w:left="3800"/>
        <w:spacing w:after="0" w:line="238" w:lineRule="auto"/>
        <w:rPr>
          <w:sz w:val="20"/>
          <w:szCs w:val="20"/>
          <w:color w:val="auto"/>
        </w:rPr>
      </w:pPr>
      <w:r>
        <w:rPr>
          <w:rFonts w:ascii="Courier New" w:cs="Courier New" w:eastAsia="Courier New" w:hAnsi="Courier New"/>
          <w:sz w:val="18"/>
          <w:szCs w:val="18"/>
          <w:color w:val="auto"/>
        </w:rPr>
        <w:t>2987021Q4</w:t>
      </w:r>
    </w:p>
    <w:p>
      <w:pPr>
        <w:ind w:left="3480"/>
        <w:spacing w:after="0"/>
        <w:rPr>
          <w:sz w:val="20"/>
          <w:szCs w:val="20"/>
          <w:color w:val="auto"/>
        </w:rPr>
      </w:pPr>
      <w:r>
        <w:rPr>
          <w:rFonts w:ascii="Courier New" w:cs="Courier New" w:eastAsia="Courier New" w:hAnsi="Courier New"/>
          <w:sz w:val="18"/>
          <w:szCs w:val="18"/>
          <w:color w:val="auto"/>
        </w:rPr>
        <w:t>-------------------------</w:t>
      </w:r>
    </w:p>
    <w:p>
      <w:pPr>
        <w:ind w:left="3480"/>
        <w:spacing w:after="0" w:line="237" w:lineRule="auto"/>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both"/>
        <w:ind w:right="1779"/>
        <w:spacing w:after="0" w:line="273" w:lineRule="auto"/>
        <w:rPr>
          <w:sz w:val="20"/>
          <w:szCs w:val="20"/>
          <w:color w:val="auto"/>
        </w:rPr>
      </w:pPr>
      <w:r>
        <w:rPr>
          <w:rFonts w:ascii="Courier New" w:cs="Courier New" w:eastAsia="Courier New" w:hAnsi="Courier New"/>
          <w:sz w:val="16"/>
          <w:szCs w:val="16"/>
          <w:color w:val="auto"/>
        </w:rPr>
        <w:t>Check the following box if a fee is being paid with this statement [ ]. (A fee is not required only if the filing person: (1) has a previous statement on file reporting beneficial ownership of more than 5 percent of the class securities described in Item 1; and (2) has filed no amendment subsequent thereto reporting beneficial ownership of five percent or less of such class.) (See Rule 13d-7.)</w:t>
      </w:r>
    </w:p>
    <w:p>
      <w:pPr>
        <w:spacing w:after="0" w:line="185" w:lineRule="exact"/>
        <w:rPr>
          <w:sz w:val="24"/>
          <w:szCs w:val="24"/>
          <w:color w:val="auto"/>
        </w:rPr>
      </w:pPr>
    </w:p>
    <w:p>
      <w:pPr>
        <w:jc w:val="both"/>
        <w:ind w:right="1779" w:firstLine="8"/>
        <w:spacing w:after="0" w:line="237"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the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7"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(Continued on following page(s))</w:t>
      </w:r>
    </w:p>
    <w:p>
      <w:pPr>
        <w:ind w:left="3380"/>
        <w:spacing w:after="0" w:line="238" w:lineRule="auto"/>
        <w:rPr>
          <w:sz w:val="20"/>
          <w:szCs w:val="20"/>
          <w:color w:val="auto"/>
        </w:rPr>
      </w:pPr>
      <w:r>
        <w:rPr>
          <w:rFonts w:ascii="Courier New" w:cs="Courier New" w:eastAsia="Courier New" w:hAnsi="Courier New"/>
          <w:sz w:val="18"/>
          <w:szCs w:val="18"/>
          <w:color w:val="auto"/>
        </w:rPr>
        <w:t>Page 1 of 5 Pages</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CUSIP No. 313747206 &amp; 2987021Q4 13G Page 2 of 5 Pages</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640" w:hanging="632"/>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220" w:hanging="212"/>
        <w:spacing w:after="0" w:line="238" w:lineRule="auto"/>
        <w:tabs>
          <w:tab w:leader="none" w:pos="2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ind w:left="640"/>
        <w:spacing w:after="0"/>
        <w:rPr>
          <w:sz w:val="20"/>
          <w:szCs w:val="20"/>
          <w:color w:val="auto"/>
        </w:rPr>
      </w:pPr>
      <w:r>
        <w:rPr>
          <w:rFonts w:ascii="Courier New" w:cs="Courier New" w:eastAsia="Courier New" w:hAnsi="Courier New"/>
          <w:sz w:val="18"/>
          <w:szCs w:val="18"/>
          <w:color w:val="auto"/>
        </w:rPr>
        <w:t>Loomis Sayles &amp; Co., L.P.</w:t>
      </w:r>
    </w:p>
    <w:p>
      <w:pPr>
        <w:ind w:left="640"/>
        <w:spacing w:after="0" w:line="237" w:lineRule="auto"/>
        <w:rPr>
          <w:sz w:val="20"/>
          <w:szCs w:val="20"/>
          <w:color w:val="auto"/>
        </w:rPr>
      </w:pPr>
      <w:r>
        <w:rPr>
          <w:rFonts w:ascii="Courier New" w:cs="Courier New" w:eastAsia="Courier New" w:hAnsi="Courier New"/>
          <w:sz w:val="18"/>
          <w:szCs w:val="18"/>
          <w:color w:val="auto"/>
        </w:rPr>
        <w:t>#04-3200030</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6960"/>
        <w:spacing w:after="0"/>
        <w:tabs>
          <w:tab w:leader="none" w:pos="7460" w:val="left"/>
          <w:tab w:leader="none" w:pos="7780" w:val="left"/>
        </w:tabs>
        <w:rPr>
          <w:sz w:val="20"/>
          <w:szCs w:val="20"/>
          <w:color w:val="auto"/>
        </w:rPr>
      </w:pPr>
      <w:r>
        <w:rPr>
          <w:rFonts w:ascii="Courier New" w:cs="Courier New" w:eastAsia="Courier New" w:hAnsi="Courier New"/>
          <w:sz w:val="18"/>
          <w:szCs w:val="18"/>
          <w:color w:val="auto"/>
        </w:rPr>
        <w:t>(a)</w:t>
        <w:tab/>
        <w:t>[</w:t>
      </w:r>
      <w:r>
        <w:rPr>
          <w:sz w:val="20"/>
          <w:szCs w:val="20"/>
          <w:color w:val="auto"/>
        </w:rPr>
        <w:tab/>
      </w:r>
      <w:r>
        <w:rPr>
          <w:rFonts w:ascii="Courier New" w:cs="Courier New" w:eastAsia="Courier New" w:hAnsi="Courier New"/>
          <w:sz w:val="16"/>
          <w:szCs w:val="16"/>
          <w:color w:val="auto"/>
        </w:rPr>
        <w:t>]</w:t>
      </w:r>
    </w:p>
    <w:p>
      <w:pPr>
        <w:ind w:left="6960"/>
        <w:spacing w:after="0"/>
        <w:tabs>
          <w:tab w:leader="none" w:pos="7460" w:val="left"/>
          <w:tab w:leader="none" w:pos="7780" w:val="left"/>
        </w:tabs>
        <w:rPr>
          <w:sz w:val="20"/>
          <w:szCs w:val="20"/>
          <w:color w:val="auto"/>
        </w:rPr>
      </w:pPr>
      <w:r>
        <w:rPr>
          <w:rFonts w:ascii="Courier New" w:cs="Courier New" w:eastAsia="Courier New" w:hAnsi="Courier New"/>
          <w:sz w:val="18"/>
          <w:szCs w:val="18"/>
          <w:color w:val="auto"/>
        </w:rPr>
        <w:t>(b)</w:t>
        <w:tab/>
        <w:t>[</w:t>
      </w:r>
      <w:r>
        <w:rPr>
          <w:sz w:val="20"/>
          <w:szCs w:val="20"/>
          <w:color w:val="auto"/>
        </w:rPr>
        <w:tab/>
      </w:r>
      <w:r>
        <w:rPr>
          <w:rFonts w:ascii="Courier New" w:cs="Courier New" w:eastAsia="Courier New" w:hAnsi="Courier New"/>
          <w:sz w:val="16"/>
          <w:szCs w:val="16"/>
          <w:color w:val="auto"/>
        </w:rPr>
        <w:t>]</w:t>
      </w:r>
    </w:p>
    <w:p>
      <w:pPr>
        <w:spacing w:after="0" w:line="3"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220" w:hanging="212"/>
        <w:spacing w:after="0" w:line="237"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20" w:hanging="212"/>
        <w:spacing w:after="0" w:line="238" w:lineRule="auto"/>
        <w:tabs>
          <w:tab w:leader="none" w:pos="2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220" w:hanging="212"/>
        <w:spacing w:after="0" w:line="237" w:lineRule="auto"/>
        <w:tabs>
          <w:tab w:leader="none" w:pos="2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Reporting Person: Citizenship or place of organization of Delaware laws.</w:t>
      </w:r>
    </w:p>
    <w:p>
      <w:pPr>
        <w:ind w:left="120"/>
        <w:spacing w:after="0"/>
        <w:rPr>
          <w:sz w:val="20"/>
          <w:szCs w:val="20"/>
          <w:color w:val="auto"/>
        </w:rPr>
      </w:pPr>
      <w:r>
        <w:rPr>
          <w:rFonts w:ascii="Courier New" w:cs="Courier New" w:eastAsia="Courier New" w:hAnsi="Courier New"/>
          <w:sz w:val="18"/>
          <w:szCs w:val="18"/>
          <w:color w:val="auto"/>
        </w:rPr>
        <w:t>Principal</w:t>
      </w:r>
    </w:p>
    <w:p>
      <w:pPr>
        <w:ind w:left="1280"/>
        <w:spacing w:after="0" w:line="237" w:lineRule="auto"/>
        <w:rPr>
          <w:sz w:val="20"/>
          <w:szCs w:val="20"/>
          <w:color w:val="auto"/>
        </w:rPr>
      </w:pPr>
      <w:r>
        <w:rPr>
          <w:rFonts w:ascii="Courier New" w:cs="Courier New" w:eastAsia="Courier New" w:hAnsi="Courier New"/>
          <w:sz w:val="18"/>
          <w:szCs w:val="18"/>
          <w:color w:val="auto"/>
        </w:rPr>
        <w:t>office of Reporting Person is in Boston, MA.</w:t>
      </w:r>
    </w:p>
    <w:p>
      <w:pPr>
        <w:spacing w:after="0" w:line="5" w:lineRule="exact"/>
        <w:rPr>
          <w:sz w:val="24"/>
          <w:szCs w:val="24"/>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800" w:hanging="632"/>
        <w:spacing w:after="0" w:line="238" w:lineRule="auto"/>
        <w:tabs>
          <w:tab w:leader="none" w:pos="3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w:t>
      </w:r>
    </w:p>
    <w:p>
      <w:pPr>
        <w:ind w:left="6440"/>
        <w:spacing w:after="0"/>
        <w:rPr>
          <w:sz w:val="20"/>
          <w:szCs w:val="20"/>
          <w:color w:val="auto"/>
        </w:rPr>
      </w:pPr>
      <w:r>
        <w:rPr>
          <w:rFonts w:ascii="Courier New" w:cs="Courier New" w:eastAsia="Courier New" w:hAnsi="Courier New"/>
          <w:sz w:val="18"/>
          <w:szCs w:val="18"/>
          <w:color w:val="auto"/>
        </w:rPr>
        <w:t>3,700</w:t>
      </w:r>
    </w:p>
    <w:tbl>
      <w:tblPr>
        <w:tblLayout w:type="fixed"/>
        <w:tblInd w:w="640" w:type="dxa"/>
        <w:tblCellMar>
          <w:top w:w="0" w:type="dxa"/>
          <w:left w:w="0" w:type="dxa"/>
          <w:bottom w:w="0" w:type="dxa"/>
          <w:right w:w="0" w:type="dxa"/>
        </w:tblCellMar>
      </w:tblPr>
      <w:tr>
        <w:trPr>
          <w:trHeight w:val="202"/>
        </w:trPr>
        <w:tc>
          <w:tcPr>
            <w:tcW w:w="2060" w:type="dxa"/>
            <w:vAlign w:val="bottom"/>
          </w:tcPr>
          <w:p>
            <w:pPr>
              <w:spacing w:after="0" w:line="202" w:lineRule="exact"/>
              <w:rPr>
                <w:sz w:val="20"/>
                <w:szCs w:val="20"/>
                <w:color w:val="auto"/>
              </w:rPr>
            </w:pPr>
            <w:r>
              <w:rPr>
                <w:rFonts w:ascii="Courier New" w:cs="Courier New" w:eastAsia="Courier New" w:hAnsi="Courier New"/>
                <w:sz w:val="18"/>
                <w:szCs w:val="18"/>
                <w:color w:val="auto"/>
              </w:rPr>
              <w:t>NUMBER OF</w:t>
            </w: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w:t>
            </w: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2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BENEFICIALLY</w:t>
            </w:r>
          </w:p>
        </w:tc>
        <w:tc>
          <w:tcPr>
            <w:tcW w:w="880" w:type="dxa"/>
            <w:vAlign w:val="bottom"/>
          </w:tcPr>
          <w:p>
            <w:pPr>
              <w:spacing w:after="0"/>
              <w:rPr>
                <w:sz w:val="17"/>
                <w:szCs w:val="17"/>
                <w:color w:val="auto"/>
              </w:rPr>
            </w:pPr>
          </w:p>
        </w:tc>
        <w:tc>
          <w:tcPr>
            <w:tcW w:w="2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6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tcPr>
          <w:p>
            <w:pPr>
              <w:spacing w:after="0"/>
              <w:rPr>
                <w:sz w:val="17"/>
                <w:szCs w:val="17"/>
                <w:color w:val="auto"/>
              </w:rPr>
            </w:pPr>
          </w:p>
        </w:tc>
        <w:tc>
          <w:tcPr>
            <w:tcW w:w="2220" w:type="dxa"/>
            <w:vAlign w:val="bottom"/>
          </w:tcPr>
          <w:p>
            <w:pPr>
              <w:spacing w:after="0"/>
              <w:rPr>
                <w:sz w:val="17"/>
                <w:szCs w:val="17"/>
                <w:color w:val="auto"/>
              </w:rPr>
            </w:pPr>
          </w:p>
        </w:tc>
      </w:tr>
    </w:tbl>
    <w:p>
      <w:pPr>
        <w:sectPr>
          <w:pgSz w:w="11900" w:h="16838" w:orient="portrait"/>
          <w:cols w:equalWidth="0" w:num="1">
            <w:col w:w="10219"/>
          </w:cols>
          <w:pgMar w:left="240" w:top="244" w:right="1440" w:bottom="0" w:gutter="0" w:footer="0" w:header="0"/>
        </w:sectPr>
      </w:pPr>
    </w:p>
    <w:bookmarkStart w:id="1" w:name="page2"/>
    <w:bookmarkEnd w:id="1"/>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204"/>
        </w:trPr>
        <w:tc>
          <w:tcPr>
            <w:tcW w:w="200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9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w:t>
            </w:r>
          </w:p>
        </w:tc>
        <w:tc>
          <w:tcPr>
            <w:tcW w:w="2540" w:type="dxa"/>
            <w:vAlign w:val="bottom"/>
          </w:tcPr>
          <w:p>
            <w:pPr>
              <w:jc w:val="right"/>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20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PERSON WITH</w:t>
            </w:r>
          </w:p>
        </w:tc>
        <w:tc>
          <w:tcPr>
            <w:tcW w:w="940" w:type="dxa"/>
            <w:vAlign w:val="bottom"/>
          </w:tcPr>
          <w:p>
            <w:pPr>
              <w:spacing w:after="0"/>
              <w:rPr>
                <w:sz w:val="17"/>
                <w:szCs w:val="17"/>
                <w:color w:val="auto"/>
              </w:rPr>
            </w:pPr>
          </w:p>
        </w:tc>
        <w:tc>
          <w:tcPr>
            <w:tcW w:w="25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918,639</w:t>
            </w:r>
          </w:p>
        </w:tc>
      </w:tr>
    </w:tbl>
    <w:p>
      <w:pPr>
        <w:spacing w:after="0" w:line="207" w:lineRule="exact"/>
        <w:rPr>
          <w:sz w:val="20"/>
          <w:szCs w:val="20"/>
          <w:color w:val="auto"/>
        </w:rPr>
      </w:pPr>
    </w:p>
    <w:p>
      <w:pPr>
        <w:ind w:left="5480" w:right="3899" w:hanging="2312"/>
        <w:spacing w:after="0" w:line="268" w:lineRule="auto"/>
        <w:tabs>
          <w:tab w:leader="none" w:pos="3795" w:val="left"/>
        </w:tabs>
        <w:numPr>
          <w:ilvl w:val="1"/>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SHARED DISPOSITIVE POWER -0-</w:t>
      </w:r>
    </w:p>
    <w:p>
      <w:pPr>
        <w:ind w:left="220" w:hanging="212"/>
        <w:spacing w:after="0"/>
        <w:tabs>
          <w:tab w:leader="none" w:pos="22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620" w:val="left"/>
          <w:tab w:leader="none" w:pos="6940" w:val="left"/>
        </w:tabs>
        <w:rPr>
          <w:sz w:val="20"/>
          <w:szCs w:val="20"/>
          <w:color w:val="auto"/>
        </w:rPr>
      </w:pPr>
      <w:r>
        <w:rPr>
          <w:rFonts w:ascii="Courier New" w:cs="Courier New" w:eastAsia="Courier New" w:hAnsi="Courier New"/>
          <w:sz w:val="18"/>
          <w:szCs w:val="18"/>
          <w:color w:val="auto"/>
        </w:rPr>
        <w:t>9.</w:t>
      </w:r>
      <w:r>
        <w:rPr>
          <w:sz w:val="20"/>
          <w:szCs w:val="20"/>
          <w:color w:val="auto"/>
        </w:rPr>
        <w:tab/>
      </w:r>
      <w:r>
        <w:rPr>
          <w:rFonts w:ascii="Courier New" w:cs="Courier New" w:eastAsia="Courier New" w:hAnsi="Courier New"/>
          <w:sz w:val="18"/>
          <w:szCs w:val="18"/>
          <w:color w:val="auto"/>
        </w:rPr>
        <w:t>AGGREGATE AMOUNT BENEFICIALLY OWNED BY EACH REPORTING</w:t>
      </w:r>
      <w:r>
        <w:rPr>
          <w:sz w:val="20"/>
          <w:szCs w:val="20"/>
          <w:color w:val="auto"/>
        </w:rPr>
        <w:tab/>
      </w:r>
      <w:r>
        <w:rPr>
          <w:rFonts w:ascii="Courier New" w:cs="Courier New" w:eastAsia="Courier New" w:hAnsi="Courier New"/>
          <w:sz w:val="16"/>
          <w:szCs w:val="16"/>
          <w:color w:val="auto"/>
        </w:rPr>
        <w:t>PERSON</w:t>
      </w:r>
    </w:p>
    <w:p>
      <w:pPr>
        <w:ind w:left="5060"/>
        <w:spacing w:after="0" w:line="238" w:lineRule="auto"/>
        <w:rPr>
          <w:sz w:val="20"/>
          <w:szCs w:val="20"/>
          <w:color w:val="auto"/>
        </w:rPr>
      </w:pPr>
      <w:r>
        <w:rPr>
          <w:rFonts w:ascii="Courier New" w:cs="Courier New" w:eastAsia="Courier New" w:hAnsi="Courier New"/>
          <w:sz w:val="18"/>
          <w:szCs w:val="18"/>
          <w:color w:val="auto"/>
        </w:rPr>
        <w:t>918,639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620" w:val="left"/>
          <w:tab w:leader="none" w:pos="6940" w:val="left"/>
        </w:tabs>
        <w:rPr>
          <w:sz w:val="20"/>
          <w:szCs w:val="20"/>
          <w:color w:val="auto"/>
        </w:rPr>
      </w:pPr>
      <w:r>
        <w:rPr>
          <w:rFonts w:ascii="Courier New" w:cs="Courier New" w:eastAsia="Courier New" w:hAnsi="Courier New"/>
          <w:sz w:val="18"/>
          <w:szCs w:val="18"/>
          <w:color w:val="auto"/>
        </w:rPr>
        <w:t>10.</w:t>
      </w:r>
      <w:r>
        <w:rPr>
          <w:sz w:val="20"/>
          <w:szCs w:val="20"/>
          <w:color w:val="auto"/>
        </w:rPr>
        <w:tab/>
      </w:r>
      <w:r>
        <w:rPr>
          <w:rFonts w:ascii="Courier New" w:cs="Courier New" w:eastAsia="Courier New" w:hAnsi="Courier New"/>
          <w:sz w:val="18"/>
          <w:szCs w:val="18"/>
          <w:color w:val="auto"/>
        </w:rPr>
        <w:t>CHECK BOX IF AGGREGATE AMOUNT IN ROW (9) EXCLUDES CERTAIN</w:t>
      </w:r>
      <w:r>
        <w:rPr>
          <w:sz w:val="20"/>
          <w:szCs w:val="20"/>
          <w:color w:val="auto"/>
        </w:rPr>
        <w:tab/>
      </w:r>
      <w:r>
        <w:rPr>
          <w:rFonts w:ascii="Courier New" w:cs="Courier New" w:eastAsia="Courier New" w:hAnsi="Courier New"/>
          <w:sz w:val="16"/>
          <w:szCs w:val="16"/>
          <w:color w:val="auto"/>
        </w:rPr>
        <w:t>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060" w:right="4419" w:hanging="5052"/>
        <w:spacing w:after="0" w:line="268" w:lineRule="auto"/>
        <w:tabs>
          <w:tab w:leader="none" w:pos="63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(9) 2.27%</w:t>
      </w: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1280" w:right="6939" w:hanging="1272"/>
        <w:spacing w:after="0" w:line="290" w:lineRule="auto"/>
        <w:tabs>
          <w:tab w:leader="none" w:pos="64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TYPE OF REPORTING PERSON* Investment adviser</w:t>
      </w:r>
    </w:p>
    <w:p>
      <w:pPr>
        <w:spacing w:after="0" w:line="16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SCHEDULE G</w:t>
      </w:r>
    </w:p>
    <w:p>
      <w:pPr>
        <w:spacing w:after="0" w:line="201"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900"/>
        <w:spacing w:after="0" w:line="238" w:lineRule="auto"/>
        <w:rPr>
          <w:sz w:val="20"/>
          <w:szCs w:val="20"/>
          <w:color w:val="auto"/>
        </w:rPr>
      </w:pPr>
      <w:r>
        <w:rPr>
          <w:rFonts w:ascii="Courier New" w:cs="Courier New" w:eastAsia="Courier New" w:hAnsi="Courier New"/>
          <w:sz w:val="18"/>
          <w:szCs w:val="18"/>
          <w:color w:val="auto"/>
        </w:rPr>
        <w:t>Federal Realty Investment Trust</w:t>
      </w:r>
    </w:p>
    <w:p>
      <w:pPr>
        <w:spacing w:after="0" w:line="202"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Office</w:t>
      </w:r>
    </w:p>
    <w:p>
      <w:pPr>
        <w:ind w:left="1900"/>
        <w:spacing w:after="0" w:line="238" w:lineRule="auto"/>
        <w:rPr>
          <w:sz w:val="20"/>
          <w:szCs w:val="20"/>
          <w:color w:val="auto"/>
        </w:rPr>
      </w:pPr>
      <w:r>
        <w:rPr>
          <w:rFonts w:ascii="Courier New" w:cs="Courier New" w:eastAsia="Courier New" w:hAnsi="Courier New"/>
          <w:sz w:val="18"/>
          <w:szCs w:val="18"/>
          <w:color w:val="auto"/>
        </w:rPr>
        <w:t>1626 East Jefferson Street</w:t>
      </w:r>
    </w:p>
    <w:p>
      <w:pPr>
        <w:ind w:left="1900"/>
        <w:spacing w:after="0"/>
        <w:tabs>
          <w:tab w:leader="none" w:pos="3460" w:val="left"/>
        </w:tabs>
        <w:rPr>
          <w:sz w:val="20"/>
          <w:szCs w:val="20"/>
          <w:color w:val="auto"/>
        </w:rPr>
      </w:pPr>
      <w:r>
        <w:rPr>
          <w:rFonts w:ascii="Courier New" w:cs="Courier New" w:eastAsia="Courier New" w:hAnsi="Courier New"/>
          <w:sz w:val="18"/>
          <w:szCs w:val="18"/>
          <w:color w:val="auto"/>
        </w:rPr>
        <w:t>Rockville, MD</w:t>
      </w:r>
      <w:r>
        <w:rPr>
          <w:sz w:val="20"/>
          <w:szCs w:val="20"/>
          <w:color w:val="auto"/>
        </w:rPr>
        <w:tab/>
      </w:r>
      <w:r>
        <w:rPr>
          <w:rFonts w:ascii="Courier New" w:cs="Courier New" w:eastAsia="Courier New" w:hAnsi="Courier New"/>
          <w:sz w:val="16"/>
          <w:szCs w:val="16"/>
          <w:color w:val="auto"/>
        </w:rPr>
        <w:t>20852-4041</w:t>
      </w:r>
    </w:p>
    <w:p>
      <w:pPr>
        <w:spacing w:after="0" w:line="200"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ind w:left="1900"/>
        <w:spacing w:after="0" w:line="238" w:lineRule="auto"/>
        <w:rPr>
          <w:sz w:val="20"/>
          <w:szCs w:val="20"/>
          <w:color w:val="auto"/>
        </w:rPr>
      </w:pPr>
      <w:r>
        <w:rPr>
          <w:rFonts w:ascii="Courier New" w:cs="Courier New" w:eastAsia="Courier New" w:hAnsi="Courier New"/>
          <w:sz w:val="18"/>
          <w:szCs w:val="18"/>
          <w:color w:val="auto"/>
        </w:rPr>
        <w:t>Loomis, Sayles &amp; Co., L.P.</w:t>
      </w:r>
    </w:p>
    <w:p>
      <w:pPr>
        <w:spacing w:after="0" w:line="202"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1900"/>
        <w:spacing w:after="0" w:line="238" w:lineRule="auto"/>
        <w:rPr>
          <w:sz w:val="20"/>
          <w:szCs w:val="20"/>
          <w:color w:val="auto"/>
        </w:rPr>
      </w:pPr>
      <w:r>
        <w:rPr>
          <w:rFonts w:ascii="Courier New" w:cs="Courier New" w:eastAsia="Courier New" w:hAnsi="Courier New"/>
          <w:sz w:val="18"/>
          <w:szCs w:val="18"/>
          <w:color w:val="auto"/>
        </w:rPr>
        <w:t>One Financial Center</w:t>
      </w:r>
    </w:p>
    <w:p>
      <w:pPr>
        <w:ind w:left="1900"/>
        <w:spacing w:after="0"/>
        <w:tabs>
          <w:tab w:leader="none" w:pos="3140" w:val="left"/>
        </w:tabs>
        <w:rPr>
          <w:sz w:val="20"/>
          <w:szCs w:val="20"/>
          <w:color w:val="auto"/>
        </w:rPr>
      </w:pPr>
      <w:r>
        <w:rPr>
          <w:rFonts w:ascii="Courier New" w:cs="Courier New" w:eastAsia="Courier New" w:hAnsi="Courier New"/>
          <w:sz w:val="18"/>
          <w:szCs w:val="18"/>
          <w:color w:val="auto"/>
        </w:rPr>
        <w:t>Boston, MA</w:t>
        <w:tab/>
        <w:t>02111</w:t>
      </w:r>
    </w:p>
    <w:p>
      <w:pPr>
        <w:spacing w:after="0" w:line="200"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ind w:left="1900"/>
        <w:spacing w:after="0" w:line="238" w:lineRule="auto"/>
        <w:rPr>
          <w:sz w:val="20"/>
          <w:szCs w:val="20"/>
          <w:color w:val="auto"/>
        </w:rPr>
      </w:pPr>
      <w:r>
        <w:rPr>
          <w:rFonts w:ascii="Courier New" w:cs="Courier New" w:eastAsia="Courier New" w:hAnsi="Courier New"/>
          <w:sz w:val="18"/>
          <w:szCs w:val="18"/>
          <w:color w:val="auto"/>
        </w:rPr>
        <w:t>Reporting Person: Citizenship or place of organization of</w:t>
      </w:r>
    </w:p>
    <w:p>
      <w:pPr>
        <w:spacing w:after="0"/>
        <w:rPr>
          <w:sz w:val="20"/>
          <w:szCs w:val="20"/>
          <w:color w:val="auto"/>
        </w:rPr>
      </w:pPr>
      <w:r>
        <w:rPr>
          <w:rFonts w:ascii="Courier New" w:cs="Courier New" w:eastAsia="Courier New" w:hAnsi="Courier New"/>
          <w:sz w:val="18"/>
          <w:szCs w:val="18"/>
          <w:color w:val="auto"/>
        </w:rPr>
        <w:t>Delaware laws.</w:t>
      </w:r>
    </w:p>
    <w:p>
      <w:pPr>
        <w:spacing w:after="0" w:line="237" w:lineRule="auto"/>
        <w:rPr>
          <w:sz w:val="20"/>
          <w:szCs w:val="20"/>
          <w:color w:val="auto"/>
        </w:rPr>
      </w:pPr>
      <w:r>
        <w:rPr>
          <w:rFonts w:ascii="Courier New" w:cs="Courier New" w:eastAsia="Courier New" w:hAnsi="Courier New"/>
          <w:sz w:val="18"/>
          <w:szCs w:val="18"/>
          <w:color w:val="auto"/>
        </w:rPr>
        <w:t>Principal office of Reporting Person is Boston, MA</w:t>
      </w:r>
    </w:p>
    <w:p>
      <w:pPr>
        <w:spacing w:after="0" w:line="202"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1900"/>
        <w:spacing w:after="0" w:line="238" w:lineRule="auto"/>
        <w:rPr>
          <w:sz w:val="20"/>
          <w:szCs w:val="20"/>
          <w:color w:val="auto"/>
        </w:rPr>
      </w:pPr>
      <w:r>
        <w:rPr>
          <w:rFonts w:ascii="Courier New" w:cs="Courier New" w:eastAsia="Courier New" w:hAnsi="Courier New"/>
          <w:sz w:val="18"/>
          <w:szCs w:val="18"/>
          <w:color w:val="auto"/>
        </w:rPr>
        <w:t>REIT</w:t>
      </w:r>
    </w:p>
    <w:p>
      <w:pPr>
        <w:spacing w:after="0" w:line="202"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1900"/>
        <w:spacing w:after="0" w:line="238" w:lineRule="auto"/>
        <w:rPr>
          <w:sz w:val="20"/>
          <w:szCs w:val="20"/>
          <w:color w:val="auto"/>
        </w:rPr>
      </w:pPr>
      <w:r>
        <w:rPr>
          <w:rFonts w:ascii="Courier New" w:cs="Courier New" w:eastAsia="Courier New" w:hAnsi="Courier New"/>
          <w:sz w:val="18"/>
          <w:szCs w:val="18"/>
          <w:color w:val="auto"/>
        </w:rPr>
        <w:t>313747206 &amp; 2987021Q4</w:t>
      </w:r>
    </w:p>
    <w:p>
      <w:pPr>
        <w:spacing w:after="0" w:line="207" w:lineRule="exact"/>
        <w:rPr>
          <w:sz w:val="20"/>
          <w:szCs w:val="20"/>
          <w:color w:val="auto"/>
        </w:rPr>
      </w:pPr>
    </w:p>
    <w:p>
      <w:pPr>
        <w:ind w:right="1779" w:firstLine="632"/>
        <w:spacing w:after="0" w:line="235" w:lineRule="auto"/>
        <w:rPr>
          <w:sz w:val="20"/>
          <w:szCs w:val="20"/>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jc w:val="both"/>
        <w:ind w:left="1280" w:right="1779" w:hanging="8"/>
        <w:spacing w:after="0" w:line="268" w:lineRule="auto"/>
        <w:tabs>
          <w:tab w:leader="none" w:pos="170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Broker or dealer registered under Section 15 of the Act (b) [ ] Bank as defined in Section 3(a)(6) of the Act (c) [ ] Insurance Company registered under Section 3(a)(19) of the Act (d) [ ] Investment company registered under Section 8 of the Investment</w:t>
      </w:r>
    </w:p>
    <w:p>
      <w:pPr>
        <w:ind w:left="640"/>
        <w:spacing w:after="0" w:line="234" w:lineRule="auto"/>
        <w:rPr>
          <w:sz w:val="20"/>
          <w:szCs w:val="20"/>
          <w:color w:val="auto"/>
        </w:rPr>
      </w:pPr>
      <w:r>
        <w:rPr>
          <w:rFonts w:ascii="Courier New" w:cs="Courier New" w:eastAsia="Courier New" w:hAnsi="Courier New"/>
          <w:sz w:val="18"/>
          <w:szCs w:val="18"/>
          <w:color w:val="auto"/>
        </w:rPr>
        <w:t>Company Act</w:t>
      </w:r>
    </w:p>
    <w:p>
      <w:pPr>
        <w:ind w:left="1280"/>
        <w:spacing w:after="0"/>
        <w:tabs>
          <w:tab w:leader="none" w:pos="1880" w:val="left"/>
          <w:tab w:leader="none" w:pos="2520" w:val="left"/>
        </w:tabs>
        <w:rPr>
          <w:sz w:val="20"/>
          <w:szCs w:val="20"/>
          <w:color w:val="auto"/>
        </w:rPr>
      </w:pPr>
      <w:r>
        <w:rPr>
          <w:rFonts w:ascii="Courier New" w:cs="Courier New" w:eastAsia="Courier New" w:hAnsi="Courier New"/>
          <w:sz w:val="18"/>
          <w:szCs w:val="18"/>
          <w:color w:val="auto"/>
        </w:rPr>
        <w:t>(e)</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Investment Adviser registered under Section 203 of the</w:t>
      </w:r>
    </w:p>
    <w:p>
      <w:pPr>
        <w:sectPr>
          <w:pgSz w:w="11900" w:h="16838" w:orient="portrait"/>
          <w:cols w:equalWidth="0" w:num="1">
            <w:col w:w="10219"/>
          </w:cols>
          <w:pgMar w:left="240" w:top="1122" w:right="1440" w:bottom="0" w:gutter="0" w:footer="0" w:header="0"/>
        </w:sectPr>
      </w:pPr>
    </w:p>
    <w:p>
      <w:pPr>
        <w:spacing w:after="0"/>
        <w:rPr>
          <w:sz w:val="20"/>
          <w:szCs w:val="20"/>
          <w:color w:val="auto"/>
        </w:rPr>
      </w:pPr>
      <w:r>
        <w:rPr>
          <w:rFonts w:ascii="Courier New" w:cs="Courier New" w:eastAsia="Courier New" w:hAnsi="Courier New"/>
          <w:sz w:val="18"/>
          <w:szCs w:val="18"/>
          <w:color w:val="auto"/>
        </w:rPr>
        <w:t>Investment</w:t>
      </w:r>
    </w:p>
    <w:p>
      <w:pPr>
        <w:spacing w:after="0" w:line="237" w:lineRule="auto"/>
        <w:rPr>
          <w:sz w:val="20"/>
          <w:szCs w:val="20"/>
          <w:color w:val="auto"/>
        </w:rPr>
      </w:pPr>
      <w:r>
        <w:rPr>
          <w:rFonts w:ascii="Courier New" w:cs="Courier New" w:eastAsia="Courier New" w:hAnsi="Courier New"/>
          <w:sz w:val="18"/>
          <w:szCs w:val="18"/>
          <w:color w:val="auto"/>
        </w:rPr>
        <w:t>Advisers Act of 1940</w:t>
      </w:r>
    </w:p>
    <w:p>
      <w:pPr>
        <w:spacing w:after="0" w:line="5" w:lineRule="exact"/>
        <w:rPr>
          <w:sz w:val="20"/>
          <w:szCs w:val="20"/>
          <w:color w:val="auto"/>
        </w:rPr>
      </w:pPr>
    </w:p>
    <w:p>
      <w:pPr>
        <w:ind w:left="1280"/>
        <w:spacing w:after="0"/>
        <w:tabs>
          <w:tab w:leader="none" w:pos="1880" w:val="left"/>
        </w:tabs>
        <w:rPr>
          <w:sz w:val="20"/>
          <w:szCs w:val="20"/>
          <w:color w:val="auto"/>
        </w:rPr>
      </w:pPr>
      <w:r>
        <w:rPr>
          <w:rFonts w:ascii="Courier New" w:cs="Courier New" w:eastAsia="Courier New" w:hAnsi="Courier New"/>
          <w:sz w:val="16"/>
          <w:szCs w:val="16"/>
          <w:color w:val="auto"/>
        </w:rPr>
        <w:t>(f)</w:t>
      </w:r>
      <w:r>
        <w:rPr>
          <w:sz w:val="20"/>
          <w:szCs w:val="20"/>
          <w:color w:val="auto"/>
        </w:rPr>
        <w:tab/>
      </w: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Employee Benefit Plan, Pension Fund which is subject to</w:t>
      </w:r>
    </w:p>
    <w:p>
      <w:pPr>
        <w:spacing w:after="0" w:line="16" w:lineRule="exact"/>
        <w:rPr>
          <w:sz w:val="20"/>
          <w:szCs w:val="20"/>
          <w:color w:val="auto"/>
        </w:rPr>
      </w:pPr>
    </w:p>
    <w:p>
      <w:pPr>
        <w:sectPr>
          <w:pgSz w:w="11900" w:h="16838" w:orient="portrait"/>
          <w:cols w:equalWidth="0" w:num="2">
            <w:col w:w="2220" w:space="320"/>
            <w:col w:w="7679"/>
          </w:cols>
          <w:pgMar w:left="240" w:top="112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the</w:t>
      </w:r>
    </w:p>
    <w:p>
      <w:pPr>
        <w:spacing w:after="0" w:line="238" w:lineRule="auto"/>
        <w:rPr>
          <w:sz w:val="20"/>
          <w:szCs w:val="20"/>
          <w:color w:val="auto"/>
        </w:rPr>
      </w:pPr>
      <w:r>
        <w:rPr>
          <w:rFonts w:ascii="Courier New" w:cs="Courier New" w:eastAsia="Courier New" w:hAnsi="Courier New"/>
          <w:sz w:val="18"/>
          <w:szCs w:val="18"/>
          <w:color w:val="auto"/>
        </w:rPr>
        <w:t>provisions of the Employee Retirement Income Security Act of</w:t>
      </w:r>
    </w:p>
    <w:p>
      <w:pPr>
        <w:spacing w:after="0"/>
        <w:tabs>
          <w:tab w:leader="none" w:pos="2620" w:val="left"/>
        </w:tabs>
        <w:rPr>
          <w:sz w:val="20"/>
          <w:szCs w:val="20"/>
          <w:color w:val="auto"/>
        </w:rPr>
      </w:pPr>
      <w:r>
        <w:rPr>
          <w:rFonts w:ascii="Courier New" w:cs="Courier New" w:eastAsia="Courier New" w:hAnsi="Courier New"/>
          <w:sz w:val="18"/>
          <w:szCs w:val="18"/>
          <w:color w:val="auto"/>
        </w:rPr>
        <w:t>1974 or Endowment Fund:</w:t>
      </w:r>
      <w:r>
        <w:rPr>
          <w:sz w:val="20"/>
          <w:szCs w:val="20"/>
          <w:color w:val="auto"/>
        </w:rPr>
        <w:tab/>
      </w:r>
      <w:r>
        <w:rPr>
          <w:rFonts w:ascii="Courier New" w:cs="Courier New" w:eastAsia="Courier New" w:hAnsi="Courier New"/>
          <w:sz w:val="16"/>
          <w:szCs w:val="16"/>
          <w:color w:val="auto"/>
        </w:rPr>
        <w:t>see Section 240.13d-1(b)(1)(ii)(F)</w:t>
      </w:r>
    </w:p>
    <w:p>
      <w:pPr>
        <w:ind w:left="1280"/>
        <w:spacing w:after="0"/>
        <w:tabs>
          <w:tab w:leader="none" w:pos="1880" w:val="left"/>
          <w:tab w:leader="none" w:pos="2520" w:val="left"/>
        </w:tabs>
        <w:rPr>
          <w:sz w:val="20"/>
          <w:szCs w:val="20"/>
          <w:color w:val="auto"/>
        </w:rPr>
      </w:pPr>
      <w:r>
        <w:rPr>
          <w:rFonts w:ascii="Courier New" w:cs="Courier New" w:eastAsia="Courier New" w:hAnsi="Courier New"/>
          <w:sz w:val="18"/>
          <w:szCs w:val="18"/>
          <w:color w:val="auto"/>
        </w:rPr>
        <w:t>(g)</w:t>
      </w:r>
      <w:r>
        <w:rPr>
          <w:sz w:val="20"/>
          <w:szCs w:val="20"/>
          <w:color w:val="auto"/>
        </w:rPr>
        <w:tab/>
      </w: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Parent Holding Company, in accordance with Section 240.</w:t>
      </w:r>
    </w:p>
    <w:p>
      <w:pPr>
        <w:sectPr>
          <w:pgSz w:w="11900" w:h="16838" w:orient="portrait"/>
          <w:cols w:equalWidth="0" w:num="1">
            <w:col w:w="10219"/>
          </w:cols>
          <w:pgMar w:left="240" w:top="1122"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13d-</w:t>
      </w:r>
    </w:p>
    <w:p>
      <w:pPr>
        <w:spacing w:after="0"/>
        <w:rPr>
          <w:sz w:val="20"/>
          <w:szCs w:val="20"/>
          <w:color w:val="auto"/>
        </w:rPr>
      </w:pPr>
      <w:r>
        <w:rPr>
          <w:rFonts w:ascii="Courier New" w:cs="Courier New" w:eastAsia="Courier New" w:hAnsi="Courier New"/>
          <w:sz w:val="18"/>
          <w:szCs w:val="18"/>
          <w:color w:val="auto"/>
        </w:rPr>
        <w:t>1(b)(ii)(G) (Note: See Item 7)</w:t>
      </w:r>
    </w:p>
    <w:p>
      <w:pPr>
        <w:spacing w:after="0" w:line="4" w:lineRule="exact"/>
        <w:rPr>
          <w:sz w:val="20"/>
          <w:szCs w:val="20"/>
          <w:color w:val="auto"/>
        </w:rPr>
      </w:pPr>
    </w:p>
    <w:p>
      <w:pPr>
        <w:ind w:left="1900" w:hanging="628"/>
        <w:spacing w:after="0"/>
        <w:tabs>
          <w:tab w:leader="none" w:pos="190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Group, in accordance with Section 240.13d-1(b)(1)(ii)(H)</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5"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G</w:t>
      </w:r>
    </w:p>
    <w:p>
      <w:pPr>
        <w:spacing w:after="0" w:line="201" w:lineRule="exact"/>
        <w:rPr>
          <w:sz w:val="20"/>
          <w:szCs w:val="20"/>
          <w:color w:val="auto"/>
        </w:rPr>
      </w:pPr>
    </w:p>
    <w:p>
      <w:pPr>
        <w:ind w:left="640"/>
        <w:spacing w:after="0"/>
        <w:tabs>
          <w:tab w:leader="none" w:pos="252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If the percent of the class owned, as of December 31 of the year covered by the statement, or as of the last day of any month described in Rule 13d-1(b)(2), if applicable, exceeds 5 percent, provide the following information as of that date and identify those shares which there is a right to acquire.</w:t>
      </w:r>
    </w:p>
    <w:p>
      <w:pPr>
        <w:spacing w:after="0" w:line="203" w:lineRule="exact"/>
        <w:rPr>
          <w:sz w:val="20"/>
          <w:szCs w:val="20"/>
          <w:color w:val="auto"/>
        </w:rPr>
      </w:pPr>
    </w:p>
    <w:p>
      <w:pPr>
        <w:ind w:left="1280" w:hanging="640"/>
        <w:spacing w:after="0"/>
        <w:tabs>
          <w:tab w:leader="none" w:pos="12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918,639</w:t>
      </w:r>
    </w:p>
    <w:tbl>
      <w:tblPr>
        <w:tblLayout w:type="fixed"/>
        <w:tblInd w:w="640" w:type="dxa"/>
        <w:tblCellMar>
          <w:top w:w="0" w:type="dxa"/>
          <w:left w:w="0" w:type="dxa"/>
          <w:bottom w:w="0" w:type="dxa"/>
          <w:right w:w="0" w:type="dxa"/>
        </w:tblCellMar>
      </w:tblP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(b)   Percent of Class:</w:t>
            </w:r>
          </w:p>
        </w:tc>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w:t>
            </w:r>
          </w:p>
        </w:tc>
      </w:tr>
    </w:tbl>
    <w:p>
      <w:pPr>
        <w:ind w:left="1280" w:hanging="640"/>
        <w:spacing w:after="0" w:line="238" w:lineRule="auto"/>
        <w:tabs>
          <w:tab w:leader="none" w:pos="128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1900" w:hanging="628"/>
        <w:spacing w:after="0"/>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38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3,700</w:t>
      </w:r>
    </w:p>
    <w:p>
      <w:pPr>
        <w:spacing w:after="0" w:line="4" w:lineRule="exact"/>
        <w:rPr>
          <w:rFonts w:ascii="Courier New" w:cs="Courier New" w:eastAsia="Courier New" w:hAnsi="Courier New"/>
          <w:sz w:val="18"/>
          <w:szCs w:val="18"/>
          <w:color w:val="auto"/>
        </w:rPr>
      </w:pPr>
    </w:p>
    <w:p>
      <w:pPr>
        <w:jc w:val="center"/>
        <w:ind w:left="4120" w:right="3779" w:hanging="2848"/>
        <w:spacing w:after="0" w:line="235" w:lineRule="auto"/>
        <w:tabs>
          <w:tab w:leader="none" w:pos="190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w:t>
      </w:r>
    </w:p>
    <w:tbl>
      <w:tblPr>
        <w:tblLayout w:type="fixed"/>
        <w:tblInd w:w="0" w:type="dxa"/>
        <w:tblCellMar>
          <w:top w:w="0" w:type="dxa"/>
          <w:left w:w="0" w:type="dxa"/>
          <w:bottom w:w="0" w:type="dxa"/>
          <w:right w:w="0" w:type="dxa"/>
        </w:tblCellMar>
      </w:tblPr>
      <w:tr>
        <w:trPr>
          <w:trHeight w:val="203"/>
        </w:trPr>
        <w:tc>
          <w:tcPr>
            <w:tcW w:w="1220" w:type="dxa"/>
            <w:vAlign w:val="bottom"/>
          </w:tcPr>
          <w:p>
            <w:pPr>
              <w:spacing w:after="0"/>
              <w:rPr>
                <w:sz w:val="20"/>
                <w:szCs w:val="20"/>
                <w:color w:val="auto"/>
              </w:rPr>
            </w:pPr>
            <w:r>
              <w:rPr>
                <w:rFonts w:ascii="Courier New" w:cs="Courier New" w:eastAsia="Courier New" w:hAnsi="Courier New"/>
                <w:sz w:val="18"/>
                <w:szCs w:val="18"/>
                <w:color w:val="auto"/>
              </w:rPr>
              <w:t>disposition</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3740" w:type="dxa"/>
            <w:vAlign w:val="bottom"/>
            <w:gridSpan w:val="2"/>
          </w:tcPr>
          <w:p>
            <w:pPr>
              <w:jc w:val="right"/>
              <w:ind w:right="2432"/>
              <w:spacing w:after="0"/>
              <w:rPr>
                <w:sz w:val="20"/>
                <w:szCs w:val="20"/>
                <w:color w:val="auto"/>
              </w:rPr>
            </w:pPr>
            <w:r>
              <w:rPr>
                <w:rFonts w:ascii="Courier New" w:cs="Courier New" w:eastAsia="Courier New" w:hAnsi="Courier New"/>
                <w:sz w:val="18"/>
                <w:szCs w:val="18"/>
                <w:color w:val="auto"/>
              </w:rPr>
              <w:t>918,639</w:t>
            </w:r>
          </w:p>
        </w:tc>
      </w:tr>
      <w:tr>
        <w:trPr>
          <w:trHeight w:val="203"/>
        </w:trPr>
        <w:tc>
          <w:tcPr>
            <w:tcW w:w="1220" w:type="dxa"/>
            <w:vAlign w:val="bottom"/>
          </w:tcPr>
          <w:p>
            <w:pPr>
              <w:spacing w:after="0"/>
              <w:rPr>
                <w:sz w:val="17"/>
                <w:szCs w:val="17"/>
                <w:color w:val="auto"/>
              </w:rPr>
            </w:pPr>
          </w:p>
        </w:tc>
        <w:tc>
          <w:tcPr>
            <w:tcW w:w="2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(iv)  shared power</w:t>
            </w:r>
          </w:p>
        </w:tc>
        <w:tc>
          <w:tcPr>
            <w:tcW w:w="2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 dispose or direct the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disposition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c>
          <w:tcPr>
            <w:tcW w:w="2580" w:type="dxa"/>
            <w:vAlign w:val="bottom"/>
          </w:tcPr>
          <w:p>
            <w:pPr>
              <w:spacing w:after="0"/>
              <w:rPr>
                <w:sz w:val="17"/>
                <w:szCs w:val="17"/>
                <w:color w:val="auto"/>
              </w:rPr>
            </w:pPr>
          </w:p>
        </w:tc>
      </w:tr>
    </w:tbl>
    <w:p>
      <w:pPr>
        <w:sectPr>
          <w:pgSz w:w="11900" w:h="16838" w:orient="portrait"/>
          <w:cols w:equalWidth="0" w:num="1">
            <w:col w:w="10219"/>
          </w:cols>
          <w:pgMar w:left="240" w:top="1122" w:right="1440" w:bottom="0" w:gutter="0" w:footer="0" w:header="0"/>
          <w:type w:val="continuous"/>
        </w:sectPr>
      </w:pPr>
    </w:p>
    <w:bookmarkStart w:id="3" w:name="page4"/>
    <w:bookmarkEnd w:id="3"/>
    <w:p>
      <w:pPr>
        <w:ind w:right="2099" w:firstLine="1264"/>
        <w:spacing w:after="0" w:line="235" w:lineRule="auto"/>
        <w:rPr>
          <w:sz w:val="20"/>
          <w:szCs w:val="20"/>
          <w:color w:val="auto"/>
        </w:rPr>
      </w:pPr>
      <w:r>
        <w:rPr>
          <w:rFonts w:ascii="Courier New" w:cs="Courier New" w:eastAsia="Courier New" w:hAnsi="Courier New"/>
          <w:sz w:val="18"/>
          <w:szCs w:val="18"/>
          <w:color w:val="auto"/>
        </w:rPr>
        <w:t>Loomis, Sayles &amp; Company, L.P. disclaims any beneficial interest in any of the foregoing securities.</w:t>
      </w:r>
    </w:p>
    <w:p>
      <w:pPr>
        <w:spacing w:after="0" w:line="203" w:lineRule="exact"/>
        <w:rPr>
          <w:sz w:val="20"/>
          <w:szCs w:val="20"/>
          <w:color w:val="auto"/>
        </w:rPr>
      </w:pPr>
    </w:p>
    <w:p>
      <w:pPr>
        <w:ind w:left="640"/>
        <w:spacing w:after="0"/>
        <w:tabs>
          <w:tab w:leader="none" w:pos="252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779" w:firstLine="1896"/>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 ].</w:t>
      </w:r>
    </w:p>
    <w:p>
      <w:pPr>
        <w:spacing w:after="0" w:line="178" w:lineRule="exact"/>
        <w:rPr>
          <w:sz w:val="20"/>
          <w:szCs w:val="20"/>
          <w:color w:val="auto"/>
        </w:rPr>
      </w:pPr>
    </w:p>
    <w:p>
      <w:pPr>
        <w:ind w:right="2619" w:firstLine="632"/>
        <w:spacing w:after="0"/>
        <w:rPr>
          <w:sz w:val="20"/>
          <w:szCs w:val="20"/>
          <w:color w:val="auto"/>
        </w:rPr>
      </w:pPr>
      <w:r>
        <w:rPr>
          <w:rFonts w:ascii="Courier New" w:cs="Courier New" w:eastAsia="Courier New" w:hAnsi="Courier New"/>
          <w:sz w:val="18"/>
          <w:szCs w:val="18"/>
          <w:color w:val="auto"/>
        </w:rPr>
        <w:t>Item 6. Ownership of More than Five Percent on Behalf of Another</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Person.</w:t>
      </w:r>
    </w:p>
    <w:p>
      <w:pPr>
        <w:ind w:left="254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an employee benefit plan, pension fund or endowment fund is not required.</w:t>
      </w:r>
    </w:p>
    <w:p>
      <w:pPr>
        <w:spacing w:after="0" w:line="215" w:lineRule="exact"/>
        <w:rPr>
          <w:sz w:val="20"/>
          <w:szCs w:val="20"/>
          <w:color w:val="auto"/>
        </w:rPr>
      </w:pPr>
    </w:p>
    <w:p>
      <w:pPr>
        <w:jc w:val="both"/>
        <w:ind w:left="1900" w:right="1779"/>
        <w:spacing w:after="0" w:line="235" w:lineRule="auto"/>
        <w:rPr>
          <w:sz w:val="20"/>
          <w:szCs w:val="20"/>
          <w:color w:val="auto"/>
        </w:rPr>
      </w:pPr>
      <w:r>
        <w:rPr>
          <w:rFonts w:ascii="Courier New" w:cs="Courier New" w:eastAsia="Courier New" w:hAnsi="Courier New"/>
          <w:sz w:val="18"/>
          <w:szCs w:val="18"/>
          <w:color w:val="auto"/>
        </w:rPr>
        <w:t>Clients of Reporting Person have such a right, none of whom has such interest relating to more than 5% of any class.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G</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Item 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Identification</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and Classification of the Subsidiary</w:t>
      </w:r>
    </w:p>
    <w:p>
      <w:pPr>
        <w:spacing w:after="0" w:line="21" w:lineRule="exact"/>
        <w:rPr>
          <w:sz w:val="20"/>
          <w:szCs w:val="20"/>
          <w:color w:val="auto"/>
        </w:rPr>
      </w:pPr>
    </w:p>
    <w:p>
      <w:pPr>
        <w:sectPr>
          <w:pgSz w:w="11900" w:h="16838" w:orient="portrait"/>
          <w:cols w:equalWidth="0" w:num="3">
            <w:col w:w="1820" w:space="720"/>
            <w:col w:w="1480" w:space="200"/>
            <w:col w:w="5999"/>
          </w:cols>
          <w:pgMar w:left="24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Which Acquired</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Security Being Reported on By the Parent Holding Company</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1820" w:space="720"/>
            <w:col w:w="7679"/>
          </w:cols>
          <w:pgMar w:left="240" w:top="142" w:right="1440" w:bottom="0" w:gutter="0" w:footer="0" w:header="0"/>
          <w:type w:val="continuous"/>
        </w:sectPr>
      </w:pPr>
    </w:p>
    <w:p>
      <w:pPr>
        <w:spacing w:after="0" w:line="24"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attach an exhibit stating the identification of the relevant subsidiary.</w:t>
      </w:r>
    </w:p>
    <w:p>
      <w:pPr>
        <w:sectPr>
          <w:pgSz w:w="11900" w:h="16838" w:orient="portrait"/>
          <w:cols w:equalWidth="0" w:num="1">
            <w:col w:w="10219"/>
          </w:cols>
          <w:pgMar w:left="240" w:top="142" w:right="1440" w:bottom="0" w:gutter="0" w:footer="0" w:header="0"/>
          <w:type w:val="continuous"/>
        </w:sectPr>
      </w:pPr>
    </w:p>
    <w:p>
      <w:pPr>
        <w:spacing w:after="0" w:line="205"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ind w:left="640"/>
        <w:spacing w:after="0"/>
        <w:tabs>
          <w:tab w:leader="none" w:pos="252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w:t>
      </w:r>
    </w:p>
    <w:p>
      <w:pPr>
        <w:spacing w:after="0" w:line="238" w:lineRule="auto"/>
        <w:rPr>
          <w:sz w:val="20"/>
          <w:szCs w:val="20"/>
          <w:color w:val="auto"/>
        </w:rPr>
      </w:pPr>
      <w:r>
        <w:rPr>
          <w:rFonts w:ascii="Courier New" w:cs="Courier New" w:eastAsia="Courier New" w:hAnsi="Courier New"/>
          <w:sz w:val="18"/>
          <w:szCs w:val="18"/>
          <w:color w:val="auto"/>
        </w:rPr>
        <w:t>Group.</w:t>
      </w:r>
    </w:p>
    <w:p>
      <w:pPr>
        <w:ind w:left="2540"/>
        <w:spacing w:after="0"/>
        <w:rPr>
          <w:sz w:val="20"/>
          <w:szCs w:val="20"/>
          <w:color w:val="auto"/>
        </w:rPr>
      </w:pPr>
      <w:r>
        <w:rPr>
          <w:rFonts w:ascii="Courier New" w:cs="Courier New" w:eastAsia="Courier New" w:hAnsi="Courier New"/>
          <w:sz w:val="18"/>
          <w:szCs w:val="18"/>
          <w:color w:val="auto"/>
        </w:rPr>
        <w:t>-----------------------------------------------------</w:t>
      </w:r>
    </w:p>
    <w:p>
      <w:pPr>
        <w:spacing w:after="0" w:line="206" w:lineRule="exact"/>
        <w:rPr>
          <w:sz w:val="20"/>
          <w:szCs w:val="20"/>
          <w:color w:val="auto"/>
        </w:rPr>
      </w:pPr>
    </w:p>
    <w:p>
      <w:pPr>
        <w:jc w:val="both"/>
        <w:ind w:right="1779" w:firstLine="1896"/>
        <w:spacing w:after="0" w:line="237" w:lineRule="auto"/>
        <w:rPr>
          <w:sz w:val="20"/>
          <w:szCs w:val="20"/>
          <w:color w:val="auto"/>
        </w:rPr>
      </w:pPr>
      <w:r>
        <w:rPr>
          <w:rFonts w:ascii="Courier New" w:cs="Courier New" w:eastAsia="Courier New" w:hAnsi="Courier New"/>
          <w:sz w:val="18"/>
          <w:szCs w:val="18"/>
          <w:color w:val="auto"/>
        </w:rPr>
        <w:t>If a group has filed this schedule pursuant to Rule 13d-1(b)(ii)(H), so indicate under Item 3(b) and attach an exhibit stating the identity and Item 3 classification of each member of the group. If a group has filed this schedule pursuant to Rule 13d-1(c), attach an exhibit stating the identity of each member of the group.</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ind w:left="640"/>
        <w:spacing w:after="0"/>
        <w:tabs>
          <w:tab w:leader="none" w:pos="25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ind w:left="640"/>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jc w:val="both"/>
        <w:ind w:left="190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5"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640"/>
        <w:spacing w:after="0"/>
        <w:tabs>
          <w:tab w:leader="none" w:pos="1360" w:val="left"/>
          <w:tab w:leader="none" w:pos="2620" w:val="left"/>
          <w:tab w:leader="none" w:pos="6940" w:val="left"/>
          <w:tab w:leader="none" w:pos="8320" w:val="left"/>
        </w:tabs>
        <w:rPr>
          <w:sz w:val="20"/>
          <w:szCs w:val="20"/>
          <w:color w:val="auto"/>
        </w:rPr>
      </w:pPr>
      <w:r>
        <w:rPr>
          <w:rFonts w:ascii="Courier New" w:cs="Courier New" w:eastAsia="Courier New" w:hAnsi="Courier New"/>
          <w:sz w:val="18"/>
          <w:szCs w:val="18"/>
          <w:color w:val="auto"/>
        </w:rPr>
        <w:t>After</w:t>
        <w:tab/>
        <w:t>reasonable</w:t>
        <w:tab/>
        <w:t>inquire and to the best of my knowledge</w:t>
        <w:tab/>
        <w:t>and belief,</w:t>
      </w:r>
      <w:r>
        <w:rPr>
          <w:sz w:val="20"/>
          <w:szCs w:val="20"/>
          <w:color w:val="auto"/>
        </w:rPr>
        <w:tab/>
      </w:r>
      <w:r>
        <w:rPr>
          <w:rFonts w:ascii="Courier New" w:cs="Courier New" w:eastAsia="Courier New" w:hAnsi="Courier New"/>
          <w:sz w:val="16"/>
          <w:szCs w:val="16"/>
          <w:color w:val="auto"/>
        </w:rPr>
        <w:t>I</w:t>
      </w:r>
    </w:p>
    <w:p>
      <w:pPr>
        <w:sectPr>
          <w:pgSz w:w="11900" w:h="16838" w:orient="portrait"/>
          <w:cols w:equalWidth="0" w:num="1">
            <w:col w:w="10219"/>
          </w:cols>
          <w:pgMar w:left="240" w:top="142" w:right="1440" w:bottom="0" w:gutter="0" w:footer="0" w:header="0"/>
          <w:type w:val="continuous"/>
        </w:sectPr>
      </w:pPr>
    </w:p>
    <w:bookmarkStart w:id="4" w:name="page5"/>
    <w:bookmarkEnd w:id="4"/>
    <w:p>
      <w:pPr>
        <w:ind w:right="1779"/>
        <w:spacing w:after="0" w:line="235" w:lineRule="auto"/>
        <w:rPr>
          <w:sz w:val="20"/>
          <w:szCs w:val="20"/>
          <w:color w:val="auto"/>
        </w:rPr>
      </w:pPr>
      <w:r>
        <w:rPr>
          <w:rFonts w:ascii="Courier New" w:cs="Courier New" w:eastAsia="Courier New" w:hAnsi="Courier New"/>
          <w:sz w:val="18"/>
          <w:szCs w:val="18"/>
          <w:color w:val="auto"/>
        </w:rPr>
        <w:t>certify that the information set forth in this statement is true, complete and correct.</w:t>
      </w:r>
    </w:p>
    <w:p>
      <w:pPr>
        <w:sectPr>
          <w:pgSz w:w="11900" w:h="16838" w:orient="portrait"/>
          <w:cols w:equalWidth="0" w:num="1">
            <w:col w:w="10219"/>
          </w:cols>
          <w:pgMar w:left="240" w:top="142" w:right="1440" w:bottom="1440" w:gutter="0" w:footer="0" w:header="0"/>
        </w:sectPr>
      </w:pPr>
    </w:p>
    <w:p>
      <w:pPr>
        <w:spacing w:after="0" w:line="208"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5, 2001</w:t>
      </w:r>
    </w:p>
    <w:p>
      <w:pPr>
        <w:spacing w:after="0" w:line="200" w:lineRule="exact"/>
        <w:rPr>
          <w:sz w:val="20"/>
          <w:szCs w:val="20"/>
          <w:color w:val="auto"/>
        </w:rPr>
      </w:pPr>
    </w:p>
    <w:p>
      <w:pPr>
        <w:sectPr>
          <w:pgSz w:w="11900" w:h="16838" w:orient="portrait"/>
          <w:cols w:equalWidth="0" w:num="2">
            <w:col w:w="3800" w:space="640"/>
            <w:col w:w="5779"/>
          </w:cols>
          <w:pgMar w:left="240" w:top="142" w:right="1440" w:bottom="1440" w:gutter="0" w:footer="0" w:header="0"/>
          <w:type w:val="continuous"/>
        </w:sectPr>
      </w:pPr>
    </w:p>
    <w:p>
      <w:pPr>
        <w:spacing w:after="0" w:line="24"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w:t>
      </w:r>
    </w:p>
    <w:p>
      <w:pPr>
        <w:spacing w:after="0" w:line="200" w:lineRule="exact"/>
        <w:rPr>
          <w:sz w:val="20"/>
          <w:szCs w:val="20"/>
          <w:color w:val="auto"/>
        </w:rPr>
      </w:pPr>
    </w:p>
    <w:p>
      <w:pPr>
        <w:sectPr>
          <w:pgSz w:w="11900" w:h="16838" w:orient="portrait"/>
          <w:cols w:equalWidth="0" w:num="2">
            <w:col w:w="3580" w:space="220"/>
            <w:col w:w="6419"/>
          </w:cols>
          <w:pgMar w:left="240" w:top="142" w:right="1440" w:bottom="1440" w:gutter="0" w:footer="0" w:header="0"/>
          <w:type w:val="continuous"/>
        </w:sectPr>
      </w:pPr>
    </w:p>
    <w:p>
      <w:pPr>
        <w:spacing w:after="0" w:line="18"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Name/Title: Peter Giannakoulis</w:t>
      </w:r>
    </w:p>
    <w:p>
      <w:pPr>
        <w:spacing w:after="0" w:line="4"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Securities Trading Manager</w:t>
      </w: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lvl w:ilvl="1">
      <w:lvlJc w:val="left"/>
      <w:lvlText w:val="%2"/>
      <w:numFmt w:val="upperLetter"/>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3"/>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4"/>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lvl w:ilvl="1">
      <w:lvlJc w:val="left"/>
      <w:lvlText w:val="%2."/>
      <w:numFmt w:val="decimal"/>
      <w:start w:val="5"/>
    </w:lvl>
  </w:abstractNum>
  <w:abstractNum w:abstractNumId="10">
    <w:nsid w:val="DED7263"/>
    <w:multiLevelType w:val="hybridMultilevel"/>
    <w:lvl w:ilvl="0">
      <w:lvlJc w:val="left"/>
      <w:lvlText w:val="-"/>
      <w:numFmt w:val="bullet"/>
      <w:start w:val="1"/>
    </w:lvl>
    <w:lvl w:ilvl="1">
      <w:lvlJc w:val="left"/>
      <w:lvlText w:val="%2."/>
      <w:numFmt w:val="decimal"/>
      <w:start w:val="8"/>
    </w:lvl>
  </w:abstractNum>
  <w:abstractNum w:abstractNumId="11">
    <w:nsid w:val="7FDCC233"/>
    <w:multiLevelType w:val="hybridMultilevel"/>
    <w:lvl w:ilvl="0">
      <w:lvlJc w:val="left"/>
      <w:lvlText w:val="%1."/>
      <w:numFmt w:val="decimal"/>
      <w:start w:val="11"/>
    </w:lvl>
  </w:abstractNum>
  <w:abstractNum w:abstractNumId="12">
    <w:nsid w:val="1BEFD79F"/>
    <w:multiLevelType w:val="hybridMultilevel"/>
    <w:lvl w:ilvl="0">
      <w:lvlJc w:val="left"/>
      <w:lvlText w:val="%1."/>
      <w:numFmt w:val="decimal"/>
      <w:start w:val="12"/>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8"/>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2019-12-13T00:59:48Z</dcterms:created>
  <dcterms:modified xsi:type="dcterms:W3CDTF">2019-12-13T00:59:48Z</dcterms:modified>
</cp:coreProperties>
</file>