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#313747206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#313747206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1,346,000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1,346,000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2.120%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#313747206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1,346,000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1,346,000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2.120%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4800 Hampden Lane</w:t>
      </w:r>
    </w:p>
    <w:p>
      <w:pPr>
        <w:ind w:left="1700"/>
        <w:spacing w:after="0" w:line="238" w:lineRule="auto"/>
        <w:rPr>
          <w:sz w:val="20"/>
          <w:szCs w:val="20"/>
          <w:color w:val="auto"/>
        </w:rPr>
      </w:pPr>
      <w:r>
        <w:rPr>
          <w:rFonts w:ascii="Courier New" w:cs="Courier New" w:eastAsia="Courier New" w:hAnsi="Courier New"/>
          <w:sz w:val="18"/>
          <w:szCs w:val="18"/>
          <w:color w:val="auto"/>
        </w:rPr>
        <w:t>Suite 500</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Bethesda, MD</w:t>
        <w:tab/>
        <w:t>20814</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1,346,000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2.120%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1,346,000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of 1940, is the beneficial owner of 1,346,000 shares or 2.120% of the Common Stock outstanding of Federal Realty Investment Trust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1,346,000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Federal Realty Investment Trust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2019-12-09T06:29:48Z</dcterms:created>
  <dcterms:modified xsi:type="dcterms:W3CDTF">2019-12-09T06:29:48Z</dcterms:modified>
</cp:coreProperties>
</file>