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As filed with the Securities and Exchange Commission on May 7, 2021</w:t>
      </w:r>
    </w:p>
    <w:p>
      <w:pPr>
        <w:spacing w:after="0" w:line="27" w:lineRule="exact"/>
        <w:rPr>
          <w:sz w:val="24"/>
          <w:szCs w:val="24"/>
          <w:color w:val="auto"/>
        </w:rPr>
      </w:pPr>
    </w:p>
    <w:p>
      <w:pPr>
        <w:ind w:left="90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REGISTRATION STATEMENT</w:t>
      </w:r>
    </w:p>
    <w:p>
      <w:pPr>
        <w:jc w:val="center"/>
        <w:ind w:right="-17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6"/>
              </w:rPr>
              <w:t>Maryland</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52-0782497</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909 Rose Ave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909 Rose Ave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120" w:right="220" w:firstLine="440"/>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From time to time following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pacing w:after="0" w:line="166" w:lineRule="exact"/>
        <w:rPr>
          <w:sz w:val="24"/>
          <w:szCs w:val="24"/>
          <w:color w:val="auto"/>
        </w:rPr>
      </w:pPr>
    </w:p>
    <w:p>
      <w:pPr>
        <w:ind w:left="120" w:right="660" w:firstLine="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20" w:firstLine="4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22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14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left="120" w:firstLine="4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80"/>
          </w:cols>
          <w:pgMar w:left="320" w:top="230" w:right="499" w:bottom="63" w:gutter="0" w:footer="0" w:header="0"/>
        </w:sectPr>
      </w:pPr>
    </w:p>
    <w:bookmarkStart w:id="1" w:name="page2"/>
    <w:bookmarkEnd w:id="1"/>
    <w:p>
      <w:pPr>
        <w:ind w:left="4" w:right="720" w:firstLine="440"/>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4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3560" w:type="dxa"/>
            <w:vAlign w:val="bottom"/>
          </w:tcPr>
          <w:p>
            <w:pPr>
              <w:ind w:left="13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4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80"/>
              <w:spacing w:after="0"/>
              <w:rPr>
                <w:sz w:val="20"/>
                <w:szCs w:val="20"/>
                <w:color w:val="auto"/>
              </w:rPr>
            </w:pPr>
            <w:r>
              <w:rPr>
                <w:rFonts w:ascii="Arial" w:cs="Arial" w:eastAsia="Arial" w:hAnsi="Arial"/>
                <w:sz w:val="18"/>
                <w:szCs w:val="18"/>
                <w:color w:val="auto"/>
              </w:rPr>
              <w:t>(Do not check if a smaller reporting company)</w:t>
            </w:r>
          </w:p>
        </w:tc>
        <w:tc>
          <w:tcPr>
            <w:tcW w:w="3560" w:type="dxa"/>
            <w:vAlign w:val="bottom"/>
          </w:tcPr>
          <w:p>
            <w:pPr>
              <w:ind w:left="13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560" w:type="dxa"/>
            <w:vAlign w:val="bottom"/>
          </w:tcPr>
          <w:p>
            <w:pPr>
              <w:ind w:left="13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ind w:left="1780"/>
              <w:spacing w:after="0"/>
              <w:rPr>
                <w:sz w:val="20"/>
                <w:szCs w:val="20"/>
                <w:color w:val="auto"/>
              </w:rPr>
            </w:pPr>
            <w:r>
              <w:rPr>
                <w:rFonts w:ascii="Arial" w:cs="Arial" w:eastAsia="Arial" w:hAnsi="Arial"/>
                <w:sz w:val="14"/>
                <w:szCs w:val="14"/>
                <w:b w:val="1"/>
                <w:bCs w:val="1"/>
                <w:color w:val="auto"/>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ind w:left="1520"/>
              <w:spacing w:after="0"/>
              <w:rPr>
                <w:sz w:val="20"/>
                <w:szCs w:val="20"/>
                <w:color w:val="auto"/>
              </w:rPr>
            </w:pPr>
            <w:r>
              <w:rPr>
                <w:rFonts w:ascii="Arial" w:cs="Arial" w:eastAsia="Arial" w:hAnsi="Arial"/>
                <w:sz w:val="14"/>
                <w:szCs w:val="14"/>
                <w:b w:val="1"/>
                <w:bCs w:val="1"/>
                <w:color w:val="auto"/>
              </w:rPr>
              <w:t>Securities to be 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$0.01 par value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Depositary Shares (2)</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Share Purchase Contracts</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Warrants (3)</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Units (4)</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424" w:right="140" w:hanging="424"/>
        <w:spacing w:after="0" w:line="254"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indeterminate aggregate offering price or number of securities of each identified class is being registered as may from time to time be offered at indeterminate prices. Separate consideration may or may not be received for securities that are issuable on exercise, conversion or exchange of other securities. In accordance with Rules 456(b) and 457(r) under the Securities Act, the registrant is deferring payment of the entire registration fee.</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depositary share will be issued under a deposit agreement and will be evidenced by a depositary receipt.</w:t>
      </w:r>
    </w:p>
    <w:p>
      <w:pPr>
        <w:spacing w:after="0" w:line="9" w:lineRule="exact"/>
        <w:rPr>
          <w:rFonts w:ascii="Arial" w:cs="Arial" w:eastAsia="Arial" w:hAnsi="Arial"/>
          <w:sz w:val="18"/>
          <w:szCs w:val="18"/>
          <w:color w:val="auto"/>
        </w:rPr>
      </w:pPr>
    </w:p>
    <w:p>
      <w:pPr>
        <w:ind w:left="424" w:right="52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warrants covered by this registration statement may be warrants for common shares of beneficial interest, preferred shares of beneficial interest or depositary shares representing preferred shares of beneficial interest.</w:t>
      </w:r>
    </w:p>
    <w:p>
      <w:pPr>
        <w:ind w:left="424" w:right="160" w:hanging="424"/>
        <w:spacing w:after="0" w:line="26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will be issued under a unit agreement and will represent an interest in two or more other securities, which may or may not be separable from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178435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5"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171450</wp:posOffset>
            </wp:positionV>
            <wp:extent cx="2537460" cy="814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74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500" w:right="160"/>
        <w:spacing w:after="0" w:line="282" w:lineRule="auto"/>
        <w:rPr>
          <w:sz w:val="20"/>
          <w:szCs w:val="20"/>
          <w:color w:val="auto"/>
        </w:rPr>
      </w:pPr>
      <w:r>
        <w:rPr>
          <w:rFonts w:ascii="Arial" w:cs="Arial" w:eastAsia="Arial" w:hAnsi="Arial"/>
          <w:sz w:val="25"/>
          <w:szCs w:val="25"/>
          <w:b w:val="1"/>
          <w:bCs w:val="1"/>
          <w:color w:val="auto"/>
        </w:rPr>
        <w:t>Debt Securities, Common Shares, Preferred Shares, Depositary Shares, Share Purchase Contracts, Warrants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194310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from time to time offer, in one or more classes or series, separately or together, the following:</w:t>
      </w:r>
    </w:p>
    <w:p>
      <w:pPr>
        <w:spacing w:after="0" w:line="131"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depositary shares (and associated depositary receipts) representing interests in our preferred shares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share purchase contracts to purchase or sell our common shares of beneficial interest or preferred shares of beneficial interest;</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to purchase our common, preferred shares or depositary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units consisting of two or more securities described in this prospectus.</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common shares of beneficial interest and depositary shares representing interests in our Series C preferred shares of beneficial interest are listed on the New York Stock Exchange under the symbols “FRT” and “FRTPRC,” respectively.</w:t>
      </w:r>
    </w:p>
    <w:p>
      <w:pPr>
        <w:spacing w:after="0" w:line="170"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class or series of securities, we prepare a prospectus supplement describing the offering and the terms of that class or series of securities. Such terms may include limitations on direct or beneficial ownership and restrictions on transfer that we believe are appropriate to preserve our status as a real estate investment trust for federal income tax purposes.</w:t>
      </w:r>
    </w:p>
    <w:p>
      <w:pPr>
        <w:spacing w:after="0" w:line="187"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189230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date of this prospectus is May 7, 2021.</w:t>
      </w:r>
    </w:p>
    <w:p>
      <w:pPr>
        <w:sectPr>
          <w:pgSz w:w="11900" w:h="16838" w:orient="portrait"/>
          <w:cols w:equalWidth="0" w:num="1">
            <w:col w:w="11060"/>
          </w:cols>
          <w:pgMar w:left="320" w:top="459"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40" w:type="dxa"/>
            <w:vAlign w:val="bottom"/>
            <w:gridSpan w:val="2"/>
          </w:tcPr>
          <w:p>
            <w:pPr>
              <w:jc w:val="center"/>
              <w:ind w:right="288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580" w:type="dxa"/>
            <w:vAlign w:val="bottom"/>
            <w:gridSpan w:val="7"/>
            <w:vMerge w:val="restart"/>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About this Prospectus</w:t>
              </w:r>
            </w:hyperlink>
          </w:p>
        </w:tc>
        <w:tc>
          <w:tcPr>
            <w:tcW w:w="9080" w:type="dxa"/>
            <w:vAlign w:val="bottom"/>
            <w:gridSpan w:val="10"/>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0000EE"/>
            </w:tcBorders>
            <w:gridSpan w:val="7"/>
            <w:vMerge w:val="continue"/>
          </w:tcPr>
          <w:p>
            <w:pPr>
              <w:spacing w:after="0"/>
              <w:rPr>
                <w:sz w:val="13"/>
                <w:szCs w:val="13"/>
                <w:color w:val="auto"/>
              </w:rPr>
            </w:pPr>
          </w:p>
        </w:tc>
        <w:tc>
          <w:tcPr>
            <w:tcW w:w="9080" w:type="dxa"/>
            <w:vAlign w:val="bottom"/>
            <w:gridSpan w:val="10"/>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2100" w:type="dxa"/>
            <w:vAlign w:val="bottom"/>
            <w:tcBorders>
              <w:top w:val="single" w:sz="8" w:color="0000EE"/>
            </w:tcBorders>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8560" w:type="dxa"/>
            <w:vAlign w:val="bottom"/>
            <w:gridSpan w:val="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520" w:type="dxa"/>
            <w:vAlign w:val="bottom"/>
            <w:tcBorders>
              <w:top w:val="single" w:sz="8" w:color="0000EE"/>
            </w:tcBorders>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914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Description of Debt Securities</w:t>
              </w:r>
            </w:hyperlink>
          </w:p>
        </w:tc>
        <w:tc>
          <w:tcPr>
            <w:tcW w:w="8480" w:type="dxa"/>
            <w:vAlign w:val="bottom"/>
            <w:gridSpan w:val="7"/>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12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Description of Shares of Beneficial Interest</w:t>
              </w:r>
            </w:hyperlink>
          </w:p>
        </w:tc>
        <w:tc>
          <w:tcPr>
            <w:tcW w:w="754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Description of Depositary Shares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9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Description of Share Purchase Contracts</w:t>
              </w:r>
            </w:hyperlink>
          </w:p>
        </w:tc>
        <w:tc>
          <w:tcPr>
            <w:tcW w:w="774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Description of Warrants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720" w:type="dxa"/>
            <w:vAlign w:val="bottom"/>
            <w:tcBorders>
              <w:top w:val="single" w:sz="8" w:color="0000EE"/>
            </w:tcBorders>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Description of Units</w:t>
              </w:r>
            </w:hyperlink>
          </w:p>
        </w:tc>
        <w:tc>
          <w:tcPr>
            <w:tcW w:w="8940" w:type="dxa"/>
            <w:vAlign w:val="bottom"/>
            <w:gridSpan w:val="9"/>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Certain Provisions of Maryland Law and Our Declaration of Trust and Bylaws</w:t>
              </w:r>
            </w:hyperlink>
          </w:p>
        </w:tc>
        <w:tc>
          <w:tcPr>
            <w:tcW w:w="50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32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Material Federal Income Tax Considerations</w:t>
              </w:r>
            </w:hyperlink>
          </w:p>
        </w:tc>
        <w:tc>
          <w:tcPr>
            <w:tcW w:w="744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460" w:type="dxa"/>
            <w:vAlign w:val="bottom"/>
            <w:tcBorders>
              <w:top w:val="single" w:sz="8" w:color="0000EE"/>
            </w:tcBorders>
            <w:gridSpan w:val="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Legal Matters</w:t>
              </w:r>
            </w:hyperlink>
          </w:p>
        </w:tc>
        <w:tc>
          <w:tcPr>
            <w:tcW w:w="9200" w:type="dxa"/>
            <w:vAlign w:val="bottom"/>
            <w:gridSpan w:val="1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1000" w:type="dxa"/>
            <w:vAlign w:val="bottom"/>
            <w:tcBorders>
              <w:top w:val="single" w:sz="8" w:color="0000EE"/>
            </w:tcBorders>
            <w:gridSpan w:val="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9660" w:type="dxa"/>
            <w:vAlign w:val="bottom"/>
            <w:gridSpan w:val="1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780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85"/>
        </w:trPr>
        <w:tc>
          <w:tcPr>
            <w:tcW w:w="2860" w:type="dxa"/>
            <w:vAlign w:val="bottom"/>
            <w:tcBorders>
              <w:top w:val="single" w:sz="8" w:color="0000EE"/>
            </w:tcBorders>
            <w:gridSpan w:val="12"/>
          </w:tcPr>
          <w:p>
            <w:pPr>
              <w:spacing w:after="0"/>
              <w:rPr>
                <w:sz w:val="24"/>
                <w:szCs w:val="24"/>
                <w:color w:val="auto"/>
              </w:rPr>
            </w:pPr>
          </w:p>
        </w:tc>
        <w:tc>
          <w:tcPr>
            <w:tcW w:w="2800" w:type="dxa"/>
            <w:vAlign w:val="bottom"/>
            <w:gridSpan w:val="4"/>
          </w:tcPr>
          <w:p>
            <w:pPr>
              <w:jc w:val="right"/>
              <w:ind w:right="30"/>
              <w:spacing w:after="0"/>
              <w:rPr>
                <w:sz w:val="20"/>
                <w:szCs w:val="20"/>
                <w:color w:val="auto"/>
              </w:rPr>
            </w:pPr>
            <w:r>
              <w:rPr>
                <w:rFonts w:ascii="Arial" w:cs="Arial" w:eastAsia="Arial" w:hAnsi="Arial"/>
                <w:sz w:val="18"/>
                <w:szCs w:val="18"/>
                <w:color w:val="auto"/>
              </w:rPr>
              <w:t>1</w:t>
            </w:r>
          </w:p>
        </w:tc>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9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and the documents incorporated by reference into this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into this prospectus describe forward-looking information. The risk factors, including those in our Annual Report on Form 10-K for the year ended December 31, 2020, filed with the SEC on February 11, 2021,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71" w:lineRule="exact"/>
        <w:rPr>
          <w:sz w:val="20"/>
          <w:szCs w:val="20"/>
          <w:color w:val="auto"/>
        </w:rPr>
      </w:pPr>
    </w:p>
    <w:p>
      <w:pPr>
        <w:ind w:left="1080" w:right="1500" w:hanging="532"/>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9"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9"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1" w:lineRule="exact"/>
        <w:rPr>
          <w:rFonts w:ascii="Arial" w:cs="Arial" w:eastAsia="Arial" w:hAnsi="Arial"/>
          <w:sz w:val="17"/>
          <w:szCs w:val="17"/>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29" w:lineRule="exact"/>
        <w:rPr>
          <w:rFonts w:ascii="Arial" w:cs="Arial" w:eastAsia="Arial" w:hAnsi="Arial"/>
          <w:sz w:val="16"/>
          <w:szCs w:val="16"/>
          <w:color w:val="auto"/>
        </w:rPr>
      </w:pPr>
    </w:p>
    <w:p>
      <w:pPr>
        <w:ind w:left="1080" w:right="160" w:hanging="532"/>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8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are an equity real estate investment trust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As of March 31, 2021, we owned or had a majority interest in community and neighborhood shopping centers and mixed-use properties which are operated as 101 predominantly retail real estate projects comprising approximately 23.3 million square feet. In total, the real estate projects were 91.8% leased and 89.5% occupied at March 31, 2021. We have paid quarterly dividends to our shareholders continuously since our founding in 1962 and have increased our dividends per common share for 53 consecutive years.</w:t>
      </w:r>
    </w:p>
    <w:p>
      <w:pPr>
        <w:spacing w:after="0" w:line="19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909 Rose Ave., Suite 200, North Bethesda, MD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Investing in our securities involves risks. Before making an investment decision, please consider the risks described under the caption “Risk Factors” in our Annual Report on Form 10-K for the fiscal year ended December 31, 2020, on file with the SEC, which is incorporated herein by reference, in addition to any risks and additional information included in this prospectus, in an applicable prospectus supplement and in any subsequent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class or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As described above, the terms of a particular class or series of debt securities we offer through this prospectus will be established by our Board of Trustees, or any committee thereof, when we issue the series. We will describe the terms of the class or series in a prospectus supplement. Unless we say otherwise in a prospectus supplement, each indenture provides or will provide that the terms that may be established include the following:</w:t>
      </w:r>
    </w:p>
    <w:p>
      <w:pPr>
        <w:spacing w:after="0" w:line="54"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class or series of debt securities offered.</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determining such date or dates.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calculating such rate or rates.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Accrual. </w:t>
      </w:r>
      <w:r>
        <w:rPr>
          <w:rFonts w:ascii="Arial" w:cs="Arial" w:eastAsia="Arial" w:hAnsi="Arial"/>
          <w:sz w:val="17"/>
          <w:szCs w:val="17"/>
          <w:color w:val="auto"/>
        </w:rPr>
        <w:t>The date or dates from which interest will accrue or the method by which such date or dates will be determined.</w:t>
      </w:r>
    </w:p>
    <w:p>
      <w:pPr>
        <w:spacing w:after="0" w:line="142" w:lineRule="exact"/>
        <w:rPr>
          <w:rFonts w:ascii="Arial" w:cs="Arial" w:eastAsia="Arial" w:hAnsi="Arial"/>
          <w:sz w:val="17"/>
          <w:szCs w:val="17"/>
          <w:color w:val="auto"/>
        </w:rPr>
      </w:pPr>
    </w:p>
    <w:p>
      <w:pPr>
        <w:ind w:left="1080" w:right="40" w:hanging="532"/>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1080" w:right="4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offered debt securities may be surrendered for registration of transfer or exchange.</w:t>
      </w:r>
    </w:p>
    <w:p>
      <w:pPr>
        <w:spacing w:after="0" w:line="75"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dollars), including currency unit or units, in which, and the other terms and conditions upon which, the offered debt securities may be redeemed, in whole or in part, at our option, if we have that option.</w:t>
      </w:r>
    </w:p>
    <w:p>
      <w:pPr>
        <w:spacing w:after="0" w:line="89"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Mandatory Redemption. </w:t>
      </w:r>
      <w:r>
        <w:rPr>
          <w:rFonts w:ascii="Arial" w:cs="Arial" w:eastAsia="Arial" w:hAnsi="Arial"/>
          <w:sz w:val="18"/>
          <w:szCs w:val="18"/>
          <w:color w:val="auto"/>
        </w:rPr>
        <w:t>The obligation, if any, we have to redeem or repurchase the offered debt securities pursuant to any sinking fund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similar provisions or upon the happening of a specified event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63" w:lineRule="auto"/>
        <w:rPr>
          <w:sz w:val="20"/>
          <w:szCs w:val="20"/>
          <w:color w:val="auto"/>
        </w:rPr>
      </w:pPr>
      <w:r>
        <w:rPr>
          <w:rFonts w:ascii="Arial" w:cs="Arial" w:eastAsia="Arial" w:hAnsi="Arial"/>
          <w:sz w:val="18"/>
          <w:szCs w:val="18"/>
          <w:color w:val="auto"/>
        </w:rPr>
        <w:t>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1080" w:right="180" w:hanging="532"/>
        <w:spacing w:after="0" w:line="279"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Currency. </w:t>
      </w:r>
      <w:r>
        <w:rPr>
          <w:rFonts w:ascii="Arial" w:cs="Arial" w:eastAsia="Arial" w:hAnsi="Arial"/>
          <w:sz w:val="17"/>
          <w:szCs w:val="17"/>
          <w:color w:val="auto"/>
        </w:rPr>
        <w:t>The currency or currency unit in which the offered debt securities may be denominated and/or the currency or currencies,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76" w:lineRule="exact"/>
        <w:rPr>
          <w:rFonts w:ascii="Arial" w:cs="Arial" w:eastAsia="Arial" w:hAnsi="Arial"/>
          <w:sz w:val="17"/>
          <w:szCs w:val="17"/>
          <w:color w:val="auto"/>
        </w:rPr>
      </w:pPr>
    </w:p>
    <w:p>
      <w:pPr>
        <w:ind w:left="1080" w:right="340" w:hanging="532"/>
        <w:spacing w:after="0" w:line="308"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Indexed Principal. </w:t>
      </w:r>
      <w:r>
        <w:rPr>
          <w:rFonts w:ascii="Arial" w:cs="Arial" w:eastAsia="Arial" w:hAnsi="Arial"/>
          <w:sz w:val="17"/>
          <w:szCs w:val="17"/>
          <w:color w:val="auto"/>
        </w:rPr>
        <w:t>If the amount of principal of, or premium, if any, or interest on, the offered debt securities may be determined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reference to an index or pursuant to a formula or other method, the manner in which such amounts will be determined.</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53" w:lineRule="exact"/>
        <w:rPr>
          <w:rFonts w:ascii="Arial" w:cs="Arial" w:eastAsia="Arial" w:hAnsi="Arial"/>
          <w:sz w:val="16"/>
          <w:szCs w:val="16"/>
          <w:color w:val="auto"/>
        </w:rPr>
      </w:pPr>
    </w:p>
    <w:p>
      <w:pPr>
        <w:ind w:left="1080" w:right="12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persons for taxes, assessments or similar charges.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30" w:lineRule="exact"/>
        <w:rPr>
          <w:rFonts w:ascii="Arial" w:cs="Arial" w:eastAsia="Arial" w:hAnsi="Arial"/>
          <w:sz w:val="18"/>
          <w:szCs w:val="18"/>
          <w:color w:val="auto"/>
        </w:rPr>
      </w:pPr>
    </w:p>
    <w:p>
      <w:pPr>
        <w:ind w:left="1080" w:right="460" w:hanging="532"/>
        <w:spacing w:after="0" w:line="308"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Dates of Certificates. </w:t>
      </w:r>
      <w:r>
        <w:rPr>
          <w:rFonts w:ascii="Arial" w:cs="Arial" w:eastAsia="Arial" w:hAnsi="Arial"/>
          <w:sz w:val="17"/>
          <w:szCs w:val="17"/>
          <w:color w:val="auto"/>
        </w:rPr>
        <w:t>The date as of which any offered debt securities in bearer form and any temporary global security representing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securities are dated, if other than the original issuance date of the offered debt securities.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class or series.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 Securities. </w:t>
      </w:r>
      <w:r>
        <w:rPr>
          <w:rFonts w:ascii="Arial" w:cs="Arial" w:eastAsia="Arial" w:hAnsi="Arial"/>
          <w:sz w:val="17"/>
          <w:szCs w:val="17"/>
          <w:color w:val="auto"/>
        </w:rPr>
        <w:t>Whether the offered debt securities are to be issued in whole or in part in the form of one or more temporary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76"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9"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Payees. </w:t>
      </w:r>
      <w:r>
        <w:rPr>
          <w:rFonts w:ascii="Arial" w:cs="Arial" w:eastAsia="Arial" w:hAnsi="Arial"/>
          <w:sz w:val="18"/>
          <w:szCs w:val="18"/>
          <w:color w:val="auto"/>
        </w:rPr>
        <w:t>If other than as provided in the applicable indenture, the person to whom any interest on any registered security of the class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will be payable and the manner in which, or the person to whom, any interest on any bearer securities of the class or series will be payable.</w:t>
      </w:r>
    </w:p>
    <w:p>
      <w:pPr>
        <w:spacing w:after="0" w:line="89"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Any definitions for the offered debt securities of that class or series that are different from or in addition to the 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the applicable indenture, including, without limitation, the definition of “unrestricted subsidiary” to be used for such class or series.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Subordination. </w:t>
      </w:r>
      <w:r>
        <w:rPr>
          <w:rFonts w:ascii="Arial" w:cs="Arial" w:eastAsia="Arial" w:hAnsi="Arial"/>
          <w:sz w:val="18"/>
          <w:szCs w:val="18"/>
          <w:color w:val="auto"/>
        </w:rPr>
        <w:t>In the case of any subordinated indenture that we may enter into, the relative degree to which the offered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senior to or junior to other debt securities, whether currently outstanding or to be offered in the future, and to other debt, in right of payment.</w:t>
      </w:r>
    </w:p>
    <w:p>
      <w:pPr>
        <w:spacing w:after="0" w:line="89" w:lineRule="exact"/>
        <w:rPr>
          <w:rFonts w:ascii="Arial" w:cs="Arial" w:eastAsia="Arial" w:hAnsi="Arial"/>
          <w:sz w:val="18"/>
          <w:szCs w:val="18"/>
          <w:color w:val="auto"/>
        </w:rPr>
      </w:pPr>
    </w:p>
    <w:p>
      <w:pPr>
        <w:ind w:left="1080" w:right="520" w:hanging="532"/>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guarantees (including whether and the extent to which the guarantees are subordinated to other debt of the guarantors).</w:t>
      </w:r>
    </w:p>
    <w:p>
      <w:pPr>
        <w:spacing w:after="0" w:line="29" w:lineRule="exact"/>
        <w:rPr>
          <w:rFonts w:ascii="Arial" w:cs="Arial" w:eastAsia="Arial" w:hAnsi="Arial"/>
          <w:sz w:val="16"/>
          <w:szCs w:val="16"/>
          <w:color w:val="auto"/>
        </w:rPr>
      </w:pPr>
    </w:p>
    <w:p>
      <w:pPr>
        <w:ind w:left="1080" w:right="20" w:hanging="532"/>
        <w:spacing w:after="0" w:line="31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Terms. </w:t>
      </w:r>
      <w:r>
        <w:rPr>
          <w:rFonts w:ascii="Arial" w:cs="Arial" w:eastAsia="Arial" w:hAnsi="Arial"/>
          <w:sz w:val="18"/>
          <w:szCs w:val="18"/>
          <w:color w:val="auto"/>
        </w:rPr>
        <w:t>Any other terms not inconsistent with the terms of the applicable indenture pertaining to the offered debt securities or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required or advisable under U.S. laws or regulations or advisable, as we determine, in connection with marketing of securities of the class or series.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1080" w:right="60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ind w:left="1080" w:right="46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other currency may be a currency unit composed of various currencies. Payments on debt securities may also be based on an index.</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w:t>
      </w:r>
    </w:p>
    <w:p>
      <w:pPr>
        <w:spacing w:after="0" w:line="34" w:lineRule="exact"/>
        <w:rPr>
          <w:sz w:val="20"/>
          <w:szCs w:val="20"/>
          <w:color w:val="auto"/>
        </w:rPr>
      </w:pPr>
    </w:p>
    <w:p>
      <w:pPr>
        <w:jc w:val="both"/>
        <w:ind w:left="120" w:right="140"/>
        <w:spacing w:after="0" w:line="325" w:lineRule="auto"/>
        <w:rPr>
          <w:sz w:val="20"/>
          <w:szCs w:val="20"/>
          <w:color w:val="auto"/>
        </w:rPr>
      </w:pPr>
      <w:r>
        <w:rPr>
          <w:rFonts w:ascii="Arial" w:cs="Arial" w:eastAsia="Arial" w:hAnsi="Arial"/>
          <w:sz w:val="16"/>
          <w:szCs w:val="16"/>
          <w:color w:val="auto"/>
        </w:rPr>
        <w:t>amounts on the debt securities is U.S. Bank National Association, 214 North Tryon Street, 27</w:t>
      </w:r>
      <w:r>
        <w:rPr>
          <w:rFonts w:ascii="Arial" w:cs="Arial" w:eastAsia="Arial" w:hAnsi="Arial"/>
          <w:sz w:val="13"/>
          <w:szCs w:val="13"/>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4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class or series of debt securities;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may issue debt securities of a class or series in the form of one or more fully registered global securities. Each registered global security will:</w:t>
      </w:r>
    </w:p>
    <w:p>
      <w:pPr>
        <w:spacing w:after="0" w:line="154"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class or series of debt securities will be described in a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class or series of debt securities will be set forth in a prospectus supplement.</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Payment of Taxes and Other Claims. </w:t>
      </w:r>
      <w:r>
        <w:rPr>
          <w:rFonts w:ascii="Arial" w:cs="Arial" w:eastAsia="Arial" w:hAnsi="Arial"/>
          <w:sz w:val="17"/>
          <w:szCs w:val="17"/>
          <w:color w:val="auto"/>
        </w:rPr>
        <w:t>We will pay or discharge or cause to be paid or discharged, before they shall become delinquent:</w:t>
      </w:r>
    </w:p>
    <w:p>
      <w:pPr>
        <w:spacing w:after="0" w:line="142"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Provision of Financial Information. </w:t>
      </w:r>
      <w:r>
        <w:rPr>
          <w:rFonts w:ascii="Arial" w:cs="Arial" w:eastAsia="Arial" w:hAnsi="Arial"/>
          <w:sz w:val="18"/>
          <w:szCs w:val="18"/>
          <w:color w:val="auto"/>
        </w:rPr>
        <w:t>Whether or not we are subject to Section 13 or 15(d) of the Exchange Act, we will, within 15 days of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respective dates by which we would have been required to file annual reports, quarterly reports and other documents with the SEC if we were so subject:</w:t>
      </w:r>
    </w:p>
    <w:p>
      <w:pPr>
        <w:spacing w:after="0" w:line="89" w:lineRule="exact"/>
        <w:rPr>
          <w:sz w:val="20"/>
          <w:szCs w:val="20"/>
          <w:color w:val="auto"/>
        </w:rPr>
      </w:pPr>
    </w:p>
    <w:p>
      <w:pPr>
        <w:ind w:left="1080" w:right="40" w:hanging="532"/>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540" w:right="60" w:hanging="439"/>
        <w:spacing w:after="0" w:line="263"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9"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1080" w:right="140" w:hanging="532"/>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29"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540" w:right="320" w:hanging="439"/>
        <w:spacing w:after="0" w:line="259"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92"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Unless we say otherwise in a prospectus supplement, there will be no restrictions in any subordinated indenture upon the creation of additional senior debt.</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we may not:</w:t>
      </w:r>
    </w:p>
    <w:p>
      <w:pPr>
        <w:spacing w:after="0" w:line="76"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54"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9" w:lineRule="exact"/>
        <w:rPr>
          <w:sz w:val="20"/>
          <w:szCs w:val="20"/>
          <w:color w:val="auto"/>
        </w:rPr>
      </w:pPr>
    </w:p>
    <w:p>
      <w:pPr>
        <w:ind w:left="1080" w:right="6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that is 179 days after receipt of notice (unless we have previously been required to pay all amounts owing on the applicable senior debt);</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the default and all other similar defaults as to which notice has been given shall have been cured, waived or shall have ceased to exist;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the applicable senior debt (and all other senior debt as to which notice has been given) shall have been discharged or paid in full; and</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left="120" w:right="300" w:firstLine="436"/>
        <w:spacing w:after="0" w:line="277" w:lineRule="auto"/>
        <w:tabs>
          <w:tab w:leader="none" w:pos="7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class or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left="120" w:right="160" w:firstLine="436"/>
        <w:spacing w:after="0" w:line="277" w:lineRule="auto"/>
        <w:tabs>
          <w:tab w:leader="none" w:pos="7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class or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720" w:hanging="164"/>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class or series.</w:t>
      </w:r>
    </w:p>
    <w:p>
      <w:pPr>
        <w:spacing w:after="0" w:line="225" w:lineRule="exact"/>
        <w:rPr>
          <w:rFonts w:ascii="Arial" w:cs="Arial" w:eastAsia="Arial" w:hAnsi="Arial"/>
          <w:sz w:val="18"/>
          <w:szCs w:val="18"/>
          <w:color w:val="auto"/>
        </w:rPr>
      </w:pPr>
    </w:p>
    <w:p>
      <w:pPr>
        <w:ind w:left="120" w:firstLine="436"/>
        <w:spacing w:after="0" w:line="263" w:lineRule="auto"/>
        <w:tabs>
          <w:tab w:leader="none" w:pos="7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4" w:lineRule="exact"/>
        <w:rPr>
          <w:sz w:val="20"/>
          <w:szCs w:val="20"/>
          <w:color w:val="auto"/>
        </w:rPr>
      </w:pPr>
    </w:p>
    <w:p>
      <w:pPr>
        <w:ind w:left="800" w:hanging="244"/>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class or series.</w:t>
      </w:r>
    </w:p>
    <w:p>
      <w:pPr>
        <w:spacing w:after="0" w:line="248" w:lineRule="exact"/>
        <w:rPr>
          <w:sz w:val="20"/>
          <w:szCs w:val="20"/>
          <w:color w:val="auto"/>
        </w:rPr>
      </w:pPr>
    </w:p>
    <w:p>
      <w:pPr>
        <w:ind w:left="120" w:right="160" w:firstLine="436"/>
        <w:spacing w:after="0" w:line="290" w:lineRule="auto"/>
        <w:tabs>
          <w:tab w:leader="none" w:pos="73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65" w:lineRule="exact"/>
        <w:rPr>
          <w:rFonts w:ascii="Arial" w:cs="Arial" w:eastAsia="Arial" w:hAnsi="Arial"/>
          <w:sz w:val="16"/>
          <w:szCs w:val="16"/>
          <w:color w:val="auto"/>
        </w:rPr>
      </w:pPr>
    </w:p>
    <w:p>
      <w:pPr>
        <w:ind w:left="740" w:hanging="184"/>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800" w:hanging="244"/>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appoints a receiver in respect of us or any of our significant subsidiaries or for all or substantially all of the property of any of us; or</w:t>
      </w:r>
    </w:p>
    <w:p>
      <w:pPr>
        <w:spacing w:after="0" w:line="16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 orders our liquidation or the liquidation of any of our significant subsidiaries, and the order or decree remains unstayed and in effect for 90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days.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800" w:hanging="24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left="120" w:right="260" w:firstLine="436"/>
        <w:spacing w:after="0" w:line="277"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 property;</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820" w:hanging="2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 Any other event of default provided with respect to the debt securities of that class or series.</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class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may waive any past default except for:</w:t>
      </w:r>
    </w:p>
    <w:p>
      <w:pPr>
        <w:spacing w:after="0" w:line="76"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Acceleration of Payment. </w:t>
      </w:r>
      <w:r>
        <w:rPr>
          <w:rFonts w:ascii="Arial" w:cs="Arial" w:eastAsia="Arial" w:hAnsi="Arial"/>
          <w:sz w:val="18"/>
          <w:szCs w:val="18"/>
          <w:color w:val="auto"/>
        </w:rPr>
        <w:t>Unless we say otherwise in a prospectus supplement, each indenture provides or will provide that if an event of default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occurs and continues, the trustee or the holders of not less than 25% in aggregate principal amount of the debt securities of the applicable class or series outstanding may declare all unpaid principal of, premium, if any, and accrued interest on, all the debt securities of the applicable class or series to be due and payable immediately by a notice given in writing to us (and to the trustee if given by the holders of the debt securities of the applicable class or series). The trustee may, then, at its discretion, proceed to protect and enforce the rights of the holders of the applicable debt securities by appropriate judicial proceeding.</w:t>
      </w:r>
    </w:p>
    <w:p>
      <w:pPr>
        <w:spacing w:after="0" w:line="192"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540" w:right="240" w:hanging="439"/>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class or series and any related coupons,</w:t>
      </w:r>
    </w:p>
    <w:p>
      <w:pPr>
        <w:spacing w:after="0" w:line="75" w:lineRule="exact"/>
        <w:rPr>
          <w:rFonts w:ascii="Arial" w:cs="Arial" w:eastAsia="Arial" w:hAnsi="Arial"/>
          <w:sz w:val="18"/>
          <w:szCs w:val="18"/>
          <w:color w:val="auto"/>
        </w:rPr>
      </w:pPr>
    </w:p>
    <w:p>
      <w:pPr>
        <w:ind w:left="1540" w:right="260" w:hanging="439"/>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class or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540" w:right="640" w:hanging="439"/>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Notices of Default. </w:t>
      </w:r>
      <w:r>
        <w:rPr>
          <w:rFonts w:ascii="Arial" w:cs="Arial" w:eastAsia="Arial" w:hAnsi="Arial"/>
          <w:sz w:val="18"/>
          <w:szCs w:val="18"/>
          <w:color w:val="auto"/>
        </w:rPr>
        <w:t>Unless we say otherwise in a prospectus supplement, we are required to deliver to the trustee, on or before a date not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120 days after the end of each fiscal year, a certificate of compliance with the indenture, and, in the event of any noncompliance, specifying such noncompliance, including whether or not 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class or series of debt securities of any default with respect to such class or series (except a default in the payment of the principal of, and premium, if any, or interest on or any additional amounts with respect to any debt security of such class or series or in the payment of any sinking fund installment in respect of any debt security of such class or series) if the trustee considers such withholding to be in the interest of the holders.</w:t>
      </w:r>
    </w:p>
    <w:p>
      <w:pPr>
        <w:spacing w:after="0" w:line="16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of any class or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class or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class or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8" w:lineRule="exact"/>
        <w:rPr>
          <w:sz w:val="20"/>
          <w:szCs w:val="20"/>
          <w:color w:val="auto"/>
        </w:rPr>
      </w:pPr>
    </w:p>
    <w:p>
      <w:pPr>
        <w:jc w:val="both"/>
        <w:ind w:left="120" w:right="3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powers 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4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class or series of debt securities that is defeased will be deemed to have been discharged, except for:</w:t>
      </w:r>
    </w:p>
    <w:p>
      <w:pPr>
        <w:spacing w:after="0" w:line="89" w:lineRule="exact"/>
        <w:rPr>
          <w:sz w:val="20"/>
          <w:szCs w:val="20"/>
          <w:color w:val="auto"/>
        </w:rPr>
      </w:pPr>
    </w:p>
    <w:p>
      <w:pPr>
        <w:ind w:left="1080" w:right="44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class or series:</w:t>
      </w:r>
    </w:p>
    <w:p>
      <w:pPr>
        <w:spacing w:after="0" w:line="76" w:lineRule="exact"/>
        <w:rPr>
          <w:sz w:val="20"/>
          <w:szCs w:val="20"/>
          <w:color w:val="auto"/>
        </w:rPr>
      </w:pPr>
    </w:p>
    <w:p>
      <w:pPr>
        <w:ind w:left="108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must irrevocably deposit with the trustee, in trust, for the benefit of the holders of the debt securities of the applicable class or series, an amount in (i)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187"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class or series on the stated maturity of such principal or installment of principal or interest and any mandatory sinking fund payments;</w:t>
      </w:r>
    </w:p>
    <w:p>
      <w:pPr>
        <w:spacing w:after="0" w:line="71"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effect of either being that the holders of the outstanding debt securities of the applicable class or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9" w:lineRule="exact"/>
        <w:rPr>
          <w:sz w:val="20"/>
          <w:szCs w:val="20"/>
          <w:color w:val="auto"/>
        </w:rPr>
      </w:pPr>
    </w:p>
    <w:p>
      <w:pPr>
        <w:ind w:left="108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class or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jc w:val="both"/>
        <w:ind w:left="1080" w:right="140" w:hanging="532"/>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9"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1080" w:right="40" w:hanging="532"/>
        <w:spacing w:after="0" w:line="311"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 securities of all class or series affected by the modification or amendment; provided, however, that no modification or amendment may, without the consent of the holder of each outstanding debt security of all classes or series affected by the modification or amendment:</w:t>
      </w:r>
    </w:p>
    <w:p>
      <w:pPr>
        <w:spacing w:after="0" w:line="92" w:lineRule="exact"/>
        <w:rPr>
          <w:sz w:val="20"/>
          <w:szCs w:val="20"/>
          <w:color w:val="auto"/>
        </w:rPr>
      </w:pPr>
    </w:p>
    <w:p>
      <w:pPr>
        <w:ind w:left="5540" w:right="3020" w:hanging="4992"/>
        <w:spacing w:after="0" w:line="449" w:lineRule="auto"/>
        <w:tabs>
          <w:tab w:leader="none" w:pos="10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 14</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class or series of outstanding debt security;</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75"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class or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9"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1080" w:right="2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class or series;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adds to our covenants for the benefit of the holders of all or any class or series of debt securities or surrenders any of our rights or powers;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class or series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secures the debt securities of any class or series;</w:t>
      </w:r>
    </w:p>
    <w:p>
      <w:pPr>
        <w:spacing w:after="0" w:line="130"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class or series of outstanding debt securities in any material respect;</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class or series not yet issued;</w:t>
      </w:r>
    </w:p>
    <w:p>
      <w:pPr>
        <w:spacing w:after="0" w:line="130" w:lineRule="exact"/>
        <w:rPr>
          <w:rFonts w:ascii="Arial" w:cs="Arial" w:eastAsia="Arial" w:hAnsi="Arial"/>
          <w:sz w:val="18"/>
          <w:szCs w:val="18"/>
          <w:color w:val="auto"/>
        </w:rPr>
      </w:pPr>
    </w:p>
    <w:p>
      <w:pPr>
        <w:ind w:left="1080" w:right="520" w:hanging="532"/>
        <w:spacing w:after="0" w:line="308"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evidences and provides for successor trustees or adds or changes any provisions of the indenture to the extent necessary to permit or facilitate the appointment of a separate trustee or trustees for specific classes or series of debt securities;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class or series then outstanding in any material respect; or</w:t>
      </w:r>
    </w:p>
    <w:p>
      <w:pPr>
        <w:spacing w:after="0" w:line="92"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class or series of debt securities; provided, however, that any such action may not adversely affect the interest of holders of debt securities of any class or series then outstanding in any material respect.</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class or series outstanding may waive compliance with certain restrictive covenants and provisions of either indenture with respect to that class or series.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82"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and Series C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the articles supplementary with respect to our Series 1 preferred shares, and the articles supplementary with respect to our Series C preferred shares.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declaration of trust allows us to issue up to 100,000,000 common shares of beneficial interest, par value $0.01 per share, and 15,000,000 preferred shares of beneficial interest, par value $0.01 per share. As of May 5, 2021, we had issued and outstanding 77,759,995 common shares, 399,896 preferred shares, which are designated as 5.417% Series 1 Cumulative Convertible Preferred Shares, which we refer to as the Series 1 preferred shares, and 6,000 preferred shares, which are designated as 5.000% Series C Cumulative Redeemable Preferred Shares, which we refer to as the Series C preferred shares.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take the following actions without approval by you or any shareholder:</w:t>
      </w:r>
    </w:p>
    <w:p>
      <w:pPr>
        <w:spacing w:after="0" w:line="76" w:lineRule="exact"/>
        <w:rPr>
          <w:sz w:val="20"/>
          <w:szCs w:val="20"/>
          <w:color w:val="auto"/>
        </w:rPr>
      </w:pPr>
    </w:p>
    <w:p>
      <w:pPr>
        <w:ind w:left="1080" w:right="6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amend the declaration of trust to change the authorized number of shares of any class or series of shares of beneficial interest.</w:t>
      </w:r>
    </w:p>
    <w:p>
      <w:pPr>
        <w:spacing w:after="0" w:line="23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8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5540" w:right="1800" w:hanging="4992"/>
        <w:spacing w:after="0" w:line="449" w:lineRule="auto"/>
        <w:tabs>
          <w:tab w:leader="none" w:pos="10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 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71" w:lineRule="exact"/>
        <w:rPr>
          <w:sz w:val="20"/>
          <w:szCs w:val="20"/>
          <w:color w:val="auto"/>
        </w:rPr>
      </w:pPr>
    </w:p>
    <w:p>
      <w:pPr>
        <w:ind w:left="1080" w:right="80" w:hanging="532"/>
        <w:spacing w:after="0" w:line="279"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76" w:lineRule="exact"/>
        <w:rPr>
          <w:rFonts w:ascii="Arial" w:cs="Arial" w:eastAsia="Arial" w:hAnsi="Arial"/>
          <w:sz w:val="17"/>
          <w:szCs w:val="17"/>
          <w:color w:val="auto"/>
        </w:rPr>
      </w:pPr>
    </w:p>
    <w:p>
      <w:pPr>
        <w:ind w:left="1080" w:right="40" w:hanging="532"/>
        <w:spacing w:after="0" w:line="279"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76" w:lineRule="exact"/>
        <w:rPr>
          <w:rFonts w:ascii="Arial" w:cs="Arial" w:eastAsia="Arial" w:hAnsi="Arial"/>
          <w:sz w:val="17"/>
          <w:szCs w:val="17"/>
          <w:color w:val="auto"/>
        </w:rPr>
      </w:pPr>
    </w:p>
    <w:p>
      <w:pPr>
        <w:ind w:left="1080" w:right="100" w:hanging="532"/>
        <w:spacing w:after="0" w:line="31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54" w:lineRule="exact"/>
        <w:rPr>
          <w:rFonts w:ascii="Arial" w:cs="Arial" w:eastAsia="Arial" w:hAnsi="Arial"/>
          <w:sz w:val="16"/>
          <w:szCs w:val="16"/>
          <w:color w:val="auto"/>
        </w:rPr>
      </w:pPr>
    </w:p>
    <w:p>
      <w:pPr>
        <w:ind w:left="1080" w:right="36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Rank. </w:t>
      </w:r>
      <w:r>
        <w:rPr>
          <w:rFonts w:ascii="Arial" w:cs="Arial" w:eastAsia="Arial" w:hAnsi="Arial"/>
          <w:sz w:val="16"/>
          <w:szCs w:val="16"/>
          <w:color w:val="auto"/>
        </w:rPr>
        <w:t>The Series 1 preferred shares rank pari pasu with the Series C preferred shares and senior to the common shares with respect to the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68"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1 preferred share is entitled to receive, when, as and if authorized by our Board of Trustees out of funds legally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that purpose, cumulative preferential dividends payable in cash at a rate of 5.417% of the liquidation price of $25, which is equivalent to $1.35425 per annum.</w:t>
      </w:r>
    </w:p>
    <w:p>
      <w:pPr>
        <w:spacing w:after="0" w:line="184"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$25 per share, plus all accrued and unpaid dividends, before any distribution shall be made with respect to the common shares.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Conversion Rights. </w:t>
      </w:r>
      <w:r>
        <w:rPr>
          <w:rFonts w:ascii="Arial" w:cs="Arial" w:eastAsia="Arial" w:hAnsi="Arial"/>
          <w:sz w:val="17"/>
          <w:szCs w:val="17"/>
          <w:color w:val="auto"/>
        </w:rPr>
        <w:t>Subject to other applicable provisions within the articles supplementary for the Series 1 preferred shares, from the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 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7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New 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C Preferred Shares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September 2017, we issued 6,000 Series C preferred shares and we filed articles supplementary to our declaration of trust setting forth the terms of the Series C preferred shares. Below is a brief description of the terms of the Series C preferred shares, which is subject to and qualified in its entirety by reference to the articles supplementary.</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The Series C preferred shares rank pari pasu with the Series 1 preferred shares and senior to the common shares with respect to the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dividends and the distribution of assets upon our liquidation,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dissolution or winding up. Our declaration of trust provides that, unless full cumulative dividends on all outstanding Series C preferred shares and any other class or series of our shares of beneficial interest ranking, as to the payment of dividends and the distribution of assets upon liquidation, dissolution or winding up, on parity with the Series C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C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8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C preferred share is entitled to receive, when, as and if authorized by our Board of Trustees out of funds legally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that purpose, cumulative preferential dividends payable in cash at a rate of 5.000% of the liquidation price of $25,000, which is equivalent to $1,250 per annum.</w:t>
      </w:r>
    </w:p>
    <w:p>
      <w:pPr>
        <w:spacing w:after="0" w:line="184"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C preferred shares shall be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$25,000 per share, plus all accrued and unpaid dividends, before any distribution shall be made with respect to the common shares.</w:t>
      </w:r>
    </w:p>
    <w:p>
      <w:pPr>
        <w:spacing w:after="0" w:line="124"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The Series C preferred shares generally have no voting rights. However, if and whenever dividends payable on the Series 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shares are in arrears for six or more dividend periods, whether or not declared or consecutive, holders of the depositary shares representing Series C preferred shares (voting together as a class with holders of any other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Series C preferred shares have no conversion rights.</w:t>
      </w:r>
    </w:p>
    <w:p>
      <w:pPr>
        <w:spacing w:after="0" w:line="22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Redemption by the Trust. </w:t>
      </w:r>
      <w:r>
        <w:rPr>
          <w:rFonts w:ascii="Arial" w:cs="Arial" w:eastAsia="Arial" w:hAnsi="Arial"/>
          <w:sz w:val="18"/>
          <w:szCs w:val="18"/>
          <w:color w:val="auto"/>
        </w:rPr>
        <w:t>The Series C preferred shares may be redeemed for cash, in whole or from time to time in part, on any date on or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29, 2022 at the option of the Trust at a price per share equal to $25,000.00 plus accrued and unpaid dividends thereon, if any, to, but excluding, the redemption date.</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Depositary Shares. </w:t>
      </w:r>
      <w:r>
        <w:rPr>
          <w:rFonts w:ascii="Arial" w:cs="Arial" w:eastAsia="Arial" w:hAnsi="Arial"/>
          <w:sz w:val="16"/>
          <w:szCs w:val="16"/>
          <w:color w:val="auto"/>
        </w:rPr>
        <w:t>Interests in the Series C preferred shares are represented by depositary shares, which we refer to as the “Series C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Stock Exchange Listing. </w:t>
      </w:r>
      <w:r>
        <w:rPr>
          <w:rFonts w:ascii="Arial" w:cs="Arial" w:eastAsia="Arial" w:hAnsi="Arial"/>
          <w:sz w:val="16"/>
          <w:szCs w:val="16"/>
          <w:color w:val="auto"/>
        </w:rPr>
        <w:t>The Series C depositary shares are traded on the New York Stock Exchange under the trading symbol “FRTPRC.”</w:t>
      </w:r>
    </w:p>
    <w:p>
      <w:pPr>
        <w:spacing w:after="0" w:line="24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C preferred shares is American Stock Transfer &amp; Trust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New 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Terms. </w:t>
      </w:r>
      <w:r>
        <w:rPr>
          <w:rFonts w:ascii="Arial" w:cs="Arial" w:eastAsia="Arial" w:hAnsi="Arial"/>
          <w:sz w:val="18"/>
          <w:szCs w:val="18"/>
          <w:color w:val="auto"/>
        </w:rPr>
        <w:t>You should refer to the prospectus supplement relating to the offering of any preferred shares for specific terms, including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w:t>
      </w:r>
    </w:p>
    <w:p>
      <w:pPr>
        <w:spacing w:after="0" w:line="76"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70"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and rights upon our liquidation, dissolution or winding up, rank:</w:t>
      </w:r>
    </w:p>
    <w:p>
      <w:pPr>
        <w:spacing w:after="0" w:line="76"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Subject to any preferential rights of any outstanding shares or series of shares and to the provisions of our declaration of trust regarding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mandatory redemption or redemption at our option, in whole or in part, in each case upon the terms, at the times and at the redemption prices set forth in that supplement.</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7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prospectus supplement relating to the offering of those preferred shares. These terms typically will include:</w:t>
      </w:r>
    </w:p>
    <w:p>
      <w:pPr>
        <w:spacing w:after="0" w:line="76"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108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92" w:lineRule="exact"/>
        <w:rPr>
          <w:rFonts w:ascii="Arial" w:cs="Arial" w:eastAsia="Arial" w:hAnsi="Arial"/>
          <w:sz w:val="18"/>
          <w:szCs w:val="18"/>
          <w:color w:val="auto"/>
        </w:rPr>
      </w:pPr>
    </w:p>
    <w:p>
      <w:pPr>
        <w:ind w:left="1080" w:right="200" w:hanging="532"/>
        <w:spacing w:after="0" w:line="308"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1"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b w:val="1"/>
          <w:bCs w:val="1"/>
          <w:i w:val="1"/>
          <w:iCs w:val="1"/>
          <w:color w:val="auto"/>
        </w:rPr>
        <w:t>Automatic Transfer of Shares to Trust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certain exceptions described below, if any purported transfer of shares would violate any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5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54"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6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We may issue receipts for depositary shares, each of which will represent a fractional interest of a share of a particular series of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May 5, 2021, we had 6,000,000 depositary shares issued and outstanding, each representing a 1/1000th fractional interest in a Series C preferred share. See “—Series C Preferred Shares.”</w:t>
      </w:r>
    </w:p>
    <w:p>
      <w:pPr>
        <w:spacing w:after="0" w:line="177"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6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95"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holder of depositary shares, to the fraction of the liquidation preference accorded each applicable preferred share, as has been set forth in a prospectus supplement.</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5"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1080" w:right="80" w:hanging="532"/>
        <w:spacing w:after="0" w:line="34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29" w:lineRule="exact"/>
        <w:rPr>
          <w:rFonts w:ascii="Arial" w:cs="Arial" w:eastAsia="Arial" w:hAnsi="Arial"/>
          <w:sz w:val="16"/>
          <w:szCs w:val="16"/>
          <w:color w:val="auto"/>
        </w:rPr>
      </w:pPr>
    </w:p>
    <w:p>
      <w:pPr>
        <w:ind w:left="1080" w:right="30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Charges of Depositary. </w:t>
      </w:r>
      <w:r>
        <w:rPr>
          <w:rFonts w:ascii="Arial" w:cs="Arial" w:eastAsia="Arial" w:hAnsi="Arial"/>
          <w:sz w:val="17"/>
          <w:szCs w:val="17"/>
          <w:color w:val="auto"/>
        </w:rPr>
        <w:t>We will pay all transfer and other taxes and governmental charges arising solely from the existence of the depositary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Miscellaneous. </w:t>
      </w:r>
      <w:r>
        <w:rPr>
          <w:rFonts w:ascii="Arial" w:cs="Arial" w:eastAsia="Arial" w:hAnsi="Arial"/>
          <w:sz w:val="17"/>
          <w:szCs w:val="17"/>
          <w:color w:val="auto"/>
        </w:rPr>
        <w:t>The depositary will forward to you all reports and communications from us that we are required, or otherwise determine,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furnish to 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PURCHASE CONTRACTS</w:t>
      </w:r>
    </w:p>
    <w:p>
      <w:pPr>
        <w:spacing w:after="0" w:line="22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b w:val="1"/>
          <w:bCs w:val="1"/>
          <w:i w:val="1"/>
          <w:iCs w:val="1"/>
          <w:color w:val="auto"/>
        </w:rPr>
        <w:t>Share Purchase Contracts</w:t>
      </w:r>
      <w:r>
        <w:rPr>
          <w:rFonts w:ascii="Arial" w:cs="Arial" w:eastAsia="Arial" w:hAnsi="Arial"/>
          <w:sz w:val="17"/>
          <w:szCs w:val="17"/>
          <w:color w:val="auto"/>
        </w:rPr>
        <w:t>. We may issue share purchase contracts, which are contracts obligating holders to purchase from or sell to us,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obligating us to purchase from or sell to the holders, a specified number of our common shares of beneficial interest or preferred shares of beneficial interest at a future date or dates. If we offer share purchase contracts, we will describe the terms in a prospectus supplement. Share purchase contracts may be offered independently, together with other securities offered by any prospectus supplement, or through a dividend or other distribution to shareholders and may be attached to or separate from other securities. The price per common share of beneficial interest or preferred share of beneficial interest may be fixed at the time the share purchase contracts are issued or may be determined by reference to a specific formula contained in the share purchase contracts. We may issue share purchase contracts in such amounts and in as many distinct series as we wish. The following are some of the share purchase contract terms that could be described in a prospectus supplement:</w:t>
      </w:r>
    </w:p>
    <w:p>
      <w:pPr>
        <w:spacing w:after="0" w:line="84" w:lineRule="exact"/>
        <w:rPr>
          <w:sz w:val="20"/>
          <w:szCs w:val="20"/>
          <w:color w:val="auto"/>
        </w:rPr>
      </w:pPr>
    </w:p>
    <w:p>
      <w:pPr>
        <w:ind w:left="1080" w:hanging="532"/>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share purchase contracts obligate the holder to purchase or sell, or both purchase and sell, common shares of beneficial interest or preferred shares of beneficial interest and the nature and amount of common shares of beneficial interest or preferred shares of beneficial interest, or the method of determining that amount;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share purchase contracts are to be prepaid or not</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share purchase contracts are to be settled by delivery, or by reference or linkage to the value, performance or level of our common shares of beneficial interest or preferred shares of beneficial interest;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share purchase contracts;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share purchase contracts;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share purchase contracts will be issued in fully registered or global form.</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shares, preferred shares or depositary shares representing interests in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If we offer warrants, we will describe the terms in a prospectus 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designation, number and terms of the common shares, preferred shares or depository shares representing interests in preferred shares that may be purchased on exercise of the warrant;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We may issue units from time to time in such amounts and in as many distinct series as we determine. We will issue each series of units under a unit agreement to be entered into between us and a unit agent to be identified in the applicable prospectus supplement. When we refer to a series of units, we mean all units issued as part of the same series under the applicable unit agreement.</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issue units consisting of any combination of two or more securities described in this prospectus. Each unit will be issued so that the holder of the unit is also the holder of each security included in the unit. Thus, the holder of a unit will have the rights and obligations of a holder of each included security. These units may be issuable as, and for a specified period of time may be transferable as, a single security only, rather than as the separate constituent securities comprising such units.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some of the unit terms that could be described in a prospectus supplement:</w:t>
      </w:r>
    </w:p>
    <w:p>
      <w:pPr>
        <w:spacing w:after="0" w:line="131"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title of any series of units;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aggregate number of, and the price at which we will issue, the units and any provisions for the issuance, payment, settlement, transfer or exchange of the units or of the securities comprising the units;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description of the terms of any unit agreement to be entered into between us and a bank or trust company, as unit agent, governing the units;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the units;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 units will be listed on any securities exchange;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summary of certain provisions of the Maryland General Corporation Law and our declaration of trust and bylaws is not complete.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should read the Maryland General Corporation Law and our declaration of trust and bylaws for more complete information.</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9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2"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61" w:lineRule="exact"/>
        <w:rPr>
          <w:sz w:val="20"/>
          <w:szCs w:val="20"/>
          <w:color w:val="auto"/>
        </w:rPr>
      </w:pPr>
    </w:p>
    <w:p>
      <w:pPr>
        <w:jc w:val="both"/>
        <w:ind w:left="120" w:right="120" w:firstLine="440"/>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Number of Trustees. </w:t>
      </w:r>
      <w:r>
        <w:rPr>
          <w:rFonts w:ascii="Arial" w:cs="Arial" w:eastAsia="Arial" w:hAnsi="Arial"/>
          <w:sz w:val="17"/>
          <w:szCs w:val="17"/>
          <w:color w:val="auto"/>
        </w:rPr>
        <w:t>The number of trustees may be increased or decreased pursuant to the bylaws, provided that the total number of trustees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be less than five or more than 10. Under Maryland law and our declaration of trust, trustees are elected for one-year terms.</w:t>
      </w:r>
    </w:p>
    <w:p>
      <w:pPr>
        <w:spacing w:after="0" w:line="142" w:lineRule="exact"/>
        <w:rPr>
          <w:sz w:val="20"/>
          <w:szCs w:val="20"/>
          <w:color w:val="auto"/>
        </w:rPr>
      </w:pPr>
    </w:p>
    <w:p>
      <w:pPr>
        <w:jc w:val="both"/>
        <w:ind w:left="120" w:right="40" w:firstLine="440"/>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cause, as defined in our declaration of trust, by the vote of all the other trustees or the shareholders may remove a trustee, with or without cause, at any meeting of shareholders called for that purpose, either by:</w:t>
      </w:r>
    </w:p>
    <w:p>
      <w:pPr>
        <w:spacing w:after="0" w:line="85" w:lineRule="exact"/>
        <w:rPr>
          <w:sz w:val="20"/>
          <w:szCs w:val="20"/>
          <w:color w:val="auto"/>
        </w:rPr>
      </w:pPr>
    </w:p>
    <w:p>
      <w:pPr>
        <w:ind w:left="1080" w:right="26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left="120" w:right="60" w:firstLine="440"/>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80" w:firstLine="440"/>
        <w:spacing w:after="0" w:line="303"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5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80"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b w:val="1"/>
          <w:bCs w:val="1"/>
          <w:i w:val="1"/>
          <w:iCs w:val="1"/>
          <w:color w:val="auto"/>
        </w:rPr>
        <w:t>Advance Notice for Shareholder Nominations and Shareholder New Business Proposals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require advance written notice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4"/>
          <w:szCs w:val="14"/>
          <w:color w:val="auto"/>
        </w:rPr>
        <w:t>th</w:t>
      </w:r>
      <w:r>
        <w:rPr>
          <w:rFonts w:ascii="Arial" w:cs="Arial" w:eastAsia="Arial" w:hAnsi="Arial"/>
          <w:sz w:val="17"/>
          <w:szCs w:val="17"/>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7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6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bylaws provide that we will include in our proxy statement for any annual meeting individuals nominated to stand for election to our board of trustees by any shareholder or group of up to 20 shareholders who have owned at least three percent of our outstanding common shares of beneficial interest for at least three years. The number of potential nominees shareholders can submit for any annual meeting is limited to the greater of two nominees or 20% of the total number of trustees on the board. Proxy access is subject to procedural and other conditions and requirements as described more fully in our bylaws.</w:t>
      </w:r>
    </w:p>
    <w:p>
      <w:pPr>
        <w:spacing w:after="0" w:line="188"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Shareholder Liability and Indemnification. </w:t>
      </w:r>
      <w:r>
        <w:rPr>
          <w:rFonts w:ascii="Arial" w:cs="Arial" w:eastAsia="Arial" w:hAnsi="Arial"/>
          <w:sz w:val="16"/>
          <w:szCs w:val="16"/>
          <w:color w:val="auto"/>
        </w:rPr>
        <w:t>Under Maryland law, you will not be personally liable for any obligation of ours solely because you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5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4" w:lineRule="exact"/>
        <w:rPr>
          <w:sz w:val="20"/>
          <w:szCs w:val="20"/>
          <w:color w:val="auto"/>
        </w:rPr>
      </w:pPr>
    </w:p>
    <w:p>
      <w:pPr>
        <w:jc w:val="both"/>
        <w:ind w:left="120" w:right="3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shares pursuant to share purchase contracts, or warrants to purchase debt or equity securities, the prospectus supplement would include information about additional material U.S. federal income tax considerations relevant to any of the offered securities.</w:t>
      </w:r>
    </w:p>
    <w:p>
      <w:pPr>
        <w:spacing w:after="0" w:line="188"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84"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SECURITIES, OUR ELECTION TO BE TAXED AS A REIT AND THE EFFECT OF POTENTIAL CHANGES IN APPLICABLE TAX LAWS.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84"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6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2020;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1080" w:right="48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1080" w:right="20" w:hanging="532"/>
        <w:spacing w:after="0" w:line="286"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70"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will pay a 100% excise tax on transactions with a “taxable REIT subsidiary” that are not conducted on an arm’s-length basis;</w:t>
      </w:r>
    </w:p>
    <w:p>
      <w:pPr>
        <w:spacing w:after="0" w:line="142" w:lineRule="exact"/>
        <w:rPr>
          <w:rFonts w:ascii="Arial" w:cs="Arial" w:eastAsia="Arial" w:hAnsi="Arial"/>
          <w:sz w:val="17"/>
          <w:szCs w:val="17"/>
          <w:color w:val="auto"/>
        </w:rPr>
      </w:pPr>
    </w:p>
    <w:p>
      <w:pPr>
        <w:ind w:left="1080" w:right="10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2" w:lineRule="exact"/>
        <w:rPr>
          <w:rFonts w:ascii="Arial" w:cs="Arial" w:eastAsia="Arial" w:hAnsi="Arial"/>
          <w:sz w:val="18"/>
          <w:szCs w:val="18"/>
          <w:color w:val="auto"/>
        </w:rPr>
      </w:pPr>
    </w:p>
    <w:p>
      <w:pPr>
        <w:ind w:left="1080" w:right="60" w:hanging="532"/>
        <w:spacing w:after="0" w:line="279"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76" w:lineRule="exact"/>
        <w:rPr>
          <w:rFonts w:ascii="Arial" w:cs="Arial" w:eastAsia="Arial" w:hAnsi="Arial"/>
          <w:sz w:val="17"/>
          <w:szCs w:val="17"/>
          <w:color w:val="auto"/>
        </w:rPr>
      </w:pPr>
    </w:p>
    <w:p>
      <w:pPr>
        <w:ind w:left="1080" w:right="120" w:hanging="532"/>
        <w:spacing w:after="0" w:line="286"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70" w:lineRule="exact"/>
        <w:rPr>
          <w:rFonts w:ascii="Arial" w:cs="Arial" w:eastAsia="Arial" w:hAnsi="Arial"/>
          <w:sz w:val="17"/>
          <w:szCs w:val="17"/>
          <w:color w:val="auto"/>
        </w:rPr>
      </w:pPr>
    </w:p>
    <w:p>
      <w:pPr>
        <w:ind w:left="1080" w:right="2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1080" w:right="60" w:hanging="532"/>
        <w:spacing w:after="0" w:line="273"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1080" w:right="94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w:t>
      </w:r>
    </w:p>
    <w:p>
      <w:pPr>
        <w:spacing w:after="0" w:line="4"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Section 401(a), and beneficiaries of such a trust will be treated as holding our shares in proportion to their actuarial interests in the trust for purposes of the 5/50 Rule.</w:t>
      </w:r>
    </w:p>
    <w:p>
      <w:pPr>
        <w:spacing w:after="0" w:line="18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7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many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174"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generally intend to control any partnerships in which we hold an interest and we intend to operate them in a manner consistent with the requirements for our qualification as a REIT. We may from time to time be a limited partner or non-managing member in some of our partnerships. If a partnership in which we own an interest but do not have control takes or expects to take actions that could jeopardize our status as a REIT or require us to pay tax, we may be forced to dispose of our interest in such entity. In addition, it is possible that a partnership could take an action which could cause us to fail a gross income or asset test and that we would not become aware of such action in time to dispose of our interest in the partnership or take other corrective action on a timely basis. In that case, we could fail to qualify as a REIT unless we were able to qualify for a statutory REIT savings provision, which could require us to pay a significant penalty tax to maintain our REIT qualification.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1080" w:hanging="532"/>
        <w:spacing w:after="0" w:line="290"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1080" w:right="20" w:hanging="532"/>
        <w:spacing w:after="0" w:line="273"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 property that we own and lease to tenants will qualify as “rents from real property” (which is qualifying income for purposes of the 75% and 95% gross income tests) under the REIT tax rules:</w:t>
      </w:r>
    </w:p>
    <w:p>
      <w:pPr>
        <w:spacing w:after="0" w:line="89" w:lineRule="exact"/>
        <w:rPr>
          <w:sz w:val="20"/>
          <w:szCs w:val="20"/>
          <w:color w:val="auto"/>
        </w:rPr>
      </w:pPr>
    </w:p>
    <w:p>
      <w:pPr>
        <w:ind w:left="1080" w:right="20" w:hanging="532"/>
        <w:spacing w:after="0" w:line="255"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9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532"/>
        <w:spacing w:after="0" w:line="293"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69" w:lineRule="exact"/>
        <w:rPr>
          <w:rFonts w:ascii="Arial" w:cs="Arial" w:eastAsia="Arial" w:hAnsi="Arial"/>
          <w:sz w:val="16"/>
          <w:szCs w:val="16"/>
          <w:color w:val="auto"/>
        </w:rPr>
      </w:pPr>
    </w:p>
    <w:p>
      <w:pPr>
        <w:ind w:left="1080" w:right="60" w:hanging="532"/>
        <w:spacing w:after="0" w:line="270"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86" w:lineRule="exact"/>
        <w:rPr>
          <w:rFonts w:ascii="Arial" w:cs="Arial" w:eastAsia="Arial" w:hAnsi="Arial"/>
          <w:sz w:val="17"/>
          <w:szCs w:val="17"/>
          <w:color w:val="auto"/>
        </w:rPr>
      </w:pPr>
    </w:p>
    <w:p>
      <w:pPr>
        <w:ind w:left="1080" w:hanging="532"/>
        <w:spacing w:after="0" w:line="269"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8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78"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4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“Foreclosure property” is any real property (including interests in real property) and any personal property incident to such real property:</w:t>
      </w:r>
    </w:p>
    <w:p>
      <w:pPr>
        <w:spacing w:after="0" w:line="142" w:lineRule="exact"/>
        <w:rPr>
          <w:sz w:val="20"/>
          <w:szCs w:val="20"/>
          <w:color w:val="auto"/>
        </w:rPr>
      </w:pPr>
    </w:p>
    <w:p>
      <w:pPr>
        <w:ind w:left="1080" w:right="280" w:hanging="532"/>
        <w:spacing w:after="0" w:line="342"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9" w:lineRule="exact"/>
        <w:rPr>
          <w:sz w:val="20"/>
          <w:szCs w:val="20"/>
          <w:color w:val="auto"/>
        </w:rPr>
      </w:pPr>
    </w:p>
    <w:p>
      <w:pPr>
        <w:ind w:left="1080" w:right="54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9"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1080" w:right="60" w:hanging="532"/>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4" w:lineRule="exact"/>
        <w:rPr>
          <w:sz w:val="20"/>
          <w:szCs w:val="20"/>
          <w:color w:val="auto"/>
        </w:rPr>
      </w:pPr>
    </w:p>
    <w:p>
      <w:pPr>
        <w:jc w:val="both"/>
        <w:ind w:left="120" w:right="240" w:firstLine="440"/>
        <w:spacing w:after="0" w:line="275" w:lineRule="auto"/>
        <w:rPr>
          <w:sz w:val="20"/>
          <w:szCs w:val="20"/>
          <w:color w:val="auto"/>
        </w:rPr>
      </w:pPr>
      <w:r>
        <w:rPr>
          <w:rFonts w:ascii="Arial" w:cs="Arial" w:eastAsia="Arial" w:hAnsi="Arial"/>
          <w:sz w:val="17"/>
          <w:szCs w:val="17"/>
          <w:b w:val="1"/>
          <w:bCs w:val="1"/>
          <w:i w:val="1"/>
          <w:iCs w:val="1"/>
          <w:color w:val="auto"/>
        </w:rPr>
        <w:t xml:space="preserve">Tax on Prohibited Transactions. </w:t>
      </w:r>
      <w:r>
        <w:rPr>
          <w:rFonts w:ascii="Arial" w:cs="Arial" w:eastAsia="Arial" w:hAnsi="Arial"/>
          <w:sz w:val="17"/>
          <w:szCs w:val="17"/>
          <w:color w:val="auto"/>
        </w:rPr>
        <w:t>A REIT will incur a 100% tax on net income (taking into account foreign currency gains and losses) derived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w:t>
      </w:r>
    </w:p>
    <w:p>
      <w:pPr>
        <w:spacing w:after="0" w:line="1" w:lineRule="exact"/>
        <w:rPr>
          <w:sz w:val="20"/>
          <w:szCs w:val="20"/>
          <w:color w:val="auto"/>
        </w:rPr>
      </w:pPr>
    </w:p>
    <w:p>
      <w:pPr>
        <w:ind w:left="120" w:right="20" w:hanging="4"/>
        <w:spacing w:after="0" w:line="285" w:lineRule="auto"/>
        <w:tabs>
          <w:tab w:leader="none" w:pos="435" w:val="left"/>
        </w:tabs>
        <w:numPr>
          <w:ilvl w:val="0"/>
          <w:numId w:val="71"/>
        </w:numPr>
        <w:rPr>
          <w:rFonts w:ascii="Arial" w:cs="Arial" w:eastAsia="Arial" w:hAnsi="Arial"/>
          <w:sz w:val="16"/>
          <w:szCs w:val="16"/>
          <w:color w:val="auto"/>
        </w:rPr>
      </w:pPr>
      <w:r>
        <w:rPr>
          <w:rFonts w:ascii="Arial" w:cs="Arial" w:eastAsia="Arial" w:hAnsi="Arial"/>
          <w:sz w:val="16"/>
          <w:szCs w:val="16"/>
          <w:color w:val="auto"/>
        </w:rPr>
        <w:t>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7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b w:val="1"/>
          <w:bCs w:val="1"/>
          <w:i w:val="1"/>
          <w:iCs w:val="1"/>
          <w:color w:val="auto"/>
        </w:rPr>
        <w:t xml:space="preserve">Tax and Deduction Limits on Certain Transactions with Taxable REIT Subsidiaries. </w:t>
      </w:r>
      <w:r>
        <w:rPr>
          <w:rFonts w:ascii="Arial" w:cs="Arial" w:eastAsia="Arial" w:hAnsi="Arial"/>
          <w:sz w:val="17"/>
          <w:szCs w:val="17"/>
          <w:color w:val="auto"/>
        </w:rPr>
        <w:t>A REIT will incur a 100% tax on certain transactions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Hedging Transactions. </w:t>
      </w:r>
      <w:r>
        <w:rPr>
          <w:rFonts w:ascii="Arial" w:cs="Arial" w:eastAsia="Arial" w:hAnsi="Arial"/>
          <w:sz w:val="17"/>
          <w:szCs w:val="17"/>
          <w:color w:val="auto"/>
        </w:rPr>
        <w:t>Except to the extent provided by Treasury regulations, any income we derive from a hedging transaction (which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78"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Like-Kind Exchanges. </w:t>
      </w:r>
      <w:r>
        <w:rPr>
          <w:rFonts w:ascii="Arial" w:cs="Arial" w:eastAsia="Arial" w:hAnsi="Arial"/>
          <w:sz w:val="17"/>
          <w:szCs w:val="17"/>
          <w:color w:val="auto"/>
        </w:rPr>
        <w:t>We may dispose of properties in transactions intended to qualify as like-kind exchanges under the Code. Such like-kind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1080" w:right="300" w:hanging="532"/>
        <w:spacing w:after="0" w:line="308"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51" w:lineRule="exact"/>
        <w:rPr>
          <w:rFonts w:ascii="Arial" w:cs="Arial" w:eastAsia="Arial" w:hAnsi="Arial"/>
          <w:sz w:val="17"/>
          <w:szCs w:val="17"/>
          <w:color w:val="auto"/>
        </w:rPr>
      </w:pPr>
    </w:p>
    <w:p>
      <w:pPr>
        <w:ind w:left="1540" w:right="160" w:hanging="331"/>
        <w:spacing w:after="0" w:line="279" w:lineRule="auto"/>
        <w:tabs>
          <w:tab w:leader="none" w:pos="15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76" w:lineRule="exact"/>
        <w:rPr>
          <w:rFonts w:ascii="Arial" w:cs="Arial" w:eastAsia="Arial" w:hAnsi="Arial"/>
          <w:sz w:val="17"/>
          <w:szCs w:val="17"/>
          <w:color w:val="auto"/>
        </w:rPr>
      </w:pPr>
    </w:p>
    <w:p>
      <w:pPr>
        <w:ind w:left="1540" w:right="180" w:hanging="331"/>
        <w:spacing w:after="0" w:line="263" w:lineRule="auto"/>
        <w:tabs>
          <w:tab w:leader="none" w:pos="15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9" w:lineRule="exact"/>
        <w:rPr>
          <w:rFonts w:ascii="Arial" w:cs="Arial" w:eastAsia="Arial" w:hAnsi="Arial"/>
          <w:sz w:val="18"/>
          <w:szCs w:val="18"/>
          <w:color w:val="auto"/>
        </w:rPr>
      </w:pPr>
    </w:p>
    <w:p>
      <w:pPr>
        <w:ind w:left="1540" w:right="180" w:hanging="331"/>
        <w:spacing w:after="0" w:line="277" w:lineRule="auto"/>
        <w:tabs>
          <w:tab w:leader="none" w:pos="15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1080" w:right="20" w:hanging="532"/>
        <w:spacing w:after="0" w:line="284"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w:t>
      </w:r>
    </w:p>
    <w:p>
      <w:pPr>
        <w:spacing w:after="0" w:line="2" w:lineRule="exact"/>
        <w:rPr>
          <w:rFonts w:ascii="Arial" w:cs="Arial" w:eastAsia="Arial" w:hAnsi="Arial"/>
          <w:sz w:val="16"/>
          <w:szCs w:val="16"/>
          <w:color w:val="auto"/>
        </w:rPr>
      </w:pPr>
    </w:p>
    <w:p>
      <w:pPr>
        <w:ind w:left="1080" w:right="120"/>
        <w:spacing w:after="0" w:line="281"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w:t>
      </w:r>
    </w:p>
    <w:p>
      <w:pPr>
        <w:spacing w:after="0" w:line="1" w:lineRule="exact"/>
        <w:rPr>
          <w:rFonts w:ascii="Arial" w:cs="Arial" w:eastAsia="Arial" w:hAnsi="Arial"/>
          <w:sz w:val="16"/>
          <w:szCs w:val="16"/>
          <w:color w:val="auto"/>
        </w:rPr>
      </w:pPr>
    </w:p>
    <w:p>
      <w:pPr>
        <w:ind w:left="1080" w:right="20"/>
        <w:spacing w:after="0" w:line="253" w:lineRule="auto"/>
        <w:rPr>
          <w:rFonts w:ascii="Arial" w:cs="Arial" w:eastAsia="Arial" w:hAnsi="Arial"/>
          <w:sz w:val="16"/>
          <w:szCs w:val="16"/>
          <w:color w:val="auto"/>
        </w:rPr>
      </w:pPr>
      <w:r>
        <w:rPr>
          <w:rFonts w:ascii="Arial" w:cs="Arial" w:eastAsia="Arial" w:hAnsi="Arial"/>
          <w:sz w:val="18"/>
          <w:szCs w:val="18"/>
          <w:color w:val="auto"/>
        </w:rPr>
        <w:t>(v)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98" w:lineRule="exact"/>
        <w:rPr>
          <w:rFonts w:ascii="Arial" w:cs="Arial" w:eastAsia="Arial" w:hAnsi="Arial"/>
          <w:sz w:val="16"/>
          <w:szCs w:val="16"/>
          <w:color w:val="auto"/>
        </w:rPr>
      </w:pPr>
    </w:p>
    <w:p>
      <w:pPr>
        <w:ind w:left="1080" w:right="10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84"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Relief from Consequences of Failing to Meet Asset Tests. </w:t>
      </w:r>
      <w:r>
        <w:rPr>
          <w:rFonts w:ascii="Arial" w:cs="Arial" w:eastAsia="Arial" w:hAnsi="Arial"/>
          <w:sz w:val="17"/>
          <w:szCs w:val="17"/>
          <w:color w:val="auto"/>
        </w:rPr>
        <w:t>If we fail to satisfy one or more of the asset tests for any quarter of a taxable year,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2" w:lineRule="exact"/>
        <w:rPr>
          <w:sz w:val="20"/>
          <w:szCs w:val="20"/>
          <w:color w:val="auto"/>
        </w:rPr>
      </w:pPr>
    </w:p>
    <w:p>
      <w:pPr>
        <w:ind w:left="120" w:right="400" w:firstLine="440"/>
        <w:spacing w:after="0" w:line="287" w:lineRule="auto"/>
        <w:rPr>
          <w:sz w:val="20"/>
          <w:szCs w:val="20"/>
          <w:color w:val="auto"/>
        </w:rPr>
      </w:pPr>
      <w:r>
        <w:rPr>
          <w:rFonts w:ascii="Arial" w:cs="Arial" w:eastAsia="Arial" w:hAnsi="Arial"/>
          <w:sz w:val="16"/>
          <w:szCs w:val="16"/>
          <w:b w:val="1"/>
          <w:bCs w:val="1"/>
          <w:i w:val="1"/>
          <w:iCs w:val="1"/>
          <w:color w:val="auto"/>
        </w:rPr>
        <w:t xml:space="preserve">Distribution Requirements. </w:t>
      </w:r>
      <w:r>
        <w:rPr>
          <w:rFonts w:ascii="Arial" w:cs="Arial" w:eastAsia="Arial" w:hAnsi="Arial"/>
          <w:sz w:val="16"/>
          <w:szCs w:val="16"/>
          <w:color w:val="auto"/>
        </w:rPr>
        <w:t>Each taxable year, we must distribute dividends (other than capital gain dividends and deemed distributions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certain items of non-cash income.</w:t>
      </w:r>
    </w:p>
    <w:p>
      <w:pPr>
        <w:spacing w:after="0" w:line="21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 However, subsidiary REITs we may own from time to time may not be publicly offered REITs and the preferential dividend rules would apply to such subsidiary REITs, although the IRS has issued multiple private letter rulings, which may not be relied upon as precedent, that a subsidiary REIT that meets certain conditions may be treated as a publicly offered REIT for these purposes.</w:t>
      </w:r>
    </w:p>
    <w:p>
      <w:pPr>
        <w:spacing w:after="0" w:line="18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9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We have no current intention to make such an elective cash/shares distribution or a distribution of debt securities, but in the event of an elective cash/shares distribution we expect to structure it so as to comply with the revenue procedure. If we were to choose to make a cash/shares distribution, shareholders may be required to pay tax in excess of the cash that they receive or may be subject to withholding taxes, including with respect to all or a portion of such dividend that is payable in shares.</w:t>
      </w:r>
    </w:p>
    <w:p>
      <w:pPr>
        <w:spacing w:after="0" w:line="18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1080" w:right="320" w:hanging="532"/>
        <w:spacing w:after="0" w:line="263"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trust if (A) a U.S. court is able to exercise primary supervision over the administration of such trust and one or more United States persons have the authority to control all substantial decisions of the trust, or (B) it has a valid election in effect to be treated as a United States person.</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w:t>
      </w:r>
    </w:p>
    <w:p>
      <w:pPr>
        <w:spacing w:after="0" w:line="196"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66"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8"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must treat any gain or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realized 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6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6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Redemption of Preferred Shares for Cash. </w:t>
      </w:r>
      <w:r>
        <w:rPr>
          <w:rFonts w:ascii="Arial" w:cs="Arial" w:eastAsia="Arial" w:hAnsi="Arial"/>
          <w:sz w:val="18"/>
          <w:szCs w:val="18"/>
          <w:color w:val="auto"/>
        </w:rPr>
        <w:t>The treatment accorded to any redemption by us for cash (as distinguished from a sale, exchange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disposition) of preferred shares can only be determined on the basis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8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Under previously proposed Treasury regulations, if any portion of the amount received by a taxable U.S. shareholder on a redemption of our preferred shares is treated as a distribution with respect to our shares but not as a taxable dividend, then such portion would be allocated to all shares held by the taxable U.S. shareholder just before the redemption on a pro rata, share-by-share, basis. The amount applied to each share would first reduce the taxable U.S. shareholder’s basis in that share and any excess after the basis is reduced to zero would result in taxable gain. If the holder had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permitted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As of March 28, 2019, these proposed Treasury regulations have been withdrawn. As a result, the treatment of adjustments to basis of a taxable U.S. shareholder’s preferred shares with respect to amounts treated as a distribution with respect to preferred shares, but not a dividend, as well as the treatment of the basis of any unredeemed shares, may be less certain. We urge you to consult your tax advisor concerning the treatment of a cash redemption of our preferred shares.</w:t>
      </w:r>
    </w:p>
    <w:p>
      <w:pPr>
        <w:spacing w:after="0" w:line="16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Redemption or Conversion of Preferred Shares to Common Shares. </w:t>
      </w:r>
      <w:r>
        <w:rPr>
          <w:rFonts w:ascii="Arial" w:cs="Arial" w:eastAsia="Arial" w:hAnsi="Arial"/>
          <w:sz w:val="18"/>
          <w:szCs w:val="18"/>
          <w:color w:val="auto"/>
        </w:rPr>
        <w:t>Assuming that preferred shares will not be redeemed or converted at a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84" w:lineRule="exact"/>
        <w:rPr>
          <w:sz w:val="20"/>
          <w:szCs w:val="20"/>
          <w:color w:val="auto"/>
        </w:rPr>
      </w:pPr>
    </w:p>
    <w:p>
      <w:pPr>
        <w:ind w:left="120" w:right="320" w:firstLine="440"/>
        <w:spacing w:after="0" w:line="273" w:lineRule="auto"/>
        <w:rPr>
          <w:sz w:val="20"/>
          <w:szCs w:val="20"/>
          <w:color w:val="auto"/>
        </w:rPr>
      </w:pPr>
      <w:r>
        <w:rPr>
          <w:rFonts w:ascii="Arial" w:cs="Arial" w:eastAsia="Arial" w:hAnsi="Arial"/>
          <w:sz w:val="17"/>
          <w:szCs w:val="17"/>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i w:val="1"/>
          <w:iCs w:val="1"/>
          <w:color w:val="auto"/>
        </w:rPr>
        <w:t xml:space="preserve">Adjustments to Conversion Price. </w:t>
      </w:r>
      <w:r>
        <w:rPr>
          <w:rFonts w:ascii="Arial" w:cs="Arial" w:eastAsia="Arial" w:hAnsi="Arial"/>
          <w:sz w:val="18"/>
          <w:szCs w:val="18"/>
          <w:color w:val="auto"/>
        </w:rPr>
        <w:t>Under Section 305 of the Code, holders of preferred shares may be deemed to have received a constructive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8"/>
          <w:szCs w:val="18"/>
          <w:i w:val="1"/>
          <w:iCs w:val="1"/>
          <w:color w:val="auto"/>
        </w:rPr>
        <w:t>bona fide</w:t>
      </w:r>
      <w:r>
        <w:rPr>
          <w:rFonts w:ascii="Arial" w:cs="Arial" w:eastAsia="Arial" w:hAnsi="Arial"/>
          <w:sz w:val="18"/>
          <w:szCs w:val="18"/>
          <w:color w:val="auto"/>
        </w:rPr>
        <w:t>, reasonable adjustment formula. In such a case, if a nonqualifying adjustment were made, the holders of preferred shares might be deemed to have received a taxable share dividend.</w:t>
      </w:r>
    </w:p>
    <w:p>
      <w:pPr>
        <w:spacing w:after="0" w:line="19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w:t>
      </w:r>
    </w:p>
    <w:p>
      <w:pPr>
        <w:spacing w:after="0" w:line="87"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1080" w:right="70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76"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1080" w:right="220" w:hanging="532"/>
        <w:spacing w:after="0" w:line="342"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b w:val="1"/>
          <w:bCs w:val="1"/>
          <w:i w:val="1"/>
          <w:iCs w:val="1"/>
          <w:color w:val="auto"/>
        </w:rPr>
        <w:t xml:space="preserve">Ordinary Dividends. </w:t>
      </w:r>
      <w:r>
        <w:rPr>
          <w:rFonts w:ascii="Arial" w:cs="Arial" w:eastAsia="Arial" w:hAnsi="Arial"/>
          <w:sz w:val="16"/>
          <w:szCs w:val="16"/>
          <w:color w:val="auto"/>
        </w:rPr>
        <w:t>A non-U.S. shareholder that receives a distribution that is not attributable to gain from our sale or exchange of “U.S. 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74"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2" w:lineRule="exact"/>
        <w:rPr>
          <w:sz w:val="20"/>
          <w:szCs w:val="20"/>
          <w:color w:val="auto"/>
        </w:rPr>
      </w:pPr>
    </w:p>
    <w:p>
      <w:pPr>
        <w:ind w:left="120" w:right="660" w:firstLine="440"/>
        <w:spacing w:after="0" w:line="263" w:lineRule="auto"/>
        <w:rPr>
          <w:sz w:val="20"/>
          <w:szCs w:val="20"/>
          <w:color w:val="auto"/>
        </w:rPr>
      </w:pPr>
      <w:r>
        <w:rPr>
          <w:rFonts w:ascii="Arial" w:cs="Arial" w:eastAsia="Arial" w:hAnsi="Arial"/>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87"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b w:val="1"/>
          <w:bCs w:val="1"/>
          <w:i w:val="1"/>
          <w:iCs w:val="1"/>
          <w:color w:val="auto"/>
        </w:rPr>
        <w:t xml:space="preserve">Capital Gain Dividends. </w:t>
      </w:r>
      <w:r>
        <w:rPr>
          <w:rFonts w:ascii="Arial" w:cs="Arial" w:eastAsia="Arial" w:hAnsi="Arial"/>
          <w:sz w:val="16"/>
          <w:szCs w:val="16"/>
          <w:color w:val="auto"/>
        </w:rPr>
        <w:t>Provided that a particular class of our shares is “regularly traded” on an established securities market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5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Sale of Shares</w:t>
      </w:r>
      <w:r>
        <w:rPr>
          <w:rFonts w:ascii="Arial" w:cs="Arial" w:eastAsia="Arial" w:hAnsi="Arial"/>
          <w:sz w:val="18"/>
          <w:szCs w:val="18"/>
          <w:color w:val="auto"/>
        </w:rPr>
        <w:t>. A non-U.S. shareholder generally will not incur tax under FIRPTA on gain from the sale of its common or preferred shares as long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 are a “domestically controlled REIT.” A “domestically controlled REIT” is a REIT in which at all times during a specified testing period foreign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64"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w:t>
      </w:r>
    </w:p>
    <w:p>
      <w:pPr>
        <w:spacing w:after="0" w:line="2" w:lineRule="exact"/>
        <w:rPr>
          <w:sz w:val="20"/>
          <w:szCs w:val="20"/>
          <w:color w:val="auto"/>
        </w:rPr>
      </w:pPr>
    </w:p>
    <w:p>
      <w:pPr>
        <w:ind w:left="120" w:hanging="4"/>
        <w:spacing w:after="0" w:line="252" w:lineRule="auto"/>
        <w:tabs>
          <w:tab w:leader="none" w:pos="3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94"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b w:val="1"/>
          <w:bCs w:val="1"/>
          <w:i w:val="1"/>
          <w:iCs w:val="1"/>
          <w:color w:val="auto"/>
        </w:rPr>
        <w:t xml:space="preserve">Wash Sales. </w:t>
      </w:r>
      <w:r>
        <w:rPr>
          <w:rFonts w:ascii="Arial" w:cs="Arial" w:eastAsia="Arial" w:hAnsi="Arial"/>
          <w:sz w:val="17"/>
          <w:szCs w:val="17"/>
          <w:color w:val="auto"/>
        </w:rPr>
        <w:t>In general, special wash sale rules apply if a shareholder owning more than 5% of our common or preferred shares avoids a taxable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Conversion of Preferred Shares to Common Shares. </w:t>
      </w:r>
      <w:r>
        <w:rPr>
          <w:rFonts w:ascii="Arial" w:cs="Arial" w:eastAsia="Arial" w:hAnsi="Arial"/>
          <w:sz w:val="17"/>
          <w:szCs w:val="17"/>
          <w:color w:val="auto"/>
        </w:rPr>
        <w:t>The conversion of preferred shares into our common shares may be a taxable exchange for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 </w:t>
      </w:r>
      <w:r>
        <w:rPr>
          <w:rFonts w:ascii="Arial" w:cs="Arial" w:eastAsia="Arial" w:hAnsi="Arial"/>
          <w:sz w:val="17"/>
          <w:szCs w:val="17"/>
          <w:b w:val="1"/>
          <w:bCs w:val="1"/>
          <w:color w:val="auto"/>
        </w:rPr>
        <w:t>c</w:t>
      </w:r>
      <w:r>
        <w:rPr>
          <w:rFonts w:ascii="Arial" w:cs="Arial" w:eastAsia="Arial" w:hAnsi="Arial"/>
          <w:sz w:val="17"/>
          <w:szCs w:val="17"/>
          <w:color w:val="auto"/>
        </w:rPr>
        <w:t>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81"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Non-U.S. shareholders should consult with their tax advisors regarding the federal income tax consequences of any transaction by which such non-U.S. shareholder exchanges our common shares received on a conversion of preferred shares for cash or other property.</w:t>
      </w:r>
    </w:p>
    <w:p>
      <w:pPr>
        <w:spacing w:after="0" w:line="14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that the holder is a United States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54"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derives 50% or more of its gross income for a specified three-year period from the conduct of a trade or business in the United States;</w:t>
      </w:r>
    </w:p>
    <w:p>
      <w:pPr>
        <w:spacing w:after="0" w:line="153" w:lineRule="exact"/>
        <w:rPr>
          <w:rFonts w:ascii="Arial" w:cs="Arial" w:eastAsia="Arial" w:hAnsi="Arial"/>
          <w:sz w:val="16"/>
          <w:szCs w:val="16"/>
          <w:color w:val="auto"/>
        </w:rPr>
      </w:pPr>
    </w:p>
    <w:p>
      <w:pPr>
        <w:ind w:left="1080" w:right="2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United States persons or if it is engaged in the conduct of a trade or business in the United States,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9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Under sections 1471 through 1474 of the Code, Treasury regulations and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guidance (commonly referred to as “FATCA”), a 30% U.S. withholding tax will be imposed in certain circumstances on payments of (i) dividends on the shares and (ii) subject to the proposed Treasury regulations discussed below, gross proceeds from the sale or other disposition of the shares. Treasury regulations proposed in December 2018 (and upon which taxpayers and withholding agents are entitled to rely) would, when finalized, eliminate FATCA withholding on the gross proceeds from a sale or other disposition of instruments, such as the shares, that produce withholdable payments.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such withholding. Under certain circumstances, a holder may be eligible for refunds or credits of such withheld taxes. Prospective investors are urged to consult with their own tax advisors regarding the possible implications of FATCA on their investment in the shares.</w:t>
      </w: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State and Local Taxes. </w:t>
      </w:r>
      <w:r>
        <w:rPr>
          <w:rFonts w:ascii="Arial" w:cs="Arial" w:eastAsia="Arial" w:hAnsi="Arial"/>
          <w:sz w:val="18"/>
          <w:szCs w:val="18"/>
          <w:color w:val="auto"/>
        </w:rPr>
        <w:t>We and/or you may be subject to state and local tax in various states and localities, including those states and localities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8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Changes to Tax Laws and Regulations. </w:t>
      </w:r>
      <w:r>
        <w:rPr>
          <w:rFonts w:ascii="Arial" w:cs="Arial" w:eastAsia="Arial" w:hAnsi="Arial"/>
          <w:sz w:val="17"/>
          <w:szCs w:val="17"/>
          <w:color w:val="auto"/>
        </w:rPr>
        <w:t>The rules dealing with federal income taxation are subject to revision by the U.S. Congress, the IRS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Tax Cuts and Jobs Act of 2017. In addition, legislation, regulations and other guidance has been enacted to respond to the COVID-19 pandemic, including the 2020 CARES Act, and further legislative enactments and other IRS or Treasury action is possible.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ectPr>
          <w:pgSz w:w="11900" w:h="16838" w:orient="portrait"/>
          <w:cols w:equalWidth="0" w:num="1">
            <w:col w:w="11120"/>
          </w:cols>
          <w:pgMar w:left="320" w:top="459" w:right="459" w:bottom="1440" w:gutter="0" w:footer="0" w:header="0"/>
        </w:sectPr>
      </w:pP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20"/>
          </w:cols>
          <w:pgMar w:left="320" w:top="459" w:right="45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1080" w:right="160" w:hanging="532"/>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6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securities may or may not be listed on a national securities exchange or traded in the over-the-counter market (other than the common shares and Series C depository shares, which are quoted on the New York Stock Exchange). No assurance can be given as to the liquidity of the trading market for any such securities.</w:t>
      </w:r>
    </w:p>
    <w:p>
      <w:pPr>
        <w:spacing w:after="0" w:line="184"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72"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Our Annual Report on Form 10-K for the fiscal year ended December 31, 2020, filed with the SEC on February 11, 2021;</w:t>
        </w:r>
      </w:hyperlink>
    </w:p>
    <w:p>
      <w:pPr>
        <w:spacing w:after="0" w:line="130"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80"/>
        </w:numPr>
        <w:rPr>
          <w:rFonts w:ascii="Arial" w:cs="Arial" w:eastAsia="Arial" w:hAnsi="Arial"/>
          <w:sz w:val="18"/>
          <w:szCs w:val="18"/>
          <w:color w:val="0000EE"/>
        </w:rPr>
      </w:pPr>
      <w:hyperlink r:id="rId81">
        <w:r>
          <w:rPr>
            <w:rFonts w:ascii="Arial" w:cs="Arial" w:eastAsia="Arial" w:hAnsi="Arial"/>
            <w:sz w:val="18"/>
            <w:szCs w:val="18"/>
            <w:u w:val="single" w:color="auto"/>
            <w:color w:val="0000EE"/>
          </w:rPr>
          <w:t>Our Definitive Proxy Statement for our 2021 Annual Meeting of Shareholders, filed with the SEC on March 25, 2021</w:t>
        </w:r>
      </w:hyperlink>
      <w:r>
        <w:rPr>
          <w:rFonts w:ascii="Arial" w:cs="Arial" w:eastAsia="Arial" w:hAnsi="Arial"/>
          <w:sz w:val="18"/>
          <w:szCs w:val="18"/>
          <w:color w:val="000000"/>
        </w:rPr>
        <w:t>;</w:t>
      </w:r>
    </w:p>
    <w:p>
      <w:pPr>
        <w:spacing w:after="0" w:line="130" w:lineRule="exact"/>
        <w:rPr>
          <w:rFonts w:ascii="Arial" w:cs="Arial" w:eastAsia="Arial" w:hAnsi="Arial"/>
          <w:sz w:val="18"/>
          <w:szCs w:val="18"/>
          <w:color w:val="0000EE"/>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82">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2021, filed with the SEC on May 5, 2021;</w:t>
      </w:r>
    </w:p>
    <w:p>
      <w:pPr>
        <w:spacing w:after="0" w:line="131" w:lineRule="exact"/>
        <w:rPr>
          <w:rFonts w:ascii="Arial" w:cs="Arial" w:eastAsia="Arial" w:hAnsi="Arial"/>
          <w:sz w:val="18"/>
          <w:szCs w:val="18"/>
          <w:color w:val="auto"/>
        </w:rPr>
      </w:pPr>
    </w:p>
    <w:p>
      <w:pPr>
        <w:ind w:left="540"/>
        <w:spacing w:after="0"/>
        <w:tabs>
          <w:tab w:leader="none" w:pos="1060" w:val="left"/>
        </w:tabs>
        <w:rPr>
          <w:rFonts w:ascii="Arial" w:cs="Arial" w:eastAsia="Arial" w:hAnsi="Arial"/>
          <w:sz w:val="17"/>
          <w:szCs w:val="17"/>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xml:space="preserve">Our Current Reports on Form 8-K filed with the SEC on </w:t>
      </w:r>
      <w:hyperlink r:id="rId83">
        <w:r>
          <w:rPr>
            <w:rFonts w:ascii="Arial" w:cs="Arial" w:eastAsia="Arial" w:hAnsi="Arial"/>
            <w:sz w:val="17"/>
            <w:szCs w:val="17"/>
            <w:u w:val="single" w:color="auto"/>
            <w:color w:val="0000EE"/>
          </w:rPr>
          <w:t>February 12</w:t>
        </w:r>
      </w:hyperlink>
      <w:r>
        <w:rPr>
          <w:rFonts w:ascii="Arial" w:cs="Arial" w:eastAsia="Arial" w:hAnsi="Arial"/>
          <w:sz w:val="17"/>
          <w:szCs w:val="17"/>
          <w:color w:val="auto"/>
        </w:rPr>
        <w:t xml:space="preserve">, 2021, </w:t>
      </w:r>
      <w:hyperlink r:id="rId84">
        <w:r>
          <w:rPr>
            <w:rFonts w:ascii="Arial" w:cs="Arial" w:eastAsia="Arial" w:hAnsi="Arial"/>
            <w:sz w:val="17"/>
            <w:szCs w:val="17"/>
            <w:u w:val="single" w:color="auto"/>
            <w:color w:val="0000EE"/>
          </w:rPr>
          <w:t>February 24, 2021</w:t>
        </w:r>
      </w:hyperlink>
      <w:r>
        <w:rPr>
          <w:rFonts w:ascii="Arial" w:cs="Arial" w:eastAsia="Arial" w:hAnsi="Arial"/>
          <w:sz w:val="17"/>
          <w:szCs w:val="17"/>
          <w:color w:val="auto"/>
        </w:rPr>
        <w:t xml:space="preserve">, </w:t>
      </w:r>
      <w:hyperlink r:id="rId85">
        <w:r>
          <w:rPr>
            <w:rFonts w:ascii="Arial" w:cs="Arial" w:eastAsia="Arial" w:hAnsi="Arial"/>
            <w:sz w:val="17"/>
            <w:szCs w:val="17"/>
            <w:u w:val="single" w:color="auto"/>
            <w:color w:val="0000EE"/>
          </w:rPr>
          <w:t>April 19, 2021</w:t>
        </w:r>
      </w:hyperlink>
      <w:r>
        <w:rPr>
          <w:rFonts w:ascii="Arial" w:cs="Arial" w:eastAsia="Arial" w:hAnsi="Arial"/>
          <w:sz w:val="17"/>
          <w:szCs w:val="17"/>
          <w:color w:val="auto"/>
        </w:rPr>
        <w:t xml:space="preserve">, and </w:t>
      </w:r>
      <w:hyperlink r:id="rId86">
        <w:r>
          <w:rPr>
            <w:rFonts w:ascii="Arial" w:cs="Arial" w:eastAsia="Arial" w:hAnsi="Arial"/>
            <w:sz w:val="17"/>
            <w:szCs w:val="17"/>
            <w:u w:val="single" w:color="auto"/>
            <w:color w:val="0000EE"/>
          </w:rPr>
          <w:t>May 6</w:t>
        </w:r>
      </w:hyperlink>
      <w:r>
        <w:rPr>
          <w:rFonts w:ascii="Arial" w:cs="Arial" w:eastAsia="Arial" w:hAnsi="Arial"/>
          <w:sz w:val="17"/>
          <w:szCs w:val="17"/>
          <w:color w:val="auto"/>
        </w:rPr>
        <w:t>, 2021;</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81"/>
        </w:numPr>
        <w:rPr>
          <w:rFonts w:ascii="Arial" w:cs="Arial" w:eastAsia="Arial" w:hAnsi="Arial"/>
          <w:sz w:val="17"/>
          <w:szCs w:val="17"/>
          <w:u w:val="single" w:color="auto"/>
          <w:color w:val="0000EE"/>
        </w:rPr>
      </w:pPr>
      <w:hyperlink r:id="rId87">
        <w:r>
          <w:rPr>
            <w:rFonts w:ascii="Arial" w:cs="Arial" w:eastAsia="Arial" w:hAnsi="Arial"/>
            <w:sz w:val="17"/>
            <w:szCs w:val="17"/>
            <w:u w:val="single" w:color="auto"/>
            <w:color w:val="0000EE"/>
          </w:rPr>
          <w:t>Description of our common shares contained in the Registration Statement on Form 8-A/A, filed with the SEC on June 6, 2002; and</w:t>
        </w:r>
      </w:hyperlink>
    </w:p>
    <w:p>
      <w:pPr>
        <w:spacing w:after="0" w:line="142" w:lineRule="exact"/>
        <w:rPr>
          <w:rFonts w:ascii="Arial" w:cs="Arial" w:eastAsia="Arial" w:hAnsi="Arial"/>
          <w:sz w:val="17"/>
          <w:szCs w:val="17"/>
          <w:u w:val="single" w:color="auto"/>
          <w:color w:val="0000EE"/>
        </w:rPr>
      </w:pPr>
    </w:p>
    <w:p>
      <w:pPr>
        <w:ind w:left="1080" w:right="180" w:hanging="532"/>
        <w:spacing w:after="0" w:line="277" w:lineRule="auto"/>
        <w:tabs>
          <w:tab w:leader="none" w:pos="1080" w:val="left"/>
        </w:tabs>
        <w:numPr>
          <w:ilvl w:val="0"/>
          <w:numId w:val="81"/>
        </w:numPr>
        <w:rPr>
          <w:rFonts w:ascii="Arial" w:cs="Arial" w:eastAsia="Arial" w:hAnsi="Arial"/>
          <w:sz w:val="18"/>
          <w:szCs w:val="18"/>
          <w:color w:val="0000EE"/>
        </w:rPr>
      </w:pPr>
      <w:hyperlink r:id="rId88">
        <w:r>
          <w:rPr>
            <w:rFonts w:ascii="Arial" w:cs="Arial" w:eastAsia="Arial" w:hAnsi="Arial"/>
            <w:sz w:val="18"/>
            <w:szCs w:val="18"/>
            <w:u w:val="single" w:color="auto"/>
            <w:color w:val="0000EE"/>
          </w:rPr>
          <w:t>Description of our Series C depositary shares contained in the Registration Statement on Form 8-A, filed with the SEC on September 29,</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2017</w:t>
        </w:r>
        <w:r>
          <w:rPr>
            <w:rFonts w:ascii="Arial" w:cs="Arial" w:eastAsia="Arial" w:hAnsi="Arial"/>
            <w:sz w:val="18"/>
            <w:szCs w:val="18"/>
            <w:color w:val="000000"/>
          </w:rPr>
          <w:t>.</w:t>
        </w:r>
      </w:hyperlink>
    </w:p>
    <w:p>
      <w:pPr>
        <w:spacing w:after="0" w:line="170" w:lineRule="exact"/>
        <w:rPr>
          <w:rFonts w:ascii="Arial" w:cs="Arial" w:eastAsia="Arial" w:hAnsi="Arial"/>
          <w:sz w:val="18"/>
          <w:szCs w:val="18"/>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95" w:lineRule="exact"/>
        <w:rPr>
          <w:rFonts w:ascii="Arial" w:cs="Arial" w:eastAsia="Arial" w:hAnsi="Arial"/>
          <w:sz w:val="18"/>
          <w:szCs w:val="18"/>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41"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Federal Realty Investment Trust</w:t>
      </w:r>
    </w:p>
    <w:p>
      <w:pPr>
        <w:spacing w:after="0" w:line="23"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909 Rose Ave. Suite 200</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North Bethesda, Maryland 20852</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(301) 998-8100</w:t>
      </w:r>
    </w:p>
    <w:p>
      <w:pPr>
        <w:spacing w:after="0" w:line="14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Printing and Mailing Costs</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Miscellaneous</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7"/>
        </w:trPr>
        <w:tc>
          <w:tcPr>
            <w:tcW w:w="7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w:t>
            </w:r>
          </w:p>
        </w:tc>
      </w:tr>
      <w:tr>
        <w:trPr>
          <w:trHeight w:val="20"/>
        </w:trPr>
        <w:tc>
          <w:tcPr>
            <w:tcW w:w="7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accordance with Rules 456(b) and 457(r), we are deferring payment of the registration fee for the securities offered by this prospectus.</w:t>
      </w:r>
    </w:p>
    <w:p>
      <w:pPr>
        <w:spacing w:after="0" w:line="34" w:lineRule="exact"/>
        <w:rPr>
          <w:rFonts w:ascii="Arial" w:cs="Arial" w:eastAsia="Arial" w:hAnsi="Arial"/>
          <w:sz w:val="17"/>
          <w:szCs w:val="17"/>
          <w:color w:val="auto"/>
        </w:rPr>
      </w:pPr>
    </w:p>
    <w:p>
      <w:pPr>
        <w:ind w:left="540" w:hanging="424"/>
        <w:spacing w:after="0"/>
        <w:tabs>
          <w:tab w:leader="none" w:pos="5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amounts of such fees and expenses are based on the securities offered and the number of issuances and accordingly are presently unknown.</w:t>
      </w:r>
    </w:p>
    <w:p>
      <w:pPr>
        <w:spacing w:after="0" w:line="378"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7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86"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31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20" w:type="dxa"/>
            <w:vAlign w:val="bottom"/>
          </w:tcPr>
          <w:p>
            <w:pPr>
              <w:jc w:val="center"/>
              <w:ind w:right="2488"/>
              <w:spacing w:after="0"/>
              <w:rPr>
                <w:sz w:val="20"/>
                <w:szCs w:val="20"/>
                <w:color w:val="auto"/>
              </w:rPr>
            </w:pPr>
            <w:r>
              <w:rPr>
                <w:rFonts w:ascii="Arial" w:cs="Arial" w:eastAsia="Arial" w:hAnsi="Arial"/>
                <w:sz w:val="14"/>
                <w:szCs w:val="14"/>
                <w:b w:val="1"/>
                <w:bCs w:val="1"/>
                <w:color w:val="auto"/>
                <w:w w:val="98"/>
              </w:rPr>
              <w:t>Exhibit</w:t>
            </w:r>
          </w:p>
        </w:tc>
        <w:tc>
          <w:tcPr>
            <w:tcW w:w="3280" w:type="dxa"/>
            <w:vAlign w:val="bottom"/>
            <w:vMerge w:val="restart"/>
          </w:tcPr>
          <w:p>
            <w:pPr>
              <w:ind w:left="2560"/>
              <w:spacing w:after="0"/>
              <w:rPr>
                <w:sz w:val="20"/>
                <w:szCs w:val="20"/>
                <w:color w:val="auto"/>
              </w:rPr>
            </w:pPr>
            <w:r>
              <w:rPr>
                <w:rFonts w:ascii="Arial" w:cs="Arial" w:eastAsia="Arial" w:hAnsi="Arial"/>
                <w:sz w:val="14"/>
                <w:szCs w:val="14"/>
                <w:b w:val="1"/>
                <w:bCs w:val="1"/>
                <w:u w:val="single" w:color="auto"/>
                <w:color w:val="auto"/>
                <w:w w:val="90"/>
              </w:rPr>
              <w:t>Description</w:t>
            </w:r>
          </w:p>
        </w:tc>
        <w:tc>
          <w:tcPr>
            <w:tcW w:w="0" w:type="dxa"/>
            <w:vAlign w:val="bottom"/>
          </w:tcPr>
          <w:p>
            <w:pPr>
              <w:spacing w:after="0"/>
              <w:rPr>
                <w:sz w:val="1"/>
                <w:szCs w:val="1"/>
                <w:color w:val="auto"/>
              </w:rPr>
            </w:pPr>
          </w:p>
        </w:tc>
      </w:tr>
      <w:tr>
        <w:trPr>
          <w:trHeight w:val="186"/>
        </w:trPr>
        <w:tc>
          <w:tcPr>
            <w:tcW w:w="3020" w:type="dxa"/>
            <w:vAlign w:val="bottom"/>
          </w:tcPr>
          <w:p>
            <w:pPr>
              <w:jc w:val="center"/>
              <w:ind w:right="2488"/>
              <w:spacing w:after="0"/>
              <w:rPr>
                <w:sz w:val="20"/>
                <w:szCs w:val="20"/>
                <w:color w:val="auto"/>
              </w:rPr>
            </w:pPr>
            <w:r>
              <w:rPr>
                <w:rFonts w:ascii="Arial" w:cs="Arial" w:eastAsia="Arial" w:hAnsi="Arial"/>
                <w:sz w:val="14"/>
                <w:szCs w:val="14"/>
                <w:b w:val="1"/>
                <w:bCs w:val="1"/>
                <w:color w:val="auto"/>
                <w:w w:val="97"/>
              </w:rPr>
              <w:t>No.</w:t>
            </w: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291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2" w:lineRule="exact"/>
        <w:rPr>
          <w:sz w:val="20"/>
          <w:szCs w:val="20"/>
          <w:color w:val="auto"/>
        </w:rPr>
      </w:pPr>
    </w:p>
    <w:p>
      <w:pPr>
        <w:ind w:left="200"/>
        <w:spacing w:after="0"/>
        <w:tabs>
          <w:tab w:leader="none" w:pos="9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 for Debt Securities*</w:t>
      </w:r>
    </w:p>
    <w:p>
      <w:pPr>
        <w:spacing w:after="0" w:line="117" w:lineRule="exact"/>
        <w:rPr>
          <w:sz w:val="20"/>
          <w:szCs w:val="20"/>
          <w:color w:val="auto"/>
        </w:rPr>
      </w:pPr>
    </w:p>
    <w:p>
      <w:pPr>
        <w:ind w:left="200"/>
        <w:spacing w:after="0"/>
        <w:tabs>
          <w:tab w:leader="none" w:pos="9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Form of Underwriting Agreement for Equity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00" w:right="200" w:hanging="692"/>
        <w:spacing w:after="0" w:line="25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95">
        <w:r>
          <w:rPr>
            <w:rFonts w:ascii="Arial" w:cs="Arial" w:eastAsia="Arial" w:hAnsi="Arial"/>
            <w:sz w:val="18"/>
            <w:szCs w:val="18"/>
            <w:u w:val="single" w:color="auto"/>
            <w:color w:val="0000EE"/>
          </w:rPr>
          <w:t>Declaration of Trust of Federal Realty Investment Trust dated May 5, 1999 as amended by the Articles of Amendment of Declaration of</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Trust of Federal Realty Investment Trust dated May 6, 2004, as corrected by the Certificate of Correction of Articles of Amendment of</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Declaration of Trust of Federal Realty Investment Trust dated June 17, 2004, as amended by the Articles of Amendment of Declaration of</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Trust of Federal Realty Investment Trust dated May 6, 2009 (previously filed as Exhibit 3.1 to the Trust’s Registration Statement on Form</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S-3 (File No. 333-160009) and incorporated herein by reference)</w:t>
        </w:r>
      </w:hyperlink>
    </w:p>
    <w:p>
      <w:pPr>
        <w:spacing w:after="0" w:line="80" w:lineRule="exact"/>
        <w:rPr>
          <w:rFonts w:ascii="Arial" w:cs="Arial" w:eastAsia="Arial" w:hAnsi="Arial"/>
          <w:sz w:val="18"/>
          <w:szCs w:val="18"/>
          <w:u w:val="single" w:color="auto"/>
          <w:color w:val="0000EE"/>
        </w:rPr>
      </w:pPr>
    </w:p>
    <w:p>
      <w:pPr>
        <w:ind w:left="900" w:hanging="692"/>
        <w:spacing w:after="0" w:line="311" w:lineRule="auto"/>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96">
        <w:r>
          <w:rPr>
            <w:rFonts w:ascii="Arial" w:cs="Arial" w:eastAsia="Arial" w:hAnsi="Arial"/>
            <w:sz w:val="16"/>
            <w:szCs w:val="16"/>
            <w:u w:val="single" w:color="auto"/>
            <w:color w:val="0000EE"/>
          </w:rPr>
          <w:t>Amended and Restated Bylaws of Federal Realty Investment Trust dated February 12, 2003, as amended October 29, 2003, May 5, 2004,</w:t>
        </w:r>
      </w:hyperlink>
      <w:r>
        <w:rPr>
          <w:rFonts w:ascii="Arial" w:cs="Arial" w:eastAsia="Arial" w:hAnsi="Arial"/>
          <w:sz w:val="16"/>
          <w:szCs w:val="16"/>
          <w:u w:val="single" w:color="auto"/>
          <w:color w:val="0000EE"/>
        </w:rPr>
        <w:t xml:space="preserve"> </w:t>
      </w:r>
      <w:hyperlink r:id="rId96">
        <w:r>
          <w:rPr>
            <w:rFonts w:ascii="Arial" w:cs="Arial" w:eastAsia="Arial" w:hAnsi="Arial"/>
            <w:sz w:val="16"/>
            <w:szCs w:val="16"/>
            <w:u w:val="single" w:color="auto"/>
            <w:color w:val="0000EE"/>
          </w:rPr>
          <w:t>February 17, 2006, May 6, 2009, November 2, 2016, February 5, 2019, April 2, 2020 and February 10, 2021 (previously filed as Exhibit 3.1</w:t>
        </w:r>
      </w:hyperlink>
      <w:r>
        <w:rPr>
          <w:rFonts w:ascii="Arial" w:cs="Arial" w:eastAsia="Arial" w:hAnsi="Arial"/>
          <w:sz w:val="16"/>
          <w:szCs w:val="16"/>
          <w:u w:val="single" w:color="auto"/>
          <w:color w:val="0000EE"/>
        </w:rPr>
        <w:t xml:space="preserve"> </w:t>
      </w:r>
      <w:hyperlink r:id="rId96">
        <w:r>
          <w:rPr>
            <w:rFonts w:ascii="Arial" w:cs="Arial" w:eastAsia="Arial" w:hAnsi="Arial"/>
            <w:sz w:val="16"/>
            <w:szCs w:val="16"/>
            <w:u w:val="single" w:color="auto"/>
            <w:color w:val="0000EE"/>
          </w:rPr>
          <w:t>to the Trust’s Quarterly Report on Form 10-Q for the quarter ended March 31, 2021 (File No. 1-07533) and incorporated herein by reference)</w:t>
        </w:r>
      </w:hyperlink>
    </w:p>
    <w:p>
      <w:pPr>
        <w:spacing w:after="0" w:line="41" w:lineRule="exact"/>
        <w:rPr>
          <w:rFonts w:ascii="Arial" w:cs="Arial" w:eastAsia="Arial" w:hAnsi="Arial"/>
          <w:sz w:val="16"/>
          <w:szCs w:val="16"/>
          <w:u w:val="single" w:color="auto"/>
          <w:color w:val="0000EE"/>
        </w:rPr>
      </w:pPr>
    </w:p>
    <w:p>
      <w:pPr>
        <w:ind w:left="900" w:right="700" w:hanging="692"/>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97">
        <w:r>
          <w:rPr>
            <w:rFonts w:ascii="Arial" w:cs="Arial" w:eastAsia="Arial" w:hAnsi="Arial"/>
            <w:sz w:val="18"/>
            <w:szCs w:val="18"/>
            <w:u w:val="single" w:color="auto"/>
            <w:color w:val="0000EE"/>
          </w:rPr>
          <w:t>Specimen Common Share certificate (previously filed as Exhibit 4(i) to the Trust’s Annual Report on Form 10-K for the year ended</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December 31, 1999 (File No. 1-07533) and incorporated herein by reference)</w:t>
        </w:r>
      </w:hyperlink>
    </w:p>
    <w:p>
      <w:pPr>
        <w:spacing w:after="0" w:line="62" w:lineRule="exact"/>
        <w:rPr>
          <w:sz w:val="20"/>
          <w:szCs w:val="20"/>
          <w:color w:val="auto"/>
        </w:rPr>
      </w:pPr>
    </w:p>
    <w:p>
      <w:pPr>
        <w:ind w:left="900" w:right="200" w:hanging="692"/>
        <w:spacing w:after="0" w:line="342" w:lineRule="auto"/>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98">
        <w:r>
          <w:rPr>
            <w:rFonts w:ascii="Arial" w:cs="Arial" w:eastAsia="Arial" w:hAnsi="Arial"/>
            <w:sz w:val="16"/>
            <w:szCs w:val="16"/>
            <w:u w:val="single" w:color="auto"/>
            <w:color w:val="0000EE"/>
          </w:rPr>
          <w:t>Articles Supplementary relating to the 5.417% Series 1 Cumulative Convertible Preferred Shares of Beneficial Interest (previously filed as</w:t>
        </w:r>
      </w:hyperlink>
      <w:r>
        <w:rPr>
          <w:rFonts w:ascii="Arial" w:cs="Arial" w:eastAsia="Arial" w:hAnsi="Arial"/>
          <w:sz w:val="16"/>
          <w:szCs w:val="16"/>
          <w:u w:val="single" w:color="auto"/>
          <w:color w:val="0000EE"/>
        </w:rPr>
        <w:t xml:space="preserve"> </w:t>
      </w:r>
      <w:hyperlink r:id="rId98">
        <w:r>
          <w:rPr>
            <w:rFonts w:ascii="Arial" w:cs="Arial" w:eastAsia="Arial" w:hAnsi="Arial"/>
            <w:sz w:val="16"/>
            <w:szCs w:val="16"/>
            <w:u w:val="single" w:color="auto"/>
            <w:color w:val="0000EE"/>
          </w:rPr>
          <w:t>Exhibit 4.1 to the Trust’s Current Report on Form 8-K filed on March 13, 2007, (File No. 1-07533) and incorporated herein by reference)</w:t>
        </w:r>
      </w:hyperlink>
    </w:p>
    <w:p>
      <w:pPr>
        <w:spacing w:after="0" w:line="16" w:lineRule="exact"/>
        <w:rPr>
          <w:sz w:val="20"/>
          <w:szCs w:val="20"/>
          <w:color w:val="auto"/>
        </w:rPr>
      </w:pPr>
    </w:p>
    <w:p>
      <w:pPr>
        <w:jc w:val="both"/>
        <w:ind w:left="900" w:right="300" w:hanging="692"/>
        <w:spacing w:after="0" w:line="286" w:lineRule="auto"/>
        <w:tabs>
          <w:tab w:leader="none" w:pos="8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**Indenture dated December 1, 1993 related to the Trust’s 7.48% Debentures due August 15, 2026; and 6.82% Medium Term Notes due August 1, 2027; (previously filed as Exhibit 4(a) to the Trust’s Registration Statement on Form S-3 (File No. 33-51029), and amended on Form S-3 (File No. 33-63687), filed on December 13, 1993 and incorporated herein by reference) (p)</w:t>
      </w:r>
    </w:p>
    <w:p>
      <w:pPr>
        <w:spacing w:after="0" w:line="57" w:lineRule="exact"/>
        <w:rPr>
          <w:sz w:val="20"/>
          <w:szCs w:val="20"/>
          <w:color w:val="auto"/>
        </w:rPr>
      </w:pPr>
    </w:p>
    <w:p>
      <w:pPr>
        <w:ind w:left="900" w:right="80" w:hanging="692"/>
        <w:spacing w:after="0" w:line="259"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99">
        <w:r>
          <w:rPr>
            <w:rFonts w:ascii="Arial" w:cs="Arial" w:eastAsia="Arial" w:hAnsi="Arial"/>
            <w:sz w:val="18"/>
            <w:szCs w:val="18"/>
            <w:u w:val="single" w:color="auto"/>
            <w:color w:val="0000EE"/>
          </w:rPr>
          <w:t>**Indenture dated September 1, 1998 related to the Trust’s 2.75% Notes due 2023; 3.95% Notes due 2024; 4.50% Notes due 2044; 3.625%</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Notes due 2046; 3.25% Notes due 2027; 3.20% Notes due 2029; 3.50% Notes due 2030; 1.25% Notes due 2026 (previously filed as</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Exhibit 4(a) to the Federal Realty Investment Trust’s Registration Statement on Form S-3 (File No. 333-63619) filed on September 17, 1998</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and incorporated herein by reference)</w:t>
        </w:r>
      </w:hyperlink>
    </w:p>
    <w:p>
      <w:pPr>
        <w:spacing w:after="0" w:line="79" w:lineRule="exact"/>
        <w:rPr>
          <w:rFonts w:ascii="Arial" w:cs="Arial" w:eastAsia="Arial" w:hAnsi="Arial"/>
          <w:sz w:val="18"/>
          <w:szCs w:val="18"/>
          <w:u w:val="single" w:color="auto"/>
          <w:color w:val="0000EE"/>
        </w:rPr>
      </w:pPr>
    </w:p>
    <w:p>
      <w:pPr>
        <w:jc w:val="both"/>
        <w:ind w:left="900" w:right="120" w:hanging="692"/>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100">
        <w:r>
          <w:rPr>
            <w:rFonts w:ascii="Arial" w:cs="Arial" w:eastAsia="Arial" w:hAnsi="Arial"/>
            <w:sz w:val="18"/>
            <w:szCs w:val="18"/>
            <w:u w:val="single" w:color="auto"/>
            <w:color w:val="0000EE"/>
          </w:rPr>
          <w:t>Articles Supplementary relating to the 5.000% Series C Cumulative Redeemable Preferred Shares of Beneficial Interest (previously filed as</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Exhibit 3.2 to the Trust’s Registration Statement on Form 8-A (File No. 1-07533), filed on September 29, 2017 and incorporated herein by</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reference)</w:t>
        </w:r>
      </w:hyperlink>
    </w:p>
    <w:p>
      <w:pPr>
        <w:spacing w:after="0" w:line="76" w:lineRule="exact"/>
        <w:rPr>
          <w:rFonts w:ascii="Arial" w:cs="Arial" w:eastAsia="Arial" w:hAnsi="Arial"/>
          <w:sz w:val="18"/>
          <w:szCs w:val="18"/>
          <w:u w:val="single" w:color="auto"/>
          <w:color w:val="0000EE"/>
        </w:rPr>
      </w:pPr>
    </w:p>
    <w:p>
      <w:pPr>
        <w:ind w:left="900" w:right="280" w:hanging="692"/>
        <w:spacing w:after="0" w:line="286"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4.6</w:t>
      </w:r>
      <w:r>
        <w:rPr>
          <w:sz w:val="20"/>
          <w:szCs w:val="20"/>
          <w:color w:val="auto"/>
        </w:rPr>
        <w:tab/>
      </w:r>
      <w:hyperlink r:id="rId101">
        <w:r>
          <w:rPr>
            <w:rFonts w:ascii="Arial" w:cs="Arial" w:eastAsia="Arial" w:hAnsi="Arial"/>
            <w:sz w:val="17"/>
            <w:szCs w:val="17"/>
            <w:u w:val="single" w:color="auto"/>
            <w:color w:val="0000EE"/>
          </w:rPr>
          <w:t>Deposit Agreement, dated as of September 29, 2017, by and among Federal Realty Investment Trust, American Stock Transfer and Trust</w:t>
        </w:r>
      </w:hyperlink>
      <w:r>
        <w:rPr>
          <w:rFonts w:ascii="Arial" w:cs="Arial" w:eastAsia="Arial" w:hAnsi="Arial"/>
          <w:sz w:val="17"/>
          <w:szCs w:val="17"/>
          <w:u w:val="single" w:color="auto"/>
          <w:color w:val="0000EE"/>
        </w:rPr>
        <w:t xml:space="preserve"> </w:t>
      </w:r>
      <w:hyperlink r:id="rId101">
        <w:r>
          <w:rPr>
            <w:rFonts w:ascii="Arial" w:cs="Arial" w:eastAsia="Arial" w:hAnsi="Arial"/>
            <w:sz w:val="17"/>
            <w:szCs w:val="17"/>
            <w:u w:val="single" w:color="auto"/>
            <w:color w:val="0000EE"/>
          </w:rPr>
          <w:t>Company, LLC, as Depository, and all holders from time to time of Receipt (previously filed as Exhibit 4.1 to the Trust’s Registration</w:t>
        </w:r>
      </w:hyperlink>
      <w:r>
        <w:rPr>
          <w:rFonts w:ascii="Arial" w:cs="Arial" w:eastAsia="Arial" w:hAnsi="Arial"/>
          <w:sz w:val="17"/>
          <w:szCs w:val="17"/>
          <w:u w:val="single" w:color="auto"/>
          <w:color w:val="0000EE"/>
        </w:rPr>
        <w:t xml:space="preserve"> </w:t>
      </w:r>
      <w:hyperlink r:id="rId101">
        <w:r>
          <w:rPr>
            <w:rFonts w:ascii="Arial" w:cs="Arial" w:eastAsia="Arial" w:hAnsi="Arial"/>
            <w:sz w:val="17"/>
            <w:szCs w:val="17"/>
            <w:u w:val="single" w:color="auto"/>
            <w:color w:val="0000EE"/>
          </w:rPr>
          <w:t>Statement on Form 8-A (File No. 1-07533), filed on September 29, 2017 and incorporated herein by reference)</w:t>
        </w:r>
      </w:hyperlink>
    </w:p>
    <w:p>
      <w:pPr>
        <w:spacing w:after="0" w:line="57" w:lineRule="exact"/>
        <w:rPr>
          <w:rFonts w:ascii="Arial" w:cs="Arial" w:eastAsia="Arial" w:hAnsi="Arial"/>
          <w:sz w:val="17"/>
          <w:szCs w:val="17"/>
          <w:u w:val="single" w:color="auto"/>
          <w:color w:val="0000EE"/>
        </w:rPr>
      </w:pPr>
    </w:p>
    <w:p>
      <w:pPr>
        <w:ind w:left="900" w:right="200" w:hanging="692"/>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4.7</w:t>
      </w:r>
      <w:r>
        <w:rPr>
          <w:sz w:val="20"/>
          <w:szCs w:val="20"/>
          <w:color w:val="auto"/>
        </w:rPr>
        <w:tab/>
      </w:r>
      <w:hyperlink r:id="rId102">
        <w:r>
          <w:rPr>
            <w:rFonts w:ascii="Arial" w:cs="Arial" w:eastAsia="Arial" w:hAnsi="Arial"/>
            <w:sz w:val="18"/>
            <w:szCs w:val="18"/>
            <w:u w:val="single" w:color="auto"/>
            <w:color w:val="0000EE"/>
          </w:rPr>
          <w:t>Specimen certificate relating to the 5.000% Series C Cumulative Redeemable Preferred Shares of Beneficial Interest (previously filed as</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Exhibit 4.3 to the Trust’s Registration Statement on Form 8-A (File No. 1-07533), filed on September 29, 2017 and incorporated herein by</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reference)</w:t>
        </w:r>
      </w:hyperlink>
    </w:p>
    <w:p>
      <w:pPr>
        <w:spacing w:after="0" w:line="76" w:lineRule="exact"/>
        <w:rPr>
          <w:rFonts w:ascii="Arial" w:cs="Arial" w:eastAsia="Arial" w:hAnsi="Arial"/>
          <w:sz w:val="18"/>
          <w:szCs w:val="18"/>
          <w:u w:val="single" w:color="auto"/>
          <w:color w:val="0000EE"/>
        </w:rPr>
      </w:pPr>
    </w:p>
    <w:p>
      <w:pPr>
        <w:ind w:left="200"/>
        <w:spacing w:after="0"/>
        <w:tabs>
          <w:tab w:leader="none" w:pos="8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Form of Subordinated Indenture*</w:t>
      </w:r>
    </w:p>
    <w:p>
      <w:pPr>
        <w:spacing w:after="0" w:line="117" w:lineRule="exact"/>
        <w:rPr>
          <w:rFonts w:ascii="Arial" w:cs="Arial" w:eastAsia="Arial" w:hAnsi="Arial"/>
          <w:sz w:val="18"/>
          <w:szCs w:val="18"/>
          <w:u w:val="single" w:color="auto"/>
          <w:color w:val="0000EE"/>
        </w:rPr>
      </w:pPr>
    </w:p>
    <w:p>
      <w:pPr>
        <w:ind w:left="200"/>
        <w:spacing w:after="0"/>
        <w:tabs>
          <w:tab w:leader="none" w:pos="8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Form of Warrant Agreement*</w:t>
      </w:r>
    </w:p>
    <w:p>
      <w:pPr>
        <w:spacing w:after="0" w:line="117" w:lineRule="exact"/>
        <w:rPr>
          <w:rFonts w:ascii="Arial" w:cs="Arial" w:eastAsia="Arial" w:hAnsi="Arial"/>
          <w:sz w:val="18"/>
          <w:szCs w:val="18"/>
          <w:u w:val="single" w:color="auto"/>
          <w:color w:val="0000EE"/>
        </w:rPr>
      </w:pPr>
    </w:p>
    <w:p>
      <w:pPr>
        <w:ind w:left="200"/>
        <w:spacing w:after="0"/>
        <w:tabs>
          <w:tab w:leader="none" w:pos="8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Form of Certificate for Preferred Shares*</w:t>
      </w:r>
    </w:p>
    <w:p>
      <w:pPr>
        <w:spacing w:after="0" w:line="117" w:lineRule="exact"/>
        <w:rPr>
          <w:rFonts w:ascii="Arial" w:cs="Arial" w:eastAsia="Arial" w:hAnsi="Arial"/>
          <w:sz w:val="18"/>
          <w:szCs w:val="18"/>
          <w:u w:val="single" w:color="auto"/>
          <w:color w:val="0000EE"/>
        </w:rPr>
      </w:pPr>
    </w:p>
    <w:p>
      <w:pPr>
        <w:ind w:left="200"/>
        <w:spacing w:after="0"/>
        <w:tabs>
          <w:tab w:leader="none" w:pos="8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Form of Deposit Agreement and Depositary Receipt*</w:t>
      </w:r>
    </w:p>
    <w:p>
      <w:pPr>
        <w:spacing w:after="0" w:line="117" w:lineRule="exact"/>
        <w:rPr>
          <w:rFonts w:ascii="Arial" w:cs="Arial" w:eastAsia="Arial" w:hAnsi="Arial"/>
          <w:sz w:val="18"/>
          <w:szCs w:val="18"/>
          <w:u w:val="single" w:color="auto"/>
          <w:color w:val="0000EE"/>
        </w:rPr>
      </w:pPr>
    </w:p>
    <w:p>
      <w:pPr>
        <w:ind w:left="200"/>
        <w:spacing w:after="0"/>
        <w:tabs>
          <w:tab w:leader="none" w:pos="8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Form of Share Purchase Contract*</w:t>
      </w:r>
    </w:p>
    <w:p>
      <w:pPr>
        <w:spacing w:after="0" w:line="117" w:lineRule="exact"/>
        <w:rPr>
          <w:rFonts w:ascii="Arial" w:cs="Arial" w:eastAsia="Arial" w:hAnsi="Arial"/>
          <w:sz w:val="18"/>
          <w:szCs w:val="18"/>
          <w:u w:val="single" w:color="auto"/>
          <w:color w:val="0000EE"/>
        </w:rPr>
      </w:pPr>
    </w:p>
    <w:p>
      <w:pPr>
        <w:ind w:left="200"/>
        <w:spacing w:after="0"/>
        <w:tabs>
          <w:tab w:leader="none" w:pos="8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7"/>
          <w:szCs w:val="17"/>
          <w:color w:val="auto"/>
        </w:rPr>
        <w:t>Form of Unit Agreement (including form of Unit Certificate)*</w:t>
      </w:r>
    </w:p>
    <w:p>
      <w:pPr>
        <w:spacing w:after="0" w:line="117" w:lineRule="exact"/>
        <w:rPr>
          <w:rFonts w:ascii="Arial" w:cs="Arial" w:eastAsia="Arial" w:hAnsi="Arial"/>
          <w:sz w:val="18"/>
          <w:szCs w:val="18"/>
          <w:u w:val="single" w:color="auto"/>
          <w:color w:val="0000EE"/>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66">
        <w:r>
          <w:rPr>
            <w:rFonts w:ascii="Arial" w:cs="Arial" w:eastAsia="Arial" w:hAnsi="Arial"/>
            <w:sz w:val="16"/>
            <w:szCs w:val="16"/>
            <w:u w:val="single" w:color="auto"/>
            <w:color w:val="0000EE"/>
          </w:rPr>
          <w:t>Opinion of Pillsbury Winthrop Shaw Pittman LLP regarding the legality of the securities being registered (filed herewith)</w:t>
        </w:r>
      </w:hyperlink>
    </w:p>
    <w:p>
      <w:pPr>
        <w:spacing w:after="0" w:line="117" w:lineRule="exact"/>
        <w:rPr>
          <w:rFonts w:ascii="Arial" w:cs="Arial" w:eastAsia="Arial" w:hAnsi="Arial"/>
          <w:sz w:val="18"/>
          <w:szCs w:val="18"/>
          <w:u w:val="single" w:color="auto"/>
          <w:color w:val="0000EE"/>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8.1</w:t>
      </w:r>
      <w:r>
        <w:rPr>
          <w:sz w:val="20"/>
          <w:szCs w:val="20"/>
          <w:color w:val="auto"/>
        </w:rPr>
        <w:tab/>
      </w:r>
      <w:hyperlink w:anchor="page69">
        <w:r>
          <w:rPr>
            <w:rFonts w:ascii="Arial" w:cs="Arial" w:eastAsia="Arial" w:hAnsi="Arial"/>
            <w:sz w:val="16"/>
            <w:szCs w:val="16"/>
            <w:u w:val="single" w:color="auto"/>
            <w:color w:val="0000EE"/>
          </w:rPr>
          <w:t>Opinion of Pillsbury Winthrop Shaw Pittman LLP regarding certain federal income tax matters (filed herewith)</w:t>
        </w:r>
      </w:hyperlink>
    </w:p>
    <w:p>
      <w:pPr>
        <w:spacing w:after="0" w:line="117" w:lineRule="exact"/>
        <w:rPr>
          <w:rFonts w:ascii="Arial" w:cs="Arial" w:eastAsia="Arial" w:hAnsi="Arial"/>
          <w:sz w:val="18"/>
          <w:szCs w:val="18"/>
          <w:u w:val="single" w:color="auto"/>
          <w:color w:val="0000EE"/>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72">
        <w:r>
          <w:rPr>
            <w:rFonts w:ascii="Arial" w:cs="Arial" w:eastAsia="Arial" w:hAnsi="Arial"/>
            <w:sz w:val="16"/>
            <w:szCs w:val="16"/>
            <w:u w:val="single" w:color="auto"/>
            <w:color w:val="0000EE"/>
          </w:rPr>
          <w:t>Consent of Grant Thornton LLP (filed herewith)</w:t>
        </w:r>
      </w:hyperlink>
    </w:p>
    <w:p>
      <w:pPr>
        <w:spacing w:after="0" w:line="158" w:lineRule="exact"/>
        <w:rPr>
          <w:rFonts w:ascii="Arial" w:cs="Arial" w:eastAsia="Arial" w:hAnsi="Arial"/>
          <w:sz w:val="18"/>
          <w:szCs w:val="18"/>
          <w:u w:val="single" w:color="auto"/>
          <w:color w:val="0000EE"/>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80"/>
          </w:cols>
          <w:pgMar w:left="32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880" w:val="left"/>
        </w:tabs>
        <w:rPr>
          <w:rFonts w:ascii="Arial" w:cs="Arial" w:eastAsia="Arial" w:hAnsi="Arial"/>
          <w:sz w:val="16"/>
          <w:szCs w:val="16"/>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 xml:space="preserve">Consent of Pillsbury Winthrop Shaw Pittman LLP (included in Exhibits </w:t>
      </w:r>
      <w:hyperlink w:anchor="page66">
        <w:r>
          <w:rPr>
            <w:rFonts w:ascii="Arial" w:cs="Arial" w:eastAsia="Arial" w:hAnsi="Arial"/>
            <w:sz w:val="16"/>
            <w:szCs w:val="16"/>
            <w:u w:val="single" w:color="auto"/>
            <w:color w:val="0000EE"/>
          </w:rPr>
          <w:t>5.1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69">
        <w:r>
          <w:rPr>
            <w:rFonts w:ascii="Arial" w:cs="Arial" w:eastAsia="Arial" w:hAnsi="Arial"/>
            <w:sz w:val="16"/>
            <w:szCs w:val="16"/>
            <w:u w:val="single" w:color="auto"/>
            <w:color w:val="0000EE"/>
          </w:rPr>
          <w:t>8.1</w:t>
        </w:r>
      </w:hyperlink>
      <w:r>
        <w:rPr>
          <w:rFonts w:ascii="Arial" w:cs="Arial" w:eastAsia="Arial" w:hAnsi="Arial"/>
          <w:sz w:val="16"/>
          <w:szCs w:val="16"/>
          <w:color w:val="auto"/>
        </w:rPr>
        <w:t>).</w:t>
      </w:r>
    </w:p>
    <w:p>
      <w:pPr>
        <w:spacing w:after="0" w:line="117"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73">
        <w:r>
          <w:rPr>
            <w:rFonts w:ascii="Arial" w:cs="Arial" w:eastAsia="Arial" w:hAnsi="Arial"/>
            <w:sz w:val="16"/>
            <w:szCs w:val="16"/>
            <w:u w:val="single" w:color="auto"/>
            <w:color w:val="0000EE"/>
          </w:rPr>
          <w:t>Power of Attorney (filed herewith)</w:t>
        </w:r>
      </w:hyperlink>
    </w:p>
    <w:p>
      <w:pPr>
        <w:spacing w:after="0" w:line="117"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25.1</w:t>
      </w:r>
      <w:r>
        <w:rPr>
          <w:sz w:val="20"/>
          <w:szCs w:val="20"/>
          <w:color w:val="auto"/>
        </w:rPr>
        <w:tab/>
      </w:r>
      <w:hyperlink w:anchor="page74">
        <w:r>
          <w:rPr>
            <w:rFonts w:ascii="Arial" w:cs="Arial" w:eastAsia="Arial" w:hAnsi="Arial"/>
            <w:sz w:val="16"/>
            <w:szCs w:val="16"/>
            <w:u w:val="single" w:color="auto"/>
            <w:color w:val="0000EE"/>
          </w:rPr>
          <w:t>Statement of Eligibility of Trustee on Form T-1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offered securities.</w:t>
      </w:r>
    </w:p>
    <w:p>
      <w:pPr>
        <w:spacing w:after="0" w:line="23" w:lineRule="exact"/>
        <w:rPr>
          <w:sz w:val="20"/>
          <w:szCs w:val="20"/>
          <w:color w:val="auto"/>
        </w:rPr>
      </w:pPr>
    </w:p>
    <w:p>
      <w:pPr>
        <w:ind w:left="540" w:hanging="424"/>
        <w:spacing w:after="0" w:line="260"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Pursuant to Regulation S-K Item 601(b)(4)(iii), the Trust by this filing agrees, upon request, to furnish to the Securities and Exchange Commission a copy of other instruments defining the rights of holders of long-term debt of the Trust.</w:t>
      </w:r>
    </w:p>
    <w:p>
      <w:pPr>
        <w:spacing w:after="0" w:line="33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800" w:hanging="244"/>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720" w:hanging="212"/>
        <w:spacing w:after="0"/>
        <w:tabs>
          <w:tab w:leader="none" w:pos="17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117" w:lineRule="exact"/>
        <w:rPr>
          <w:rFonts w:ascii="Arial" w:cs="Arial" w:eastAsia="Arial" w:hAnsi="Arial"/>
          <w:sz w:val="18"/>
          <w:szCs w:val="18"/>
          <w:color w:val="auto"/>
        </w:rPr>
      </w:pPr>
    </w:p>
    <w:p>
      <w:pPr>
        <w:ind w:left="1100" w:firstLine="408"/>
        <w:spacing w:after="0" w:line="272" w:lineRule="auto"/>
        <w:tabs>
          <w:tab w:leader="none" w:pos="1766" w:val="left"/>
        </w:tabs>
        <w:numPr>
          <w:ilvl w:val="2"/>
          <w:numId w:val="8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1100" w:right="120" w:firstLine="408"/>
        <w:spacing w:after="0" w:line="277" w:lineRule="auto"/>
        <w:tabs>
          <w:tab w:leader="none" w:pos="1816" w:val="left"/>
        </w:tabs>
        <w:numPr>
          <w:ilvl w:val="2"/>
          <w:numId w:val="8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undersigned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3" w:lineRule="exact"/>
        <w:rPr>
          <w:sz w:val="20"/>
          <w:szCs w:val="20"/>
          <w:color w:val="auto"/>
        </w:rPr>
      </w:pPr>
    </w:p>
    <w:p>
      <w:pPr>
        <w:ind w:left="560" w:right="80" w:firstLine="419"/>
        <w:spacing w:after="0" w:line="263" w:lineRule="auto"/>
        <w:tabs>
          <w:tab w:leader="none" w:pos="1238"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5" w:lineRule="exact"/>
        <w:rPr>
          <w:rFonts w:ascii="Arial" w:cs="Arial" w:eastAsia="Arial" w:hAnsi="Arial"/>
          <w:sz w:val="18"/>
          <w:szCs w:val="18"/>
          <w:color w:val="auto"/>
        </w:rPr>
      </w:pPr>
    </w:p>
    <w:p>
      <w:pPr>
        <w:ind w:left="560" w:right="200" w:firstLine="419"/>
        <w:spacing w:after="0" w:line="277" w:lineRule="auto"/>
        <w:tabs>
          <w:tab w:leader="none" w:pos="123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117" w:lineRule="exact"/>
        <w:rPr>
          <w:rFonts w:ascii="Arial" w:cs="Arial" w:eastAsia="Arial" w:hAnsi="Arial"/>
          <w:sz w:val="18"/>
          <w:szCs w:val="18"/>
          <w:color w:val="auto"/>
        </w:rPr>
      </w:pPr>
    </w:p>
    <w:p>
      <w:pPr>
        <w:ind w:left="1100" w:right="60" w:firstLine="408"/>
        <w:spacing w:after="0" w:line="277" w:lineRule="auto"/>
        <w:tabs>
          <w:tab w:leader="none" w:pos="1716" w:val="left"/>
        </w:tabs>
        <w:numPr>
          <w:ilvl w:val="1"/>
          <w:numId w:val="8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100" w:right="100" w:firstLine="408"/>
        <w:spacing w:after="0" w:line="263" w:lineRule="auto"/>
        <w:tabs>
          <w:tab w:leader="none" w:pos="1766" w:val="left"/>
        </w:tabs>
        <w:numPr>
          <w:ilvl w:val="1"/>
          <w:numId w:val="86"/>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69" w:lineRule="auto"/>
        <w:rPr>
          <w:sz w:val="20"/>
          <w:szCs w:val="20"/>
          <w:color w:val="auto"/>
        </w:rPr>
      </w:pPr>
      <w:r>
        <w:rPr>
          <w:rFonts w:ascii="Arial" w:cs="Arial" w:eastAsia="Arial" w:hAnsi="Arial"/>
          <w:sz w:val="17"/>
          <w:szCs w:val="17"/>
          <w:color w:val="auto"/>
        </w:rPr>
        <w:t xml:space="preserve">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7" w:lineRule="exact"/>
        <w:rPr>
          <w:sz w:val="20"/>
          <w:szCs w:val="20"/>
          <w:color w:val="auto"/>
        </w:rPr>
      </w:pPr>
    </w:p>
    <w:p>
      <w:pPr>
        <w:ind w:left="560" w:right="440" w:firstLine="419"/>
        <w:spacing w:after="0" w:line="277" w:lineRule="auto"/>
        <w:tabs>
          <w:tab w:leader="none" w:pos="12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sz w:val="20"/>
          <w:szCs w:val="20"/>
          <w:color w:val="auto"/>
        </w:rPr>
      </w:pPr>
    </w:p>
    <w:p>
      <w:pPr>
        <w:ind w:left="1100" w:right="380" w:firstLine="408"/>
        <w:spacing w:after="0" w:line="277" w:lineRule="auto"/>
        <w:tabs>
          <w:tab w:leader="none" w:pos="1716"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100" w:firstLine="408"/>
        <w:spacing w:after="0" w:line="277" w:lineRule="auto"/>
        <w:tabs>
          <w:tab w:leader="none" w:pos="1766"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1100" w:right="260" w:firstLine="408"/>
        <w:spacing w:after="0" w:line="277" w:lineRule="auto"/>
        <w:tabs>
          <w:tab w:leader="none" w:pos="1816"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820" w:hanging="312"/>
        <w:spacing w:after="0"/>
        <w:tabs>
          <w:tab w:leader="none" w:pos="18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120" w:right="260" w:firstLine="436"/>
        <w:spacing w:after="0" w:line="275" w:lineRule="auto"/>
        <w:tabs>
          <w:tab w:leader="none" w:pos="81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Arial" w:cs="Arial" w:eastAsia="Arial" w:hAnsi="Arial"/>
          <w:sz w:val="17"/>
          <w:szCs w:val="17"/>
          <w:color w:val="auto"/>
        </w:rPr>
      </w:pPr>
    </w:p>
    <w:p>
      <w:pPr>
        <w:ind w:left="120" w:right="140" w:firstLine="436"/>
        <w:spacing w:after="0" w:line="290" w:lineRule="auto"/>
        <w:tabs>
          <w:tab w:leader="none" w:pos="805"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65" w:lineRule="exact"/>
        <w:rPr>
          <w:rFonts w:ascii="Arial" w:cs="Arial" w:eastAsia="Arial" w:hAnsi="Arial"/>
          <w:sz w:val="16"/>
          <w:szCs w:val="16"/>
          <w:color w:val="auto"/>
        </w:rPr>
      </w:pPr>
    </w:p>
    <w:p>
      <w:pPr>
        <w:ind w:left="120" w:right="360" w:firstLine="436"/>
        <w:spacing w:after="0" w:line="263" w:lineRule="auto"/>
        <w:tabs>
          <w:tab w:leader="none" w:pos="81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North Bethesda, State of Maryland, on May 7, 2021.</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Executive Vice President-General Counsel</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and Secretary</w:t>
      </w:r>
    </w:p>
    <w:p>
      <w:pPr>
        <w:spacing w:after="0" w:line="2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20" w:type="dxa"/>
            <w:vAlign w:val="bottom"/>
            <w:gridSpan w:val="2"/>
          </w:tcPr>
          <w:p>
            <w:pPr>
              <w:ind w:left="1780"/>
              <w:spacing w:after="0"/>
              <w:rPr>
                <w:sz w:val="20"/>
                <w:szCs w:val="20"/>
                <w:color w:val="auto"/>
              </w:rPr>
            </w:pPr>
            <w:r>
              <w:rPr>
                <w:rFonts w:ascii="Arial" w:cs="Arial" w:eastAsia="Arial" w:hAnsi="Arial"/>
                <w:sz w:val="14"/>
                <w:szCs w:val="14"/>
                <w:b w:val="1"/>
                <w:bCs w:val="1"/>
                <w:color w:val="auto"/>
                <w:w w:val="99"/>
              </w:rPr>
              <w:t>SIGNATURE</w:t>
            </w:r>
          </w:p>
        </w:tc>
        <w:tc>
          <w:tcPr>
            <w:tcW w:w="1780" w:type="dxa"/>
            <w:vAlign w:val="bottom"/>
          </w:tcPr>
          <w:p>
            <w:pPr>
              <w:spacing w:after="0"/>
              <w:rPr>
                <w:sz w:val="14"/>
                <w:szCs w:val="14"/>
                <w:color w:val="auto"/>
              </w:rPr>
            </w:pPr>
          </w:p>
        </w:tc>
        <w:tc>
          <w:tcPr>
            <w:tcW w:w="5120" w:type="dxa"/>
            <w:vAlign w:val="bottom"/>
            <w:gridSpan w:val="3"/>
          </w:tcPr>
          <w:p>
            <w:pPr>
              <w:ind w:left="2280"/>
              <w:spacing w:after="0"/>
              <w:rPr>
                <w:sz w:val="20"/>
                <w:szCs w:val="20"/>
                <w:color w:val="auto"/>
              </w:rPr>
            </w:pPr>
            <w:r>
              <w:rPr>
                <w:rFonts w:ascii="Arial" w:cs="Arial" w:eastAsia="Arial" w:hAnsi="Arial"/>
                <w:sz w:val="14"/>
                <w:szCs w:val="14"/>
                <w:b w:val="1"/>
                <w:bCs w:val="1"/>
                <w:color w:val="auto"/>
              </w:rPr>
              <w:t>TITLE</w:t>
            </w:r>
          </w:p>
        </w:tc>
        <w:tc>
          <w:tcPr>
            <w:tcW w:w="124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rPr>
              <w:t>DATE</w:t>
            </w:r>
          </w:p>
        </w:tc>
      </w:tr>
      <w:tr>
        <w:trPr>
          <w:trHeight w:val="20"/>
        </w:trPr>
        <w:tc>
          <w:tcPr>
            <w:tcW w:w="1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26"/>
        </w:trPr>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w w:val="98"/>
              </w:rPr>
              <w:t>Chief Executive Officer (principal executive officer) and Trustee</w:t>
            </w:r>
          </w:p>
        </w:tc>
        <w:tc>
          <w:tcPr>
            <w:tcW w:w="1240" w:type="dxa"/>
            <w:vAlign w:val="bottom"/>
            <w:gridSpan w:val="3"/>
          </w:tcPr>
          <w:p>
            <w:pPr>
              <w:jc w:val="center"/>
              <w:ind w:left="232"/>
              <w:spacing w:after="0"/>
              <w:rPr>
                <w:sz w:val="20"/>
                <w:szCs w:val="20"/>
                <w:color w:val="auto"/>
              </w:rPr>
            </w:pPr>
            <w:r>
              <w:rPr>
                <w:rFonts w:ascii="Arial" w:cs="Arial" w:eastAsia="Arial" w:hAnsi="Arial"/>
                <w:sz w:val="18"/>
                <w:szCs w:val="18"/>
                <w:color w:val="auto"/>
                <w:w w:val="92"/>
              </w:rPr>
              <w:t>May 7, 2021</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7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1780" w:type="dxa"/>
            <w:vAlign w:val="bottom"/>
            <w:tcBorders>
              <w:bottom w:val="single" w:sz="8" w:color="auto"/>
            </w:tcBorders>
          </w:tcPr>
          <w:p>
            <w:pPr>
              <w:spacing w:after="0"/>
              <w:rPr>
                <w:sz w:val="24"/>
                <w:szCs w:val="24"/>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w w:val="99"/>
              </w:rPr>
              <w:t>Executive Vice President-Chief Financial Officer and Treasurer</w:t>
            </w:r>
          </w:p>
        </w:tc>
        <w:tc>
          <w:tcPr>
            <w:tcW w:w="1240" w:type="dxa"/>
            <w:vAlign w:val="bottom"/>
            <w:gridSpan w:val="3"/>
          </w:tcPr>
          <w:p>
            <w:pPr>
              <w:jc w:val="center"/>
              <w:ind w:left="232"/>
              <w:spacing w:after="0"/>
              <w:rPr>
                <w:sz w:val="20"/>
                <w:szCs w:val="20"/>
                <w:color w:val="auto"/>
              </w:rPr>
            </w:pPr>
            <w:r>
              <w:rPr>
                <w:rFonts w:ascii="Arial" w:cs="Arial" w:eastAsia="Arial" w:hAnsi="Arial"/>
                <w:sz w:val="18"/>
                <w:szCs w:val="18"/>
                <w:color w:val="auto"/>
                <w:w w:val="92"/>
              </w:rPr>
              <w:t>May 7, 2021</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1780" w:type="dxa"/>
            <w:vAlign w:val="bottom"/>
          </w:tcPr>
          <w:p>
            <w:pPr>
              <w:spacing w:after="0"/>
              <w:rPr>
                <w:sz w:val="19"/>
                <w:szCs w:val="19"/>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ind w:left="21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spacing w:after="0"/>
              <w:rPr>
                <w:sz w:val="24"/>
                <w:szCs w:val="24"/>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Trustee and Non-Executive Chairman</w:t>
            </w:r>
          </w:p>
        </w:tc>
        <w:tc>
          <w:tcPr>
            <w:tcW w:w="1240" w:type="dxa"/>
            <w:vAlign w:val="bottom"/>
            <w:gridSpan w:val="3"/>
          </w:tcPr>
          <w:p>
            <w:pPr>
              <w:jc w:val="center"/>
              <w:ind w:left="232"/>
              <w:spacing w:after="0"/>
              <w:rPr>
                <w:sz w:val="20"/>
                <w:szCs w:val="20"/>
                <w:color w:val="auto"/>
              </w:rPr>
            </w:pPr>
            <w:r>
              <w:rPr>
                <w:rFonts w:ascii="Arial" w:cs="Arial" w:eastAsia="Arial" w:hAnsi="Arial"/>
                <w:sz w:val="18"/>
                <w:szCs w:val="18"/>
                <w:color w:val="auto"/>
                <w:w w:val="92"/>
              </w:rPr>
              <w:t>May 7, 2021</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7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ind w:left="21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spacing w:after="0"/>
              <w:rPr>
                <w:sz w:val="24"/>
                <w:szCs w:val="24"/>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Trustee</w:t>
            </w:r>
          </w:p>
        </w:tc>
        <w:tc>
          <w:tcPr>
            <w:tcW w:w="1240" w:type="dxa"/>
            <w:vAlign w:val="bottom"/>
            <w:gridSpan w:val="3"/>
          </w:tcPr>
          <w:p>
            <w:pPr>
              <w:jc w:val="center"/>
              <w:ind w:left="232"/>
              <w:spacing w:after="0"/>
              <w:rPr>
                <w:sz w:val="20"/>
                <w:szCs w:val="20"/>
                <w:color w:val="auto"/>
              </w:rPr>
            </w:pPr>
            <w:r>
              <w:rPr>
                <w:rFonts w:ascii="Arial" w:cs="Arial" w:eastAsia="Arial" w:hAnsi="Arial"/>
                <w:sz w:val="18"/>
                <w:szCs w:val="18"/>
                <w:color w:val="auto"/>
                <w:w w:val="92"/>
              </w:rPr>
              <w:t>May 7, 2021</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7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ind w:left="21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spacing w:after="0"/>
              <w:rPr>
                <w:sz w:val="24"/>
                <w:szCs w:val="24"/>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Trustee</w:t>
            </w:r>
          </w:p>
        </w:tc>
        <w:tc>
          <w:tcPr>
            <w:tcW w:w="1240" w:type="dxa"/>
            <w:vAlign w:val="bottom"/>
            <w:gridSpan w:val="3"/>
          </w:tcPr>
          <w:p>
            <w:pPr>
              <w:jc w:val="center"/>
              <w:ind w:left="232"/>
              <w:spacing w:after="0"/>
              <w:rPr>
                <w:sz w:val="20"/>
                <w:szCs w:val="20"/>
                <w:color w:val="auto"/>
              </w:rPr>
            </w:pPr>
            <w:r>
              <w:rPr>
                <w:rFonts w:ascii="Arial" w:cs="Arial" w:eastAsia="Arial" w:hAnsi="Arial"/>
                <w:sz w:val="18"/>
                <w:szCs w:val="18"/>
                <w:color w:val="auto"/>
                <w:w w:val="92"/>
              </w:rPr>
              <w:t>May 7, 2021</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7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ind w:left="21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spacing w:after="0"/>
              <w:rPr>
                <w:sz w:val="24"/>
                <w:szCs w:val="24"/>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Trustee</w:t>
            </w:r>
          </w:p>
        </w:tc>
        <w:tc>
          <w:tcPr>
            <w:tcW w:w="1240" w:type="dxa"/>
            <w:vAlign w:val="bottom"/>
            <w:gridSpan w:val="3"/>
          </w:tcPr>
          <w:p>
            <w:pPr>
              <w:jc w:val="center"/>
              <w:ind w:left="232"/>
              <w:spacing w:after="0"/>
              <w:rPr>
                <w:sz w:val="20"/>
                <w:szCs w:val="20"/>
                <w:color w:val="auto"/>
              </w:rPr>
            </w:pPr>
            <w:r>
              <w:rPr>
                <w:rFonts w:ascii="Arial" w:cs="Arial" w:eastAsia="Arial" w:hAnsi="Arial"/>
                <w:sz w:val="18"/>
                <w:szCs w:val="18"/>
                <w:color w:val="auto"/>
                <w:w w:val="92"/>
              </w:rPr>
              <w:t>May 7, 2021</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7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45"/>
        </w:trPr>
        <w:tc>
          <w:tcPr>
            <w:tcW w:w="2620" w:type="dxa"/>
            <w:vAlign w:val="bottom"/>
            <w:tcBorders>
              <w:bottom w:val="single" w:sz="8" w:color="auto"/>
            </w:tcBorders>
            <w:gridSpan w:val="2"/>
          </w:tcPr>
          <w:p>
            <w:pPr>
              <w:ind w:left="21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spacing w:after="0"/>
              <w:rPr>
                <w:sz w:val="24"/>
                <w:szCs w:val="24"/>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Trustee</w:t>
            </w:r>
          </w:p>
        </w:tc>
        <w:tc>
          <w:tcPr>
            <w:tcW w:w="1240" w:type="dxa"/>
            <w:vAlign w:val="bottom"/>
            <w:gridSpan w:val="3"/>
          </w:tcPr>
          <w:p>
            <w:pPr>
              <w:jc w:val="center"/>
              <w:ind w:left="232"/>
              <w:spacing w:after="0"/>
              <w:rPr>
                <w:sz w:val="20"/>
                <w:szCs w:val="20"/>
                <w:color w:val="auto"/>
              </w:rPr>
            </w:pPr>
            <w:r>
              <w:rPr>
                <w:rFonts w:ascii="Arial" w:cs="Arial" w:eastAsia="Arial" w:hAnsi="Arial"/>
                <w:sz w:val="18"/>
                <w:szCs w:val="18"/>
                <w:color w:val="auto"/>
                <w:w w:val="92"/>
              </w:rPr>
              <w:t>May 7, 2021</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7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ind w:left="21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spacing w:after="0"/>
              <w:rPr>
                <w:sz w:val="24"/>
                <w:szCs w:val="24"/>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Trustee</w:t>
            </w:r>
          </w:p>
        </w:tc>
        <w:tc>
          <w:tcPr>
            <w:tcW w:w="1240" w:type="dxa"/>
            <w:vAlign w:val="bottom"/>
            <w:gridSpan w:val="3"/>
          </w:tcPr>
          <w:p>
            <w:pPr>
              <w:jc w:val="center"/>
              <w:ind w:left="232"/>
              <w:spacing w:after="0"/>
              <w:rPr>
                <w:sz w:val="20"/>
                <w:szCs w:val="20"/>
                <w:color w:val="auto"/>
              </w:rPr>
            </w:pPr>
            <w:r>
              <w:rPr>
                <w:rFonts w:ascii="Arial" w:cs="Arial" w:eastAsia="Arial" w:hAnsi="Arial"/>
                <w:sz w:val="18"/>
                <w:szCs w:val="18"/>
                <w:color w:val="auto"/>
                <w:w w:val="92"/>
              </w:rPr>
              <w:t>May 7, 2021</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7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4860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Attorney-in-fact</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940"/>
          </w:cols>
          <w:pgMar w:left="320" w:top="459" w:right="6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7,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North Bethesda, Maryland 20852</w:t>
      </w:r>
    </w:p>
    <w:p>
      <w:pPr>
        <w:spacing w:after="0" w:line="238"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Re:</w:t>
        <w:tab/>
        <w:t>Registration Statement on Form S-3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340"/>
        <w:spacing w:after="0" w:line="285"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Registration Statement on Form S-3 (the “Registration Statement”) relating to the registration under the Securities Act of 1933 (the “Act”) of an indeterminate initial offering amount of the following securities of the Company: (a) common shares of beneficial interest, par value $0.01 per share (“Common Shares”), (b) preferred shares of beneficial interest, par value $0.01 per share (“Preferred Shares”), in one or more series, (c) depositary shares evidenced by depositary receipts (“Depositary Receipts”), each representing fractional interests in Preferred Shares (“Depositary Shares”),</w:t>
      </w:r>
    </w:p>
    <w:p>
      <w:pPr>
        <w:spacing w:after="0" w:line="2" w:lineRule="exact"/>
        <w:rPr>
          <w:sz w:val="20"/>
          <w:szCs w:val="20"/>
          <w:color w:val="auto"/>
        </w:rPr>
      </w:pPr>
    </w:p>
    <w:p>
      <w:pPr>
        <w:ind w:left="4" w:right="260" w:hanging="4"/>
        <w:spacing w:after="0" w:line="253" w:lineRule="auto"/>
        <w:tabs>
          <w:tab w:leader="none" w:pos="259"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senior or subordinated debt securities (“Debt Securities”), (e) warrants to purchase Common Shares or Preferred Shares (“Warrants”), (f) share purchase contracts to purchase Common Shares or Preferred Shares (“Share Purchase Contracts”) and (g) units consisting of two or more of the securities described above (“Units”). The Common Shares, Preferred Shares, Depositary Shares, Debt Securities, Warrants, Share Purchase Contracts and Units are collectively referred to herein as the “Securities.”</w:t>
      </w:r>
    </w:p>
    <w:p>
      <w:pPr>
        <w:spacing w:after="0" w:line="193" w:lineRule="exact"/>
        <w:rPr>
          <w:sz w:val="20"/>
          <w:szCs w:val="20"/>
          <w:color w:val="auto"/>
        </w:rPr>
      </w:pPr>
    </w:p>
    <w:p>
      <w:pPr>
        <w:ind w:left="4" w:right="20"/>
        <w:spacing w:after="0" w:line="287" w:lineRule="auto"/>
        <w:rPr>
          <w:sz w:val="20"/>
          <w:szCs w:val="20"/>
          <w:color w:val="auto"/>
        </w:rPr>
      </w:pPr>
      <w:r>
        <w:rPr>
          <w:rFonts w:ascii="Arial" w:cs="Arial" w:eastAsia="Arial" w:hAnsi="Arial"/>
          <w:sz w:val="16"/>
          <w:szCs w:val="16"/>
          <w:color w:val="auto"/>
        </w:rPr>
        <w:t>The Debt Securities will be issued pursuant to one or more indentures, including the Senior Indenture dated as of September 1, 1998 between the Company and U.S. Bank National Association (successor to Wachovia Bank National Association (formerly First Union National Bank)), as Trustee (the “Senior Debt Indenture”), filed as Exhibit 4.4 to the Registration Statement, and any additional indentures entered into from time to time (the “Indentures”). The Preferred Shares may be offered in any class or series and to the extent required will be offered and sold pursuant to articles supplementary and/or amendments to the Declaration of Trust (as defined below), which are to be filed with the Maryland State Department of Assessments and Taxation (“SDAT”). Any Depositary Shares will be issued under one or more deposit agreements (each, a “Deposit Agreement”), each between the Company and a financial institution identified therein as the depositary (each, a “Depositary”). Any Warrants will be issued under one or more warrant agreements (each, a “Warrant Agreement”), each between the Company and a financial institution identified therein as a warrant agent (each, a “Warrant Agent”). Any Share Purchase Contracts will be issued under one or more share purchase contract agreements (each, a “Share Purchase Contract Agreement”), each between the Company and a financial institution identified therein as a share purchase contract agent (each, a “Share Purchase Contract Agent”). Any Units will be issued under one or more unit agreements (each, a “Unit Agreement”), each between the Company and a financial institution identified therein as a unit agent (each, a “Unit Agent”).</w:t>
      </w:r>
    </w:p>
    <w:p>
      <w:pPr>
        <w:spacing w:after="0" w:line="168" w:lineRule="exact"/>
        <w:rPr>
          <w:sz w:val="20"/>
          <w:szCs w:val="20"/>
          <w:color w:val="auto"/>
        </w:rPr>
      </w:pPr>
    </w:p>
    <w:p>
      <w:pPr>
        <w:ind w:left="4" w:right="220"/>
        <w:spacing w:after="0" w:line="296" w:lineRule="auto"/>
        <w:rPr>
          <w:sz w:val="20"/>
          <w:szCs w:val="20"/>
          <w:color w:val="auto"/>
        </w:rPr>
      </w:pPr>
      <w:r>
        <w:rPr>
          <w:rFonts w:ascii="Arial" w:cs="Arial" w:eastAsia="Arial" w:hAnsi="Arial"/>
          <w:sz w:val="16"/>
          <w:szCs w:val="16"/>
          <w:color w:val="auto"/>
        </w:rPr>
        <w:t>We have reviewed and are familiar with such corporate proceedings and other matters as we have deemed necessary for this opinion. In rendering this opinion, we have assumed that the Senior Debt Indenture has been and the Indentures, other than the Senior Debt Indenture, will be duly authorized, executed and delivered by the respective Trustee, where applicable, the Securities will be properly authenticated by the manual signature of an authorized representative of the applicable Trustee, Warrant Agent, Depositary, Share Purchase Contract Agent, Unit Agent or transfer agent, and the signatures on all documents examined by us are genuine, which assumptions we have not independently verified.</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the basis of the assumptions and subject to the qualifications and limitations set forth herein, we are of the opinion that:</w:t>
      </w:r>
    </w:p>
    <w:p>
      <w:pPr>
        <w:spacing w:after="0" w:line="225" w:lineRule="exact"/>
        <w:rPr>
          <w:sz w:val="20"/>
          <w:szCs w:val="20"/>
          <w:color w:val="auto"/>
        </w:rPr>
      </w:pPr>
    </w:p>
    <w:p>
      <w:pPr>
        <w:ind w:left="4" w:right="160" w:hanging="4"/>
        <w:spacing w:after="0" w:line="311" w:lineRule="auto"/>
        <w:tabs>
          <w:tab w:leader="none" w:pos="361" w:val="left"/>
        </w:tabs>
        <w:numPr>
          <w:ilvl w:val="0"/>
          <w:numId w:val="91"/>
        </w:numPr>
        <w:rPr>
          <w:rFonts w:ascii="Arial" w:cs="Arial" w:eastAsia="Arial" w:hAnsi="Arial"/>
          <w:sz w:val="16"/>
          <w:szCs w:val="16"/>
          <w:color w:val="auto"/>
        </w:rPr>
      </w:pPr>
      <w:r>
        <w:rPr>
          <w:rFonts w:ascii="Arial" w:cs="Arial" w:eastAsia="Arial" w:hAnsi="Arial"/>
          <w:sz w:val="16"/>
          <w:szCs w:val="16"/>
          <w:color w:val="auto"/>
        </w:rPr>
        <w:t>With respect to the Common Shares, when the Board of Trustees of the Company or a duly authorized committee of such Board of Trustees (such Board of Trustees or committee being referred to herein as the “Board”) has taken all necessary corporate action to approve the issuance and establish the terms of the offering of Common Shares and related matters and when such Common Shares have been issued and sold by the Company in the</w:t>
      </w:r>
    </w:p>
    <w:p>
      <w:pPr>
        <w:sectPr>
          <w:pgSz w:w="11900" w:h="16838" w:orient="portrait"/>
          <w:cols w:equalWidth="0" w:num="1">
            <w:col w:w="11024"/>
          </w:cols>
          <w:pgMar w:left="436" w:top="121" w:right="439" w:bottom="1440" w:gutter="0" w:footer="0" w:header="0"/>
        </w:sectPr>
      </w:pPr>
    </w:p>
    <w:bookmarkStart w:id="66" w:name="page67"/>
    <w:bookmarkEnd w:id="66"/>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manner contemplated by the Registration Statement and in accordance with such Board action, such Common Shares (including any Common Shares duly issued upon conversion, exchange or exercise of any other Security in accordance with the terms of such Security or the instrument governing such Security providing for such conversion, exchange or exercise as approved by the Board) will be duly authorized, legally issued, fully paid and nonassessable.</w:t>
      </w:r>
    </w:p>
    <w:p>
      <w:pPr>
        <w:spacing w:after="0" w:line="187" w:lineRule="exact"/>
        <w:rPr>
          <w:sz w:val="20"/>
          <w:szCs w:val="20"/>
          <w:color w:val="auto"/>
        </w:rPr>
      </w:pPr>
    </w:p>
    <w:p>
      <w:pPr>
        <w:ind w:left="4" w:hanging="4"/>
        <w:spacing w:after="0" w:line="272" w:lineRule="auto"/>
        <w:tabs>
          <w:tab w:leader="none" w:pos="361" w:val="left"/>
        </w:tabs>
        <w:numPr>
          <w:ilvl w:val="0"/>
          <w:numId w:val="92"/>
        </w:numPr>
        <w:rPr>
          <w:rFonts w:ascii="Arial" w:cs="Arial" w:eastAsia="Arial" w:hAnsi="Arial"/>
          <w:sz w:val="17"/>
          <w:szCs w:val="17"/>
          <w:color w:val="auto"/>
        </w:rPr>
      </w:pPr>
      <w:r>
        <w:rPr>
          <w:rFonts w:ascii="Arial" w:cs="Arial" w:eastAsia="Arial" w:hAnsi="Arial"/>
          <w:sz w:val="17"/>
          <w:szCs w:val="17"/>
          <w:color w:val="auto"/>
        </w:rPr>
        <w:t>With respect to the Preferred Shares, when the Board has taken all necessary corporate action to approve the issuance and establish the terms of any particular series of Preferred Shares, the offering thereof and related matters, including the filing of articles supplementary with the SDAT conforming to the law of the State of Maryland regarding the Preferred Shares, and when such series of Preferred Shares have been issued and sold by the Company in the manner contemplated by the Registration Statement and in accordance with such Board action, such series of Preferred Shares (including any Preferred Shares duly issued upon conversion, exchange or exercise of any other Security in accordance with the terms of such Security or the instrument governing such Security providing for such conversion, exchange or exercise as approved by the Board) will be duly authorized, legally issued, fully paid and nonassessable.</w:t>
      </w:r>
    </w:p>
    <w:p>
      <w:pPr>
        <w:spacing w:after="0" w:line="177" w:lineRule="exact"/>
        <w:rPr>
          <w:rFonts w:ascii="Arial" w:cs="Arial" w:eastAsia="Arial" w:hAnsi="Arial"/>
          <w:sz w:val="17"/>
          <w:szCs w:val="17"/>
          <w:color w:val="auto"/>
        </w:rPr>
      </w:pPr>
    </w:p>
    <w:p>
      <w:pPr>
        <w:ind w:left="4" w:hanging="4"/>
        <w:spacing w:after="0" w:line="269" w:lineRule="auto"/>
        <w:tabs>
          <w:tab w:leader="none" w:pos="316" w:val="left"/>
        </w:tabs>
        <w:numPr>
          <w:ilvl w:val="0"/>
          <w:numId w:val="92"/>
        </w:numPr>
        <w:rPr>
          <w:rFonts w:ascii="Arial" w:cs="Arial" w:eastAsia="Arial" w:hAnsi="Arial"/>
          <w:sz w:val="17"/>
          <w:szCs w:val="17"/>
          <w:color w:val="auto"/>
        </w:rPr>
      </w:pPr>
      <w:r>
        <w:rPr>
          <w:rFonts w:ascii="Arial" w:cs="Arial" w:eastAsia="Arial" w:hAnsi="Arial"/>
          <w:sz w:val="17"/>
          <w:szCs w:val="17"/>
          <w:color w:val="auto"/>
        </w:rPr>
        <w:t>With respect to the Depositary Shares, when (a) the Board has taken all necessary corporate action to approve the issuance and establish the terms of the series of Preferred Shares to be issued in connection therewith, the offering of such Depositary Shares in such series of Preferred Shares, and related matters, including the filing of articles supplementary with SDAT conforming to the law of the State of Maryland regarding the Preferred Shares, (b) a Deposit Agreement has been duly authorized, executed and delivered by the Company and a Depositary, which Deposit Agreement establishes the terms of the Depositary Shares and their issuance and sale, (c) such series of Preferred Shares have been deposited with such Depositary in accordance with the applicable Deposit Agreement, (d) such series of Preferred Shares have been issued and sold in the manner contemplated by the Registration Statement and in accordance with such Board action, and (e) Depositary Receipts evidencing Depositary Shares are duly issued against the deposit of such series of Preferred Shares in accordance with the Deposit Agreement, such Depositary Shares will be duly authorized, validly issued, fully paid and nonassessable and such Depositary Receipts will be duly authorized and validly issued and entitle the holders thereof to the rights specified in the Deposit Agreement.</w:t>
      </w:r>
    </w:p>
    <w:p>
      <w:pPr>
        <w:spacing w:after="0" w:line="185" w:lineRule="exact"/>
        <w:rPr>
          <w:rFonts w:ascii="Arial" w:cs="Arial" w:eastAsia="Arial" w:hAnsi="Arial"/>
          <w:sz w:val="17"/>
          <w:szCs w:val="17"/>
          <w:color w:val="auto"/>
        </w:rPr>
      </w:pPr>
    </w:p>
    <w:p>
      <w:pPr>
        <w:ind w:left="4" w:hanging="4"/>
        <w:spacing w:after="0" w:line="271" w:lineRule="auto"/>
        <w:tabs>
          <w:tab w:leader="none" w:pos="316" w:val="left"/>
        </w:tabs>
        <w:numPr>
          <w:ilvl w:val="0"/>
          <w:numId w:val="92"/>
        </w:numPr>
        <w:rPr>
          <w:rFonts w:ascii="Arial" w:cs="Arial" w:eastAsia="Arial" w:hAnsi="Arial"/>
          <w:sz w:val="17"/>
          <w:szCs w:val="17"/>
          <w:color w:val="auto"/>
        </w:rPr>
      </w:pPr>
      <w:r>
        <w:rPr>
          <w:rFonts w:ascii="Arial" w:cs="Arial" w:eastAsia="Arial" w:hAnsi="Arial"/>
          <w:sz w:val="17"/>
          <w:szCs w:val="17"/>
          <w:color w:val="auto"/>
        </w:rPr>
        <w:t>With respect to the Debt Securities to be issued under the Senior Debt Indenture, when (a) the Senior Debt Indenture has been duly qualified under the Trust Indenture Act of 1939, (b) the Board has taken all necessary corporate action to approve the issuance and establish the terms of such Debt Securities, the terms of the offering and related matters, (c) such Debt Securities have been duly executed and authenticated in accordance with the terms of the Senior Debt Indenture, and (d) such Debt Securities have been issued and sold in the manner contemplated by the Registration Statement and in accordance with the Senior Debt Indenture, such Debt Securities (including any Debt Securities duly issued upon conversion, exchange or exercise of any other Security in accordance with the terms of such Security or the instrument governing such Security providing for such conversion, exchange or exercise as approved by the Board) will constitute the valid and legally binding obligations of the Company, enforceable against the Company in accordance with their terms.</w:t>
      </w:r>
    </w:p>
    <w:p>
      <w:pPr>
        <w:spacing w:after="0" w:line="178" w:lineRule="exact"/>
        <w:rPr>
          <w:rFonts w:ascii="Arial" w:cs="Arial" w:eastAsia="Arial" w:hAnsi="Arial"/>
          <w:sz w:val="17"/>
          <w:szCs w:val="17"/>
          <w:color w:val="auto"/>
        </w:rPr>
      </w:pPr>
    </w:p>
    <w:p>
      <w:pPr>
        <w:ind w:left="4" w:right="40" w:hanging="4"/>
        <w:spacing w:after="0" w:line="271" w:lineRule="auto"/>
        <w:tabs>
          <w:tab w:leader="none" w:pos="316" w:val="left"/>
        </w:tabs>
        <w:numPr>
          <w:ilvl w:val="0"/>
          <w:numId w:val="92"/>
        </w:numPr>
        <w:rPr>
          <w:rFonts w:ascii="Arial" w:cs="Arial" w:eastAsia="Arial" w:hAnsi="Arial"/>
          <w:sz w:val="17"/>
          <w:szCs w:val="17"/>
          <w:color w:val="auto"/>
        </w:rPr>
      </w:pPr>
      <w:r>
        <w:rPr>
          <w:rFonts w:ascii="Arial" w:cs="Arial" w:eastAsia="Arial" w:hAnsi="Arial"/>
          <w:sz w:val="17"/>
          <w:szCs w:val="17"/>
          <w:color w:val="auto"/>
        </w:rPr>
        <w:t>With respect to any Debt Securities to be issued under the Indentures, other than the Senior Debt Indenture, when (a) any such Indenture has been duly qualified under the Trust Indenture Act of 1939, (b) the Board has taken all necessary corporate action to approve the issuance and establish the terms of such Debt Securities, the terms of the offering and related matters, (c) such Debt Securities have been duly executed and authenticated in accordance with the terms of the applicable Indenture, and (d) such Debt Securities have been issued and sold in the manner contemplated by the Registration Statement and in accordance with the applicable Indenture, such Debt Securities (including any Debt Securities duly issued upon conversion, exchange or exercise of any other Security in accordance with the terms of such Security or the instrument governing such Security providing for such conversion, exchange or exercise as approved by the Board) will constitute the valid and legally binding obligations of the Company, enforceable against the Company in accordance with their terms.</w:t>
      </w:r>
    </w:p>
    <w:p>
      <w:pPr>
        <w:spacing w:after="0" w:line="178" w:lineRule="exact"/>
        <w:rPr>
          <w:rFonts w:ascii="Arial" w:cs="Arial" w:eastAsia="Arial" w:hAnsi="Arial"/>
          <w:sz w:val="17"/>
          <w:szCs w:val="17"/>
          <w:color w:val="auto"/>
        </w:rPr>
      </w:pPr>
    </w:p>
    <w:p>
      <w:pPr>
        <w:jc w:val="both"/>
        <w:ind w:left="4" w:right="140" w:hanging="4"/>
        <w:spacing w:after="0" w:line="279" w:lineRule="auto"/>
        <w:tabs>
          <w:tab w:leader="none" w:pos="316" w:val="left"/>
        </w:tabs>
        <w:numPr>
          <w:ilvl w:val="0"/>
          <w:numId w:val="92"/>
        </w:numPr>
        <w:rPr>
          <w:rFonts w:ascii="Arial" w:cs="Arial" w:eastAsia="Arial" w:hAnsi="Arial"/>
          <w:sz w:val="17"/>
          <w:szCs w:val="17"/>
          <w:color w:val="auto"/>
        </w:rPr>
      </w:pPr>
      <w:r>
        <w:rPr>
          <w:rFonts w:ascii="Arial" w:cs="Arial" w:eastAsia="Arial" w:hAnsi="Arial"/>
          <w:sz w:val="17"/>
          <w:szCs w:val="17"/>
          <w:color w:val="auto"/>
        </w:rPr>
        <w:t>With respect to the Warrants, when (a) one or more Warrant Agreements incorporating the terms and other provisions thereof has been duly executed and delivered by the Company and a Warrant Agent, (b) the Board has taken all necessary corporate action to approve the issuance and establish the terms of the Warrants, the terms of the offering of such Warrants, and related matters, (c) the Warrant certificates have been duly executed and authenticated or countersigned in accordance with the terms of the appropriate Warrant Agreement, and (d) the</w:t>
      </w:r>
    </w:p>
    <w:p>
      <w:pPr>
        <w:sectPr>
          <w:pgSz w:w="11900" w:h="16838" w:orient="portrait"/>
          <w:cols w:equalWidth="0" w:num="1">
            <w:col w:w="11004"/>
          </w:cols>
          <w:pgMar w:left="436" w:top="274" w:right="459" w:bottom="1440" w:gutter="0" w:footer="0" w:header="0"/>
        </w:sectPr>
      </w:pPr>
    </w:p>
    <w:bookmarkStart w:id="67" w:name="page68"/>
    <w:bookmarkEnd w:id="67"/>
    <w:p>
      <w:pPr>
        <w:ind w:left="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Warrants have been issued and sold in the manner contemplated by the Registration Statement and in accordance with the applicable Warrant Agreement, the Warrants will constitute the valid and legally binding obligations of the Company, enforceable against the Company in accordance with their terms, except as may be limited by applicable bankruptcy, insolvency, reorganization, moratorium, fraudulent transfer and similar laws affecting or relating to the rights of creditors generally, by general principles of equity (regardless of whether considered in a proceeding in equity or at law), and by requirements of reasonableness, good faith and fair dealing.</w:t>
      </w:r>
    </w:p>
    <w:p>
      <w:pPr>
        <w:spacing w:after="0" w:line="188" w:lineRule="exact"/>
        <w:rPr>
          <w:sz w:val="20"/>
          <w:szCs w:val="20"/>
          <w:color w:val="auto"/>
        </w:rPr>
      </w:pPr>
    </w:p>
    <w:p>
      <w:pPr>
        <w:ind w:left="4" w:right="140" w:hanging="4"/>
        <w:spacing w:after="0" w:line="272" w:lineRule="auto"/>
        <w:tabs>
          <w:tab w:leader="none" w:pos="316" w:val="left"/>
        </w:tabs>
        <w:numPr>
          <w:ilvl w:val="0"/>
          <w:numId w:val="93"/>
        </w:numPr>
        <w:rPr>
          <w:rFonts w:ascii="Arial" w:cs="Arial" w:eastAsia="Arial" w:hAnsi="Arial"/>
          <w:sz w:val="17"/>
          <w:szCs w:val="17"/>
          <w:color w:val="auto"/>
        </w:rPr>
      </w:pPr>
      <w:r>
        <w:rPr>
          <w:rFonts w:ascii="Arial" w:cs="Arial" w:eastAsia="Arial" w:hAnsi="Arial"/>
          <w:sz w:val="17"/>
          <w:szCs w:val="17"/>
          <w:color w:val="auto"/>
        </w:rPr>
        <w:t>With respect to any of the Share Purchase Contracts, when (a) one or more Share Purchase Contract Agreements have been duly executed and delivered by the Company and a Share Purchase Contract Agent, (b) the Board has taken all necessary corporate action to approve the issuance and establish the terms of such Share Purchase Contracts, the terms of the offering of such Share Purchase Contracts, and related matters, (c) such Share Purchase Contracts have been duly executed and authenticated in accordance with the terms of such Share Purchase Contract Agreement, and (d) such Share Purchase Contracts have been issued and sold in the manner contemplated by the Registration Statement and in accordance with such Share Purchase Contract Agreement, such Share Purchase Contracts will constitute the valid and legally binding obligations of the Company, enforceable against the Company in accordance with their terms.</w:t>
      </w:r>
    </w:p>
    <w:p>
      <w:pPr>
        <w:spacing w:after="0" w:line="177" w:lineRule="exact"/>
        <w:rPr>
          <w:rFonts w:ascii="Arial" w:cs="Arial" w:eastAsia="Arial" w:hAnsi="Arial"/>
          <w:sz w:val="17"/>
          <w:szCs w:val="17"/>
          <w:color w:val="auto"/>
        </w:rPr>
      </w:pPr>
    </w:p>
    <w:p>
      <w:pPr>
        <w:ind w:left="304" w:hanging="304"/>
        <w:spacing w:after="0"/>
        <w:tabs>
          <w:tab w:leader="none" w:pos="304" w:val="left"/>
        </w:tabs>
        <w:numPr>
          <w:ilvl w:val="0"/>
          <w:numId w:val="93"/>
        </w:numPr>
        <w:rPr>
          <w:rFonts w:ascii="Arial" w:cs="Arial" w:eastAsia="Arial" w:hAnsi="Arial"/>
          <w:sz w:val="16"/>
          <w:szCs w:val="16"/>
          <w:color w:val="auto"/>
        </w:rPr>
      </w:pPr>
      <w:r>
        <w:rPr>
          <w:rFonts w:ascii="Arial" w:cs="Arial" w:eastAsia="Arial" w:hAnsi="Arial"/>
          <w:sz w:val="16"/>
          <w:szCs w:val="16"/>
          <w:color w:val="auto"/>
        </w:rPr>
        <w:t>With respect to any of the Units, when (a) one or more Unit Agreements has been duly executed and delivered by the Company and a Unit Agent,</w:t>
      </w:r>
    </w:p>
    <w:p>
      <w:pPr>
        <w:spacing w:after="0" w:line="46" w:lineRule="exact"/>
        <w:rPr>
          <w:rFonts w:ascii="Arial" w:cs="Arial" w:eastAsia="Arial" w:hAnsi="Arial"/>
          <w:sz w:val="16"/>
          <w:szCs w:val="16"/>
          <w:color w:val="auto"/>
        </w:rPr>
      </w:pPr>
    </w:p>
    <w:p>
      <w:pPr>
        <w:ind w:left="4" w:right="160"/>
        <w:spacing w:after="0" w:line="295" w:lineRule="auto"/>
        <w:rPr>
          <w:rFonts w:ascii="Arial" w:cs="Arial" w:eastAsia="Arial" w:hAnsi="Arial"/>
          <w:sz w:val="16"/>
          <w:szCs w:val="16"/>
          <w:color w:val="auto"/>
        </w:rPr>
      </w:pPr>
      <w:r>
        <w:rPr>
          <w:rFonts w:ascii="Arial" w:cs="Arial" w:eastAsia="Arial" w:hAnsi="Arial"/>
          <w:sz w:val="16"/>
          <w:szCs w:val="16"/>
          <w:color w:val="auto"/>
        </w:rPr>
        <w:t>(b) the Board has taken all necessary corporate action to approve the issuance and establish the terms of such Units, the terms of the offering of such Units, and related matters, (c) such Units have been duly executed and authenticated in accordance with the terms of the appropriate Unit Agreement, and (d) such Units have been issued and sold in the manner contemplated by the Registration Statement and in accordance with such Unit Agreement, such Units will constitute the valid and legally binding obligations of the Company, enforceable against the Company in accordance with their terms.</w:t>
      </w:r>
    </w:p>
    <w:p>
      <w:pPr>
        <w:spacing w:after="0" w:line="16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Our opinions set forth above are subject to and limited by the effect of (a) applicable bankruptcy, insolvency, fraudulent conveyance, fraudulent transfer, receivership, conservatorship, arrangement, moratorium and other laws affecting and relating to the rights of creditors generally, (b) general equitable principles and (c) requirements of reasonableness, good faith, fair dealing and materiality.</w:t>
      </w:r>
    </w:p>
    <w:p>
      <w:pPr>
        <w:spacing w:after="0" w:line="184"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such Security, the Registration Statement, and any amendments thereto (including post-effective amendments) will be effective under the Act, a Prospectus Supplement to the Prospectus forming a part of the Registration Statement will have been prepared and filed with the Securities and Exchange Commission (the “Commission”) describing the Securities offered thereby, the authorization of such Security will not have been modified or rescinded by the Board, and there will not have occurred any change in law affecting the validity or enforceability of such Security. We have also assumed that none of the terms of any Security to be established subsequent to the date hereof nor the issuance and delivery of such Security, nor the compliance by the Company with the terms of such Security, will violate any applicable federal or state law or will result in a violation of any provision of any instrument or agreement then binding upon the Company or any restriction imposed by any court or governmental body having jurisdiction over the Company.</w:t>
      </w:r>
    </w:p>
    <w:p>
      <w:pPr>
        <w:spacing w:after="0" w:line="16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opinions set forth in this letter are limited to matters governed by the law of the States of New York and Maryland, in each case as in effect on the date hereof.</w:t>
      </w:r>
    </w:p>
    <w:p>
      <w:pPr>
        <w:spacing w:after="0" w:line="170" w:lineRule="exact"/>
        <w:rPr>
          <w:sz w:val="20"/>
          <w:szCs w:val="20"/>
          <w:color w:val="auto"/>
        </w:rPr>
      </w:pPr>
    </w:p>
    <w:p>
      <w:pPr>
        <w:ind w:left="4" w:right="240"/>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Registration Statement and in the Prospectus forming a part thereof and any supplement thereto. In giving this consent, we do not thereby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0964"/>
          </w:cols>
          <w:pgMar w:left="436" w:top="274" w:right="49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8.1</w:t>
      </w:r>
    </w:p>
    <w:p>
      <w:pPr>
        <w:spacing w:after="0" w:line="256" w:lineRule="exact"/>
        <w:rPr>
          <w:sz w:val="20"/>
          <w:szCs w:val="20"/>
          <w:color w:val="auto"/>
        </w:rPr>
      </w:pPr>
    </w:p>
    <w:tbl>
      <w:tblPr>
        <w:tblLayout w:type="fixed"/>
        <w:tblInd w:w="5744"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1200 Seventeenth Street NW</w:t>
            </w:r>
          </w:p>
        </w:tc>
        <w:tc>
          <w:tcPr>
            <w:tcW w:w="1980" w:type="dxa"/>
            <w:vAlign w:val="bottom"/>
          </w:tcPr>
          <w:p>
            <w:pPr>
              <w:ind w:left="300"/>
              <w:spacing w:after="0"/>
              <w:rPr>
                <w:sz w:val="20"/>
                <w:szCs w:val="20"/>
                <w:color w:val="auto"/>
              </w:rPr>
            </w:pPr>
            <w:r>
              <w:rPr>
                <w:rFonts w:ascii="Arial" w:cs="Arial" w:eastAsia="Arial" w:hAnsi="Arial"/>
                <w:sz w:val="18"/>
                <w:szCs w:val="18"/>
                <w:color w:val="auto"/>
              </w:rPr>
              <w:t>Tel 202.663.8000</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Washington, DC 20036-3006</w:t>
            </w:r>
          </w:p>
        </w:tc>
        <w:tc>
          <w:tcPr>
            <w:tcW w:w="1980" w:type="dxa"/>
            <w:vAlign w:val="bottom"/>
          </w:tcPr>
          <w:p>
            <w:pPr>
              <w:ind w:left="300"/>
              <w:spacing w:after="0"/>
              <w:rPr>
                <w:sz w:val="20"/>
                <w:szCs w:val="20"/>
                <w:color w:val="auto"/>
              </w:rPr>
            </w:pPr>
            <w:r>
              <w:rPr>
                <w:rFonts w:ascii="Arial" w:cs="Arial" w:eastAsia="Arial" w:hAnsi="Arial"/>
                <w:sz w:val="18"/>
                <w:szCs w:val="18"/>
                <w:color w:val="auto"/>
              </w:rPr>
              <w:t>Fax 202.663.8007</w:t>
            </w:r>
          </w:p>
        </w:tc>
      </w:tr>
      <w:tr>
        <w:trPr>
          <w:trHeight w:val="230"/>
        </w:trPr>
        <w:tc>
          <w:tcPr>
            <w:tcW w:w="244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w w:val="94"/>
              </w:rPr>
              <w:t>www.pillsburylaw.com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916940" cy="557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916940" cy="55753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May 7,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North Bethesda, Maryland 20852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40" w:firstLine="440"/>
        <w:spacing w:after="0" w:line="301" w:lineRule="auto"/>
        <w:rPr>
          <w:sz w:val="20"/>
          <w:szCs w:val="20"/>
          <w:color w:val="auto"/>
        </w:rPr>
      </w:pPr>
      <w:r>
        <w:rPr>
          <w:rFonts w:ascii="Arial" w:cs="Arial" w:eastAsia="Arial" w:hAnsi="Arial"/>
          <w:sz w:val="16"/>
          <w:szCs w:val="16"/>
          <w:color w:val="auto"/>
        </w:rPr>
        <w:t>You have requested certain opinions regarding the application of U.S. federal income tax laws to Federal Realty Investment Trust, a Maryland real estate investment trust (the “Company”), in connection with the filing of a registration statement on Form S-3 with respect to common shares and other securities of the Company (the “Registration Statement”) on May 7, 2021, which term includes a prospectus (the “Base Prospectus”) and all documents incorporated and deemed to be incorporated by reference therein) with the Securities and Exchange Commission.</w:t>
      </w:r>
    </w:p>
    <w:p>
      <w:pPr>
        <w:spacing w:after="0" w:line="157" w:lineRule="exact"/>
        <w:rPr>
          <w:sz w:val="20"/>
          <w:szCs w:val="20"/>
          <w:color w:val="auto"/>
        </w:rPr>
      </w:pPr>
    </w:p>
    <w:p>
      <w:pPr>
        <w:jc w:val="both"/>
        <w:ind w:left="4" w:right="40" w:firstLine="440"/>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spacing w:after="0" w:line="2" w:lineRule="exact"/>
        <w:rPr>
          <w:sz w:val="20"/>
          <w:szCs w:val="20"/>
          <w:color w:val="auto"/>
        </w:rPr>
      </w:pPr>
    </w:p>
    <w:p>
      <w:pPr>
        <w:ind w:left="4" w:right="160" w:hanging="4"/>
        <w:spacing w:after="0" w:line="268" w:lineRule="auto"/>
        <w:tabs>
          <w:tab w:leader="none" w:pos="259" w:val="left"/>
        </w:tabs>
        <w:numPr>
          <w:ilvl w:val="0"/>
          <w:numId w:val="94"/>
        </w:numPr>
        <w:rPr>
          <w:rFonts w:ascii="Arial" w:cs="Arial" w:eastAsia="Arial" w:hAnsi="Arial"/>
          <w:sz w:val="17"/>
          <w:szCs w:val="17"/>
          <w:color w:val="auto"/>
        </w:rPr>
      </w:pPr>
      <w:r>
        <w:rPr>
          <w:rFonts w:ascii="Arial" w:cs="Arial" w:eastAsia="Arial" w:hAnsi="Arial"/>
          <w:sz w:val="17"/>
          <w:szCs w:val="17"/>
          <w:color w:val="auto"/>
        </w:rPr>
        <w:t>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83" w:lineRule="exact"/>
        <w:rPr>
          <w:sz w:val="20"/>
          <w:szCs w:val="20"/>
          <w:color w:val="auto"/>
        </w:rPr>
      </w:pPr>
    </w:p>
    <w:p>
      <w:pPr>
        <w:ind w:left="4" w:right="220" w:firstLine="440"/>
        <w:spacing w:after="0" w:line="286" w:lineRule="auto"/>
        <w:rPr>
          <w:sz w:val="20"/>
          <w:szCs w:val="20"/>
          <w:color w:val="auto"/>
        </w:rPr>
      </w:pPr>
      <w:r>
        <w:rPr>
          <w:rFonts w:ascii="Arial" w:cs="Arial" w:eastAsia="Arial" w:hAnsi="Arial"/>
          <w:sz w:val="17"/>
          <w:szCs w:val="17"/>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w:t>
      </w:r>
    </w:p>
    <w:p>
      <w:pPr>
        <w:sectPr>
          <w:pgSz w:w="11900" w:h="16838" w:orient="portrait"/>
          <w:cols w:equalWidth="0" w:num="1">
            <w:col w:w="11024"/>
          </w:cols>
          <w:pgMar w:left="436" w:top="121" w:right="4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7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2021;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(2021) taxable year and for future taxable years, and (iii) the discussions in (x) the Base Prospectus under the caption “Material Federal Income Tax Considerations,” and (y) the Company’s Annual Report on Form 10-K for the year ended December 31, 2020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can own,” and “Risk Factors– Legislative, administrative, regulatory or other actions affecting REITs, including positions taken by the IRS, could have a material adverse effect on us and our investors,”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68"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000"/>
          </w:cols>
          <w:pgMar w:left="440" w:top="274"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0980"/>
          </w:cols>
          <w:pgMar w:left="440" w:top="274" w:right="47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issued our reports dated February 11, 2021, with respect to the consolidated financial statements and internal control over financial reporting of Federal Realty Investment Trust, included in the Annual Report on Form 10-K for the year ended December 31, 2020, which are incorporated by reference in this Registration Statement. We consent to the incorporation by reference of the aforementioned reports in this Registration Statement and to the use of our name as it appears under the caption “Experts.”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ectPr>
          <w:pgSz w:w="11900" w:h="16838" w:orient="portrait"/>
          <w:cols w:equalWidth="0" w:num="1">
            <w:col w:w="11020"/>
          </w:cols>
          <w:pgMar w:left="440" w:top="121" w:right="4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Daniel Guglielmone and Dawn M. Becker, and each and any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 under the Securities Act of 1933, including specifically, but without limitation, any and all amendments (including post-effective amendments) hereto and thereto; and we hereby ratify and confirm all that said attorneys and agents, or any of them, shall do or cause to be done by virtue thereof.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1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280" w:type="dxa"/>
            <w:vAlign w:val="bottom"/>
            <w:gridSpan w:val="3"/>
          </w:tcPr>
          <w:p>
            <w:pPr>
              <w:jc w:val="center"/>
              <w:ind w:left="252"/>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26"/>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w w:val="99"/>
              </w:rPr>
              <w:t>Chief Executive Officer and Trustee (principal executive officer)</w:t>
            </w:r>
          </w:p>
        </w:tc>
        <w:tc>
          <w:tcPr>
            <w:tcW w:w="128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1660" w:type="dxa"/>
            <w:vAlign w:val="bottom"/>
            <w:tcBorders>
              <w:bottom w:val="single" w:sz="8" w:color="auto"/>
            </w:tcBorders>
          </w:tcPr>
          <w:p>
            <w:pPr>
              <w:spacing w:after="0"/>
              <w:rPr>
                <w:sz w:val="24"/>
                <w:szCs w:val="24"/>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and Chief Financial Officer and</w:t>
            </w:r>
          </w:p>
        </w:tc>
        <w:tc>
          <w:tcPr>
            <w:tcW w:w="128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1660" w:type="dxa"/>
            <w:vAlign w:val="bottom"/>
          </w:tcPr>
          <w:p>
            <w:pPr>
              <w:spacing w:after="0"/>
              <w:rPr>
                <w:sz w:val="19"/>
                <w:szCs w:val="19"/>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Treasurer (principal financial and accounting officer)</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1660" w:type="dxa"/>
            <w:vAlign w:val="bottom"/>
            <w:tcBorders>
              <w:bottom w:val="single" w:sz="8" w:color="auto"/>
            </w:tcBorders>
          </w:tcPr>
          <w:p>
            <w:pPr>
              <w:spacing w:after="0"/>
              <w:rPr>
                <w:sz w:val="24"/>
                <w:szCs w:val="24"/>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Non-Executive Chairman</w:t>
            </w:r>
          </w:p>
        </w:tc>
        <w:tc>
          <w:tcPr>
            <w:tcW w:w="128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I. Holland</w:t>
            </w:r>
          </w:p>
        </w:tc>
        <w:tc>
          <w:tcPr>
            <w:tcW w:w="1660" w:type="dxa"/>
            <w:vAlign w:val="bottom"/>
            <w:tcBorders>
              <w:bottom w:val="single" w:sz="8" w:color="auto"/>
            </w:tcBorders>
          </w:tcPr>
          <w:p>
            <w:pPr>
              <w:spacing w:after="0"/>
              <w:rPr>
                <w:sz w:val="24"/>
                <w:szCs w:val="24"/>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28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Nicole Y. Lamb-Hale</w:t>
            </w:r>
          </w:p>
        </w:tc>
        <w:tc>
          <w:tcPr>
            <w:tcW w:w="1660" w:type="dxa"/>
            <w:vAlign w:val="bottom"/>
            <w:tcBorders>
              <w:bottom w:val="single" w:sz="8" w:color="auto"/>
            </w:tcBorders>
          </w:tcPr>
          <w:p>
            <w:pPr>
              <w:spacing w:after="0"/>
              <w:rPr>
                <w:sz w:val="24"/>
                <w:szCs w:val="24"/>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28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Anthony P. Nader, III</w:t>
            </w:r>
          </w:p>
        </w:tc>
        <w:tc>
          <w:tcPr>
            <w:tcW w:w="1660" w:type="dxa"/>
            <w:vAlign w:val="bottom"/>
            <w:tcBorders>
              <w:bottom w:val="single" w:sz="8" w:color="auto"/>
            </w:tcBorders>
          </w:tcPr>
          <w:p>
            <w:pPr>
              <w:spacing w:after="0"/>
              <w:rPr>
                <w:sz w:val="24"/>
                <w:szCs w:val="24"/>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28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S. Ordan</w:t>
            </w:r>
          </w:p>
        </w:tc>
        <w:tc>
          <w:tcPr>
            <w:tcW w:w="1660" w:type="dxa"/>
            <w:vAlign w:val="bottom"/>
            <w:tcBorders>
              <w:bottom w:val="single" w:sz="8" w:color="auto"/>
            </w:tcBorders>
          </w:tcPr>
          <w:p>
            <w:pPr>
              <w:spacing w:after="0"/>
              <w:rPr>
                <w:sz w:val="24"/>
                <w:szCs w:val="24"/>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28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1660" w:type="dxa"/>
            <w:vAlign w:val="bottom"/>
            <w:tcBorders>
              <w:bottom w:val="single" w:sz="8" w:color="auto"/>
            </w:tcBorders>
          </w:tcPr>
          <w:p>
            <w:pPr>
              <w:spacing w:after="0"/>
              <w:rPr>
                <w:sz w:val="24"/>
                <w:szCs w:val="24"/>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28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ectPr>
          <w:pgSz w:w="11900" w:h="16838" w:orient="portrait"/>
          <w:cols w:equalWidth="0" w:num="1">
            <w:col w:w="11020"/>
          </w:cols>
          <w:pgMar w:left="440" w:top="121" w:right="4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27"/>
          <w:szCs w:val="27"/>
          <w:b w:val="1"/>
          <w:bCs w:val="1"/>
          <w:color w:val="auto"/>
        </w:rPr>
        <w:t>SECURITIES AND EXCHANGE COMMISSION</w:t>
      </w:r>
    </w:p>
    <w:p>
      <w:pPr>
        <w:spacing w:after="0" w:line="38"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24" w:hanging="424"/>
        <w:spacing w:after="0"/>
        <w:tabs>
          <w:tab w:leader="none" w:pos="424" w:val="left"/>
        </w:tabs>
        <w:numPr>
          <w:ilvl w:val="0"/>
          <w:numId w:val="95"/>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1584" w:type="dxa"/>
        <w:tblCellMar>
          <w:top w:w="0" w:type="dxa"/>
          <w:left w:w="0" w:type="dxa"/>
          <w:bottom w:w="0" w:type="dxa"/>
          <w:right w:w="0" w:type="dxa"/>
        </w:tblCellMar>
      </w:tblPr>
      <w:tr>
        <w:trPr>
          <w:trHeight w:val="216"/>
        </w:trPr>
        <w:tc>
          <w:tcPr>
            <w:tcW w:w="6080" w:type="dxa"/>
            <w:vAlign w:val="bottom"/>
          </w:tcPr>
          <w:p>
            <w:pPr>
              <w:jc w:val="right"/>
              <w:ind w:right="1633"/>
              <w:spacing w:after="0"/>
              <w:rPr>
                <w:sz w:val="20"/>
                <w:szCs w:val="20"/>
                <w:color w:val="auto"/>
              </w:rPr>
            </w:pPr>
            <w:r>
              <w:rPr>
                <w:rFonts w:ascii="Arial" w:cs="Arial" w:eastAsia="Arial" w:hAnsi="Arial"/>
                <w:sz w:val="18"/>
                <w:szCs w:val="18"/>
                <w:b w:val="1"/>
                <w:bCs w:val="1"/>
                <w:color w:val="auto"/>
              </w:rPr>
              <w:t>31-0841368</w:t>
            </w:r>
          </w:p>
        </w:tc>
        <w:tc>
          <w:tcPr>
            <w:tcW w:w="1020" w:type="dxa"/>
            <w:vAlign w:val="bottom"/>
          </w:tcPr>
          <w:p>
            <w:pPr>
              <w:spacing w:after="0"/>
              <w:rPr>
                <w:sz w:val="18"/>
                <w:szCs w:val="18"/>
                <w:color w:val="auto"/>
              </w:rPr>
            </w:pPr>
          </w:p>
        </w:tc>
      </w:tr>
      <w:tr>
        <w:trPr>
          <w:trHeight w:val="234"/>
        </w:trPr>
        <w:tc>
          <w:tcPr>
            <w:tcW w:w="6080" w:type="dxa"/>
            <w:vAlign w:val="bottom"/>
          </w:tcPr>
          <w:p>
            <w:pPr>
              <w:jc w:val="center"/>
              <w:ind w:left="1673"/>
              <w:spacing w:after="0"/>
              <w:rPr>
                <w:sz w:val="20"/>
                <w:szCs w:val="20"/>
                <w:color w:val="auto"/>
              </w:rPr>
            </w:pPr>
            <w:r>
              <w:rPr>
                <w:rFonts w:ascii="Arial" w:cs="Arial" w:eastAsia="Arial" w:hAnsi="Arial"/>
                <w:sz w:val="18"/>
                <w:szCs w:val="18"/>
                <w:b w:val="1"/>
                <w:bCs w:val="1"/>
                <w:color w:val="auto"/>
                <w:w w:val="93"/>
              </w:rPr>
              <w:t>I.R.S. Employer Identification No.</w:t>
            </w:r>
          </w:p>
        </w:tc>
        <w:tc>
          <w:tcPr>
            <w:tcW w:w="1020" w:type="dxa"/>
            <w:vAlign w:val="bottom"/>
          </w:tcPr>
          <w:p>
            <w:pPr>
              <w:spacing w:after="0"/>
              <w:rPr>
                <w:sz w:val="20"/>
                <w:szCs w:val="20"/>
                <w:color w:val="auto"/>
              </w:rPr>
            </w:pPr>
          </w:p>
        </w:tc>
      </w:tr>
      <w:tr>
        <w:trPr>
          <w:trHeight w:val="441"/>
        </w:trPr>
        <w:tc>
          <w:tcPr>
            <w:tcW w:w="6080" w:type="dxa"/>
            <w:vAlign w:val="bottom"/>
          </w:tcPr>
          <w:p>
            <w:pPr>
              <w:jc w:val="center"/>
              <w:ind w:right="3593"/>
              <w:spacing w:after="0"/>
              <w:rPr>
                <w:sz w:val="20"/>
                <w:szCs w:val="20"/>
                <w:color w:val="auto"/>
              </w:rPr>
            </w:pPr>
            <w:r>
              <w:rPr>
                <w:rFonts w:ascii="Arial" w:cs="Arial" w:eastAsia="Arial" w:hAnsi="Arial"/>
                <w:sz w:val="18"/>
                <w:szCs w:val="18"/>
                <w:b w:val="1"/>
                <w:bCs w:val="1"/>
                <w:color w:val="auto"/>
                <w:w w:val="94"/>
              </w:rPr>
              <w:t>800 Nicollet Mall</w:t>
            </w:r>
          </w:p>
        </w:tc>
        <w:tc>
          <w:tcPr>
            <w:tcW w:w="1020" w:type="dxa"/>
            <w:vAlign w:val="bottom"/>
          </w:tcPr>
          <w:p>
            <w:pPr>
              <w:spacing w:after="0"/>
              <w:rPr>
                <w:sz w:val="24"/>
                <w:szCs w:val="24"/>
                <w:color w:val="auto"/>
              </w:rPr>
            </w:pPr>
          </w:p>
        </w:tc>
      </w:tr>
      <w:tr>
        <w:trPr>
          <w:trHeight w:val="225"/>
        </w:trPr>
        <w:tc>
          <w:tcPr>
            <w:tcW w:w="6080" w:type="dxa"/>
            <w:vAlign w:val="bottom"/>
          </w:tcPr>
          <w:p>
            <w:pPr>
              <w:jc w:val="center"/>
              <w:ind w:right="3593"/>
              <w:spacing w:after="0"/>
              <w:rPr>
                <w:sz w:val="20"/>
                <w:szCs w:val="20"/>
                <w:color w:val="auto"/>
              </w:rPr>
            </w:pPr>
            <w:r>
              <w:rPr>
                <w:rFonts w:ascii="Arial" w:cs="Arial" w:eastAsia="Arial" w:hAnsi="Arial"/>
                <w:sz w:val="18"/>
                <w:szCs w:val="18"/>
                <w:b w:val="1"/>
                <w:bCs w:val="1"/>
                <w:color w:val="auto"/>
                <w:w w:val="90"/>
              </w:rPr>
              <w:t>Minneapolis, Minnesota</w:t>
            </w:r>
          </w:p>
        </w:tc>
        <w:tc>
          <w:tcPr>
            <w:tcW w:w="1020" w:type="dxa"/>
            <w:vAlign w:val="bottom"/>
          </w:tcPr>
          <w:p>
            <w:pPr>
              <w:jc w:val="right"/>
              <w:ind w:right="39"/>
              <w:spacing w:after="0"/>
              <w:rPr>
                <w:sz w:val="20"/>
                <w:szCs w:val="20"/>
                <w:color w:val="auto"/>
              </w:rPr>
            </w:pPr>
            <w:r>
              <w:rPr>
                <w:rFonts w:ascii="Arial" w:cs="Arial" w:eastAsia="Arial" w:hAnsi="Arial"/>
                <w:sz w:val="18"/>
                <w:szCs w:val="18"/>
                <w:b w:val="1"/>
                <w:bCs w:val="1"/>
                <w:color w:val="auto"/>
              </w:rPr>
              <w:t>55402</w:t>
            </w:r>
          </w:p>
        </w:tc>
      </w:tr>
      <w:tr>
        <w:trPr>
          <w:trHeight w:val="186"/>
        </w:trPr>
        <w:tc>
          <w:tcPr>
            <w:tcW w:w="6080" w:type="dxa"/>
            <w:vAlign w:val="bottom"/>
          </w:tcPr>
          <w:p>
            <w:pPr>
              <w:jc w:val="center"/>
              <w:ind w:right="361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020" w:type="dxa"/>
            <w:vAlign w:val="bottom"/>
          </w:tcPr>
          <w:p>
            <w:pPr>
              <w:jc w:val="center"/>
              <w:ind w:left="259"/>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6080" w:type="dxa"/>
            <w:vAlign w:val="bottom"/>
          </w:tcPr>
          <w:p>
            <w:pPr>
              <w:jc w:val="center"/>
              <w:ind w:left="1693"/>
              <w:spacing w:after="0"/>
              <w:rPr>
                <w:sz w:val="20"/>
                <w:szCs w:val="20"/>
                <w:color w:val="auto"/>
              </w:rPr>
            </w:pPr>
            <w:r>
              <w:rPr>
                <w:rFonts w:ascii="Arial" w:cs="Arial" w:eastAsia="Arial" w:hAnsi="Arial"/>
                <w:sz w:val="18"/>
                <w:szCs w:val="18"/>
                <w:b w:val="1"/>
                <w:bCs w:val="1"/>
                <w:color w:val="auto"/>
                <w:w w:val="92"/>
              </w:rPr>
              <w:t>Lisa L. Moorehead</w:t>
            </w:r>
          </w:p>
        </w:tc>
        <w:tc>
          <w:tcPr>
            <w:tcW w:w="1020" w:type="dxa"/>
            <w:vAlign w:val="bottom"/>
          </w:tcPr>
          <w:p>
            <w:pPr>
              <w:spacing w:after="0"/>
              <w:rPr>
                <w:sz w:val="24"/>
                <w:szCs w:val="24"/>
                <w:color w:val="auto"/>
              </w:rPr>
            </w:pPr>
          </w:p>
        </w:tc>
      </w:tr>
      <w:tr>
        <w:trPr>
          <w:trHeight w:val="216"/>
        </w:trPr>
        <w:tc>
          <w:tcPr>
            <w:tcW w:w="6080" w:type="dxa"/>
            <w:vAlign w:val="bottom"/>
          </w:tcPr>
          <w:p>
            <w:pPr>
              <w:jc w:val="center"/>
              <w:ind w:left="1673"/>
              <w:spacing w:after="0"/>
              <w:rPr>
                <w:sz w:val="20"/>
                <w:szCs w:val="20"/>
                <w:color w:val="auto"/>
              </w:rPr>
            </w:pPr>
            <w:r>
              <w:rPr>
                <w:rFonts w:ascii="Arial" w:cs="Arial" w:eastAsia="Arial" w:hAnsi="Arial"/>
                <w:sz w:val="18"/>
                <w:szCs w:val="18"/>
                <w:b w:val="1"/>
                <w:bCs w:val="1"/>
                <w:color w:val="auto"/>
                <w:w w:val="89"/>
              </w:rPr>
              <w:t>U.S. Bank National Association</w:t>
            </w:r>
          </w:p>
        </w:tc>
        <w:tc>
          <w:tcPr>
            <w:tcW w:w="1020" w:type="dxa"/>
            <w:vAlign w:val="bottom"/>
          </w:tcPr>
          <w:p>
            <w:pPr>
              <w:spacing w:after="0"/>
              <w:rPr>
                <w:sz w:val="18"/>
                <w:szCs w:val="18"/>
                <w:color w:val="auto"/>
              </w:rPr>
            </w:pPr>
          </w:p>
        </w:tc>
      </w:tr>
      <w:tr>
        <w:trPr>
          <w:trHeight w:val="216"/>
        </w:trPr>
        <w:tc>
          <w:tcPr>
            <w:tcW w:w="6080" w:type="dxa"/>
            <w:vAlign w:val="bottom"/>
          </w:tcPr>
          <w:p>
            <w:pPr>
              <w:jc w:val="center"/>
              <w:ind w:left="1673"/>
              <w:spacing w:after="0"/>
              <w:rPr>
                <w:sz w:val="20"/>
                <w:szCs w:val="20"/>
                <w:color w:val="auto"/>
              </w:rPr>
            </w:pPr>
            <w:r>
              <w:rPr>
                <w:rFonts w:ascii="Arial" w:cs="Arial" w:eastAsia="Arial" w:hAnsi="Arial"/>
                <w:sz w:val="18"/>
                <w:szCs w:val="18"/>
                <w:b w:val="1"/>
                <w:bCs w:val="1"/>
                <w:color w:val="auto"/>
                <w:w w:val="92"/>
              </w:rPr>
              <w:t>214 North Tryon Street, 27th Floor</w:t>
            </w:r>
          </w:p>
        </w:tc>
        <w:tc>
          <w:tcPr>
            <w:tcW w:w="1020" w:type="dxa"/>
            <w:vAlign w:val="bottom"/>
          </w:tcPr>
          <w:p>
            <w:pPr>
              <w:spacing w:after="0"/>
              <w:rPr>
                <w:sz w:val="18"/>
                <w:szCs w:val="18"/>
                <w:color w:val="auto"/>
              </w:rPr>
            </w:pPr>
          </w:p>
        </w:tc>
      </w:tr>
      <w:tr>
        <w:trPr>
          <w:trHeight w:val="216"/>
        </w:trPr>
        <w:tc>
          <w:tcPr>
            <w:tcW w:w="6080" w:type="dxa"/>
            <w:vAlign w:val="bottom"/>
          </w:tcPr>
          <w:p>
            <w:pPr>
              <w:jc w:val="center"/>
              <w:ind w:left="1673"/>
              <w:spacing w:after="0"/>
              <w:rPr>
                <w:sz w:val="20"/>
                <w:szCs w:val="20"/>
                <w:color w:val="auto"/>
              </w:rPr>
            </w:pPr>
            <w:r>
              <w:rPr>
                <w:rFonts w:ascii="Arial" w:cs="Arial" w:eastAsia="Arial" w:hAnsi="Arial"/>
                <w:sz w:val="18"/>
                <w:szCs w:val="18"/>
                <w:b w:val="1"/>
                <w:bCs w:val="1"/>
                <w:color w:val="auto"/>
                <w:w w:val="92"/>
              </w:rPr>
              <w:t>Charlotte, NC 28202-1078</w:t>
            </w:r>
          </w:p>
        </w:tc>
        <w:tc>
          <w:tcPr>
            <w:tcW w:w="1020" w:type="dxa"/>
            <w:vAlign w:val="bottom"/>
          </w:tcPr>
          <w:p>
            <w:pPr>
              <w:spacing w:after="0"/>
              <w:rPr>
                <w:sz w:val="18"/>
                <w:szCs w:val="18"/>
                <w:color w:val="auto"/>
              </w:rPr>
            </w:pPr>
          </w:p>
        </w:tc>
      </w:tr>
      <w:tr>
        <w:trPr>
          <w:trHeight w:val="212"/>
        </w:trPr>
        <w:tc>
          <w:tcPr>
            <w:tcW w:w="6080" w:type="dxa"/>
            <w:vAlign w:val="bottom"/>
          </w:tcPr>
          <w:p>
            <w:pPr>
              <w:jc w:val="right"/>
              <w:ind w:right="1513"/>
              <w:spacing w:after="0"/>
              <w:rPr>
                <w:sz w:val="20"/>
                <w:szCs w:val="20"/>
                <w:color w:val="auto"/>
              </w:rPr>
            </w:pPr>
            <w:r>
              <w:rPr>
                <w:rFonts w:ascii="Arial" w:cs="Arial" w:eastAsia="Arial" w:hAnsi="Arial"/>
                <w:sz w:val="18"/>
                <w:szCs w:val="18"/>
                <w:b w:val="1"/>
                <w:bCs w:val="1"/>
                <w:color w:val="auto"/>
              </w:rPr>
              <w:t>(704) 335-4597</w:t>
            </w:r>
          </w:p>
        </w:tc>
        <w:tc>
          <w:tcPr>
            <w:tcW w:w="1020" w:type="dxa"/>
            <w:vAlign w:val="bottom"/>
          </w:tcPr>
          <w:p>
            <w:pPr>
              <w:spacing w:after="0"/>
              <w:rPr>
                <w:sz w:val="18"/>
                <w:szCs w:val="18"/>
                <w:color w:val="auto"/>
              </w:rPr>
            </w:pPr>
          </w:p>
        </w:tc>
      </w:tr>
      <w:tr>
        <w:trPr>
          <w:trHeight w:val="186"/>
        </w:trPr>
        <w:tc>
          <w:tcPr>
            <w:tcW w:w="6080" w:type="dxa"/>
            <w:vAlign w:val="bottom"/>
          </w:tcPr>
          <w:p>
            <w:pPr>
              <w:jc w:val="center"/>
              <w:ind w:left="1693"/>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10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Federal Realty Investment Trust</w:t>
      </w:r>
    </w:p>
    <w:p>
      <w:pPr>
        <w:spacing w:after="0" w:line="11"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(Issuer with respect to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6660" w:type="dxa"/>
            <w:vAlign w:val="bottom"/>
            <w:gridSpan w:val="2"/>
          </w:tcPr>
          <w:p>
            <w:pPr>
              <w:jc w:val="center"/>
              <w:ind w:right="1019"/>
              <w:spacing w:after="0"/>
              <w:rPr>
                <w:sz w:val="20"/>
                <w:szCs w:val="20"/>
                <w:color w:val="auto"/>
              </w:rPr>
            </w:pPr>
            <w:r>
              <w:rPr>
                <w:rFonts w:ascii="Arial" w:cs="Arial" w:eastAsia="Arial" w:hAnsi="Arial"/>
                <w:sz w:val="18"/>
                <w:szCs w:val="18"/>
                <w:b w:val="1"/>
                <w:bCs w:val="1"/>
                <w:color w:val="auto"/>
                <w:w w:val="91"/>
              </w:rPr>
              <w:t>Delaware</w:t>
            </w:r>
          </w:p>
        </w:tc>
        <w:tc>
          <w:tcPr>
            <w:tcW w:w="4360" w:type="dxa"/>
            <w:vAlign w:val="bottom"/>
          </w:tcPr>
          <w:p>
            <w:pPr>
              <w:jc w:val="right"/>
              <w:ind w:right="2159"/>
              <w:spacing w:after="0"/>
              <w:rPr>
                <w:sz w:val="20"/>
                <w:szCs w:val="20"/>
                <w:color w:val="auto"/>
              </w:rPr>
            </w:pPr>
            <w:r>
              <w:rPr>
                <w:rFonts w:ascii="Arial" w:cs="Arial" w:eastAsia="Arial" w:hAnsi="Arial"/>
                <w:sz w:val="18"/>
                <w:szCs w:val="18"/>
                <w:b w:val="1"/>
                <w:bCs w:val="1"/>
                <w:color w:val="auto"/>
              </w:rPr>
              <w:t>52-0782497</w:t>
            </w:r>
          </w:p>
        </w:tc>
      </w:tr>
      <w:tr>
        <w:trPr>
          <w:trHeight w:val="186"/>
        </w:trPr>
        <w:tc>
          <w:tcPr>
            <w:tcW w:w="6660" w:type="dxa"/>
            <w:vAlign w:val="bottom"/>
            <w:gridSpan w:val="2"/>
          </w:tcPr>
          <w:p>
            <w:pPr>
              <w:jc w:val="center"/>
              <w:ind w:right="101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360" w:type="dxa"/>
            <w:vAlign w:val="bottom"/>
          </w:tcPr>
          <w:p>
            <w:pPr>
              <w:jc w:val="center"/>
              <w:ind w:right="9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6660" w:type="dxa"/>
            <w:vAlign w:val="bottom"/>
            <w:gridSpan w:val="2"/>
          </w:tcPr>
          <w:p>
            <w:pPr>
              <w:jc w:val="center"/>
              <w:ind w:right="1019"/>
              <w:spacing w:after="0"/>
              <w:rPr>
                <w:sz w:val="20"/>
                <w:szCs w:val="20"/>
                <w:color w:val="auto"/>
              </w:rPr>
            </w:pPr>
            <w:r>
              <w:rPr>
                <w:rFonts w:ascii="Arial" w:cs="Arial" w:eastAsia="Arial" w:hAnsi="Arial"/>
                <w:sz w:val="18"/>
                <w:szCs w:val="18"/>
                <w:b w:val="1"/>
                <w:bCs w:val="1"/>
                <w:color w:val="auto"/>
                <w:w w:val="88"/>
              </w:rPr>
              <w:t>1626 East Jeffereson Street</w:t>
            </w:r>
          </w:p>
        </w:tc>
        <w:tc>
          <w:tcPr>
            <w:tcW w:w="4360" w:type="dxa"/>
            <w:vAlign w:val="bottom"/>
          </w:tcPr>
          <w:p>
            <w:pPr>
              <w:spacing w:after="0"/>
              <w:rPr>
                <w:sz w:val="24"/>
                <w:szCs w:val="24"/>
                <w:color w:val="auto"/>
              </w:rPr>
            </w:pPr>
          </w:p>
        </w:tc>
      </w:tr>
      <w:tr>
        <w:trPr>
          <w:trHeight w:val="225"/>
        </w:trPr>
        <w:tc>
          <w:tcPr>
            <w:tcW w:w="6660" w:type="dxa"/>
            <w:vAlign w:val="bottom"/>
            <w:gridSpan w:val="2"/>
          </w:tcPr>
          <w:p>
            <w:pPr>
              <w:jc w:val="center"/>
              <w:ind w:right="1039"/>
              <w:spacing w:after="0"/>
              <w:rPr>
                <w:sz w:val="20"/>
                <w:szCs w:val="20"/>
                <w:color w:val="auto"/>
              </w:rPr>
            </w:pPr>
            <w:r>
              <w:rPr>
                <w:rFonts w:ascii="Arial" w:cs="Arial" w:eastAsia="Arial" w:hAnsi="Arial"/>
                <w:sz w:val="18"/>
                <w:szCs w:val="18"/>
                <w:b w:val="1"/>
                <w:bCs w:val="1"/>
                <w:color w:val="auto"/>
                <w:w w:val="93"/>
              </w:rPr>
              <w:t>Rockville, Maryland</w:t>
            </w:r>
          </w:p>
        </w:tc>
        <w:tc>
          <w:tcPr>
            <w:tcW w:w="4360" w:type="dxa"/>
            <w:vAlign w:val="bottom"/>
          </w:tcPr>
          <w:p>
            <w:pPr>
              <w:jc w:val="right"/>
              <w:ind w:right="2379"/>
              <w:spacing w:after="0"/>
              <w:rPr>
                <w:sz w:val="20"/>
                <w:szCs w:val="20"/>
                <w:color w:val="auto"/>
              </w:rPr>
            </w:pPr>
            <w:r>
              <w:rPr>
                <w:rFonts w:ascii="Arial" w:cs="Arial" w:eastAsia="Arial" w:hAnsi="Arial"/>
                <w:sz w:val="18"/>
                <w:szCs w:val="18"/>
                <w:b w:val="1"/>
                <w:bCs w:val="1"/>
                <w:color w:val="auto"/>
              </w:rPr>
              <w:t>20852</w:t>
            </w:r>
          </w:p>
        </w:tc>
      </w:tr>
      <w:tr>
        <w:trPr>
          <w:trHeight w:val="186"/>
        </w:trPr>
        <w:tc>
          <w:tcPr>
            <w:tcW w:w="6660" w:type="dxa"/>
            <w:vAlign w:val="bottom"/>
            <w:gridSpan w:val="2"/>
          </w:tcPr>
          <w:p>
            <w:pPr>
              <w:jc w:val="center"/>
              <w:ind w:right="10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360" w:type="dxa"/>
            <w:vAlign w:val="bottom"/>
          </w:tcPr>
          <w:p>
            <w:pPr>
              <w:jc w:val="center"/>
              <w:ind w:right="919"/>
              <w:spacing w:after="0"/>
              <w:rPr>
                <w:sz w:val="20"/>
                <w:szCs w:val="20"/>
                <w:color w:val="auto"/>
              </w:rPr>
            </w:pPr>
            <w:r>
              <w:rPr>
                <w:rFonts w:ascii="Arial" w:cs="Arial" w:eastAsia="Arial" w:hAnsi="Arial"/>
                <w:sz w:val="14"/>
                <w:szCs w:val="14"/>
                <w:b w:val="1"/>
                <w:bCs w:val="1"/>
                <w:color w:val="auto"/>
                <w:w w:val="98"/>
              </w:rPr>
              <w:t>(Zip Code)</w:t>
            </w: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03"/>
        </w:trPr>
        <w:tc>
          <w:tcPr>
            <w:tcW w:w="43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9"/>
              </w:rPr>
              <w:t>Shelf Registration</w:t>
            </w:r>
          </w:p>
        </w:tc>
        <w:tc>
          <w:tcPr>
            <w:tcW w:w="4360" w:type="dxa"/>
            <w:vAlign w:val="bottom"/>
          </w:tcPr>
          <w:p>
            <w:pPr>
              <w:spacing w:after="0"/>
              <w:rPr>
                <w:sz w:val="24"/>
                <w:szCs w:val="24"/>
                <w:color w:val="auto"/>
              </w:rPr>
            </w:pPr>
          </w:p>
        </w:tc>
      </w:tr>
      <w:tr>
        <w:trPr>
          <w:trHeight w:val="186"/>
        </w:trPr>
        <w:tc>
          <w:tcPr>
            <w:tcW w:w="434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the Indenture Securities)</w:t>
            </w:r>
          </w:p>
        </w:tc>
        <w:tc>
          <w:tcPr>
            <w:tcW w:w="4360" w:type="dxa"/>
            <w:vAlign w:val="bottom"/>
          </w:tcPr>
          <w:p>
            <w:pPr>
              <w:spacing w:after="0"/>
              <w:rPr>
                <w:sz w:val="16"/>
                <w:szCs w:val="16"/>
                <w:color w:val="auto"/>
              </w:rPr>
            </w:pPr>
          </w:p>
        </w:tc>
      </w:tr>
      <w:tr>
        <w:trPr>
          <w:trHeight w:val="214"/>
        </w:trPr>
        <w:tc>
          <w:tcPr>
            <w:tcW w:w="4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21" w:right="439" w:bottom="1440" w:gutter="0" w:footer="0" w:header="0"/>
        </w:sectPr>
      </w:pPr>
    </w:p>
    <w:bookmarkStart w:id="74" w:name="page75"/>
    <w:bookmarkEnd w:id="74"/>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T-1</w:t>
      </w:r>
    </w:p>
    <w:p>
      <w:pPr>
        <w:spacing w:after="0" w:line="252"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GENERAL INFORMATION</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Furnish the following information as to the Trustee.</w:t>
      </w:r>
    </w:p>
    <w:p>
      <w:pPr>
        <w:spacing w:after="0" w:line="135" w:lineRule="exact"/>
        <w:rPr>
          <w:sz w:val="20"/>
          <w:szCs w:val="20"/>
          <w:color w:val="auto"/>
        </w:rPr>
      </w:pPr>
    </w:p>
    <w:p>
      <w:pPr>
        <w:ind w:left="1424" w:hanging="439"/>
        <w:spacing w:after="0"/>
        <w:tabs>
          <w:tab w:leader="none" w:pos="1424"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117"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Comptroller of the Currency</w:t>
      </w:r>
    </w:p>
    <w:p>
      <w:pPr>
        <w:spacing w:after="0" w:line="23"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Washington, D.C.</w:t>
      </w:r>
    </w:p>
    <w:p>
      <w:pPr>
        <w:spacing w:after="0" w:line="359" w:lineRule="exact"/>
        <w:rPr>
          <w:sz w:val="20"/>
          <w:szCs w:val="20"/>
          <w:color w:val="auto"/>
        </w:rPr>
      </w:pPr>
    </w:p>
    <w:p>
      <w:pPr>
        <w:ind w:left="1984" w:right="5740" w:hanging="1552"/>
        <w:spacing w:after="0" w:line="402" w:lineRule="auto"/>
        <w:tabs>
          <w:tab w:leader="none" w:pos="973"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207" w:lineRule="exact"/>
        <w:rPr>
          <w:sz w:val="20"/>
          <w:szCs w:val="20"/>
          <w:color w:val="auto"/>
        </w:rPr>
      </w:pPr>
    </w:p>
    <w:p>
      <w:pPr>
        <w:ind w:left="984" w:right="1540" w:hanging="1651"/>
        <w:spacing w:after="0" w:line="407" w:lineRule="auto"/>
        <w:tabs>
          <w:tab w:leader="none" w:pos="964"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THE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ectPr>
          <w:pgSz w:w="11900" w:h="16838" w:orient="portrait"/>
          <w:cols w:equalWidth="0" w:num="1">
            <w:col w:w="11004"/>
          </w:cols>
          <w:pgMar w:left="436" w:top="270" w:right="459" w:bottom="1440" w:gutter="0" w:footer="0" w:header="0"/>
        </w:sectPr>
      </w:pP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Items 3-15</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200" w:lineRule="exact"/>
        <w:rPr>
          <w:sz w:val="20"/>
          <w:szCs w:val="20"/>
          <w:color w:val="auto"/>
        </w:rPr>
      </w:pPr>
    </w:p>
    <w:p>
      <w:pPr>
        <w:sectPr>
          <w:pgSz w:w="11900" w:h="16838" w:orient="portrait"/>
          <w:cols w:equalWidth="0" w:num="2">
            <w:col w:w="804" w:space="620"/>
            <w:col w:w="9580"/>
          </w:cols>
          <w:pgMar w:left="436" w:top="270" w:right="459" w:bottom="1440" w:gutter="0" w:footer="0" w:header="0"/>
          <w:type w:val="continuous"/>
        </w:sectPr>
      </w:pPr>
    </w:p>
    <w:p>
      <w:pPr>
        <w:spacing w:after="0" w:line="11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1964" w:hanging="533"/>
        <w:spacing w:after="0"/>
        <w:tabs>
          <w:tab w:leader="none" w:pos="1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copy of the Articles of Association of the Trustee.*</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30" w:lineRule="exact"/>
        <w:rPr>
          <w:rFonts w:ascii="Arial" w:cs="Arial" w:eastAsia="Arial" w:hAnsi="Arial"/>
          <w:sz w:val="18"/>
          <w:szCs w:val="18"/>
          <w:color w:val="auto"/>
        </w:rPr>
      </w:pPr>
    </w:p>
    <w:p>
      <w:pPr>
        <w:ind w:left="1964" w:right="40" w:hanging="533"/>
        <w:spacing w:after="0" w:line="277" w:lineRule="auto"/>
        <w:tabs>
          <w:tab w:leader="none" w:pos="1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2020 published pursuant to law or the requirements of its supervising or examining authority, attached as Exhibit 7.</w:t>
      </w:r>
    </w:p>
    <w:p>
      <w:pPr>
        <w:spacing w:after="0" w:line="197" w:lineRule="exact"/>
        <w:rPr>
          <w:rFonts w:ascii="Arial" w:cs="Arial" w:eastAsia="Arial" w:hAnsi="Arial"/>
          <w:sz w:val="18"/>
          <w:szCs w:val="18"/>
          <w:color w:val="auto"/>
        </w:rPr>
      </w:pPr>
    </w:p>
    <w:p>
      <w:pPr>
        <w:ind w:left="424" w:right="600" w:hanging="432"/>
        <w:spacing w:after="0" w:line="25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Charlotte, North Carolina on the 7th ofMay, 2021.</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Lisa Moorehead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Lisa Moorehead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Asst 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76" w:name="page77"/>
    <w:bookmarkEnd w:id="76"/>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257175" cy="265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257175" cy="265430"/>
                    </a:xfrm>
                    <a:prstGeom prst="rect">
                      <a:avLst/>
                    </a:prstGeom>
                    <a:noFill/>
                  </pic:spPr>
                </pic:pic>
              </a:graphicData>
            </a:graphic>
          </wp:anchor>
        </w:drawing>
      </w:r>
    </w:p>
    <w:p>
      <w:pPr>
        <w:spacing w:after="0" w:line="317" w:lineRule="exact"/>
        <w:rPr>
          <w:sz w:val="20"/>
          <w:szCs w:val="20"/>
          <w:color w:val="auto"/>
        </w:rPr>
      </w:pPr>
    </w:p>
    <w:p>
      <w:pPr>
        <w:ind w:left="504"/>
        <w:spacing w:after="0"/>
        <w:rPr>
          <w:sz w:val="20"/>
          <w:szCs w:val="20"/>
          <w:color w:val="auto"/>
        </w:rPr>
      </w:pPr>
      <w:r>
        <w:rPr>
          <w:rFonts w:ascii="Arial" w:cs="Arial" w:eastAsia="Arial" w:hAnsi="Arial"/>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14605</wp:posOffset>
            </wp:positionV>
            <wp:extent cx="66776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00" w:lineRule="exact"/>
        <w:rPr>
          <w:sz w:val="20"/>
          <w:szCs w:val="20"/>
          <w:color w:val="auto"/>
        </w:rPr>
      </w:pPr>
    </w:p>
    <w:p>
      <w:pPr>
        <w:spacing w:after="0" w:line="237" w:lineRule="exact"/>
        <w:rPr>
          <w:sz w:val="20"/>
          <w:szCs w:val="20"/>
          <w:color w:val="auto"/>
        </w:rPr>
      </w:pPr>
    </w:p>
    <w:p>
      <w:pPr>
        <w:ind w:left="3604"/>
        <w:spacing w:after="0"/>
        <w:rPr>
          <w:sz w:val="20"/>
          <w:szCs w:val="20"/>
          <w:color w:val="auto"/>
        </w:rPr>
      </w:pPr>
      <w:r>
        <w:rPr>
          <w:rFonts w:ascii="Arial" w:cs="Arial" w:eastAsia="Arial" w:hAnsi="Arial"/>
          <w:sz w:val="18"/>
          <w:szCs w:val="18"/>
          <w:b w:val="1"/>
          <w:bCs w:val="1"/>
          <w:color w:val="auto"/>
        </w:rPr>
        <w:t>CERTIFICATE OF CORPORATE EXISTENCE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Brian Brooks, Acting Comptroller of the Currency, do hereby certify that:</w:t>
      </w:r>
    </w:p>
    <w:p>
      <w:pPr>
        <w:spacing w:after="0" w:line="225" w:lineRule="exact"/>
        <w:rPr>
          <w:sz w:val="20"/>
          <w:szCs w:val="20"/>
          <w:color w:val="auto"/>
        </w:rPr>
      </w:pPr>
    </w:p>
    <w:p>
      <w:pPr>
        <w:ind w:left="4" w:right="220" w:hanging="4"/>
        <w:spacing w:after="0" w:line="308" w:lineRule="auto"/>
        <w:tabs>
          <w:tab w:leader="none" w:pos="18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46" w:lineRule="exact"/>
        <w:rPr>
          <w:rFonts w:ascii="Arial" w:cs="Arial" w:eastAsia="Arial" w:hAnsi="Arial"/>
          <w:sz w:val="17"/>
          <w:szCs w:val="17"/>
          <w:color w:val="auto"/>
        </w:rPr>
      </w:pPr>
    </w:p>
    <w:p>
      <w:pPr>
        <w:ind w:left="4" w:right="300" w:hanging="4"/>
        <w:spacing w:after="0" w:line="277" w:lineRule="auto"/>
        <w:tabs>
          <w:tab w:leader="none" w:pos="18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70"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IN TESTIMONY WHEREOF, today, June 1, 2020,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211455</wp:posOffset>
            </wp:positionV>
            <wp:extent cx="2486025" cy="548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24860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Acting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246380</wp:posOffset>
            </wp:positionV>
            <wp:extent cx="1637030" cy="17145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163703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color w:val="auto"/>
        </w:rPr>
        <w:t>2020-00621-C</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0" w:right="439" w:bottom="1440" w:gutter="0" w:footer="0" w:header="0"/>
        </w:sectPr>
      </w:pPr>
    </w:p>
    <w:bookmarkStart w:id="77" w:name="page78"/>
    <w:bookmarkEnd w:id="77"/>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257175" cy="265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257175" cy="265430"/>
                    </a:xfrm>
                    <a:prstGeom prst="rect">
                      <a:avLst/>
                    </a:prstGeom>
                    <a:noFill/>
                  </pic:spPr>
                </pic:pic>
              </a:graphicData>
            </a:graphic>
          </wp:anchor>
        </w:drawing>
      </w:r>
    </w:p>
    <w:p>
      <w:pPr>
        <w:spacing w:after="0" w:line="317" w:lineRule="exact"/>
        <w:rPr>
          <w:sz w:val="20"/>
          <w:szCs w:val="20"/>
          <w:color w:val="auto"/>
        </w:rPr>
      </w:pPr>
    </w:p>
    <w:p>
      <w:pPr>
        <w:ind w:left="504"/>
        <w:spacing w:after="0"/>
        <w:rPr>
          <w:sz w:val="20"/>
          <w:szCs w:val="20"/>
          <w:color w:val="auto"/>
        </w:rPr>
      </w:pPr>
      <w:r>
        <w:rPr>
          <w:rFonts w:ascii="Arial" w:cs="Arial" w:eastAsia="Arial" w:hAnsi="Arial"/>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14605</wp:posOffset>
            </wp:positionV>
            <wp:extent cx="66776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00" w:lineRule="exact"/>
        <w:rPr>
          <w:sz w:val="20"/>
          <w:szCs w:val="20"/>
          <w:color w:val="auto"/>
        </w:rPr>
      </w:pPr>
    </w:p>
    <w:p>
      <w:pPr>
        <w:spacing w:after="0" w:line="237" w:lineRule="exact"/>
        <w:rPr>
          <w:sz w:val="20"/>
          <w:szCs w:val="20"/>
          <w:color w:val="auto"/>
        </w:rPr>
      </w:pPr>
    </w:p>
    <w:p>
      <w:pPr>
        <w:ind w:left="3804"/>
        <w:spacing w:after="0"/>
        <w:rPr>
          <w:sz w:val="20"/>
          <w:szCs w:val="20"/>
          <w:color w:val="auto"/>
        </w:rPr>
      </w:pPr>
      <w:r>
        <w:rPr>
          <w:rFonts w:ascii="Arial" w:cs="Arial" w:eastAsia="Arial" w:hAnsi="Arial"/>
          <w:sz w:val="18"/>
          <w:szCs w:val="18"/>
          <w:b w:val="1"/>
          <w:bCs w:val="1"/>
          <w:color w:val="auto"/>
        </w:rPr>
        <w:t>CERTIFICATE OF FIDUCIARY POWERS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Brian Brooks, Acting Comptroller of the Currency, do hereby certify that:</w:t>
      </w:r>
    </w:p>
    <w:p>
      <w:pPr>
        <w:spacing w:after="0" w:line="225" w:lineRule="exact"/>
        <w:rPr>
          <w:sz w:val="20"/>
          <w:szCs w:val="20"/>
          <w:color w:val="auto"/>
        </w:rPr>
      </w:pPr>
    </w:p>
    <w:p>
      <w:pPr>
        <w:ind w:left="4" w:right="760" w:hanging="4"/>
        <w:spacing w:after="0" w:line="342" w:lineRule="auto"/>
        <w:tabs>
          <w:tab w:leader="none" w:pos="18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Office of 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23" w:lineRule="exact"/>
        <w:rPr>
          <w:rFonts w:ascii="Arial" w:cs="Arial" w:eastAsia="Arial" w:hAnsi="Arial"/>
          <w:sz w:val="16"/>
          <w:szCs w:val="16"/>
          <w:color w:val="auto"/>
        </w:rPr>
      </w:pPr>
    </w:p>
    <w:p>
      <w:pPr>
        <w:ind w:left="4" w:right="180" w:hanging="4"/>
        <w:spacing w:after="0" w:line="263" w:lineRule="auto"/>
        <w:tabs>
          <w:tab w:leader="none" w:pos="18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w:t>
      </w:r>
    </w:p>
    <w:p>
      <w:pPr>
        <w:spacing w:after="0" w:line="184"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IN TESTIMONY WHEREOF, today, June 1, 2020,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211455</wp:posOffset>
            </wp:positionV>
            <wp:extent cx="2486025" cy="548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24860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Acting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246380</wp:posOffset>
            </wp:positionV>
            <wp:extent cx="1637030" cy="17145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163703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color w:val="auto"/>
        </w:rPr>
        <w:t>2020-00621-C</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0" w:right="4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Lisa Moorehead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Lisa Moorehead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Asst.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7</w:t>
            </w:r>
          </w:p>
        </w:tc>
        <w:tc>
          <w:tcPr>
            <w:tcW w:w="42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8"/>
        </w:trPr>
        <w:tc>
          <w:tcPr>
            <w:tcW w:w="3500" w:type="dxa"/>
            <w:vAlign w:val="bottom"/>
          </w:tcPr>
          <w:p>
            <w:pPr>
              <w:spacing w:after="0"/>
              <w:rPr>
                <w:sz w:val="18"/>
                <w:szCs w:val="18"/>
                <w:color w:val="auto"/>
              </w:rPr>
            </w:pPr>
          </w:p>
        </w:tc>
        <w:tc>
          <w:tcPr>
            <w:tcW w:w="6560" w:type="dxa"/>
            <w:vAlign w:val="bottom"/>
            <w:gridSpan w:val="4"/>
          </w:tcPr>
          <w:p>
            <w:pPr>
              <w:jc w:val="center"/>
              <w:ind w:right="2487"/>
              <w:spacing w:after="0"/>
              <w:rPr>
                <w:sz w:val="20"/>
                <w:szCs w:val="20"/>
                <w:color w:val="auto"/>
              </w:rPr>
            </w:pPr>
            <w:r>
              <w:rPr>
                <w:rFonts w:ascii="Arial" w:cs="Arial" w:eastAsia="Arial" w:hAnsi="Arial"/>
                <w:sz w:val="18"/>
                <w:szCs w:val="18"/>
                <w:b w:val="1"/>
                <w:bCs w:val="1"/>
                <w:color w:val="auto"/>
                <w:w w:val="89"/>
              </w:rPr>
              <w:t>U.S. Bank National Association</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6560" w:type="dxa"/>
            <w:vAlign w:val="bottom"/>
            <w:gridSpan w:val="4"/>
          </w:tcPr>
          <w:p>
            <w:pPr>
              <w:jc w:val="center"/>
              <w:ind w:right="2487"/>
              <w:spacing w:after="0"/>
              <w:rPr>
                <w:sz w:val="20"/>
                <w:szCs w:val="20"/>
                <w:color w:val="auto"/>
              </w:rPr>
            </w:pPr>
            <w:r>
              <w:rPr>
                <w:rFonts w:ascii="Arial" w:cs="Arial" w:eastAsia="Arial" w:hAnsi="Arial"/>
                <w:sz w:val="18"/>
                <w:szCs w:val="18"/>
                <w:b w:val="1"/>
                <w:bCs w:val="1"/>
                <w:color w:val="auto"/>
                <w:w w:val="91"/>
              </w:rPr>
              <w:t>Statement of Financial Condition</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6560" w:type="dxa"/>
            <w:vAlign w:val="bottom"/>
            <w:gridSpan w:val="4"/>
          </w:tcPr>
          <w:p>
            <w:pPr>
              <w:jc w:val="center"/>
              <w:ind w:right="2487"/>
              <w:spacing w:after="0"/>
              <w:rPr>
                <w:sz w:val="20"/>
                <w:szCs w:val="20"/>
                <w:color w:val="auto"/>
              </w:rPr>
            </w:pPr>
            <w:r>
              <w:rPr>
                <w:rFonts w:ascii="Arial" w:cs="Arial" w:eastAsia="Arial" w:hAnsi="Arial"/>
                <w:sz w:val="18"/>
                <w:szCs w:val="18"/>
                <w:b w:val="1"/>
                <w:bCs w:val="1"/>
                <w:color w:val="auto"/>
                <w:w w:val="89"/>
              </w:rPr>
              <w:t>As of 9/30/2020</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900" w:type="dxa"/>
            <w:vAlign w:val="bottom"/>
            <w:gridSpan w:val="3"/>
          </w:tcPr>
          <w:p>
            <w:pPr>
              <w:jc w:val="center"/>
              <w:ind w:right="4147"/>
              <w:spacing w:after="0"/>
              <w:rPr>
                <w:sz w:val="20"/>
                <w:szCs w:val="20"/>
                <w:color w:val="auto"/>
              </w:rPr>
            </w:pPr>
            <w:r>
              <w:rPr>
                <w:rFonts w:ascii="Arial" w:cs="Arial" w:eastAsia="Arial" w:hAnsi="Arial"/>
                <w:sz w:val="18"/>
                <w:szCs w:val="18"/>
                <w:b w:val="1"/>
                <w:bCs w:val="1"/>
                <w:color w:val="auto"/>
                <w:w w:val="90"/>
              </w:rPr>
              <w:t>($000s)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350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9/30/2020</w:t>
            </w:r>
          </w:p>
        </w:tc>
        <w:tc>
          <w:tcPr>
            <w:tcW w:w="60" w:type="dxa"/>
            <w:vAlign w:val="bottom"/>
            <w:tcBorders>
              <w:bottom w:val="single" w:sz="8" w:color="CCEEFF"/>
            </w:tcBorders>
          </w:tcPr>
          <w:p>
            <w:pPr>
              <w:spacing w:after="0"/>
              <w:rPr>
                <w:sz w:val="24"/>
                <w:szCs w:val="24"/>
                <w:color w:val="auto"/>
              </w:rPr>
            </w:pPr>
          </w:p>
        </w:tc>
      </w:tr>
      <w:tr>
        <w:trPr>
          <w:trHeight w:val="196"/>
        </w:trPr>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Cash and Balances Due From</w:t>
            </w:r>
          </w:p>
        </w:tc>
        <w:tc>
          <w:tcPr>
            <w:tcW w:w="6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43,891,940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Depository Institutions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Securities</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132,530,990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Federal Funds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898</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Loans &amp; Lease Financing Receivables</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307,196,612</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7,598,340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Intangible Assets</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12,549,045</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26,728,893</w:t>
            </w:r>
          </w:p>
        </w:tc>
      </w:tr>
      <w:tr>
        <w:trPr>
          <w:trHeight w:val="228"/>
        </w:trPr>
        <w:tc>
          <w:tcPr>
            <w:tcW w:w="35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530,496,718</w:t>
            </w:r>
          </w:p>
        </w:tc>
        <w:tc>
          <w:tcPr>
            <w:tcW w:w="60" w:type="dxa"/>
            <w:vAlign w:val="bottom"/>
          </w:tcPr>
          <w:p>
            <w:pPr>
              <w:spacing w:after="0"/>
              <w:rPr>
                <w:sz w:val="19"/>
                <w:szCs w:val="19"/>
                <w:color w:val="auto"/>
              </w:rPr>
            </w:pPr>
          </w:p>
        </w:tc>
      </w:tr>
      <w:tr>
        <w:trPr>
          <w:trHeight w:val="103"/>
        </w:trPr>
        <w:tc>
          <w:tcPr>
            <w:tcW w:w="35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Deposits</w:t>
            </w:r>
          </w:p>
        </w:tc>
        <w:tc>
          <w:tcPr>
            <w:tcW w:w="6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426,766,411</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Fed Funds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1,460,030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Treasury Demand Notes</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Trading Liabilities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859,917</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Other Borrowed Money</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29,719,033</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Acceptances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3,850,000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14,732,819</w:t>
            </w:r>
          </w:p>
        </w:tc>
      </w:tr>
      <w:tr>
        <w:trPr>
          <w:trHeight w:val="228"/>
        </w:trPr>
        <w:tc>
          <w:tcPr>
            <w:tcW w:w="35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477,388,210</w:t>
            </w:r>
          </w:p>
        </w:tc>
        <w:tc>
          <w:tcPr>
            <w:tcW w:w="60" w:type="dxa"/>
            <w:vAlign w:val="bottom"/>
          </w:tcPr>
          <w:p>
            <w:pPr>
              <w:spacing w:after="0"/>
              <w:rPr>
                <w:sz w:val="19"/>
                <w:szCs w:val="19"/>
                <w:color w:val="auto"/>
              </w:rPr>
            </w:pPr>
          </w:p>
        </w:tc>
      </w:tr>
      <w:tr>
        <w:trPr>
          <w:trHeight w:val="103"/>
        </w:trPr>
        <w:tc>
          <w:tcPr>
            <w:tcW w:w="35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Common and Preferred Stock</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18,200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Surplus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14,266,915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Undivided Profits</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38,022,958</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Subsidiaries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800,435</w:t>
            </w:r>
          </w:p>
        </w:tc>
      </w:tr>
      <w:tr>
        <w:trPr>
          <w:trHeight w:val="228"/>
        </w:trPr>
        <w:tc>
          <w:tcPr>
            <w:tcW w:w="3500" w:type="dxa"/>
            <w:vAlign w:val="bottom"/>
          </w:tcPr>
          <w:p>
            <w:pPr>
              <w:spacing w:after="0"/>
              <w:rPr>
                <w:sz w:val="20"/>
                <w:szCs w:val="20"/>
                <w:color w:val="auto"/>
              </w:rPr>
            </w:pPr>
            <w:r>
              <w:rPr>
                <w:rFonts w:ascii="Arial" w:cs="Arial" w:eastAsia="Arial" w:hAnsi="Arial"/>
                <w:sz w:val="18"/>
                <w:szCs w:val="18"/>
                <w:b w:val="1"/>
                <w:bCs w:val="1"/>
                <w:color w:val="auto"/>
              </w:rPr>
              <w:t>Total Equity Capital</w:t>
            </w: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53,108,508</w:t>
            </w:r>
          </w:p>
        </w:tc>
        <w:tc>
          <w:tcPr>
            <w:tcW w:w="60" w:type="dxa"/>
            <w:vAlign w:val="bottom"/>
          </w:tcPr>
          <w:p>
            <w:pPr>
              <w:spacing w:after="0"/>
              <w:rPr>
                <w:sz w:val="19"/>
                <w:szCs w:val="19"/>
                <w:color w:val="auto"/>
              </w:rPr>
            </w:pPr>
          </w:p>
        </w:tc>
      </w:tr>
      <w:tr>
        <w:trPr>
          <w:trHeight w:val="103"/>
        </w:trPr>
        <w:tc>
          <w:tcPr>
            <w:tcW w:w="35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5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530,496,718</w:t>
            </w:r>
          </w:p>
        </w:tc>
      </w:tr>
      <w:tr>
        <w:trPr>
          <w:trHeight w:val="365"/>
        </w:trPr>
        <w:tc>
          <w:tcPr>
            <w:tcW w:w="3500" w:type="dxa"/>
            <w:vAlign w:val="bottom"/>
          </w:tcPr>
          <w:p>
            <w:pPr>
              <w:spacing w:after="0"/>
              <w:rPr>
                <w:sz w:val="24"/>
                <w:szCs w:val="24"/>
                <w:color w:val="auto"/>
              </w:rPr>
            </w:pPr>
          </w:p>
        </w:tc>
        <w:tc>
          <w:tcPr>
            <w:tcW w:w="2360" w:type="dxa"/>
            <w:vAlign w:val="bottom"/>
            <w:gridSpan w:val="2"/>
          </w:tcPr>
          <w:p>
            <w:pPr>
              <w:jc w:val="right"/>
              <w:ind w:right="230"/>
              <w:spacing w:after="0"/>
              <w:rPr>
                <w:sz w:val="20"/>
                <w:szCs w:val="20"/>
                <w:color w:val="auto"/>
              </w:rPr>
            </w:pPr>
            <w:r>
              <w:rPr>
                <w:rFonts w:ascii="Arial" w:cs="Arial" w:eastAsia="Arial" w:hAnsi="Arial"/>
                <w:sz w:val="18"/>
                <w:szCs w:val="18"/>
                <w:color w:val="auto"/>
              </w:rPr>
              <w:t>7</w:t>
            </w: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sectPr>
      <w:pgSz w:w="11900" w:h="16838" w:orient="portrait"/>
      <w:cols w:equalWidth="0" w:num="1">
        <w:col w:w="11020"/>
      </w:cols>
      <w:pgMar w:left="440" w:top="25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lvl w:ilvl="1">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lvl w:ilvl="1">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1."/>
      <w:numFmt w:val="decimal"/>
      <w:start w:val="1"/>
    </w:lvl>
  </w:abstractNum>
  <w:abstractNum w:abstractNumId="26">
    <w:nsid w:val="310C50B3"/>
    <w:multiLevelType w:val="hybridMultilevel"/>
    <w:lvl w:ilvl="0">
      <w:lvlJc w:val="left"/>
      <w:lvlText w:val="(%1)"/>
      <w:numFmt w:val="lowerLetter"/>
      <w:start w:val="1"/>
    </w:lvl>
  </w:abstractNum>
  <w:abstractNum w:abstractNumId="27">
    <w:nsid w:val="5FF87E05"/>
    <w:multiLevelType w:val="hybridMultilevel"/>
    <w:lvl w:ilvl="0">
      <w:lvlJc w:val="left"/>
      <w:lvlText w:val="%1."/>
      <w:numFmt w:val="decimal"/>
      <w:start w:val="5"/>
    </w:lvl>
  </w:abstractNum>
  <w:abstractNum w:abstractNumId="28">
    <w:nsid w:val="2F305DEF"/>
    <w:multiLevelType w:val="hybridMultilevel"/>
    <w:lvl w:ilvl="0">
      <w:lvlJc w:val="left"/>
      <w:lvlText w:val="(%1)"/>
      <w:numFmt w:val="lowerLetter"/>
      <w:start w:val="1"/>
    </w:lvl>
  </w:abstractNum>
  <w:abstractNum w:abstractNumId="29">
    <w:nsid w:val="25A70BF7"/>
    <w:multiLevelType w:val="hybridMultilevel"/>
    <w:lvl w:ilvl="0">
      <w:lvlJc w:val="left"/>
      <w:lvlText w:val="(%1)"/>
      <w:numFmt w:val="lowerLetter"/>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lvl w:ilvl="1">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lvl w:ilvl="1">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
      <w:numFmt w:val="bullet"/>
      <w:start w:val="1"/>
    </w:lvl>
    <w:lvl w:ilvl="1">
      <w:lvlJc w:val="left"/>
      <w:lvlText w:val="•"/>
      <w:numFmt w:val="bullet"/>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1."/>
      <w:numFmt w:val="decimal"/>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1)"/>
      <w:numFmt w:val="lowerRoman"/>
      <w:start w:val="3"/>
    </w:lvl>
  </w:abstractNum>
  <w:abstractNum w:abstractNumId="71">
    <w:nsid w:val="885E1B"/>
    <w:multiLevelType w:val="hybridMultilevel"/>
    <w:lvl w:ilvl="0">
      <w:lvlJc w:val="left"/>
      <w:lvlText w:val="•"/>
      <w:numFmt w:val="bullet"/>
      <w:start w:val="1"/>
    </w:lvl>
    <w:lvl w:ilvl="1">
      <w:lvlJc w:val="left"/>
      <w:lvlText w:val="•"/>
      <w:numFmt w:val="bullet"/>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1)"/>
      <w:numFmt w:val="decimal"/>
      <w:start w:val="2"/>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1)"/>
      <w:numFmt w:val="decimal"/>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5">
    <w:nsid w:val="43F18422"/>
    <w:multiLevelType w:val="hybridMultilevel"/>
    <w:lvl w:ilvl="0">
      <w:lvlJc w:val="left"/>
      <w:lvlText w:val="(%1)"/>
      <w:numFmt w:val="decimal"/>
      <w:start w:val="2"/>
    </w:lvl>
    <w:lvl w:ilvl="1">
      <w:lvlJc w:val="left"/>
      <w:lvlText w:val="(%2)"/>
      <w:numFmt w:val="lowerRoman"/>
      <w:start w:val="1"/>
    </w:lvl>
  </w:abstractNum>
  <w:abstractNum w:abstractNumId="86">
    <w:nsid w:val="60EF0119"/>
    <w:multiLevelType w:val="hybridMultilevel"/>
    <w:lvl w:ilvl="0">
      <w:lvlJc w:val="left"/>
      <w:lvlText w:val="(%1)"/>
      <w:numFmt w:val="decimal"/>
      <w:start w:val="5"/>
    </w:lvl>
  </w:abstractNum>
  <w:abstractNum w:abstractNumId="87">
    <w:nsid w:val="26F324BA"/>
    <w:multiLevelType w:val="hybridMultilevel"/>
    <w:lvl w:ilvl="0">
      <w:lvlJc w:val="left"/>
      <w:lvlText w:val="%1"/>
      <w:numFmt w:val="lowerLetter"/>
      <w:start w:val="1"/>
    </w:lvl>
    <w:lvl w:ilvl="1">
      <w:lvlJc w:val="left"/>
      <w:lvlText w:val="(%2)"/>
      <w:numFmt w:val="lowerRoman"/>
      <w:start w:val="1"/>
    </w:lvl>
  </w:abstractNum>
  <w:abstractNum w:abstractNumId="88">
    <w:nsid w:val="7F01579B"/>
    <w:multiLevelType w:val="hybridMultilevel"/>
    <w:lvl w:ilvl="0">
      <w:lvlJc w:val="left"/>
      <w:lvlText w:val="(%1)"/>
      <w:numFmt w:val="lowerLetter"/>
      <w:start w:val="2"/>
    </w:lvl>
    <w:lvl w:ilvl="1">
      <w:lvlJc w:val="left"/>
      <w:lvlText w:val="%2"/>
      <w:numFmt w:val="lowerRoman"/>
      <w:start w:val="1"/>
    </w:lvl>
  </w:abstractNum>
  <w:abstractNum w:abstractNumId="89">
    <w:nsid w:val="49DA307D"/>
    <w:multiLevelType w:val="hybridMultilevel"/>
    <w:lvl w:ilvl="0">
      <w:lvlJc w:val="left"/>
      <w:lvlText w:val="(%1)"/>
      <w:numFmt w:val="lowerLetter"/>
      <w:start w:val="4"/>
    </w:lvl>
  </w:abstractNum>
  <w:abstractNum w:abstractNumId="90">
    <w:nsid w:val="7055A5F5"/>
    <w:multiLevelType w:val="hybridMultilevel"/>
    <w:lvl w:ilvl="0">
      <w:lvlJc w:val="left"/>
      <w:lvlText w:val="%1."/>
      <w:numFmt w:val="decimal"/>
      <w:start w:val="1"/>
    </w:lvl>
  </w:abstractNum>
  <w:abstractNum w:abstractNumId="91">
    <w:nsid w:val="5FB8370B"/>
    <w:multiLevelType w:val="hybridMultilevel"/>
    <w:lvl w:ilvl="0">
      <w:lvlJc w:val="left"/>
      <w:lvlText w:val="%1."/>
      <w:numFmt w:val="decimal"/>
      <w:start w:val="2"/>
    </w:lvl>
  </w:abstractNum>
  <w:abstractNum w:abstractNumId="92">
    <w:nsid w:val="50801EE1"/>
    <w:multiLevelType w:val="hybridMultilevel"/>
    <w:lvl w:ilvl="0">
      <w:lvlJc w:val="left"/>
      <w:lvlText w:val="%1."/>
      <w:numFmt w:val="decimal"/>
      <w:start w:val="7"/>
    </w:lvl>
  </w:abstractNum>
  <w:abstractNum w:abstractNumId="93">
    <w:nsid w:val="488AC1A"/>
    <w:multiLevelType w:val="hybridMultilevel"/>
    <w:lvl w:ilvl="0">
      <w:lvlJc w:val="left"/>
      <w:lvlText w:val="(%1)"/>
      <w:numFmt w:val="decimal"/>
      <w:start w:val="3"/>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1)"/>
      <w:numFmt w:val="lowerLetter"/>
      <w:start w:val="1"/>
    </w:lvl>
  </w:abstractNum>
  <w:abstractNum w:abstractNumId="96">
    <w:nsid w:val="7672BD23"/>
    <w:multiLevelType w:val="hybridMultilevel"/>
    <w:lvl w:ilvl="0">
      <w:lvlJc w:val="left"/>
      <w:lvlText w:val="%1)"/>
      <w:numFmt w:val="lowerLetter"/>
      <w:start w:val="2"/>
    </w:lvl>
  </w:abstractNum>
  <w:abstractNum w:abstractNumId="97">
    <w:nsid w:val="6FC75AF8"/>
    <w:multiLevelType w:val="hybridMultilevel"/>
    <w:lvl w:ilvl="0">
      <w:lvlJc w:val="left"/>
      <w:lvlText w:val="*"/>
      <w:numFmt w:val="bullet"/>
      <w:start w:val="1"/>
    </w:lvl>
    <w:lvl w:ilvl="1">
      <w:lvlJc w:val="left"/>
      <w:lvlText w:val="%2."/>
      <w:numFmt w:val="decimal"/>
      <w:start w:val="1"/>
    </w:lvl>
  </w:abstractNum>
  <w:abstractNum w:abstractNumId="98">
    <w:nsid w:val="6A5F7029"/>
    <w:multiLevelType w:val="hybridMultilevel"/>
    <w:lvl w:ilvl="0">
      <w:lvlJc w:val="left"/>
      <w:lvlText w:val="**"/>
      <w:numFmt w:val="bullet"/>
      <w:start w:val="1"/>
    </w:lvl>
    <w:lvl w:ilvl="1">
      <w:lvlJc w:val="left"/>
      <w:lvlText w:val="%2"/>
      <w:numFmt w:val="decimal"/>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jpe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jpeg"/><Relationship Id="rId127" Type="http://schemas.openxmlformats.org/officeDocument/2006/relationships/image" Target="media/image103.png"/><Relationship Id="rId128" Type="http://schemas.openxmlformats.org/officeDocument/2006/relationships/image" Target="media/image104.jpeg"/><Relationship Id="rId129" Type="http://schemas.openxmlformats.org/officeDocument/2006/relationships/image" Target="media/image105.jpeg"/><Relationship Id="rId130" Type="http://schemas.openxmlformats.org/officeDocument/2006/relationships/image" Target="media/image106.png"/><Relationship Id="rId131" Type="http://schemas.openxmlformats.org/officeDocument/2006/relationships/image" Target="media/image107.jpeg"/><Relationship Id="rId132" Type="http://schemas.openxmlformats.org/officeDocument/2006/relationships/image" Target="media/image108.png"/><Relationship Id="rId133" Type="http://schemas.openxmlformats.org/officeDocument/2006/relationships/image" Target="media/image109.jpeg"/><Relationship Id="rId134" Type="http://schemas.openxmlformats.org/officeDocument/2006/relationships/image" Target="media/image110.jpe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80" Type="http://schemas.openxmlformats.org/officeDocument/2006/relationships/hyperlink" Target="http://www.sec.gov/ix?doc=/Archives/edgar/data/34903/000003490321000020/frt-20201231.htm" TargetMode="External"/><Relationship Id="rId81" Type="http://schemas.openxmlformats.org/officeDocument/2006/relationships/hyperlink" Target="http://www.sec.gov/Archives/edgar/data/34903/000119312521093583/d112637ddef14a.htm" TargetMode="External"/><Relationship Id="rId82" Type="http://schemas.openxmlformats.org/officeDocument/2006/relationships/hyperlink" Target="http://www.sec.gov/ix?doc=/Archives/edgar/data/34903/000003490321000049/frt-20210331.htm" TargetMode="External"/><Relationship Id="rId83" Type="http://schemas.openxmlformats.org/officeDocument/2006/relationships/hyperlink" Target="http://www.sec.gov/ix?doc=/Archives/edgar/data/34903/000003490321000032/frt-20210210.htm" TargetMode="External"/><Relationship Id="rId84" Type="http://schemas.openxmlformats.org/officeDocument/2006/relationships/hyperlink" Target="http://www.sec.gov/ix?doc=/Archives/edgar/data/34903/000119312521053567/d121275d8k.htm" TargetMode="External"/><Relationship Id="rId85" Type="http://schemas.openxmlformats.org/officeDocument/2006/relationships/hyperlink" Target="http://www.sec.gov/ix?doc=/Archives/edgar/data/34903/000119312521121313/d126788d8k.htm" TargetMode="External"/><Relationship Id="rId86" Type="http://schemas.openxmlformats.org/officeDocument/2006/relationships/hyperlink" Target="http://www.sec.gov/ix?doc=/Archives/edgar/data/34903/000003490321000051/frt-20210505.htm" TargetMode="External"/><Relationship Id="rId87" Type="http://schemas.openxmlformats.org/officeDocument/2006/relationships/hyperlink" Target="http://www.sec.gov/Archives/edgar/data/34903/000092838502002234/d8a12ba.txt" TargetMode="External"/><Relationship Id="rId88" Type="http://schemas.openxmlformats.org/officeDocument/2006/relationships/hyperlink" Target="http://www.sec.gov/Archives/edgar/data/34903/000119312517299279/d453589d8a12b.htm" TargetMode="External"/><Relationship Id="rId95" Type="http://schemas.openxmlformats.org/officeDocument/2006/relationships/hyperlink" Target="http://www.sec.gov/Archives/edgar/data/34903/000119312509131764/dex31.htm" TargetMode="External"/><Relationship Id="rId96" Type="http://schemas.openxmlformats.org/officeDocument/2006/relationships/hyperlink" Target="http://www.sec.gov/Archives/edgar/data/34903/000003490321000049/frt-03312021xex31.htm" TargetMode="External"/><Relationship Id="rId97" Type="http://schemas.openxmlformats.org/officeDocument/2006/relationships/hyperlink" Target="http://www.sec.gov/Archives/edgar/data/34903/000095010900001048/0000950109-00-001048.txt" TargetMode="External"/><Relationship Id="rId98" Type="http://schemas.openxmlformats.org/officeDocument/2006/relationships/hyperlink" Target="http://www.sec.gov/Archives/edgar/data/34903/000119312507053506/dex41.htm" TargetMode="External"/><Relationship Id="rId99" Type="http://schemas.openxmlformats.org/officeDocument/2006/relationships/hyperlink" Target="http://www.sec.gov/Archives/edgar/data/34903/0000950109-98-004542.txt" TargetMode="External"/><Relationship Id="rId100" Type="http://schemas.openxmlformats.org/officeDocument/2006/relationships/hyperlink" Target="http://www.sec.gov/Archives/edgar/data/34903/000119312517299279/d453589dex32.htm" TargetMode="External"/><Relationship Id="rId101" Type="http://schemas.openxmlformats.org/officeDocument/2006/relationships/hyperlink" Target="http://www.sec.gov/Archives/edgar/data/34903/000119312517299279/d453589dex41.htm" TargetMode="External"/><Relationship Id="rId102" Type="http://schemas.openxmlformats.org/officeDocument/2006/relationships/hyperlink" Target="http://www.sec.gov/Archives/edgar/data/34903/000119312517299279/d453589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2021-05-07T05:50:21Z</dcterms:created>
  <dcterms:modified xsi:type="dcterms:W3CDTF">2021-05-07T05:50:21Z</dcterms:modified>
</cp:coreProperties>
</file>