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Date of Report (Date of earliest event reported) February 12,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760"/>
          </w:cols>
          <w:pgMar w:left="240" w:top="355"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55" w:right="639" w:bottom="1440" w:gutter="0" w:footer="0" w:header="0"/>
          <w:type w:val="continuous"/>
        </w:sectPr>
      </w:pPr>
    </w:p>
    <w:p>
      <w:pPr>
        <w:ind w:left="32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ind w:left="1040" w:right="4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On February 12, 2007, the Compensation Committee (“Committee”) of the Board of Trustees of Federal Realty Investment Trust (“Trust”) approved the following compensation arrangements for the Trust’s named executive officers: (a) increases in base salaries for fiscal year 2007, effective as of January 1, 2007, to: Donald C. Wood, President and Chief Executive Officer –$650,000; Dawn M. Becker, Executive Vice President-General Counsel and Secretary – $300,000 and Jeffrey S. Berkes, Executive Vice President-Chief Investment Officer – $350,000; (b) bonus payments to each of the named executive officers pursuant to the Trust’s annual incentive bonus plan applicable to all corporate employees, determined on the basis of the funds from operations and west coast property operating income achieved by the Trust in fiscal year 2006 and the individual performance of each of the named executive officers; (c) equity awards to Mr. Wood,</w:t>
      </w:r>
    </w:p>
    <w:p>
      <w:pPr>
        <w:spacing w:after="0" w:line="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Mr. Larry E. Finger, Executive Vice President-Chief Financial Officer and Treasurer, and Ms. Becker pursuant to the Trust’s long-term incentive award program applicable to all of the Trust’s officers and participants in its internal leadership and development program determined on the basis of the Trust’s performance from January 2004 through December 2006 on the following three metrics – relative total return to shareholders, absolute total return to shareholders and return on invested capital; (d) a restricted share award of $3,000,000 to Mr. Berkes that vests equally over five years; and (e) a supplemental cash bonus to Mr. Wood of $250,000 and to each of Mr. Finger, Ms. Becker and Mr. Berkes of $50,000.</w:t>
      </w:r>
    </w:p>
    <w:p>
      <w:pPr>
        <w:sectPr>
          <w:pgSz w:w="11900" w:h="16838" w:orient="portrait"/>
          <w:cols w:equalWidth="0" w:num="1">
            <w:col w:w="11380"/>
          </w:cols>
          <w:pgMar w:left="240" w:top="274" w:right="2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February 16, 2007</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President-General Counsel and Secretary</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2019-12-11T16:46:05Z</dcterms:created>
  <dcterms:modified xsi:type="dcterms:W3CDTF">2019-12-11T16:46:05Z</dcterms:modified>
</cp:coreProperties>
</file>