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333-224701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5"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of Beneficial Interest, $0.01 par value per share</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$400,000,000</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$49,800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460" w:right="320" w:hanging="452"/>
        <w:spacing w:after="0" w:line="30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filing fee is calculated in accordance with Rule 457(o) under the Securities Act, based on the proposed maximum aggregate offering price, and Rule 457(r) under the Securities Act. Pursuant to Rule 457(p) under the Securities Act, the Registrant is offsetting the registration fee of $49,800 by $32,531, which represents the portion of the registration fee previously paid by the Registrant with respect to the unsold securities registered on the Registration Statement on Form S-3 (File No. 333-203999) and offered by means of a prospectus supplement dated November 4, 2016.</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MAY 7, 2018)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175260</wp:posOffset>
            </wp:positionV>
            <wp:extent cx="2178050" cy="875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entered into separate equity distribution agreements with each of Wells Fargo Securities, LLC, Merrill Lynch, Pierce, Fenner &amp; Smith Incorporated and Citigroup Global Markets Inc., or the Agents, relating to our common shares of beneficial interest, $0.01 par value per share, offered by this prospectus supplement and the accompanying prospectus pursuant to a continuous offering program. In accordance with the terms of the equity distribution agreements, we may from time to time offer and sell common shares having an aggregate offering price of up to $400,000,000 through the Agents as our sales agents. Upon entering into these equity distribution agreements, we simultaneously terminated the equity distribution agreements we entered into with the Agents in connection with a prior “at the market” offering program established in November 2016.</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common shares are listed on the New York Stock Exchange, or the NYSE, under the symbol “FRT.” On May 4, 2018, the last reported sale price of our common shares on the NYSE was $118.73 per share.</w:t>
      </w:r>
    </w:p>
    <w:p>
      <w:pPr>
        <w:spacing w:after="0" w:line="17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Sales of our common shares, if any, under this prospectus supplement and the accompanying prospectus may be made in transactions that are deemed to be “at the market” offerings, including sales made directly on the NYSE or sales made to or through a market maker other than on an exchange, or in negotiated transactions, which may include block trades. The Agents are not required to sell any specific number or dollar amount of common shares, but as instructed by us will make all sales using commercially reasonable efforts, as our sales agents and subject to the terms of the equity distribution agreements. Our common shares to which this prospectus supplement relates will be sold through only one Agent on any given day. The offering of common shares pursuant to the equity distribution agreements will terminate upon the earlier of (1) the sale of common shares having an aggregate offering price of $400,000,000 and (2) with respect to a particular equity distribution agreement, the termination of such equity distribution agreement.</w:t>
      </w:r>
    </w:p>
    <w:p>
      <w:pPr>
        <w:spacing w:after="0" w:line="16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will pay each of the Agents a commission that will not exceed, but may be lower than, 2.0% of the gross sales price per common share sold through it under the applicable equity distribution agreement.</w:t>
      </w:r>
    </w:p>
    <w:p>
      <w:pPr>
        <w:spacing w:after="0" w:line="157" w:lineRule="exact"/>
        <w:rPr>
          <w:sz w:val="20"/>
          <w:szCs w:val="20"/>
          <w:color w:val="auto"/>
        </w:rPr>
      </w:pPr>
    </w:p>
    <w:p>
      <w:pPr>
        <w:ind w:right="120" w:firstLine="456"/>
        <w:spacing w:after="0" w:line="301" w:lineRule="auto"/>
        <w:rPr>
          <w:sz w:val="20"/>
          <w:szCs w:val="20"/>
          <w:color w:val="auto"/>
        </w:rPr>
      </w:pPr>
      <w:r>
        <w:rPr>
          <w:rFonts w:ascii="Arial" w:cs="Arial" w:eastAsia="Arial" w:hAnsi="Arial"/>
          <w:sz w:val="19"/>
          <w:szCs w:val="19"/>
          <w:b w:val="1"/>
          <w:bCs w:val="1"/>
          <w:color w:val="auto"/>
        </w:rPr>
        <w:t>Investing in our common shares involves risks. See the information under the caption “Risk Factors” in this prospectus supplement, our most recent Annual Report on Form 10-K filed with the Securities and Exchange Commission, or the SEC, and subsequent filings that we make with the SEC that are incorporated by reference herein.</w:t>
      </w:r>
    </w:p>
    <w:p>
      <w:pPr>
        <w:spacing w:after="0" w:line="13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tabs>
          <w:tab w:leader="none" w:pos="4840" w:val="left"/>
          <w:tab w:leader="none" w:pos="10360" w:val="left"/>
        </w:tabs>
        <w:rPr>
          <w:sz w:val="20"/>
          <w:szCs w:val="20"/>
          <w:color w:val="auto"/>
        </w:rPr>
      </w:pPr>
      <w:r>
        <w:rPr>
          <w:rFonts w:ascii="Arial" w:cs="Arial" w:eastAsia="Arial" w:hAnsi="Arial"/>
          <w:sz w:val="25"/>
          <w:szCs w:val="25"/>
          <w:b w:val="1"/>
          <w:bCs w:val="1"/>
          <w:color w:val="auto"/>
        </w:rPr>
        <w:t>Wells Fargo Securities</w:t>
      </w:r>
      <w:r>
        <w:rPr>
          <w:sz w:val="20"/>
          <w:szCs w:val="20"/>
          <w:color w:val="auto"/>
        </w:rPr>
        <w:tab/>
      </w: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3"/>
          <w:szCs w:val="23"/>
          <w:b w:val="1"/>
          <w:bCs w:val="1"/>
          <w:color w:val="auto"/>
        </w:rPr>
        <w:t>Citigroup</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May 7, 2018.</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00" w:type="dxa"/>
            <w:vAlign w:val="bottom"/>
            <w:gridSpan w:val="3"/>
          </w:tcPr>
          <w:p>
            <w:pPr>
              <w:jc w:val="right"/>
              <w:ind w:right="4760"/>
              <w:spacing w:after="0"/>
              <w:rPr>
                <w:sz w:val="20"/>
                <w:szCs w:val="20"/>
                <w:color w:val="auto"/>
              </w:rPr>
            </w:pPr>
            <w:r>
              <w:rPr>
                <w:rFonts w:ascii="Arial" w:cs="Arial" w:eastAsia="Arial" w:hAnsi="Arial"/>
                <w:sz w:val="18"/>
                <w:szCs w:val="18"/>
                <w:b w:val="1"/>
                <w:bCs w:val="1"/>
                <w:color w:val="auto"/>
                <w:w w:val="93"/>
              </w:rPr>
              <w:t>Prospectus Supplement</w:t>
            </w:r>
          </w:p>
        </w:tc>
        <w:tc>
          <w:tcPr>
            <w:tcW w:w="0" w:type="dxa"/>
            <w:vAlign w:val="bottom"/>
          </w:tcPr>
          <w:p>
            <w:pPr>
              <w:spacing w:after="0"/>
              <w:rPr>
                <w:sz w:val="1"/>
                <w:szCs w:val="1"/>
                <w:color w:val="auto"/>
              </w:rPr>
            </w:pPr>
          </w:p>
        </w:tc>
      </w:tr>
      <w:tr>
        <w:trPr>
          <w:trHeight w:val="392"/>
        </w:trPr>
        <w:tc>
          <w:tcPr>
            <w:tcW w:w="2500" w:type="dxa"/>
            <w:vAlign w:val="bottom"/>
            <w:gridSpan w:val="6"/>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2180" w:type="dxa"/>
            <w:vAlign w:val="bottom"/>
            <w:gridSpan w:val="3"/>
            <w:vMerge w:val="restart"/>
          </w:tcPr>
          <w:p>
            <w:pPr>
              <w:spacing w:after="0"/>
              <w:rPr>
                <w:sz w:val="24"/>
                <w:szCs w:val="24"/>
                <w:color w:val="auto"/>
              </w:rPr>
            </w:pPr>
          </w:p>
        </w:tc>
        <w:tc>
          <w:tcPr>
            <w:tcW w:w="63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500" w:type="dxa"/>
            <w:vAlign w:val="bottom"/>
            <w:tcBorders>
              <w:bottom w:val="single" w:sz="8" w:color="0000EE"/>
            </w:tcBorders>
            <w:gridSpan w:val="6"/>
            <w:vMerge w:val="continue"/>
          </w:tcPr>
          <w:p>
            <w:pPr>
              <w:spacing w:after="0"/>
              <w:rPr>
                <w:sz w:val="13"/>
                <w:szCs w:val="13"/>
                <w:color w:val="auto"/>
              </w:rPr>
            </w:pPr>
          </w:p>
        </w:tc>
        <w:tc>
          <w:tcPr>
            <w:tcW w:w="2180" w:type="dxa"/>
            <w:vAlign w:val="bottom"/>
            <w:gridSpan w:val="3"/>
            <w:vMerge w:val="continue"/>
          </w:tcPr>
          <w:p>
            <w:pPr>
              <w:spacing w:after="0"/>
              <w:rPr>
                <w:sz w:val="13"/>
                <w:szCs w:val="13"/>
                <w:color w:val="auto"/>
              </w:rPr>
            </w:pPr>
          </w:p>
        </w:tc>
        <w:tc>
          <w:tcPr>
            <w:tcW w:w="63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46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Cautionary Statement Concerning Forward-Looking Statements</w:t>
              </w:r>
            </w:hyperlink>
          </w:p>
        </w:tc>
        <w:tc>
          <w:tcPr>
            <w:tcW w:w="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304"/>
        </w:trPr>
        <w:tc>
          <w:tcPr>
            <w:tcW w:w="24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2240" w:type="dxa"/>
            <w:vAlign w:val="bottom"/>
            <w:gridSpan w:val="4"/>
          </w:tcPr>
          <w:p>
            <w:pPr>
              <w:spacing w:after="0"/>
              <w:rPr>
                <w:sz w:val="24"/>
                <w:szCs w:val="24"/>
                <w:color w:val="auto"/>
              </w:rPr>
            </w:pPr>
          </w:p>
        </w:tc>
        <w:tc>
          <w:tcPr>
            <w:tcW w:w="63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Risk Factors</w:t>
              </w:r>
            </w:hyperlink>
          </w:p>
        </w:tc>
        <w:tc>
          <w:tcPr>
            <w:tcW w:w="3760" w:type="dxa"/>
            <w:vAlign w:val="bottom"/>
            <w:gridSpan w:val="7"/>
          </w:tcPr>
          <w:p>
            <w:pPr>
              <w:spacing w:after="0"/>
              <w:rPr>
                <w:sz w:val="24"/>
                <w:szCs w:val="24"/>
                <w:color w:val="auto"/>
              </w:rPr>
            </w:pPr>
          </w:p>
        </w:tc>
        <w:tc>
          <w:tcPr>
            <w:tcW w:w="63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Use of Proceeds</w:t>
              </w:r>
            </w:hyperlink>
          </w:p>
        </w:tc>
        <w:tc>
          <w:tcPr>
            <w:tcW w:w="3500" w:type="dxa"/>
            <w:vAlign w:val="bottom"/>
            <w:gridSpan w:val="5"/>
          </w:tcPr>
          <w:p>
            <w:pPr>
              <w:spacing w:after="0"/>
              <w:rPr>
                <w:sz w:val="24"/>
                <w:szCs w:val="24"/>
                <w:color w:val="auto"/>
              </w:rPr>
            </w:pPr>
          </w:p>
        </w:tc>
        <w:tc>
          <w:tcPr>
            <w:tcW w:w="63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304"/>
        </w:trPr>
        <w:tc>
          <w:tcPr>
            <w:tcW w:w="4680" w:type="dxa"/>
            <w:vAlign w:val="bottom"/>
            <w:gridSpan w:val="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Plan of Distribution (Conflicts of Interest)</w:t>
              </w:r>
            </w:hyperlink>
          </w:p>
        </w:tc>
        <w:tc>
          <w:tcPr>
            <w:tcW w:w="63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w:t>
            </w:r>
          </w:p>
        </w:tc>
        <w:tc>
          <w:tcPr>
            <w:tcW w:w="0" w:type="dxa"/>
            <w:vAlign w:val="bottom"/>
          </w:tcPr>
          <w:p>
            <w:pPr>
              <w:spacing w:after="0"/>
              <w:rPr>
                <w:sz w:val="1"/>
                <w:szCs w:val="1"/>
                <w:color w:val="auto"/>
              </w:rPr>
            </w:pPr>
          </w:p>
        </w:tc>
      </w:tr>
      <w:tr>
        <w:trPr>
          <w:trHeight w:val="304"/>
        </w:trPr>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Experts</w:t>
              </w:r>
            </w:hyperlink>
          </w:p>
        </w:tc>
        <w:tc>
          <w:tcPr>
            <w:tcW w:w="2480" w:type="dxa"/>
            <w:vAlign w:val="bottom"/>
            <w:tcBorders>
              <w:top w:val="single" w:sz="8" w:color="0000EE"/>
            </w:tcBorders>
            <w:gridSpan w:val="6"/>
          </w:tcPr>
          <w:p>
            <w:pPr>
              <w:spacing w:after="0"/>
              <w:rPr>
                <w:sz w:val="24"/>
                <w:szCs w:val="24"/>
                <w:color w:val="auto"/>
              </w:rPr>
            </w:pPr>
          </w:p>
        </w:tc>
        <w:tc>
          <w:tcPr>
            <w:tcW w:w="1640" w:type="dxa"/>
            <w:vAlign w:val="bottom"/>
            <w:gridSpan w:val="2"/>
          </w:tcPr>
          <w:p>
            <w:pPr>
              <w:spacing w:after="0"/>
              <w:rPr>
                <w:sz w:val="24"/>
                <w:szCs w:val="24"/>
                <w:color w:val="auto"/>
              </w:rPr>
            </w:pPr>
          </w:p>
        </w:tc>
        <w:tc>
          <w:tcPr>
            <w:tcW w:w="63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S-5</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Legal Matters</w:t>
              </w:r>
            </w:hyperlink>
          </w:p>
        </w:tc>
        <w:tc>
          <w:tcPr>
            <w:tcW w:w="3660" w:type="dxa"/>
            <w:vAlign w:val="bottom"/>
            <w:gridSpan w:val="6"/>
          </w:tcPr>
          <w:p>
            <w:pPr>
              <w:spacing w:after="0"/>
              <w:rPr>
                <w:sz w:val="24"/>
                <w:szCs w:val="24"/>
                <w:color w:val="auto"/>
              </w:rPr>
            </w:pPr>
          </w:p>
        </w:tc>
        <w:tc>
          <w:tcPr>
            <w:tcW w:w="63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120" w:type="dxa"/>
            <w:vAlign w:val="bottom"/>
            <w:gridSpan w:val="3"/>
          </w:tcPr>
          <w:p>
            <w:pPr>
              <w:jc w:val="right"/>
              <w:ind w:right="524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260" w:type="dxa"/>
            <w:vAlign w:val="bottom"/>
            <w:gridSpan w:val="12"/>
            <w:vMerge w:val="restart"/>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About this Prospectus</w:t>
              </w:r>
            </w:hyperlink>
          </w:p>
        </w:tc>
        <w:tc>
          <w:tcPr>
            <w:tcW w:w="68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4260" w:type="dxa"/>
            <w:vAlign w:val="bottom"/>
            <w:gridSpan w:val="12"/>
            <w:vMerge w:val="continue"/>
          </w:tcPr>
          <w:p>
            <w:pPr>
              <w:spacing w:after="0"/>
              <w:rPr>
                <w:sz w:val="13"/>
                <w:szCs w:val="13"/>
                <w:color w:val="auto"/>
              </w:rPr>
            </w:pPr>
          </w:p>
        </w:tc>
        <w:tc>
          <w:tcPr>
            <w:tcW w:w="68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60" w:type="dxa"/>
            <w:vAlign w:val="bottom"/>
            <w:gridSpan w:val="1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Forward-Looking Statements</w:t>
              </w:r>
            </w:hyperlink>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2140" w:type="dxa"/>
            <w:vAlign w:val="bottom"/>
            <w:gridSpan w:val="5"/>
          </w:tcPr>
          <w:p>
            <w:pPr>
              <w:spacing w:after="0"/>
              <w:rPr>
                <w:sz w:val="24"/>
                <w:szCs w:val="24"/>
                <w:color w:val="auto"/>
              </w:rPr>
            </w:pPr>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3340" w:type="dxa"/>
            <w:vAlign w:val="bottom"/>
            <w:gridSpan w:val="10"/>
          </w:tcPr>
          <w:p>
            <w:pPr>
              <w:spacing w:after="0"/>
              <w:rPr>
                <w:sz w:val="24"/>
                <w:szCs w:val="24"/>
                <w:color w:val="auto"/>
              </w:rPr>
            </w:pPr>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Use of Proceeds</w:t>
              </w:r>
            </w:hyperlink>
          </w:p>
        </w:tc>
        <w:tc>
          <w:tcPr>
            <w:tcW w:w="3080" w:type="dxa"/>
            <w:vAlign w:val="bottom"/>
            <w:gridSpan w:val="8"/>
          </w:tcPr>
          <w:p>
            <w:pPr>
              <w:spacing w:after="0"/>
              <w:rPr>
                <w:sz w:val="24"/>
                <w:szCs w:val="24"/>
                <w:color w:val="auto"/>
              </w:rPr>
            </w:pPr>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Description of Debt Securities</w:t>
              </w:r>
            </w:hyperlink>
          </w:p>
        </w:tc>
        <w:tc>
          <w:tcPr>
            <w:tcW w:w="2060" w:type="dxa"/>
            <w:vAlign w:val="bottom"/>
            <w:gridSpan w:val="4"/>
          </w:tcPr>
          <w:p>
            <w:pPr>
              <w:spacing w:after="0"/>
              <w:rPr>
                <w:sz w:val="24"/>
                <w:szCs w:val="24"/>
                <w:color w:val="auto"/>
              </w:rPr>
            </w:pPr>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Description of Shares of Beneficial Interest</w:t>
              </w:r>
            </w:hyperlink>
          </w:p>
        </w:tc>
        <w:tc>
          <w:tcPr>
            <w:tcW w:w="1120" w:type="dxa"/>
            <w:vAlign w:val="bottom"/>
            <w:gridSpan w:val="2"/>
          </w:tcPr>
          <w:p>
            <w:pPr>
              <w:spacing w:after="0"/>
              <w:rPr>
                <w:sz w:val="24"/>
                <w:szCs w:val="24"/>
                <w:color w:val="auto"/>
              </w:rPr>
            </w:pPr>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4260" w:type="dxa"/>
            <w:vAlign w:val="bottom"/>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Material Federal Income Tax Considerations</w:t>
              </w:r>
            </w:hyperlink>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61">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1040" w:type="dxa"/>
            <w:vAlign w:val="bottom"/>
          </w:tcPr>
          <w:p>
            <w:pPr>
              <w:spacing w:after="0"/>
              <w:rPr>
                <w:sz w:val="24"/>
                <w:szCs w:val="24"/>
                <w:color w:val="auto"/>
              </w:rPr>
            </w:pPr>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Legal Matters</w:t>
              </w:r>
            </w:hyperlink>
          </w:p>
        </w:tc>
        <w:tc>
          <w:tcPr>
            <w:tcW w:w="3240" w:type="dxa"/>
            <w:vAlign w:val="bottom"/>
            <w:gridSpan w:val="9"/>
          </w:tcPr>
          <w:p>
            <w:pPr>
              <w:spacing w:after="0"/>
              <w:rPr>
                <w:sz w:val="24"/>
                <w:szCs w:val="24"/>
                <w:color w:val="auto"/>
              </w:rPr>
            </w:pPr>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Experts</w:t>
              </w:r>
            </w:hyperlink>
          </w:p>
        </w:tc>
        <w:tc>
          <w:tcPr>
            <w:tcW w:w="3700" w:type="dxa"/>
            <w:vAlign w:val="bottom"/>
            <w:gridSpan w:val="11"/>
          </w:tcPr>
          <w:p>
            <w:pPr>
              <w:spacing w:after="0"/>
              <w:rPr>
                <w:sz w:val="24"/>
                <w:szCs w:val="24"/>
                <w:color w:val="auto"/>
              </w:rPr>
            </w:pPr>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4260" w:type="dxa"/>
            <w:vAlign w:val="bottom"/>
            <w:gridSpan w:val="1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Where You Can Find More Information</w:t>
              </w:r>
            </w:hyperlink>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120" w:type="dxa"/>
            <w:vAlign w:val="bottom"/>
            <w:gridSpan w:val="3"/>
          </w:tcPr>
          <w:p>
            <w:pPr>
              <w:jc w:val="right"/>
              <w:ind w:right="564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prior information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17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It is important for you to read and consider all of the information contained in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You should rely only on the information contained in or incorporated by reference into this prospectus supplement, the accompanying prospectus and any related free writing prospectus required to be filed with the SEC. We have not, nor have the Agents, authorized any other person to provide you with additional or different information. If anyone provides you with additional or different information, you should not rely on it. We are not, nor are the Agents, making an offer to sell the common shares in any jurisdiction where the offer or sale is not permitted by law.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or incorporated by reference into this prospectus supplement and the accompanying prospectus describe forward-looking information. The risk factors contained herein, in our most recent Annual Report on Form 10-K filed with the Securities and Exchange Commission, or the SEC, and in subsequent filings that we make with the SEC that are incorporated by reference herein,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83" w:lineRule="exact"/>
        <w:rPr>
          <w:sz w:val="20"/>
          <w:szCs w:val="20"/>
          <w:color w:val="auto"/>
        </w:rPr>
      </w:pPr>
    </w:p>
    <w:p>
      <w:pPr>
        <w:ind w:left="900" w:right="2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6"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are investing a significant amount in ground-up development projects that may be dependent on third parties to deliver critical aspects of certain projects, require spending a substantial amount upfront in infrastructure, and assume receipt of public funding which has been committed but not entirely funded;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by reference into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 See “Where You Can Find More Information” in the accompanying prospectus.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22.9 million square feet. In total, the real estate projects were 94.8% leased and 93.3% occupied at March 31, 2018. We have paid quarterly dividends to our shareholders continuously since our founding in 1962 and have increased our dividends per common share for 50 consecutive years.</w:t>
      </w:r>
    </w:p>
    <w:p>
      <w:pPr>
        <w:spacing w:after="0" w:line="17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a more complete description of the terms of the common shares being offered by this prospectus supplement and the accompanying prospectus, see “Description of Shares of Beneficial Interest” in the accompanying prospectus.</w:t>
      </w:r>
    </w:p>
    <w:p>
      <w:pPr>
        <w:sectPr>
          <w:pgSz w:w="11900" w:h="16838" w:orient="portrait"/>
          <w:cols w:equalWidth="0" w:num="1">
            <w:col w:w="11380"/>
          </w:cols>
          <w:pgMar w:left="240" w:top="459" w:right="27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Common shares offered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Common shares with an aggregate offering price of up to $400,000,000.</w:t>
      </w:r>
    </w:p>
    <w:p>
      <w:pPr>
        <w:spacing w:after="0" w:line="200"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New York Stock Exchange symbol</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FRT.</w:t>
      </w:r>
    </w:p>
    <w:p>
      <w:pPr>
        <w:spacing w:after="0" w:line="200"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intend to use the net proceeds from this offering to fund potential acquisition opportunities, fund our development or redevelopment pipeline, repay amounts outstanding under our revolving credit facility and/or for general corporate purposes. See “Use of Proceeds” on page S-3 for more information.</w:t>
      </w:r>
    </w:p>
    <w:p>
      <w:pPr>
        <w:spacing w:after="0" w:line="200"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Material U.S. federal income tax considerations</w:t>
      </w:r>
    </w:p>
    <w:p>
      <w:pPr>
        <w:spacing w:after="0" w:line="20" w:lineRule="exact"/>
        <w:rPr>
          <w:sz w:val="20"/>
          <w:szCs w:val="20"/>
          <w:color w:val="auto"/>
        </w:rPr>
      </w:pPr>
      <w:r>
        <w:rPr>
          <w:sz w:val="20"/>
          <w:szCs w:val="20"/>
          <w:color w:val="auto"/>
        </w:rPr>
        <w:br w:type="column"/>
      </w:r>
    </w:p>
    <w:p>
      <w:pPr>
        <w:ind w:right="240"/>
        <w:spacing w:after="0" w:line="302" w:lineRule="auto"/>
        <w:rPr>
          <w:sz w:val="20"/>
          <w:szCs w:val="20"/>
          <w:color w:val="auto"/>
        </w:rPr>
      </w:pPr>
      <w:r>
        <w:rPr>
          <w:rFonts w:ascii="Arial" w:cs="Arial" w:eastAsia="Arial" w:hAnsi="Arial"/>
          <w:sz w:val="16"/>
          <w:szCs w:val="16"/>
          <w:color w:val="auto"/>
        </w:rPr>
        <w:t>For a description of material U.S. federal income tax considerations of an investment in our common shares, please review the disclosure in the accompanying prospectus under “Material Federal Income Tax Considerations,” as may be updated from time to time in filings we make with the SEC that are incorporated by reference in the accompanying prospectus.</w:t>
      </w:r>
    </w:p>
    <w:p>
      <w:pPr>
        <w:spacing w:after="0" w:line="181"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
        <w:spacing w:after="0" w:line="289" w:lineRule="auto"/>
        <w:rPr>
          <w:sz w:val="20"/>
          <w:szCs w:val="20"/>
          <w:color w:val="auto"/>
        </w:rPr>
      </w:pPr>
      <w:r>
        <w:rPr>
          <w:rFonts w:ascii="Arial" w:cs="Arial" w:eastAsia="Arial" w:hAnsi="Arial"/>
          <w:sz w:val="16"/>
          <w:szCs w:val="16"/>
          <w:color w:val="auto"/>
        </w:rPr>
        <w:t>Investing in our common shares involves risks. Please review the risk factors discussed on page S-3 of this prospectus supplement, in our most recent Annual Report on Form 10-Kfiled with the SEC and in subsequent filings that we make with the SEC that are incorporated by reference herein, as well as the other information contained in or incorporated by reference into this prospectus supplement and the accompanying prospectus for a discussion of factors you should consider before investing in our common shares. You may obtain a copy of our Annual Report on Form 10-K and the other documents incorporated by reference into this prospectus supplement and the accompanying prospectus by following the procedures described under “Where You Can Find More Information” on page 47 of the accompanying prospectus.</w:t>
      </w:r>
    </w:p>
    <w:p>
      <w:pPr>
        <w:spacing w:after="0" w:line="99"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1380"/>
          </w:cols>
          <w:pgMar w:left="240" w:top="459" w:right="2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i w:val="1"/>
          <w:iCs w:val="1"/>
          <w:color w:val="auto"/>
        </w:rPr>
        <w:t>Investing in our common shares involves risks. Before you decide to purchase our common shares, you should carefully consider the following risk factors, together with all of the other information contained in or incorporated by reference herein, including the additional risk factors in our most recent Annual Report on Form 10-K filed with the SEC and in subsequent filings that we make with the SEC that are incorporated by reference herein. The risks and uncertainties we have described are those we believe to be the principal risks that could affect us, our business or our industry, and which could result in a material adverse impact on our financial condition, results of operation, prospects or the market price of our common shares. However, additional risks and uncertainties not currently known to us or that we currently deem immaterial may affect our business operations and the market price of our common shares.</w:t>
      </w:r>
    </w:p>
    <w:p>
      <w:pPr>
        <w:spacing w:after="0" w:line="26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You may experience significant dilution as a result of this offering and additional issuances of our securities, which could harm the market price of our common shares.</w:t>
      </w:r>
    </w:p>
    <w:p>
      <w:pPr>
        <w:spacing w:after="0" w:line="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declaration of trust permits our board of trustees to authorize, without shareholder approval, the issuance of additional common or preferred shares or securities convertible or exchangeable into equity securities. We may, from time to time and at any time, seek to offer and sell common or preferred shares or other securities, including sales of common shares in this offering through the Agents, based on market conditions and other factors that may be beyond our control.</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offering may have a dilutive effect on our earnings per share and funds from operations per share after giving effect to the issuance of our common shares in this offering and the receipt of the expected net proceeds. The actual amount of dilution from this offering, or from any future offering of common or preferred shares, will be based on numerous factors, particularly the use of proceeds and the return generated by such investment, and cannot be determined at this time. The market price of our common shares could decline as a result of sales of a large number of our common shares in the market pursuant to this offering, or otherwise, or as a result of the perception or expectation that such sales could occur.</w:t>
      </w:r>
    </w:p>
    <w:p>
      <w:pPr>
        <w:spacing w:after="0" w:line="27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Holders of our debt or preferred shares have liquidation and other rights that are senior to the rights of the holders of our common shares, and any future issuance of debt or preferred shares could adversely affect the market price of our common shares.</w:t>
      </w:r>
    </w:p>
    <w:p>
      <w:pPr>
        <w:spacing w:after="0" w:line="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of March 31, 2018, we had approximately $3.3 billion of debt outstanding, 399,896 of our 5.417% Series 1 Cumulative Convertible Preferred Shares, or the Series 1 Preferred Shares, with an aggregate liquidation preference of $10 million, were issued and outstanding, and 6,000 of our 5.000% Series C Cumulative Redeemable Preferred Shares, or Series C Preferred Shares, with an aggregate liquidation preference of $150 million, were issued and outstanding. Holders of our debt and preferred shares have liquidation rights and other rights that are senior to the rights of the holders of our common shares. Upon any voluntary or involuntary liquidation, dissolution or winding up, payment will be made to holders of our debt and preferred shares, including our Series 1 Preferred Shares and Series C Preferred Shares, before any payment is made to the holders of our common shares. This will reduce the amount of our assets, if any, available for distribution to holders of our common shares. Because our decision to issue debt and preferred shares is dependent on market conditions and other factors that may be beyond our control, we cannot predict or estimate the amount, timing or nature of our future issuances. Any such future issuance could reduce the market price of our common shares.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intend to use the net proceeds from this offering to fund potential acquisition opportunities, fund our development or redevelopment pipeline, repay amounts outstanding under our revolving credit facility, and/or for general corporate purposes. As of March 31, 2018, our revolving credit facility, the interest rate of which is tied to our credit rating, bears interest at LIBOR plus 82.5 basis points and matures on April 20, 2020. Affiliates of the Agents are lenders under our revolving credit facility and will receive a pro rata portion of any proceeds used to repay amounts outstanding under our revolving credit facility.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 (CONFLICTS OF INTEREST)</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have entered into separate equity distribution agreements, each dated as of May 7, 2018, with each of the Agents under which we may from time to time offer and sell common shares having an aggregate offering price of up to $400,000,000. Sales of our common shares, if any, under this prospectus supplement and the accompanying prospectus may be made in transactions that are deemed to be “at the market” offerings, including sales made directly on the NYSE or sales made to or through a market maker other than on an exchange, or in negotiated transactions, which may include block trades. As our sales agents, the Agents will not engage in any transactions that stabilize the price of our common shares.</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its acceptance of written instructions from us, each Agent will use its commercially reasonable efforts, consistent with its sales and trading practices, to solicit offers to purchase our common shares under the terms and subject to the conditions set forth in the applicable equity distribution agreement. We will instruct each Agent as to the amount of common shares to be sold by it. We may instruct the Agents not to sell common shares if the sales cannot be effected at or above the price designated by us in any instruction. Our common shares sold pursuant to the equity distribution agreements will be sold through only one of the Agents on any given day. We or the Agents may suspend the offering of common shares upon proper notice and subject to other conditions.</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relevant Agent will provide written confirmation to us no later than the opening of the NYSE on the trading day following the trading day on which common shares were sold under the applicable equity distribution agreement. Each confirmation will include the number of common shares sold on the preceding day, the net proceeds to us and the compensation payable by us to the Agent in connection with the sales.</w:t>
      </w:r>
    </w:p>
    <w:p>
      <w:pPr>
        <w:spacing w:after="0" w:line="1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will pay each Agent commissions for its services in acting as sales agent and/or principal in the sale of common shares. Each Agent will be entitled to compensation that will not exceed, but may be lower than, 2.0% of the gross sales price of all common shares sold through it under the applicable equity distribution agreement. We estimate that the total expenses for the offering, excluding compensation payable to the Agents under the terms of the equity distribution agreements, will be approximately $200,000. In connection with the sale of common shares on our behalf, the Agents may be deemed to be “underwriters” within the meaning of the Securities Act, and the compensation paid to the Agents may be deemed to be underwriting commissions and discounts.</w:t>
      </w:r>
    </w:p>
    <w:p>
      <w:pPr>
        <w:spacing w:after="0" w:line="19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Settlement of sales of common shares will occur on the second business day following the date on which any sales are made, or on some other date that is agreed upon by us and the applicable Agent in connection with a particular transaction, in return for payment of the net proceeds to us. There is no arrangement for funds to be received in an escrow, trust or similar arrangement.</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will report at least quarterly the number of common shares sold through the Agents under the equity distribution agreements, the net proceeds to us and the compensation paid by us to the Agents in connection with the sales of common shares.</w:t>
      </w:r>
    </w:p>
    <w:p>
      <w:pPr>
        <w:spacing w:after="0" w:line="17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Agents have determined that our common shares are “actively-traded securities” excepted from the requirements of Rule 101 of Regulation M under the Exchange Act by Rule 101(c)(1) under the Exchange Act. If an Agent has, or we have, reason to believe that the exemptive provisions set forth in Rule 101(c)(1) of Regulation M under the Exchange Act are not satisfied, the party will promptly notify the other parties, and sales of common shares under the equity distribution agreements will be suspended until that or other exemptive provisions have been satisfied in the judgment of the Agents and us.</w:t>
      </w:r>
    </w:p>
    <w:p>
      <w:pPr>
        <w:spacing w:after="0" w:line="15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offering of common shares pursuant to the equity distribution agreements will terminate upon the earlier of (1) the sale of common shares having an aggregate offering price of $400,000,000 pursuant to this offering and (2) with respect to a particular equity distribution agreement, the termination of such equity distribution agreement. Each equity distribution agreement may be terminated by the applicable Agent or us at any time upon three days’ notice, and by the applicable Agent at any time in certain circumstances, including our failure to maintain a listing of our common shares on the NYSE or the occurrence of a material adverse change in our company.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current business of Merrill Lynch, Pierce, Fenner &amp; Smith Incorporated (“MLPF&amp;S”) is being reorganized into two affiliated broker-dealers (i.e., MLPF&amp;S and BofAML Securities, Inc.) in which BofAML Securities, Inc. will be the new legal entity for the institutional services that are now provided by MLPF&amp;S. This transfer is expected to occur during 2018 (the “Transfer Date”). MLPF&amp;S will be assigning its rights and obligations as Agent to BofAML Securities, Inc. on the Transfer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of Interest</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described above under “Use of Proceeds,” some of the net proceeds of this offering may be used to repay amounts outstanding under our revolving credit facility. Affiliates of the Agents are lenders under our revolving credit facility. Because affiliates of the Agents are lenders under our credit facility, the Agents or affiliates of the Agents may receive more than 5% of the proceeds of this offering.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The Agents and their respective affiliates have engaged in, and may in the future engage in, investment banking, commercial banking and other commercial dealings in the ordinary course of business with us or our affiliates. They have received, or may in the future receive, customary fees and commissions for these transactions.</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in the ordinary course of their business activities, the Agents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Agents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NYSE under the symbol “FRT.”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Pursuant to the equity distribution agreements, we have agreed to indemnify the Agents against certain liabilities, including liabilities under the Securities Act, or to contribute to payments the Agents may be required to make because of any of those liabilities.</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audited consolidated financial statements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The legality of the common shares offered by this prospectus supplement will be passed upon for us by Pillsbury Winthrop Shaw Pittman LLP, Washington, DC. In addition, the descriptions of material federal income tax considerations contained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Agents.</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172085</wp:posOffset>
            </wp:positionV>
            <wp:extent cx="2246630" cy="909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4663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1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7, 2018.</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Forward-Looking Statements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Material Federal Income Tax Considerations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61">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Where You Can Find More Information</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564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65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6503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24.2 million square feet. In total, the real estate projects were 94.8% leased and 93.3% occupied at March 31, 2018. We have paid quarterly dividends to our shareholders continuously since our founding in 1962 and have increased our dividends per common share for 50 consecutive years.</w:t>
      </w:r>
    </w:p>
    <w:p>
      <w:pPr>
        <w:spacing w:after="0" w:line="16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Ratios of Earnings to Fixed Charges and Combined Fixed Charges and Preferred Share Dividends</w:t>
      </w:r>
    </w:p>
    <w:p>
      <w:pPr>
        <w:spacing w:after="0" w:line="22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following table sets forth our historical ratios of earnings to fixed charges and combined Fixed Charges and preferred share dividends for the periods indicated: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For the Three Months</w:t>
            </w:r>
          </w:p>
        </w:tc>
        <w:tc>
          <w:tcPr>
            <w:tcW w:w="280" w:type="dxa"/>
            <w:vAlign w:val="bottom"/>
          </w:tcPr>
          <w:p>
            <w:pPr>
              <w:spacing w:after="0"/>
              <w:rPr>
                <w:sz w:val="14"/>
                <w:szCs w:val="14"/>
                <w:color w:val="auto"/>
              </w:rPr>
            </w:pPr>
          </w:p>
        </w:tc>
        <w:tc>
          <w:tcPr>
            <w:tcW w:w="232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auto"/>
                <w:w w:val="94"/>
              </w:rPr>
              <w:t>For the Years Ended December 31,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2320" w:type="dxa"/>
            <w:vAlign w:val="bottom"/>
            <w:gridSpan w:val="7"/>
            <w:vMerge w:val="continue"/>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360" w:type="dxa"/>
            <w:vAlign w:val="bottom"/>
            <w:tcBorders>
              <w:top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2017</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left="200" w:right="120" w:hanging="4"/>
        <w:spacing w:after="0" w:line="254" w:lineRule="auto"/>
        <w:tabs>
          <w:tab w:leader="none" w:pos="445"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risks. Before making an investment decision, please consider the risks described under the caption “Risk Factors” in our Annual Report on Form 10-K for the fiscal year ended December 31, 2017,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46"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Mandatory Redemption. </w:t>
      </w:r>
      <w:r>
        <w:rPr>
          <w:rFonts w:ascii="Arial" w:cs="Arial" w:eastAsia="Arial" w:hAnsi="Arial"/>
          <w:sz w:val="18"/>
          <w:szCs w:val="18"/>
          <w:color w:val="auto"/>
        </w:rPr>
        <w:t>The obligation, if any, we have to redeem or repurchase the offered debt securities pursuant to any sinking fund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provisions or upon the happening of a specified event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0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00" w:hanging="446"/>
        <w:spacing w:after="0" w:line="308"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66"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700" w:hanging="23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jc w:val="center"/>
        <w:ind w:left="5620" w:right="240" w:hanging="5156"/>
        <w:spacing w:after="0" w:line="449"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 and the order or decree remains unstayed and in effect for 90 days. 10</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80"/>
        <w:spacing w:after="0" w:line="323"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7"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2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and Series C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the articles supplementary with respect to our Series 1 preferred shares, and the articles supplementary with respect to our Series C preferred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2018, we had issued and outstanding 73,221,458 common shares, 399,896 preferred shares, which are designated as 5.417% Series 1 Cumulative Convertible Preferred Shares, which we refer to as the Series 1 preferred shares, and 6,000 preferred shares, which are designated as 5.000% Series C Cumulative Redeemable Preferred Shares, which we refer to as the Series C preferred shares.</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6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The Series 1 preferred shares rank pari pasu with the Series C preferred shares and senior to the common shares with respect to the 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9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Preferred Shares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September 2017, we issued 6,000 Series C preferred shares and we filed articles supplementary to our declaration of trust setting forth the terms of the Series C preferred shares. Below is a brief description of the terms of the Series C preferred shares, which is subject to and qualified in its entirety by reference to the articles supplementary.</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C preferred shares rank pari pasu with the Series 1 preferred shares and senior to the common shares with respect to the payment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and the distribution of assets upon our liquidation, dissolution or winding up. Our declaration of trust provides that, unless full cumulative dividends on all outstanding Series C preferred shares and any other class or series of our shares of beneficial interest ranking, as to the payment of dividends and the distribution of assets upon liquidation, dissolution or winding up, on parity with the Series C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C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6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C preferred share is entitled to receive, when, as and if authorized by our Board of Trustees out of funds legally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purpose, cumulative preferential dividends payable in cash at a rate of 5.000% of the liquidation price of $25,000, which is equivalent to $1,250 per annum.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C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$25,000 per share, plus all accrued and unpaid dividends, before any distribution shall be made with respect to the common shares.</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C preferred shares generally have no voting rights. However, if and whenever dividends payable on the Series C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Series C preferred shares have no conversion rights.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by the Trust. </w:t>
      </w:r>
      <w:r>
        <w:rPr>
          <w:rFonts w:ascii="Arial" w:cs="Arial" w:eastAsia="Arial" w:hAnsi="Arial"/>
          <w:sz w:val="18"/>
          <w:szCs w:val="18"/>
          <w:color w:val="auto"/>
        </w:rPr>
        <w:t>The Series C preferred shares may be redeemed for cash, in whole or from time to time in part, on any date on or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29, 2022 at the option of the Trust at a price per share equal to $25,000.00 plus accrued and unpaid dividends thereon, if any, to, but excluding, the redemption date.</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Depositary Shares. </w:t>
      </w:r>
      <w:r>
        <w:rPr>
          <w:rFonts w:ascii="Arial" w:cs="Arial" w:eastAsia="Arial" w:hAnsi="Arial"/>
          <w:sz w:val="16"/>
          <w:szCs w:val="16"/>
          <w:color w:val="auto"/>
        </w:rPr>
        <w:t>Interests in the Series C preferred shares are represented by depositary shares, which we refer to as the Series C depositary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Stock Exchange Listing. </w:t>
      </w:r>
      <w:r>
        <w:rPr>
          <w:rFonts w:ascii="Arial" w:cs="Arial" w:eastAsia="Arial" w:hAnsi="Arial"/>
          <w:sz w:val="17"/>
          <w:szCs w:val="17"/>
          <w:color w:val="auto"/>
        </w:rPr>
        <w:t>The Series C depositary shares are traded on the New York Stock Exchange under the trading symbol “FRTPRC.”</w:t>
      </w:r>
    </w:p>
    <w:p>
      <w:pPr>
        <w:spacing w:after="0" w:line="23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C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may issue receipts for depositary shares, each of which will represent a fractional interest of a share of a particular series of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May 4, 2018, we had 6,000,000 depositary shares issued and outstanding, each representing a 1/1000th fractional interest in a Series C preferred share. See “—Series C Preferred Shares.”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8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w:t>
      </w:r>
    </w:p>
    <w:p>
      <w:pPr>
        <w:ind w:right="40"/>
        <w:spacing w:after="0" w:line="295" w:lineRule="auto"/>
        <w:rPr>
          <w:sz w:val="20"/>
          <w:szCs w:val="20"/>
          <w:color w:val="auto"/>
        </w:rPr>
      </w:pPr>
      <w:r>
        <w:rPr>
          <w:rFonts w:ascii="Arial" w:cs="Arial" w:eastAsia="Arial" w:hAnsi="Arial"/>
          <w:sz w:val="16"/>
          <w:szCs w:val="16"/>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31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77"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4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2017;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6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900" w:right="34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our taxable years ending on or prior to December 31, 2017, we may be subject to the “alternative minimum tax” on any items of tax preference that we do not distribute or allocate to our shareholders;</w:t>
      </w:r>
    </w:p>
    <w:p>
      <w:pPr>
        <w:spacing w:after="0" w:line="75"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enacted in 2015 and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proposed regulations providing details on some of these provisions, but the timing and content of final regulations remains uncertain.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60" w:hanging="446"/>
        <w:spacing w:after="0" w:line="271"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84" w:lineRule="exact"/>
        <w:rPr>
          <w:rFonts w:ascii="Arial" w:cs="Arial" w:eastAsia="Arial" w:hAnsi="Arial"/>
          <w:sz w:val="17"/>
          <w:szCs w:val="17"/>
          <w:color w:val="auto"/>
        </w:rPr>
      </w:pPr>
    </w:p>
    <w:p>
      <w:pPr>
        <w:ind w:left="900" w:right="100" w:hanging="446"/>
        <w:spacing w:after="0" w:line="279"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hanging="446"/>
        <w:spacing w:after="0" w:line="253"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0"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73"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60" w:hanging="446"/>
        <w:spacing w:after="0" w:line="308"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20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22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6" w:lineRule="exact"/>
        <w:rPr>
          <w:rFonts w:ascii="Arial" w:cs="Arial" w:eastAsia="Arial" w:hAnsi="Arial"/>
          <w:sz w:val="18"/>
          <w:szCs w:val="18"/>
          <w:color w:val="auto"/>
        </w:rPr>
      </w:pPr>
    </w:p>
    <w:p>
      <w:pPr>
        <w:ind w:left="900" w:right="60" w:hanging="446"/>
        <w:spacing w:after="0" w:line="308"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Tax and Deduction Limits on Certain Transactions with Taxable REIT Subsidiaries. </w:t>
      </w:r>
      <w:r>
        <w:rPr>
          <w:rFonts w:ascii="Arial" w:cs="Arial" w:eastAsia="Arial" w:hAnsi="Arial"/>
          <w:sz w:val="18"/>
          <w:szCs w:val="18"/>
          <w:color w:val="auto"/>
        </w:rPr>
        <w:t>A REIT will incur a 100% tax on certain transactions between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8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92"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b w:val="1"/>
          <w:bCs w:val="1"/>
          <w:i w:val="1"/>
          <w:iCs w:val="1"/>
          <w:color w:val="auto"/>
        </w:rPr>
        <w:t xml:space="preserve">Like-Kind Exchanges. </w:t>
      </w:r>
      <w:r>
        <w:rPr>
          <w:rFonts w:ascii="Arial" w:cs="Arial" w:eastAsia="Arial" w:hAnsi="Arial"/>
          <w:sz w:val="17"/>
          <w:szCs w:val="17"/>
          <w:color w:val="auto"/>
        </w:rPr>
        <w:t>We may dispose of properties in transactions intended to qualify as like-kind exchanges under the Code. Such like-kind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Recent legislative changes eliminate like-kind exchanges for most personal property.</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2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60" w:hanging="547"/>
        <w:spacing w:after="0" w:line="259" w:lineRule="auto"/>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92" w:lineRule="exact"/>
        <w:rPr>
          <w:rFonts w:ascii="Arial" w:cs="Arial" w:eastAsia="Arial" w:hAnsi="Arial"/>
          <w:sz w:val="18"/>
          <w:szCs w:val="18"/>
          <w:color w:val="auto"/>
        </w:rPr>
      </w:pPr>
    </w:p>
    <w:p>
      <w:pPr>
        <w:jc w:val="both"/>
        <w:ind w:left="1460" w:right="100" w:hanging="547"/>
        <w:spacing w:after="0" w:line="264" w:lineRule="auto"/>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200" w:hanging="547"/>
        <w:spacing w:after="0" w:line="277" w:lineRule="auto"/>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87"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74"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67"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w:t>
      </w:r>
    </w:p>
    <w:p>
      <w:pPr>
        <w:ind w:right="20"/>
        <w:spacing w:after="0" w:line="277" w:lineRule="auto"/>
        <w:rPr>
          <w:sz w:val="20"/>
          <w:szCs w:val="20"/>
          <w:color w:val="auto"/>
        </w:rPr>
      </w:pPr>
      <w:r>
        <w:rPr>
          <w:rFonts w:ascii="Arial" w:cs="Arial" w:eastAsia="Arial" w:hAnsi="Arial"/>
          <w:sz w:val="17"/>
          <w:szCs w:val="17"/>
          <w:color w:val="auto"/>
        </w:rPr>
        <w:t>$10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7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6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provided certain conditions are satisfied.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 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after 2017 and prior to 2026, generally non-corporate shareholders are allowed to deduct 20% of the aggregate amount of ordinary dividends distributed by us, subject to certain limitations.</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 portion of their “net investment income,” which may include all or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8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after 2017 and prior to 2026, generally non-corporate shareholders are allowed to deduct 20% of the aggregate amount of ordinary dividends distributed by us, subject to certain limitations. Further, with respect to non-corporate taxpayers, the lower qualified dividend income/capital gains tax rate (at a maximum of 20%) does generally apply to:</w:t>
      </w:r>
    </w:p>
    <w:p>
      <w:pPr>
        <w:spacing w:after="0" w:line="83"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95"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71"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9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i w:val="1"/>
          <w:iCs w:val="1"/>
          <w:color w:val="auto"/>
        </w:rPr>
        <w:t xml:space="preserve">Conversion of Preferred Shares to Common Shares. </w:t>
      </w:r>
      <w:r>
        <w:rPr>
          <w:rFonts w:ascii="Arial" w:cs="Arial" w:eastAsia="Arial" w:hAnsi="Arial"/>
          <w:sz w:val="16"/>
          <w:szCs w:val="16"/>
          <w:color w:val="auto"/>
        </w:rPr>
        <w:t>The conversion of preferred shares into our common shares may be a taxable exchange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Non-U.S. shareholders should consult with their tax advisors regarding the federal income tax consequences of any transaction by which such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 exchanges our common shares received on a conversion of preferred shares for cash or other property.</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4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i w:val="1"/>
          <w:iCs w:val="1"/>
          <w:color w:val="auto"/>
        </w:rPr>
        <w:t xml:space="preserve">Changes to Tax Laws and Regulations. </w:t>
      </w:r>
      <w:r>
        <w:rPr>
          <w:rFonts w:ascii="Arial" w:cs="Arial" w:eastAsia="Arial" w:hAnsi="Arial"/>
          <w:sz w:val="16"/>
          <w:szCs w:val="16"/>
          <w:color w:val="auto"/>
        </w:rPr>
        <w:t>The rules dealing with federal income taxation are subject to revision by the U.S. Congress, the IRS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Department of 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substantial December 2017 amendments to the Code.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7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87"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February 13,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Definitive Proxy Statement for our 2018 Annual Meeting of Shareholders, filed with the SEC on March 23,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2018, filed with the SEC on May 2,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May 4,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Description of our Series C preferred shares contained in the Registration Statement on Form 8-A, filed with the SEC on September 29, 2017.</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337820</wp:posOffset>
            </wp:positionV>
            <wp:extent cx="2186940" cy="875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8694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406400</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4840" w:val="left"/>
          <w:tab w:leader="none" w:pos="10360" w:val="left"/>
        </w:tabs>
        <w:rPr>
          <w:sz w:val="20"/>
          <w:szCs w:val="20"/>
          <w:color w:val="auto"/>
        </w:rPr>
      </w:pPr>
      <w:r>
        <w:rPr>
          <w:rFonts w:ascii="Arial" w:cs="Arial" w:eastAsia="Arial" w:hAnsi="Arial"/>
          <w:sz w:val="25"/>
          <w:szCs w:val="25"/>
          <w:b w:val="1"/>
          <w:bCs w:val="1"/>
          <w:color w:val="auto"/>
        </w:rPr>
        <w:t>Wells Fargo Securities</w:t>
      </w:r>
      <w:r>
        <w:rPr>
          <w:sz w:val="20"/>
          <w:szCs w:val="20"/>
          <w:color w:val="auto"/>
        </w:rPr>
        <w:tab/>
      </w: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3"/>
          <w:szCs w:val="23"/>
          <w:b w:val="1"/>
          <w:bCs w:val="1"/>
          <w:color w:val="auto"/>
        </w:rPr>
        <w:t>Citigroup</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lvl w:ilvl="1">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lowerLetter"/>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lvl w:ilvl="1">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lvl w:ilvl="1">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1)"/>
      <w:numFmt w:val="lowerLetter"/>
      <w:start w:val="1"/>
    </w:lvl>
  </w:abstractNum>
  <w:abstractNum w:abstractNumId="27">
    <w:nsid w:val="4F4EF005"/>
    <w:multiLevelType w:val="hybridMultilevel"/>
    <w:lvl w:ilvl="0">
      <w:lvlJc w:val="left"/>
      <w:lvlText w:val="%1."/>
      <w:numFmt w:val="decimal"/>
      <w:start w:val="5"/>
    </w:lvl>
  </w:abstractNum>
  <w:abstractNum w:abstractNumId="28">
    <w:nsid w:val="23F9C13C"/>
    <w:multiLevelType w:val="hybridMultilevel"/>
    <w:lvl w:ilvl="0">
      <w:lvlJc w:val="left"/>
      <w:lvlText w:val="(%1)"/>
      <w:numFmt w:val="lowerLetter"/>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lvl w:ilvl="1">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lvl w:ilvl="1">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lvl w:ilvl="1">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lvl w:ilvl="1">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emdash "/>
      <w:numFmt w:val="bullet"/>
      <w:start w:val="1"/>
    </w:lvl>
  </w:abstractNum>
  <w:abstractNum w:abstractNumId="69">
    <w:nsid w:val="51D9C564"/>
    <w:multiLevelType w:val="hybridMultilevel"/>
    <w:lvl w:ilvl="0">
      <w:lvlJc w:val="left"/>
      <w:lvlText w:val="•"/>
      <w:numFmt w:val="bullet"/>
      <w:start w:val="1"/>
    </w:lvl>
    <w:lvl w:ilvl="1">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1)"/>
      <w:numFmt w:val="lowerRoman"/>
      <w:start w:val="2"/>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1)"/>
      <w:numFmt w:val="lowerRoman"/>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decimal"/>
      <w:start w:val="2"/>
    </w:lvl>
  </w:abstractNum>
  <w:abstractNum w:abstractNumId="78">
    <w:nsid w:val="68EB2F63"/>
    <w:multiLevelType w:val="hybridMultilevel"/>
    <w:lvl w:ilvl="0">
      <w:lvlJc w:val="left"/>
      <w:lvlText w:val="(%1)"/>
      <w:numFmt w:val="decimal"/>
      <w:start w:val="4"/>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2019-12-05T05:05:45Z</dcterms:created>
  <dcterms:modified xsi:type="dcterms:W3CDTF">2019-12-05T05:05:45Z</dcterms:modified>
</cp:coreProperties>
</file>