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220"/>
        <w:spacing w:after="0" w:line="184" w:lineRule="exact"/>
        <w:tabs>
          <w:tab w:leader="none" w:pos="33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220" w:right="80" w:hanging="537"/>
        <w:spacing w:after="0" w:line="246"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-3164840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-2419350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-764540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360045</wp:posOffset>
            </wp:positionV>
            <wp:extent cx="2863215" cy="942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32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March 25, 2021</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Dear Shareholders:</w:t>
      </w:r>
    </w:p>
    <w:p>
      <w:pPr>
        <w:spacing w:after="0" w:line="21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262626"/>
        </w:rPr>
        <w:t>With the unprecedented global health pandemic and the social unrest experienced throughout the U.S, 2020 was a difficult year for our company and for our employees, tenants, shareholders and communities where we do business. From the earliest stages of the pandemic, we took action to protect the health and safety of our employees and the shoppers and residents who come to our properties. We also worked hard with those of our tenants who have had their businesses dramatically impacted by the pandemic to work in partnership with them to find a financial path forward where we could both continue to have successful long-term businesses when we get to the other side of COVID. Although there are still many challenges ahead, we believe we’ve positioned the company well to emerge from the pandemic in a strong position and to deliver long-term success. We’re proud of the work of our Board and our entire workforce in 2020 and look forward to sharing that with you.</w:t>
      </w:r>
    </w:p>
    <w:p>
      <w:pPr>
        <w:spacing w:after="0" w:line="18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262626"/>
        </w:rPr>
        <w:t>On behalf of the Board of Trustees and the entire Federal team, we’d like you to join us at our 2021 Annual Meeting of Shareholders. Although we would love to be able to see everyone in person, we believe that the continuing impacts of COVID make it more prudent for us to hold our meeting virtually. This proxy statement includes important information for how you can join and ask questions in the meeting and about the matters that will be voted on at the meeting.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We look forward to your participation in the meeting and want to thank you for your continued support of Federal.</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92024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56578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143510</wp:posOffset>
            </wp:positionV>
            <wp:extent cx="104584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right="2100"/>
        <w:spacing w:after="0" w:line="246" w:lineRule="auto"/>
        <w:rPr>
          <w:sz w:val="20"/>
          <w:szCs w:val="20"/>
          <w:color w:val="auto"/>
        </w:rPr>
      </w:pPr>
      <w:r>
        <w:rPr>
          <w:rFonts w:ascii="Arial" w:cs="Arial" w:eastAsia="Arial" w:hAnsi="Arial"/>
          <w:sz w:val="18"/>
          <w:szCs w:val="18"/>
          <w:color w:val="262626"/>
        </w:rPr>
        <w:t xml:space="preserve">Joseph S. Vassalluzzo </w:t>
      </w:r>
      <w:r>
        <w:rPr>
          <w:rFonts w:ascii="Arial" w:cs="Arial" w:eastAsia="Arial" w:hAnsi="Arial"/>
          <w:sz w:val="18"/>
          <w:szCs w:val="18"/>
          <w:i w:val="1"/>
          <w:iCs w:val="1"/>
          <w:color w:val="262626"/>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262626"/>
        </w:rPr>
        <w:t>Donald C. Wood</w:t>
      </w:r>
    </w:p>
    <w:p>
      <w:pPr>
        <w:spacing w:after="0"/>
        <w:rPr>
          <w:sz w:val="20"/>
          <w:szCs w:val="20"/>
          <w:color w:val="auto"/>
        </w:rPr>
      </w:pPr>
      <w:r>
        <w:rPr>
          <w:rFonts w:ascii="Arial" w:cs="Arial" w:eastAsia="Arial" w:hAnsi="Arial"/>
          <w:sz w:val="18"/>
          <w:szCs w:val="18"/>
          <w:i w:val="1"/>
          <w:iCs w:val="1"/>
          <w:color w:val="262626"/>
        </w:rPr>
        <w:t>Chief Executive Officer</w:t>
      </w:r>
    </w:p>
    <w:p>
      <w:pPr>
        <w:sectPr>
          <w:pgSz w:w="11900" w:h="16838" w:orient="portrait"/>
          <w:cols w:equalWidth="0" w:num="2">
            <w:col w:w="5240" w:space="720"/>
            <w:col w:w="5140"/>
          </w:cols>
          <w:pgMar w:left="320" w:top="459" w:right="4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968375</wp:posOffset>
            </wp:positionV>
            <wp:extent cx="7003415" cy="797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79756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205740</wp:posOffset>
            </wp:positionV>
            <wp:extent cx="209169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16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0"/>
        <w:spacing w:after="0"/>
        <w:rPr>
          <w:sz w:val="20"/>
          <w:szCs w:val="20"/>
          <w:color w:val="auto"/>
        </w:rPr>
      </w:pPr>
      <w:r>
        <w:rPr>
          <w:rFonts w:ascii="Arial" w:cs="Arial" w:eastAsia="Arial" w:hAnsi="Arial"/>
          <w:sz w:val="18"/>
          <w:szCs w:val="18"/>
          <w:color w:val="262626"/>
        </w:rPr>
        <w:t>The 2021 annual meeting of shareholders of Federal Realty Investment Trust will be held:</w:t>
      </w:r>
    </w:p>
    <w:p>
      <w:pPr>
        <w:spacing w:after="0" w:line="122"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Arial" w:cs="Arial" w:eastAsia="Arial" w:hAnsi="Arial"/>
                <w:sz w:val="16"/>
                <w:szCs w:val="16"/>
                <w:color w:val="262626"/>
              </w:rPr>
              <w:t>When:</w:t>
            </w:r>
          </w:p>
        </w:tc>
        <w:tc>
          <w:tcPr>
            <w:tcW w:w="3700" w:type="dxa"/>
            <w:vAlign w:val="bottom"/>
            <w:gridSpan w:val="3"/>
          </w:tcPr>
          <w:p>
            <w:pPr>
              <w:ind w:left="140"/>
              <w:spacing w:after="0"/>
              <w:rPr>
                <w:sz w:val="20"/>
                <w:szCs w:val="20"/>
                <w:color w:val="auto"/>
              </w:rPr>
            </w:pPr>
            <w:r>
              <w:rPr>
                <w:rFonts w:ascii="Arial" w:cs="Arial" w:eastAsia="Arial" w:hAnsi="Arial"/>
                <w:sz w:val="16"/>
                <w:szCs w:val="16"/>
                <w:color w:val="262626"/>
              </w:rPr>
              <w:t>Wednesday, May 5, 2021 9:00 A.M. Eastern Time</w:t>
            </w: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color w:val="262626"/>
              </w:rPr>
              <w:t>How:</w:t>
            </w:r>
          </w:p>
        </w:tc>
        <w:tc>
          <w:tcPr>
            <w:tcW w:w="3700" w:type="dxa"/>
            <w:vAlign w:val="bottom"/>
            <w:gridSpan w:val="3"/>
          </w:tcPr>
          <w:p>
            <w:pPr>
              <w:ind w:left="140"/>
              <w:spacing w:after="0" w:line="176" w:lineRule="exact"/>
              <w:rPr>
                <w:sz w:val="20"/>
                <w:szCs w:val="20"/>
                <w:color w:val="auto"/>
              </w:rPr>
            </w:pPr>
            <w:r>
              <w:rPr>
                <w:rFonts w:ascii="Arial" w:cs="Arial" w:eastAsia="Arial" w:hAnsi="Arial"/>
                <w:sz w:val="16"/>
                <w:szCs w:val="16"/>
                <w:color w:val="262626"/>
              </w:rPr>
              <w:t xml:space="preserve">Virtually at </w:t>
            </w:r>
            <w:r>
              <w:rPr>
                <w:rFonts w:ascii="Arial" w:cs="Arial" w:eastAsia="Arial" w:hAnsi="Arial"/>
                <w:sz w:val="16"/>
                <w:szCs w:val="16"/>
                <w:i w:val="1"/>
                <w:iCs w:val="1"/>
                <w:color w:val="262626"/>
              </w:rPr>
              <w:t>https://web.lumiagm.com/202329683</w:t>
            </w:r>
          </w:p>
        </w:tc>
      </w:tr>
      <w:tr>
        <w:trPr>
          <w:trHeight w:val="20"/>
        </w:trPr>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shd w:val="clear" w:color="auto" w:fill="26262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0" w:lineRule="exact"/>
        <w:rPr>
          <w:sz w:val="20"/>
          <w:szCs w:val="20"/>
          <w:color w:val="auto"/>
        </w:rPr>
      </w:pPr>
    </w:p>
    <w:p>
      <w:pPr>
        <w:ind w:left="280"/>
        <w:spacing w:after="0"/>
        <w:rPr>
          <w:sz w:val="20"/>
          <w:szCs w:val="20"/>
          <w:color w:val="auto"/>
        </w:rPr>
      </w:pPr>
      <w:r>
        <w:rPr>
          <w:rFonts w:ascii="Arial" w:cs="Arial" w:eastAsia="Arial" w:hAnsi="Arial"/>
          <w:sz w:val="16"/>
          <w:szCs w:val="16"/>
          <w:color w:val="262626"/>
        </w:rPr>
        <w:t>Shareholders will be permitted to ask questions during the meeting. Instructions for asking questions are included later in this proxy statement.</w:t>
      </w:r>
    </w:p>
    <w:p>
      <w:pPr>
        <w:spacing w:after="0" w:line="200" w:lineRule="exact"/>
        <w:rPr>
          <w:sz w:val="20"/>
          <w:szCs w:val="20"/>
          <w:color w:val="auto"/>
        </w:rPr>
      </w:pP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shd w:val="clear" w:color="auto" w:fill="EAEFED"/>
          </w:tcPr>
          <w:p>
            <w:pPr>
              <w:spacing w:after="0"/>
              <w:rPr>
                <w:sz w:val="17"/>
                <w:szCs w:val="17"/>
                <w:color w:val="auto"/>
              </w:rPr>
            </w:pPr>
          </w:p>
        </w:tc>
        <w:tc>
          <w:tcPr>
            <w:tcW w:w="5560" w:type="dxa"/>
            <w:vAlign w:val="bottom"/>
            <w:shd w:val="clear" w:color="auto" w:fill="EAEFED"/>
          </w:tcPr>
          <w:p>
            <w:pPr>
              <w:spacing w:after="0"/>
              <w:rPr>
                <w:sz w:val="17"/>
                <w:szCs w:val="17"/>
                <w:color w:val="auto"/>
              </w:rPr>
            </w:pPr>
          </w:p>
        </w:tc>
        <w:tc>
          <w:tcPr>
            <w:tcW w:w="1380" w:type="dxa"/>
            <w:vAlign w:val="bottom"/>
            <w:shd w:val="clear" w:color="auto" w:fill="EAEFED"/>
          </w:tcPr>
          <w:p>
            <w:pPr>
              <w:ind w:left="60"/>
              <w:spacing w:after="0"/>
              <w:rPr>
                <w:sz w:val="20"/>
                <w:szCs w:val="20"/>
                <w:color w:val="auto"/>
              </w:rPr>
            </w:pPr>
            <w:r>
              <w:rPr>
                <w:rFonts w:ascii="Arial" w:cs="Arial" w:eastAsia="Arial" w:hAnsi="Arial"/>
                <w:sz w:val="18"/>
                <w:szCs w:val="18"/>
                <w:color w:val="F73A25"/>
              </w:rPr>
              <w:t>For More</w:t>
            </w:r>
          </w:p>
        </w:tc>
        <w:tc>
          <w:tcPr>
            <w:tcW w:w="2860" w:type="dxa"/>
            <w:vAlign w:val="bottom"/>
            <w:shd w:val="clear" w:color="auto" w:fill="EAEFED"/>
          </w:tcPr>
          <w:p>
            <w:pPr>
              <w:ind w:left="440"/>
              <w:spacing w:after="0"/>
              <w:rPr>
                <w:sz w:val="20"/>
                <w:szCs w:val="20"/>
                <w:color w:val="auto"/>
              </w:rPr>
            </w:pPr>
            <w:r>
              <w:rPr>
                <w:rFonts w:ascii="Arial" w:cs="Arial" w:eastAsia="Arial" w:hAnsi="Arial"/>
                <w:sz w:val="18"/>
                <w:szCs w:val="18"/>
                <w:color w:val="F73A25"/>
              </w:rPr>
              <w:t>Board</w:t>
            </w:r>
          </w:p>
        </w:tc>
      </w:tr>
      <w:tr>
        <w:trPr>
          <w:trHeight w:val="203"/>
        </w:trPr>
        <w:tc>
          <w:tcPr>
            <w:tcW w:w="1220" w:type="dxa"/>
            <w:vAlign w:val="bottom"/>
            <w:tcBorders>
              <w:bottom w:val="single" w:sz="8" w:color="262626"/>
            </w:tcBorders>
            <w:shd w:val="clear" w:color="auto" w:fill="EAEFED"/>
          </w:tcPr>
          <w:p>
            <w:pPr>
              <w:ind w:left="80"/>
              <w:spacing w:after="0" w:line="203" w:lineRule="exact"/>
              <w:rPr>
                <w:sz w:val="20"/>
                <w:szCs w:val="20"/>
                <w:color w:val="auto"/>
              </w:rPr>
            </w:pPr>
            <w:r>
              <w:rPr>
                <w:rFonts w:ascii="Arial" w:cs="Arial" w:eastAsia="Arial" w:hAnsi="Arial"/>
                <w:sz w:val="18"/>
                <w:szCs w:val="18"/>
                <w:color w:val="F73A25"/>
              </w:rPr>
              <w:t>Proposal</w:t>
            </w:r>
          </w:p>
        </w:tc>
        <w:tc>
          <w:tcPr>
            <w:tcW w:w="5560" w:type="dxa"/>
            <w:vAlign w:val="bottom"/>
            <w:tcBorders>
              <w:bottom w:val="single" w:sz="8" w:color="262626"/>
            </w:tcBorders>
            <w:shd w:val="clear" w:color="auto" w:fill="EAEFED"/>
          </w:tcPr>
          <w:p>
            <w:pPr>
              <w:spacing w:after="0"/>
              <w:rPr>
                <w:sz w:val="17"/>
                <w:szCs w:val="17"/>
                <w:color w:val="auto"/>
              </w:rPr>
            </w:pPr>
          </w:p>
        </w:tc>
        <w:tc>
          <w:tcPr>
            <w:tcW w:w="1380" w:type="dxa"/>
            <w:vAlign w:val="bottom"/>
            <w:tcBorders>
              <w:bottom w:val="single" w:sz="8" w:color="262626"/>
            </w:tcBorders>
            <w:shd w:val="clear" w:color="auto" w:fill="EAEFED"/>
          </w:tcPr>
          <w:p>
            <w:pPr>
              <w:ind w:left="60"/>
              <w:spacing w:after="0" w:line="203" w:lineRule="exact"/>
              <w:rPr>
                <w:sz w:val="20"/>
                <w:szCs w:val="20"/>
                <w:color w:val="auto"/>
              </w:rPr>
            </w:pPr>
            <w:r>
              <w:rPr>
                <w:rFonts w:ascii="Arial" w:cs="Arial" w:eastAsia="Arial" w:hAnsi="Arial"/>
                <w:sz w:val="18"/>
                <w:szCs w:val="18"/>
                <w:color w:val="F73A25"/>
              </w:rPr>
              <w:t>Information</w:t>
            </w:r>
          </w:p>
        </w:tc>
        <w:tc>
          <w:tcPr>
            <w:tcW w:w="2860" w:type="dxa"/>
            <w:vAlign w:val="bottom"/>
            <w:tcBorders>
              <w:bottom w:val="single" w:sz="8" w:color="262626"/>
            </w:tcBorders>
            <w:shd w:val="clear" w:color="auto" w:fill="EAEFED"/>
          </w:tcPr>
          <w:p>
            <w:pPr>
              <w:ind w:left="440"/>
              <w:spacing w:after="0" w:line="203" w:lineRule="exact"/>
              <w:rPr>
                <w:sz w:val="20"/>
                <w:szCs w:val="20"/>
                <w:color w:val="auto"/>
              </w:rPr>
            </w:pPr>
            <w:r>
              <w:rPr>
                <w:rFonts w:ascii="Arial" w:cs="Arial" w:eastAsia="Arial" w:hAnsi="Arial"/>
                <w:sz w:val="18"/>
                <w:szCs w:val="18"/>
                <w:color w:val="F73A25"/>
              </w:rPr>
              <w:t>Recommendation</w:t>
            </w:r>
          </w:p>
        </w:tc>
      </w:tr>
      <w:tr>
        <w:trPr>
          <w:trHeight w:val="195"/>
        </w:trPr>
        <w:tc>
          <w:tcPr>
            <w:tcW w:w="1220" w:type="dxa"/>
            <w:vAlign w:val="bottom"/>
          </w:tcPr>
          <w:p>
            <w:pPr>
              <w:ind w:left="80"/>
              <w:spacing w:after="0" w:line="195" w:lineRule="exact"/>
              <w:rPr>
                <w:sz w:val="20"/>
                <w:szCs w:val="20"/>
                <w:color w:val="auto"/>
              </w:rPr>
            </w:pPr>
            <w:r>
              <w:rPr>
                <w:rFonts w:ascii="Arial" w:cs="Arial" w:eastAsia="Arial" w:hAnsi="Arial"/>
                <w:sz w:val="18"/>
                <w:szCs w:val="18"/>
                <w:color w:val="262626"/>
              </w:rPr>
              <w:t>Proposal 1:</w:t>
            </w:r>
          </w:p>
        </w:tc>
        <w:tc>
          <w:tcPr>
            <w:tcW w:w="5560" w:type="dxa"/>
            <w:vAlign w:val="bottom"/>
          </w:tcPr>
          <w:p>
            <w:pPr>
              <w:ind w:left="220"/>
              <w:spacing w:after="0" w:line="195" w:lineRule="exact"/>
              <w:rPr>
                <w:sz w:val="20"/>
                <w:szCs w:val="20"/>
                <w:color w:val="auto"/>
              </w:rPr>
            </w:pPr>
            <w:r>
              <w:rPr>
                <w:rFonts w:ascii="Arial" w:cs="Arial" w:eastAsia="Arial" w:hAnsi="Arial"/>
                <w:sz w:val="18"/>
                <w:szCs w:val="18"/>
                <w:color w:val="262626"/>
              </w:rPr>
              <w:t>Election of our seven nominees to serve as trustees for a term of</w:t>
            </w:r>
          </w:p>
        </w:tc>
        <w:tc>
          <w:tcPr>
            <w:tcW w:w="1380" w:type="dxa"/>
            <w:vAlign w:val="bottom"/>
          </w:tcPr>
          <w:p>
            <w:pPr>
              <w:ind w:left="60"/>
              <w:spacing w:after="0" w:line="195" w:lineRule="exact"/>
              <w:rPr>
                <w:sz w:val="20"/>
                <w:szCs w:val="20"/>
                <w:color w:val="auto"/>
              </w:rPr>
            </w:pPr>
            <w:r>
              <w:rPr>
                <w:rFonts w:ascii="Arial" w:cs="Arial" w:eastAsia="Arial" w:hAnsi="Arial"/>
                <w:sz w:val="18"/>
                <w:szCs w:val="18"/>
                <w:color w:val="262626"/>
              </w:rPr>
              <w:t>Page 13</w:t>
            </w:r>
          </w:p>
        </w:tc>
        <w:tc>
          <w:tcPr>
            <w:tcW w:w="2860" w:type="dxa"/>
            <w:vAlign w:val="bottom"/>
          </w:tcPr>
          <w:p>
            <w:pPr>
              <w:ind w:left="440"/>
              <w:spacing w:after="0" w:line="195"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For each nominee</w:t>
            </w:r>
          </w:p>
        </w:tc>
      </w:tr>
      <w:tr>
        <w:trPr>
          <w:trHeight w:val="203"/>
        </w:trPr>
        <w:tc>
          <w:tcPr>
            <w:tcW w:w="1220" w:type="dxa"/>
            <w:vAlign w:val="bottom"/>
            <w:tcBorders>
              <w:bottom w:val="single" w:sz="8" w:color="262626"/>
            </w:tcBorders>
          </w:tcPr>
          <w:p>
            <w:pPr>
              <w:spacing w:after="0"/>
              <w:rPr>
                <w:sz w:val="17"/>
                <w:szCs w:val="17"/>
                <w:color w:val="auto"/>
              </w:rPr>
            </w:pPr>
          </w:p>
        </w:tc>
        <w:tc>
          <w:tcPr>
            <w:tcW w:w="5560" w:type="dxa"/>
            <w:vAlign w:val="bottom"/>
            <w:tcBorders>
              <w:bottom w:val="single" w:sz="8" w:color="262626"/>
            </w:tcBorders>
          </w:tcPr>
          <w:p>
            <w:pPr>
              <w:ind w:left="220"/>
              <w:spacing w:after="0" w:line="203" w:lineRule="exact"/>
              <w:rPr>
                <w:sz w:val="20"/>
                <w:szCs w:val="20"/>
                <w:color w:val="auto"/>
              </w:rPr>
            </w:pPr>
            <w:r>
              <w:rPr>
                <w:rFonts w:ascii="Arial" w:cs="Arial" w:eastAsia="Arial" w:hAnsi="Arial"/>
                <w:sz w:val="18"/>
                <w:szCs w:val="18"/>
                <w:color w:val="262626"/>
              </w:rPr>
              <w:t>one year</w:t>
            </w:r>
          </w:p>
        </w:tc>
        <w:tc>
          <w:tcPr>
            <w:tcW w:w="1380" w:type="dxa"/>
            <w:vAlign w:val="bottom"/>
            <w:tcBorders>
              <w:bottom w:val="single" w:sz="8" w:color="262626"/>
            </w:tcBorders>
          </w:tcPr>
          <w:p>
            <w:pPr>
              <w:spacing w:after="0"/>
              <w:rPr>
                <w:sz w:val="17"/>
                <w:szCs w:val="17"/>
                <w:color w:val="auto"/>
              </w:rPr>
            </w:pPr>
          </w:p>
        </w:tc>
        <w:tc>
          <w:tcPr>
            <w:tcW w:w="2860" w:type="dxa"/>
            <w:vAlign w:val="bottom"/>
            <w:tcBorders>
              <w:bottom w:val="single" w:sz="8" w:color="262626"/>
            </w:tcBorders>
          </w:tcPr>
          <w:p>
            <w:pPr>
              <w:spacing w:after="0"/>
              <w:rPr>
                <w:sz w:val="17"/>
                <w:szCs w:val="17"/>
                <w:color w:val="auto"/>
              </w:rPr>
            </w:pPr>
          </w:p>
        </w:tc>
      </w:tr>
      <w:tr>
        <w:trPr>
          <w:trHeight w:val="195"/>
        </w:trPr>
        <w:tc>
          <w:tcPr>
            <w:tcW w:w="1220" w:type="dxa"/>
            <w:vAlign w:val="bottom"/>
          </w:tcPr>
          <w:p>
            <w:pPr>
              <w:ind w:left="80"/>
              <w:spacing w:after="0" w:line="195" w:lineRule="exact"/>
              <w:rPr>
                <w:sz w:val="20"/>
                <w:szCs w:val="20"/>
                <w:color w:val="auto"/>
              </w:rPr>
            </w:pPr>
            <w:r>
              <w:rPr>
                <w:rFonts w:ascii="Arial" w:cs="Arial" w:eastAsia="Arial" w:hAnsi="Arial"/>
                <w:sz w:val="18"/>
                <w:szCs w:val="18"/>
                <w:color w:val="262626"/>
              </w:rPr>
              <w:t>Proposal 2:</w:t>
            </w:r>
          </w:p>
        </w:tc>
        <w:tc>
          <w:tcPr>
            <w:tcW w:w="5560" w:type="dxa"/>
            <w:vAlign w:val="bottom"/>
          </w:tcPr>
          <w:p>
            <w:pPr>
              <w:ind w:left="220"/>
              <w:spacing w:after="0" w:line="195" w:lineRule="exact"/>
              <w:rPr>
                <w:sz w:val="20"/>
                <w:szCs w:val="20"/>
                <w:color w:val="auto"/>
              </w:rPr>
            </w:pPr>
            <w:r>
              <w:rPr>
                <w:rFonts w:ascii="Arial" w:cs="Arial" w:eastAsia="Arial" w:hAnsi="Arial"/>
                <w:sz w:val="18"/>
                <w:szCs w:val="18"/>
                <w:color w:val="262626"/>
              </w:rPr>
              <w:t>Consideration of an advisory vote to approve executive</w:t>
            </w:r>
          </w:p>
        </w:tc>
        <w:tc>
          <w:tcPr>
            <w:tcW w:w="1380" w:type="dxa"/>
            <w:vAlign w:val="bottom"/>
          </w:tcPr>
          <w:p>
            <w:pPr>
              <w:ind w:left="60"/>
              <w:spacing w:after="0" w:line="195" w:lineRule="exact"/>
              <w:rPr>
                <w:sz w:val="20"/>
                <w:szCs w:val="20"/>
                <w:color w:val="auto"/>
              </w:rPr>
            </w:pPr>
            <w:r>
              <w:rPr>
                <w:rFonts w:ascii="Arial" w:cs="Arial" w:eastAsia="Arial" w:hAnsi="Arial"/>
                <w:sz w:val="18"/>
                <w:szCs w:val="18"/>
                <w:color w:val="262626"/>
              </w:rPr>
              <w:t>Page 17</w:t>
            </w:r>
          </w:p>
        </w:tc>
        <w:tc>
          <w:tcPr>
            <w:tcW w:w="2860" w:type="dxa"/>
            <w:vAlign w:val="bottom"/>
          </w:tcPr>
          <w:p>
            <w:pPr>
              <w:ind w:left="440"/>
              <w:spacing w:after="0" w:line="195"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For</w:t>
            </w:r>
          </w:p>
        </w:tc>
      </w:tr>
      <w:tr>
        <w:trPr>
          <w:trHeight w:val="203"/>
        </w:trPr>
        <w:tc>
          <w:tcPr>
            <w:tcW w:w="1220" w:type="dxa"/>
            <w:vAlign w:val="bottom"/>
            <w:tcBorders>
              <w:bottom w:val="single" w:sz="8" w:color="262626"/>
            </w:tcBorders>
          </w:tcPr>
          <w:p>
            <w:pPr>
              <w:spacing w:after="0"/>
              <w:rPr>
                <w:sz w:val="17"/>
                <w:szCs w:val="17"/>
                <w:color w:val="auto"/>
              </w:rPr>
            </w:pPr>
          </w:p>
        </w:tc>
        <w:tc>
          <w:tcPr>
            <w:tcW w:w="5560" w:type="dxa"/>
            <w:vAlign w:val="bottom"/>
            <w:tcBorders>
              <w:bottom w:val="single" w:sz="8" w:color="262626"/>
            </w:tcBorders>
          </w:tcPr>
          <w:p>
            <w:pPr>
              <w:ind w:left="220"/>
              <w:spacing w:after="0" w:line="203" w:lineRule="exact"/>
              <w:rPr>
                <w:sz w:val="20"/>
                <w:szCs w:val="20"/>
                <w:color w:val="auto"/>
              </w:rPr>
            </w:pPr>
            <w:r>
              <w:rPr>
                <w:rFonts w:ascii="Arial" w:cs="Arial" w:eastAsia="Arial" w:hAnsi="Arial"/>
                <w:sz w:val="18"/>
                <w:szCs w:val="18"/>
                <w:color w:val="262626"/>
              </w:rPr>
              <w:t>compensation</w:t>
            </w:r>
          </w:p>
        </w:tc>
        <w:tc>
          <w:tcPr>
            <w:tcW w:w="1380" w:type="dxa"/>
            <w:vAlign w:val="bottom"/>
            <w:tcBorders>
              <w:bottom w:val="single" w:sz="8" w:color="262626"/>
            </w:tcBorders>
          </w:tcPr>
          <w:p>
            <w:pPr>
              <w:spacing w:after="0"/>
              <w:rPr>
                <w:sz w:val="17"/>
                <w:szCs w:val="17"/>
                <w:color w:val="auto"/>
              </w:rPr>
            </w:pPr>
          </w:p>
        </w:tc>
        <w:tc>
          <w:tcPr>
            <w:tcW w:w="2860" w:type="dxa"/>
            <w:vAlign w:val="bottom"/>
            <w:tcBorders>
              <w:bottom w:val="single" w:sz="8" w:color="262626"/>
            </w:tcBorders>
          </w:tcPr>
          <w:p>
            <w:pPr>
              <w:spacing w:after="0"/>
              <w:rPr>
                <w:sz w:val="17"/>
                <w:szCs w:val="17"/>
                <w:color w:val="auto"/>
              </w:rPr>
            </w:pPr>
          </w:p>
        </w:tc>
      </w:tr>
      <w:tr>
        <w:trPr>
          <w:trHeight w:val="195"/>
        </w:trPr>
        <w:tc>
          <w:tcPr>
            <w:tcW w:w="1220" w:type="dxa"/>
            <w:vAlign w:val="bottom"/>
          </w:tcPr>
          <w:p>
            <w:pPr>
              <w:ind w:left="80"/>
              <w:spacing w:after="0" w:line="195" w:lineRule="exact"/>
              <w:rPr>
                <w:sz w:val="20"/>
                <w:szCs w:val="20"/>
                <w:color w:val="auto"/>
              </w:rPr>
            </w:pPr>
            <w:r>
              <w:rPr>
                <w:rFonts w:ascii="Arial" w:cs="Arial" w:eastAsia="Arial" w:hAnsi="Arial"/>
                <w:sz w:val="18"/>
                <w:szCs w:val="18"/>
                <w:color w:val="262626"/>
              </w:rPr>
              <w:t>Proposal 3:</w:t>
            </w:r>
          </w:p>
        </w:tc>
        <w:tc>
          <w:tcPr>
            <w:tcW w:w="5560" w:type="dxa"/>
            <w:vAlign w:val="bottom"/>
          </w:tcPr>
          <w:p>
            <w:pPr>
              <w:ind w:left="220"/>
              <w:spacing w:after="0" w:line="195" w:lineRule="exact"/>
              <w:rPr>
                <w:sz w:val="20"/>
                <w:szCs w:val="20"/>
                <w:color w:val="auto"/>
              </w:rPr>
            </w:pPr>
            <w:r>
              <w:rPr>
                <w:rFonts w:ascii="Arial" w:cs="Arial" w:eastAsia="Arial" w:hAnsi="Arial"/>
                <w:sz w:val="18"/>
                <w:szCs w:val="18"/>
                <w:color w:val="262626"/>
              </w:rPr>
              <w:t>Ratification of the appointment of Grant Thornton, LLP to serve as</w:t>
            </w:r>
          </w:p>
        </w:tc>
        <w:tc>
          <w:tcPr>
            <w:tcW w:w="1380" w:type="dxa"/>
            <w:vAlign w:val="bottom"/>
          </w:tcPr>
          <w:p>
            <w:pPr>
              <w:ind w:left="60"/>
              <w:spacing w:after="0" w:line="195" w:lineRule="exact"/>
              <w:rPr>
                <w:sz w:val="20"/>
                <w:szCs w:val="20"/>
                <w:color w:val="auto"/>
              </w:rPr>
            </w:pPr>
            <w:r>
              <w:rPr>
                <w:rFonts w:ascii="Arial" w:cs="Arial" w:eastAsia="Arial" w:hAnsi="Arial"/>
                <w:sz w:val="18"/>
                <w:szCs w:val="18"/>
                <w:color w:val="262626"/>
              </w:rPr>
              <w:t>Page 34</w:t>
            </w:r>
          </w:p>
        </w:tc>
        <w:tc>
          <w:tcPr>
            <w:tcW w:w="2860" w:type="dxa"/>
            <w:vAlign w:val="bottom"/>
          </w:tcPr>
          <w:p>
            <w:pPr>
              <w:ind w:left="440"/>
              <w:spacing w:after="0" w:line="195"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For</w:t>
            </w:r>
          </w:p>
        </w:tc>
      </w:tr>
      <w:tr>
        <w:trPr>
          <w:trHeight w:val="203"/>
        </w:trPr>
        <w:tc>
          <w:tcPr>
            <w:tcW w:w="1220" w:type="dxa"/>
            <w:vAlign w:val="bottom"/>
            <w:tcBorders>
              <w:bottom w:val="single" w:sz="8" w:color="262626"/>
            </w:tcBorders>
          </w:tcPr>
          <w:p>
            <w:pPr>
              <w:spacing w:after="0"/>
              <w:rPr>
                <w:sz w:val="17"/>
                <w:szCs w:val="17"/>
                <w:color w:val="auto"/>
              </w:rPr>
            </w:pPr>
          </w:p>
        </w:tc>
        <w:tc>
          <w:tcPr>
            <w:tcW w:w="5560" w:type="dxa"/>
            <w:vAlign w:val="bottom"/>
            <w:tcBorders>
              <w:bottom w:val="single" w:sz="8" w:color="262626"/>
            </w:tcBorders>
          </w:tcPr>
          <w:p>
            <w:pPr>
              <w:ind w:left="220"/>
              <w:spacing w:after="0" w:line="203" w:lineRule="exact"/>
              <w:rPr>
                <w:sz w:val="20"/>
                <w:szCs w:val="20"/>
                <w:color w:val="auto"/>
              </w:rPr>
            </w:pPr>
            <w:r>
              <w:rPr>
                <w:rFonts w:ascii="Arial" w:cs="Arial" w:eastAsia="Arial" w:hAnsi="Arial"/>
                <w:sz w:val="18"/>
                <w:szCs w:val="18"/>
                <w:color w:val="262626"/>
              </w:rPr>
              <w:t>our independent registered public accountants for fiscal year 2021</w:t>
            </w:r>
          </w:p>
        </w:tc>
        <w:tc>
          <w:tcPr>
            <w:tcW w:w="1380" w:type="dxa"/>
            <w:vAlign w:val="bottom"/>
            <w:tcBorders>
              <w:bottom w:val="single" w:sz="8" w:color="262626"/>
            </w:tcBorders>
          </w:tcPr>
          <w:p>
            <w:pPr>
              <w:spacing w:after="0"/>
              <w:rPr>
                <w:sz w:val="17"/>
                <w:szCs w:val="17"/>
                <w:color w:val="auto"/>
              </w:rPr>
            </w:pPr>
          </w:p>
        </w:tc>
        <w:tc>
          <w:tcPr>
            <w:tcW w:w="2860" w:type="dxa"/>
            <w:vAlign w:val="bottom"/>
            <w:tcBorders>
              <w:bottom w:val="single" w:sz="8" w:color="262626"/>
            </w:tcBorders>
          </w:tcPr>
          <w:p>
            <w:pPr>
              <w:spacing w:after="0"/>
              <w:rPr>
                <w:sz w:val="17"/>
                <w:szCs w:val="17"/>
                <w:color w:val="auto"/>
              </w:rPr>
            </w:pPr>
          </w:p>
        </w:tc>
      </w:tr>
    </w:tbl>
    <w:p>
      <w:pPr>
        <w:spacing w:after="0" w:line="215"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262626"/>
        </w:rPr>
        <w:t>Shareholders of record of Federal’s common shares of beneficial interest (“Shares”) (NYSE: FRT) at the close of business on March 16, 2021 are entitled to vote at the meeting and any postponements or adjournments of the meeting.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March 25, 2021</w:t>
      </w:r>
    </w:p>
    <w:p>
      <w:pPr>
        <w:spacing w:after="0" w:line="140" w:lineRule="exact"/>
        <w:rPr>
          <w:sz w:val="20"/>
          <w:szCs w:val="20"/>
          <w:color w:val="auto"/>
        </w:rPr>
      </w:pPr>
    </w:p>
    <w:p>
      <w:pPr>
        <w:ind w:left="5740"/>
        <w:spacing w:after="0"/>
        <w:rPr>
          <w:sz w:val="20"/>
          <w:szCs w:val="20"/>
          <w:color w:val="auto"/>
        </w:rPr>
      </w:pPr>
      <w:r>
        <w:rPr>
          <w:rFonts w:ascii="Arial" w:cs="Arial" w:eastAsia="Arial" w:hAnsi="Arial"/>
          <w:sz w:val="18"/>
          <w:szCs w:val="18"/>
          <w:color w:val="262626"/>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-24765</wp:posOffset>
            </wp:positionV>
            <wp:extent cx="96837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ind w:left="5740"/>
        <w:spacing w:after="0" w:line="234" w:lineRule="auto"/>
        <w:rPr>
          <w:sz w:val="20"/>
          <w:szCs w:val="20"/>
          <w:color w:val="auto"/>
        </w:rPr>
      </w:pPr>
      <w:r>
        <w:rPr>
          <w:rFonts w:ascii="Arial" w:cs="Arial" w:eastAsia="Arial" w:hAnsi="Arial"/>
          <w:sz w:val="18"/>
          <w:szCs w:val="18"/>
          <w:color w:val="262626"/>
        </w:rPr>
        <w:t>Executive Vice President,</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8"/>
          <w:szCs w:val="18"/>
          <w:color w:val="262626"/>
        </w:rPr>
        <w:t>General Counsel and Secretary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Important Notice Regarding Availability of Proxy Materials for the Shareholder Meeting to be held on May 5, 2021:</w:t>
      </w:r>
    </w:p>
    <w:p>
      <w:pPr>
        <w:spacing w:after="0" w:line="18"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262626"/>
        </w:rPr>
        <w:t xml:space="preserve">The proxy statement and annual report to shareholders, including our annual report on Form 10K for the year ended December 31, 2020 are available at </w:t>
      </w:r>
      <w:r>
        <w:rPr>
          <w:rFonts w:ascii="Arial" w:cs="Arial" w:eastAsia="Arial" w:hAnsi="Arial"/>
          <w:sz w:val="18"/>
          <w:szCs w:val="18"/>
          <w:i w:val="1"/>
          <w:iCs w:val="1"/>
          <w:color w:val="262626"/>
        </w:rPr>
        <w:t>www.federalrealty.com.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70123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How to Vote</w:t>
      </w:r>
    </w:p>
    <w:p>
      <w:pPr>
        <w:spacing w:after="0" w:line="205"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262626"/>
        </w:rPr>
        <w:t>If you own your Shares directly with American Stock Transfer and Trust, LLC, you are a registered shareholder and can vote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125730</wp:posOffset>
            </wp:positionV>
            <wp:extent cx="497205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720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262626"/>
        </w:rPr>
        <w:t>If you vote by internet or telephone, you will need the control number on your Notice of Internet Availability, proxy card or voting instruction form. Votes must be submitted by the close of the Annual Meeting to be counted for the meeting. You may revoke your proxy at any time before it is voted at the Annual Meeting by notifying the secretary in writing, submitting a proxy dated later than your original proxy, or attending the Annual Meeting and voting during the webcast. We strongly recommend that you vote your Shares in advance of the Annual Meeting. More detailed information on how to participate in our virtual annual meeting can be found in the “How to Vote” section on page 40.</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F73A25"/>
        </w:rPr>
        <w:t>TABLE OF CONTENTS</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560" w:type="dxa"/>
            <w:vAlign w:val="bottom"/>
            <w:gridSpan w:val="34"/>
            <w:vMerge w:val="restart"/>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About Federal</w:t>
              </w:r>
            </w:hyperlink>
          </w:p>
        </w:tc>
        <w:tc>
          <w:tcPr>
            <w:tcW w:w="400" w:type="dxa"/>
            <w:vAlign w:val="bottom"/>
            <w:tcBorders>
              <w:bottom w:val="single" w:sz="8" w:color="262626"/>
            </w:tcBorders>
          </w:tcPr>
          <w:p>
            <w:pPr>
              <w:jc w:val="right"/>
              <w:spacing w:after="0"/>
              <w:rPr>
                <w:sz w:val="20"/>
                <w:szCs w:val="20"/>
                <w:color w:val="auto"/>
              </w:rPr>
            </w:pPr>
            <w:r>
              <w:rPr>
                <w:rFonts w:ascii="Arial" w:cs="Arial" w:eastAsia="Arial" w:hAnsi="Arial"/>
                <w:sz w:val="16"/>
                <w:szCs w:val="16"/>
                <w:b w:val="1"/>
                <w:bCs w:val="1"/>
                <w:color w:val="262626"/>
                <w:w w:val="99"/>
              </w:rPr>
              <w:t>Page</w:t>
            </w:r>
          </w:p>
        </w:tc>
        <w:tc>
          <w:tcPr>
            <w:tcW w:w="0" w:type="dxa"/>
            <w:vAlign w:val="bottom"/>
          </w:tcPr>
          <w:p>
            <w:pPr>
              <w:spacing w:after="0"/>
              <w:rPr>
                <w:sz w:val="1"/>
                <w:szCs w:val="1"/>
                <w:color w:val="auto"/>
              </w:rPr>
            </w:pPr>
          </w:p>
        </w:tc>
      </w:tr>
      <w:tr>
        <w:trPr>
          <w:trHeight w:val="142"/>
        </w:trPr>
        <w:tc>
          <w:tcPr>
            <w:tcW w:w="10560" w:type="dxa"/>
            <w:vAlign w:val="bottom"/>
            <w:gridSpan w:val="34"/>
            <w:vMerge w:val="continue"/>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color w:val="262626"/>
              </w:rPr>
              <w:t>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80" w:type="dxa"/>
            <w:vAlign w:val="bottom"/>
            <w:tcBorders>
              <w:bottom w:val="single" w:sz="8" w:color="0000EE"/>
            </w:tcBorders>
            <w:gridSpan w:val="7"/>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Summary Information</w:t>
              </w:r>
            </w:hyperlink>
          </w:p>
        </w:tc>
        <w:tc>
          <w:tcPr>
            <w:tcW w:w="8880" w:type="dxa"/>
            <w:vAlign w:val="bottom"/>
            <w:gridSpan w:val="2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COVID-19 Response</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208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2020 Company Performance</w:t>
              </w:r>
            </w:hyperlink>
          </w:p>
        </w:tc>
        <w:tc>
          <w:tcPr>
            <w:tcW w:w="8000" w:type="dxa"/>
            <w:vAlign w:val="bottom"/>
            <w:gridSpan w:val="20"/>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w:t>
            </w:r>
          </w:p>
        </w:tc>
        <w:tc>
          <w:tcPr>
            <w:tcW w:w="0" w:type="dxa"/>
            <w:vAlign w:val="bottom"/>
          </w:tcPr>
          <w:p>
            <w:pPr>
              <w:spacing w:after="0"/>
              <w:rPr>
                <w:sz w:val="1"/>
                <w:szCs w:val="1"/>
                <w:color w:val="auto"/>
              </w:rPr>
            </w:pPr>
          </w:p>
        </w:tc>
      </w:tr>
      <w:tr>
        <w:trPr>
          <w:trHeight w:val="460"/>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Corporate Responsibility and Human Capital Management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80" w:type="dxa"/>
            <w:vAlign w:val="bottom"/>
          </w:tcPr>
          <w:p>
            <w:pPr>
              <w:spacing w:after="0"/>
              <w:rPr>
                <w:sz w:val="24"/>
                <w:szCs w:val="24"/>
                <w:color w:val="auto"/>
              </w:rPr>
            </w:pPr>
          </w:p>
        </w:tc>
        <w:tc>
          <w:tcPr>
            <w:tcW w:w="2040" w:type="dxa"/>
            <w:vAlign w:val="bottom"/>
            <w:tcBorders>
              <w:bottom w:val="single" w:sz="8" w:color="0000EE"/>
            </w:tcBorders>
            <w:gridSpan w:val="1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Environmental Sustainability</w:t>
              </w:r>
            </w:hyperlink>
          </w:p>
        </w:tc>
        <w:tc>
          <w:tcPr>
            <w:tcW w:w="8040" w:type="dxa"/>
            <w:vAlign w:val="bottom"/>
            <w:gridSpan w:val="2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3</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420" w:type="dxa"/>
            <w:vAlign w:val="bottom"/>
            <w:tcBorders>
              <w:bottom w:val="single" w:sz="8" w:color="0000EE"/>
            </w:tcBorders>
            <w:gridSpan w:val="21"/>
          </w:tcPr>
          <w:p>
            <w:pPr>
              <w:spacing w:after="0" w:line="169" w:lineRule="exact"/>
              <w:rPr>
                <w:rFonts w:ascii="Arial" w:cs="Arial" w:eastAsia="Arial" w:hAnsi="Arial"/>
                <w:sz w:val="16"/>
                <w:szCs w:val="16"/>
                <w:color w:val="0000EE"/>
                <w:w w:val="99"/>
              </w:rPr>
            </w:pPr>
            <w:hyperlink w:anchor="page9">
              <w:r>
                <w:rPr>
                  <w:rFonts w:ascii="Arial" w:cs="Arial" w:eastAsia="Arial" w:hAnsi="Arial"/>
                  <w:sz w:val="16"/>
                  <w:szCs w:val="16"/>
                  <w:color w:val="0000EE"/>
                  <w:w w:val="99"/>
                </w:rPr>
                <w:t>Valuing our Culture and our Team</w:t>
              </w:r>
            </w:hyperlink>
          </w:p>
        </w:tc>
        <w:tc>
          <w:tcPr>
            <w:tcW w:w="7660" w:type="dxa"/>
            <w:vAlign w:val="bottom"/>
            <w:gridSpan w:val="12"/>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4</w:t>
            </w:r>
          </w:p>
        </w:tc>
        <w:tc>
          <w:tcPr>
            <w:tcW w:w="0" w:type="dxa"/>
            <w:vAlign w:val="bottom"/>
          </w:tcPr>
          <w:p>
            <w:pPr>
              <w:spacing w:after="0"/>
              <w:rPr>
                <w:sz w:val="1"/>
                <w:szCs w:val="1"/>
                <w:color w:val="auto"/>
              </w:rPr>
            </w:pPr>
          </w:p>
        </w:tc>
      </w:tr>
      <w:tr>
        <w:trPr>
          <w:trHeight w:val="460"/>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Corporate Governance</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080" w:type="dxa"/>
            <w:vAlign w:val="bottom"/>
            <w:gridSpan w:val="33"/>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Corporate Governance Framework</w:t>
              </w:r>
            </w:hyperlink>
          </w:p>
        </w:tc>
        <w:tc>
          <w:tcPr>
            <w:tcW w:w="400" w:type="dxa"/>
            <w:vAlign w:val="bottom"/>
          </w:tcPr>
          <w:p>
            <w:pPr>
              <w:jc w:val="right"/>
              <w:spacing w:after="0"/>
              <w:rPr>
                <w:sz w:val="20"/>
                <w:szCs w:val="20"/>
                <w:color w:val="auto"/>
              </w:rPr>
            </w:pPr>
            <w:r>
              <w:rPr>
                <w:rFonts w:ascii="Arial" w:cs="Arial" w:eastAsia="Arial" w:hAnsi="Arial"/>
                <w:sz w:val="16"/>
                <w:szCs w:val="16"/>
                <w:color w:val="262626"/>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284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w:anchor="page10">
              <w:r>
                <w:rPr>
                  <w:rFonts w:ascii="Arial" w:cs="Arial" w:eastAsia="Arial" w:hAnsi="Arial"/>
                  <w:sz w:val="16"/>
                  <w:szCs w:val="16"/>
                  <w:color w:val="0000EE"/>
                </w:rPr>
                <w:t>Key Governance Policies and Practices</w:t>
              </w:r>
            </w:hyperlink>
          </w:p>
        </w:tc>
        <w:tc>
          <w:tcPr>
            <w:tcW w:w="7240" w:type="dxa"/>
            <w:vAlign w:val="bottom"/>
            <w:gridSpan w:val="5"/>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5</w:t>
            </w:r>
          </w:p>
        </w:tc>
        <w:tc>
          <w:tcPr>
            <w:tcW w:w="0" w:type="dxa"/>
            <w:vAlign w:val="bottom"/>
          </w:tcPr>
          <w:p>
            <w:pPr>
              <w:spacing w:after="0"/>
              <w:rPr>
                <w:sz w:val="1"/>
                <w:szCs w:val="1"/>
                <w:color w:val="auto"/>
              </w:rPr>
            </w:pPr>
          </w:p>
        </w:tc>
      </w:tr>
      <w:tr>
        <w:trPr>
          <w:trHeight w:val="454"/>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Our Board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80" w:type="dxa"/>
            <w:vAlign w:val="bottom"/>
            <w:gridSpan w:val="33"/>
          </w:tcPr>
          <w:p>
            <w:pPr>
              <w:spacing w:after="0" w:line="160" w:lineRule="exact"/>
              <w:rPr>
                <w:rFonts w:ascii="Arial" w:cs="Arial" w:eastAsia="Arial" w:hAnsi="Arial"/>
                <w:sz w:val="16"/>
                <w:szCs w:val="16"/>
                <w:color w:val="0000EE"/>
              </w:rPr>
            </w:pPr>
            <w:hyperlink w:anchor="page11">
              <w:r>
                <w:rPr>
                  <w:rFonts w:ascii="Arial" w:cs="Arial" w:eastAsia="Arial" w:hAnsi="Arial"/>
                  <w:sz w:val="16"/>
                  <w:szCs w:val="16"/>
                  <w:color w:val="0000EE"/>
                </w:rPr>
                <w:t>Board of Trustees Nominee Information and Statistics</w:t>
              </w:r>
            </w:hyperlink>
          </w:p>
        </w:tc>
        <w:tc>
          <w:tcPr>
            <w:tcW w:w="400" w:type="dxa"/>
            <w:vAlign w:val="bottom"/>
          </w:tcPr>
          <w:p>
            <w:pPr>
              <w:jc w:val="right"/>
              <w:spacing w:after="0" w:line="160" w:lineRule="exact"/>
              <w:rPr>
                <w:sz w:val="20"/>
                <w:szCs w:val="20"/>
                <w:color w:val="auto"/>
              </w:rPr>
            </w:pPr>
            <w:r>
              <w:rPr>
                <w:rFonts w:ascii="Arial" w:cs="Arial" w:eastAsia="Arial" w:hAnsi="Arial"/>
                <w:sz w:val="16"/>
                <w:szCs w:val="16"/>
                <w:color w:val="262626"/>
              </w:rPr>
              <w:t>6</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384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w:anchor="page11">
              <w:r>
                <w:rPr>
                  <w:rFonts w:ascii="Arial" w:cs="Arial" w:eastAsia="Arial" w:hAnsi="Arial"/>
                  <w:sz w:val="16"/>
                  <w:szCs w:val="16"/>
                  <w:color w:val="0000EE"/>
                </w:rPr>
                <w:t>Board Composition and Independence</w:t>
              </w:r>
            </w:hyperlink>
          </w:p>
        </w:tc>
        <w:tc>
          <w:tcPr>
            <w:tcW w:w="6240" w:type="dxa"/>
            <w:vAlign w:val="bottom"/>
            <w:gridSpan w:val="2"/>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6</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58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0000EE"/>
              </w:rPr>
            </w:pPr>
            <w:hyperlink w:anchor="page12">
              <w:r>
                <w:rPr>
                  <w:rFonts w:ascii="Arial" w:cs="Arial" w:eastAsia="Arial" w:hAnsi="Arial"/>
                  <w:sz w:val="16"/>
                  <w:szCs w:val="16"/>
                  <w:color w:val="0000EE"/>
                </w:rPr>
                <w:t>Building the Right Board for Federal</w:t>
              </w:r>
            </w:hyperlink>
          </w:p>
        </w:tc>
        <w:tc>
          <w:tcPr>
            <w:tcW w:w="180" w:type="dxa"/>
            <w:vAlign w:val="bottom"/>
            <w:tcBorders>
              <w:top w:val="single" w:sz="8" w:color="0000EE"/>
            </w:tcBorders>
            <w:gridSpan w:val="3"/>
          </w:tcPr>
          <w:p>
            <w:pPr>
              <w:spacing w:after="0"/>
              <w:rPr>
                <w:sz w:val="14"/>
                <w:szCs w:val="14"/>
                <w:color w:val="auto"/>
              </w:rPr>
            </w:pPr>
          </w:p>
        </w:tc>
        <w:tc>
          <w:tcPr>
            <w:tcW w:w="7320" w:type="dxa"/>
            <w:vAlign w:val="bottom"/>
            <w:gridSpan w:val="6"/>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7</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13">
              <w:r>
                <w:rPr>
                  <w:rFonts w:ascii="Arial" w:cs="Arial" w:eastAsia="Arial" w:hAnsi="Arial"/>
                  <w:sz w:val="16"/>
                  <w:szCs w:val="16"/>
                  <w:color w:val="0000EE"/>
                </w:rPr>
                <w:t>Board Leadership</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14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w:anchor="page13">
              <w:r>
                <w:rPr>
                  <w:rFonts w:ascii="Arial" w:cs="Arial" w:eastAsia="Arial" w:hAnsi="Arial"/>
                  <w:sz w:val="16"/>
                  <w:szCs w:val="16"/>
                  <w:color w:val="0000EE"/>
                  <w:w w:val="99"/>
                </w:rPr>
                <w:t>Board Meetings</w:t>
              </w:r>
            </w:hyperlink>
          </w:p>
        </w:tc>
        <w:tc>
          <w:tcPr>
            <w:tcW w:w="140" w:type="dxa"/>
            <w:vAlign w:val="bottom"/>
            <w:tcBorders>
              <w:top w:val="single" w:sz="8" w:color="0000EE"/>
            </w:tcBorders>
            <w:gridSpan w:val="3"/>
          </w:tcPr>
          <w:p>
            <w:pPr>
              <w:spacing w:after="0"/>
              <w:rPr>
                <w:sz w:val="14"/>
                <w:szCs w:val="14"/>
                <w:color w:val="auto"/>
              </w:rPr>
            </w:pPr>
          </w:p>
        </w:tc>
        <w:tc>
          <w:tcPr>
            <w:tcW w:w="8800" w:type="dxa"/>
            <w:vAlign w:val="bottom"/>
            <w:gridSpan w:val="26"/>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14">
              <w:r>
                <w:rPr>
                  <w:rFonts w:ascii="Arial" w:cs="Arial" w:eastAsia="Arial" w:hAnsi="Arial"/>
                  <w:sz w:val="16"/>
                  <w:szCs w:val="16"/>
                  <w:color w:val="0000EE"/>
                </w:rPr>
                <w:t>Board Committees</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250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15">
              <w:r>
                <w:rPr>
                  <w:rFonts w:ascii="Arial" w:cs="Arial" w:eastAsia="Arial" w:hAnsi="Arial"/>
                  <w:sz w:val="16"/>
                  <w:szCs w:val="16"/>
                  <w:color w:val="0000EE"/>
                </w:rPr>
                <w:t>Board and Committee Evaluations</w:t>
              </w:r>
            </w:hyperlink>
          </w:p>
        </w:tc>
        <w:tc>
          <w:tcPr>
            <w:tcW w:w="7580" w:type="dxa"/>
            <w:vAlign w:val="bottom"/>
            <w:gridSpan w:val="11"/>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64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w:anchor="page15">
              <w:r>
                <w:rPr>
                  <w:rFonts w:ascii="Arial" w:cs="Arial" w:eastAsia="Arial" w:hAnsi="Arial"/>
                  <w:sz w:val="16"/>
                  <w:szCs w:val="16"/>
                  <w:color w:val="0000EE"/>
                </w:rPr>
                <w:t>Board’s Risk Management Oversight</w:t>
              </w:r>
            </w:hyperlink>
          </w:p>
        </w:tc>
        <w:tc>
          <w:tcPr>
            <w:tcW w:w="7440" w:type="dxa"/>
            <w:vAlign w:val="bottom"/>
            <w:gridSpan w:val="7"/>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34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Compensation Risk Assessment</w:t>
              </w:r>
            </w:hyperlink>
          </w:p>
        </w:tc>
        <w:tc>
          <w:tcPr>
            <w:tcW w:w="7740" w:type="dxa"/>
            <w:vAlign w:val="bottom"/>
            <w:gridSpan w:val="13"/>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44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Compensation Committee Interlocks and Insider Participation</w:t>
              </w:r>
            </w:hyperlink>
          </w:p>
        </w:tc>
        <w:tc>
          <w:tcPr>
            <w:tcW w:w="56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Communications with the Board</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64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Trustee Compensation</w:t>
              </w:r>
            </w:hyperlink>
          </w:p>
        </w:tc>
        <w:tc>
          <w:tcPr>
            <w:tcW w:w="640" w:type="dxa"/>
            <w:vAlign w:val="bottom"/>
            <w:tcBorders>
              <w:top w:val="single" w:sz="8" w:color="0000EE"/>
            </w:tcBorders>
            <w:gridSpan w:val="8"/>
          </w:tcPr>
          <w:p>
            <w:pPr>
              <w:spacing w:after="0"/>
              <w:rPr>
                <w:sz w:val="14"/>
                <w:szCs w:val="14"/>
                <w:color w:val="auto"/>
              </w:rPr>
            </w:pPr>
          </w:p>
        </w:tc>
        <w:tc>
          <w:tcPr>
            <w:tcW w:w="7800" w:type="dxa"/>
            <w:vAlign w:val="bottom"/>
            <w:gridSpan w:val="14"/>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12</w:t>
            </w:r>
          </w:p>
        </w:tc>
        <w:tc>
          <w:tcPr>
            <w:tcW w:w="0" w:type="dxa"/>
            <w:vAlign w:val="bottom"/>
          </w:tcPr>
          <w:p>
            <w:pPr>
              <w:spacing w:after="0"/>
              <w:rPr>
                <w:sz w:val="1"/>
                <w:szCs w:val="1"/>
                <w:color w:val="auto"/>
              </w:rPr>
            </w:pPr>
          </w:p>
        </w:tc>
      </w:tr>
      <w:tr>
        <w:trPr>
          <w:trHeight w:val="460"/>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Proposal 1: Election of Seven Trustees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Proposal 2: Compensation of our Named Executive Officers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560" w:type="dxa"/>
            <w:vAlign w:val="bottom"/>
            <w:gridSpan w:val="34"/>
          </w:tcPr>
          <w:p>
            <w:pPr>
              <w:spacing w:after="0"/>
              <w:rPr>
                <w:sz w:val="20"/>
                <w:szCs w:val="20"/>
                <w:color w:val="auto"/>
              </w:rPr>
            </w:pPr>
            <w:r>
              <w:rPr>
                <w:rFonts w:ascii="Arial" w:cs="Arial" w:eastAsia="Arial" w:hAnsi="Arial"/>
                <w:sz w:val="16"/>
                <w:szCs w:val="16"/>
                <w:b w:val="1"/>
                <w:bCs w:val="1"/>
                <w:color w:val="262626"/>
              </w:rPr>
              <w:t>Compensation Discussion and Analysis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0080" w:type="dxa"/>
            <w:vAlign w:val="bottom"/>
            <w:gridSpan w:val="33"/>
          </w:tcPr>
          <w:p>
            <w:pPr>
              <w:spacing w:after="0" w:line="160" w:lineRule="exact"/>
              <w:rPr>
                <w:rFonts w:ascii="Arial" w:cs="Arial" w:eastAsia="Arial" w:hAnsi="Arial"/>
                <w:sz w:val="16"/>
                <w:szCs w:val="16"/>
                <w:color w:val="0000EE"/>
              </w:rPr>
            </w:pPr>
            <w:hyperlink w:anchor="page23">
              <w:r>
                <w:rPr>
                  <w:rFonts w:ascii="Arial" w:cs="Arial" w:eastAsia="Arial" w:hAnsi="Arial"/>
                  <w:sz w:val="16"/>
                  <w:szCs w:val="16"/>
                  <w:color w:val="0000EE"/>
                </w:rPr>
                <w:t>2020 Compensation Highlights</w:t>
              </w:r>
            </w:hyperlink>
          </w:p>
        </w:tc>
        <w:tc>
          <w:tcPr>
            <w:tcW w:w="400" w:type="dxa"/>
            <w:vAlign w:val="bottom"/>
          </w:tcPr>
          <w:p>
            <w:pPr>
              <w:jc w:val="right"/>
              <w:spacing w:after="0" w:line="160" w:lineRule="exact"/>
              <w:rPr>
                <w:sz w:val="20"/>
                <w:szCs w:val="20"/>
                <w:color w:val="auto"/>
              </w:rPr>
            </w:pPr>
            <w:r>
              <w:rPr>
                <w:rFonts w:ascii="Arial" w:cs="Arial" w:eastAsia="Arial" w:hAnsi="Arial"/>
                <w:sz w:val="16"/>
                <w:szCs w:val="16"/>
                <w:color w:val="262626"/>
              </w:rPr>
              <w:t>18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Response to Say on Pay Vote</w:t>
              </w:r>
            </w:hyperlink>
          </w:p>
        </w:tc>
        <w:tc>
          <w:tcPr>
            <w:tcW w:w="40" w:type="dxa"/>
            <w:vAlign w:val="bottom"/>
            <w:tcBorders>
              <w:top w:val="single" w:sz="8" w:color="0000EE"/>
            </w:tcBorders>
          </w:tcPr>
          <w:p>
            <w:pPr>
              <w:spacing w:after="0"/>
              <w:rPr>
                <w:sz w:val="14"/>
                <w:szCs w:val="14"/>
                <w:color w:val="auto"/>
              </w:rPr>
            </w:pPr>
          </w:p>
        </w:tc>
        <w:tc>
          <w:tcPr>
            <w:tcW w:w="7880" w:type="dxa"/>
            <w:vAlign w:val="bottom"/>
            <w:gridSpan w:val="16"/>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42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2020 NEO Earned Compensation</w:t>
              </w:r>
            </w:hyperlink>
          </w:p>
        </w:tc>
        <w:tc>
          <w:tcPr>
            <w:tcW w:w="7660" w:type="dxa"/>
            <w:vAlign w:val="bottom"/>
            <w:gridSpan w:val="12"/>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19</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42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2020 Compensation Components</w:t>
              </w:r>
            </w:hyperlink>
          </w:p>
        </w:tc>
        <w:tc>
          <w:tcPr>
            <w:tcW w:w="7660" w:type="dxa"/>
            <w:vAlign w:val="bottom"/>
            <w:gridSpan w:val="12"/>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Setting Annual Compensation</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52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2020 Target Pay Mix</w:t>
              </w:r>
            </w:hyperlink>
          </w:p>
        </w:tc>
        <w:tc>
          <w:tcPr>
            <w:tcW w:w="620" w:type="dxa"/>
            <w:vAlign w:val="bottom"/>
            <w:tcBorders>
              <w:top w:val="single" w:sz="8" w:color="0000EE"/>
            </w:tcBorders>
            <w:gridSpan w:val="5"/>
          </w:tcPr>
          <w:p>
            <w:pPr>
              <w:spacing w:after="0"/>
              <w:rPr>
                <w:sz w:val="14"/>
                <w:szCs w:val="14"/>
                <w:color w:val="auto"/>
              </w:rPr>
            </w:pPr>
          </w:p>
        </w:tc>
        <w:tc>
          <w:tcPr>
            <w:tcW w:w="7940" w:type="dxa"/>
            <w:vAlign w:val="bottom"/>
            <w:gridSpan w:val="18"/>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How our NEOs Were Paid for Performance in 2020</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22</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w:anchor="page31">
              <w:r>
                <w:rPr>
                  <w:rFonts w:ascii="Arial" w:cs="Arial" w:eastAsia="Arial" w:hAnsi="Arial"/>
                  <w:sz w:val="16"/>
                  <w:szCs w:val="16"/>
                  <w:color w:val="0000EE"/>
                  <w:w w:val="99"/>
                </w:rPr>
                <w:t>Other Benefits</w:t>
              </w:r>
            </w:hyperlink>
          </w:p>
        </w:tc>
        <w:tc>
          <w:tcPr>
            <w:tcW w:w="2620" w:type="dxa"/>
            <w:vAlign w:val="bottom"/>
            <w:tcBorders>
              <w:top w:val="single" w:sz="8" w:color="0000EE"/>
            </w:tcBorders>
            <w:gridSpan w:val="26"/>
          </w:tcPr>
          <w:p>
            <w:pPr>
              <w:spacing w:after="0"/>
              <w:rPr>
                <w:sz w:val="14"/>
                <w:szCs w:val="14"/>
                <w:color w:val="auto"/>
              </w:rPr>
            </w:pPr>
          </w:p>
        </w:tc>
        <w:tc>
          <w:tcPr>
            <w:tcW w:w="6420" w:type="dxa"/>
            <w:vAlign w:val="bottom"/>
            <w:gridSpan w:val="4"/>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26</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84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31">
              <w:r>
                <w:rPr>
                  <w:rFonts w:ascii="Arial" w:cs="Arial" w:eastAsia="Arial" w:hAnsi="Arial"/>
                  <w:sz w:val="16"/>
                  <w:szCs w:val="16"/>
                  <w:color w:val="0000EE"/>
                  <w:w w:val="99"/>
                </w:rPr>
                <w:t>2021 NEOs</w:t>
              </w:r>
            </w:hyperlink>
          </w:p>
        </w:tc>
        <w:tc>
          <w:tcPr>
            <w:tcW w:w="9240" w:type="dxa"/>
            <w:vAlign w:val="bottom"/>
            <w:gridSpan w:val="31"/>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26</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Other Compensation Considerations</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580" w:type="dxa"/>
            <w:vAlign w:val="bottom"/>
            <w:tcBorders>
              <w:bottom w:val="single" w:sz="8" w:color="0000EE"/>
            </w:tcBorders>
            <w:gridSpan w:val="15"/>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Compensation Committee Report</w:t>
              </w:r>
            </w:hyperlink>
          </w:p>
        </w:tc>
        <w:tc>
          <w:tcPr>
            <w:tcW w:w="7980" w:type="dxa"/>
            <w:vAlign w:val="bottom"/>
            <w:gridSpan w:val="1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27</w:t>
            </w:r>
          </w:p>
        </w:tc>
        <w:tc>
          <w:tcPr>
            <w:tcW w:w="0" w:type="dxa"/>
            <w:vAlign w:val="bottom"/>
          </w:tcPr>
          <w:p>
            <w:pPr>
              <w:spacing w:after="0"/>
              <w:rPr>
                <w:sz w:val="1"/>
                <w:szCs w:val="1"/>
                <w:color w:val="auto"/>
              </w:rPr>
            </w:pPr>
          </w:p>
        </w:tc>
      </w:tr>
      <w:tr>
        <w:trPr>
          <w:trHeight w:val="425"/>
        </w:trPr>
        <w:tc>
          <w:tcPr>
            <w:tcW w:w="10560" w:type="dxa"/>
            <w:vAlign w:val="bottom"/>
            <w:gridSpan w:val="34"/>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6"/>
                <w:szCs w:val="16"/>
                <w:color w:val="262626"/>
              </w:rPr>
              <w:t>28</w:t>
            </w:r>
          </w:p>
        </w:tc>
        <w:tc>
          <w:tcPr>
            <w:tcW w:w="0" w:type="dxa"/>
            <w:vAlign w:val="bottom"/>
          </w:tcPr>
          <w:p>
            <w:pPr>
              <w:spacing w:after="0"/>
              <w:rPr>
                <w:sz w:val="1"/>
                <w:szCs w:val="1"/>
                <w:color w:val="auto"/>
              </w:rPr>
            </w:pPr>
          </w:p>
        </w:tc>
      </w:tr>
      <w:tr>
        <w:trPr>
          <w:trHeight w:val="169"/>
        </w:trPr>
        <w:tc>
          <w:tcPr>
            <w:tcW w:w="480" w:type="dxa"/>
            <w:vAlign w:val="bottom"/>
            <w:tcBorders>
              <w:top w:val="single" w:sz="8" w:color="0000EE"/>
            </w:tcBorders>
          </w:tcPr>
          <w:p>
            <w:pPr>
              <w:spacing w:after="0"/>
              <w:rPr>
                <w:sz w:val="14"/>
                <w:szCs w:val="14"/>
                <w:color w:val="auto"/>
              </w:rPr>
            </w:pPr>
          </w:p>
        </w:tc>
        <w:tc>
          <w:tcPr>
            <w:tcW w:w="144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Our 2020 NEOS</w:t>
              </w:r>
            </w:hyperlink>
          </w:p>
        </w:tc>
        <w:tc>
          <w:tcPr>
            <w:tcW w:w="8640" w:type="dxa"/>
            <w:vAlign w:val="bottom"/>
            <w:gridSpan w:val="24"/>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040" w:type="dxa"/>
            <w:vAlign w:val="bottom"/>
            <w:gridSpan w:val="1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2220" w:type="dxa"/>
            <w:vAlign w:val="bottom"/>
            <w:tcBorders>
              <w:bottom w:val="single" w:sz="8" w:color="0000EE"/>
            </w:tcBorders>
            <w:gridSpan w:val="18"/>
          </w:tcPr>
          <w:p>
            <w:pPr>
              <w:spacing w:after="0" w:line="169" w:lineRule="exact"/>
              <w:rPr>
                <w:rFonts w:ascii="Arial" w:cs="Arial" w:eastAsia="Arial" w:hAnsi="Arial"/>
                <w:sz w:val="16"/>
                <w:szCs w:val="16"/>
                <w:color w:val="0000EE"/>
                <w:w w:val="99"/>
              </w:rPr>
            </w:pPr>
            <w:hyperlink w:anchor="page34">
              <w:r>
                <w:rPr>
                  <w:rFonts w:ascii="Arial" w:cs="Arial" w:eastAsia="Arial" w:hAnsi="Arial"/>
                  <w:sz w:val="16"/>
                  <w:szCs w:val="16"/>
                  <w:color w:val="0000EE"/>
                  <w:w w:val="99"/>
                </w:rPr>
                <w:t>Summary Compensation Table</w:t>
              </w:r>
            </w:hyperlink>
          </w:p>
        </w:tc>
        <w:tc>
          <w:tcPr>
            <w:tcW w:w="7860" w:type="dxa"/>
            <w:vAlign w:val="bottom"/>
            <w:gridSpan w:val="15"/>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29</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Grants of Plan-Based Awards Table</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560" w:type="dxa"/>
            <w:vAlign w:val="bottom"/>
            <w:gridSpan w:val="23"/>
            <w:shd w:val="clear" w:color="auto" w:fill="0000EE"/>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33"/>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Outstanding Equity Awards at Fiscal Year-End Table</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0080" w:type="dxa"/>
            <w:vAlign w:val="bottom"/>
            <w:gridSpan w:val="19"/>
            <w:vMerge w:val="restart"/>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Option Exercises and Stock Vested Table</w:t>
              </w:r>
            </w:hyperlink>
          </w:p>
        </w:tc>
        <w:tc>
          <w:tcPr>
            <w:tcW w:w="400" w:type="dxa"/>
            <w:vAlign w:val="bottom"/>
            <w:tcBorders>
              <w:bottom w:val="single" w:sz="8" w:color="262626"/>
            </w:tcBorders>
          </w:tcPr>
          <w:p>
            <w:pPr>
              <w:jc w:val="right"/>
              <w:spacing w:after="0"/>
              <w:rPr>
                <w:sz w:val="20"/>
                <w:szCs w:val="20"/>
                <w:color w:val="auto"/>
              </w:rPr>
            </w:pPr>
            <w:r>
              <w:rPr>
                <w:rFonts w:ascii="Arial" w:cs="Arial" w:eastAsia="Arial" w:hAnsi="Arial"/>
                <w:sz w:val="16"/>
                <w:szCs w:val="16"/>
                <w:b w:val="1"/>
                <w:bCs w:val="1"/>
                <w:color w:val="262626"/>
                <w:w w:val="99"/>
              </w:rPr>
              <w:t>Page</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0080" w:type="dxa"/>
            <w:vAlign w:val="bottom"/>
            <w:gridSpan w:val="19"/>
            <w:vMerge w:val="continue"/>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color w:val="262626"/>
              </w:rPr>
              <w:t>31</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9"/>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Non-Qualified Deferred Compensation</w:t>
              </w:r>
            </w:hyperlink>
          </w:p>
        </w:tc>
        <w:tc>
          <w:tcPr>
            <w:tcW w:w="200" w:type="dxa"/>
            <w:vAlign w:val="bottom"/>
            <w:tcBorders>
              <w:top w:val="single" w:sz="8" w:color="0000EE"/>
            </w:tcBorders>
            <w:gridSpan w:val="4"/>
          </w:tcPr>
          <w:p>
            <w:pPr>
              <w:spacing w:after="0"/>
              <w:rPr>
                <w:sz w:val="15"/>
                <w:szCs w:val="15"/>
                <w:color w:val="auto"/>
              </w:rPr>
            </w:pPr>
          </w:p>
        </w:tc>
        <w:tc>
          <w:tcPr>
            <w:tcW w:w="7120" w:type="dxa"/>
            <w:vAlign w:val="bottom"/>
            <w:gridSpan w:val="6"/>
          </w:tcPr>
          <w:p>
            <w:pPr>
              <w:spacing w:after="0"/>
              <w:rPr>
                <w:sz w:val="15"/>
                <w:szCs w:val="15"/>
                <w:color w:val="auto"/>
              </w:rPr>
            </w:pP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262626"/>
              </w:rPr>
              <w:t>31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532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Potential Payments on Termination of Employment and Change-in-Control</w:t>
              </w:r>
            </w:hyperlink>
          </w:p>
        </w:tc>
        <w:tc>
          <w:tcPr>
            <w:tcW w:w="476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32</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CEO Pay Ratio</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39">
              <w:r>
                <w:rPr>
                  <w:rFonts w:ascii="Arial" w:cs="Arial" w:eastAsia="Arial" w:hAnsi="Arial"/>
                  <w:sz w:val="16"/>
                  <w:szCs w:val="16"/>
                  <w:color w:val="0000EE"/>
                </w:rPr>
                <w:t>Equity Compensation Plan Information</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0560" w:type="dxa"/>
            <w:vAlign w:val="bottom"/>
            <w:gridSpan w:val="20"/>
          </w:tcPr>
          <w:p>
            <w:pPr>
              <w:spacing w:after="0"/>
              <w:rPr>
                <w:sz w:val="20"/>
                <w:szCs w:val="20"/>
                <w:color w:val="auto"/>
              </w:rPr>
            </w:pPr>
            <w:r>
              <w:rPr>
                <w:rFonts w:ascii="Arial" w:cs="Arial" w:eastAsia="Arial" w:hAnsi="Arial"/>
                <w:sz w:val="16"/>
                <w:szCs w:val="16"/>
                <w:b w:val="1"/>
                <w:bCs w:val="1"/>
                <w:color w:val="262626"/>
              </w:rPr>
              <w:t>Proposal 3: Ratification of Independent Auditor</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Audit Committee Report</w:t>
              </w:r>
            </w:hyperlink>
          </w:p>
        </w:tc>
        <w:tc>
          <w:tcPr>
            <w:tcW w:w="8340" w:type="dxa"/>
            <w:vAlign w:val="bottom"/>
            <w:gridSpan w:val="13"/>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35</w:t>
            </w:r>
          </w:p>
        </w:tc>
        <w:tc>
          <w:tcPr>
            <w:tcW w:w="0" w:type="dxa"/>
            <w:vAlign w:val="bottom"/>
          </w:tcPr>
          <w:p>
            <w:pPr>
              <w:spacing w:after="0"/>
              <w:rPr>
                <w:sz w:val="1"/>
                <w:szCs w:val="1"/>
                <w:color w:val="auto"/>
              </w:rPr>
            </w:pPr>
          </w:p>
        </w:tc>
      </w:tr>
      <w:tr>
        <w:trPr>
          <w:trHeight w:val="460"/>
        </w:trPr>
        <w:tc>
          <w:tcPr>
            <w:tcW w:w="10560" w:type="dxa"/>
            <w:vAlign w:val="bottom"/>
            <w:gridSpan w:val="20"/>
          </w:tcPr>
          <w:p>
            <w:pPr>
              <w:spacing w:after="0"/>
              <w:rPr>
                <w:sz w:val="20"/>
                <w:szCs w:val="20"/>
                <w:color w:val="auto"/>
              </w:rPr>
            </w:pPr>
            <w:r>
              <w:rPr>
                <w:rFonts w:ascii="Arial" w:cs="Arial" w:eastAsia="Arial" w:hAnsi="Arial"/>
                <w:sz w:val="16"/>
                <w:szCs w:val="16"/>
                <w:b w:val="1"/>
                <w:bCs w:val="1"/>
                <w:color w:val="262626"/>
              </w:rPr>
              <w:t>Beneficial Ownership</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2640" w:type="dxa"/>
            <w:vAlign w:val="bottom"/>
            <w:tcBorders>
              <w:bottom w:val="single" w:sz="8" w:color="0000EE"/>
            </w:tcBorders>
            <w:gridSpan w:val="8"/>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Ownership of Principal Shareholders</w:t>
              </w:r>
            </w:hyperlink>
          </w:p>
        </w:tc>
        <w:tc>
          <w:tcPr>
            <w:tcW w:w="7440" w:type="dxa"/>
            <w:vAlign w:val="bottom"/>
            <w:gridSpan w:val="11"/>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37</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Ownership of Trustees and Executive Officers</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0560" w:type="dxa"/>
            <w:vAlign w:val="bottom"/>
            <w:gridSpan w:val="20"/>
          </w:tcPr>
          <w:p>
            <w:pPr>
              <w:spacing w:after="0"/>
              <w:rPr>
                <w:sz w:val="20"/>
                <w:szCs w:val="20"/>
                <w:color w:val="auto"/>
              </w:rPr>
            </w:pPr>
            <w:r>
              <w:rPr>
                <w:rFonts w:ascii="Arial" w:cs="Arial" w:eastAsia="Arial" w:hAnsi="Arial"/>
                <w:sz w:val="16"/>
                <w:szCs w:val="16"/>
                <w:b w:val="1"/>
                <w:bCs w:val="1"/>
                <w:color w:val="262626"/>
              </w:rPr>
              <w:t>Other Information for Shareholders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420" w:type="dxa"/>
            <w:vAlign w:val="bottom"/>
            <w:tcBorders>
              <w:bottom w:val="single" w:sz="8" w:color="0000EE"/>
            </w:tcBorders>
            <w:gridSpan w:val="3"/>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Anti-Hedging Policy</w:t>
              </w:r>
            </w:hyperlink>
          </w:p>
        </w:tc>
        <w:tc>
          <w:tcPr>
            <w:tcW w:w="8660" w:type="dxa"/>
            <w:vAlign w:val="bottom"/>
            <w:gridSpan w:val="16"/>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38</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Related Party Transactions</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10560" w:type="dxa"/>
            <w:vAlign w:val="bottom"/>
            <w:gridSpan w:val="20"/>
          </w:tcPr>
          <w:p>
            <w:pPr>
              <w:spacing w:after="0"/>
              <w:rPr>
                <w:sz w:val="20"/>
                <w:szCs w:val="20"/>
                <w:color w:val="auto"/>
              </w:rPr>
            </w:pPr>
            <w:r>
              <w:rPr>
                <w:rFonts w:ascii="Arial" w:cs="Arial" w:eastAsia="Arial" w:hAnsi="Arial"/>
                <w:sz w:val="16"/>
                <w:szCs w:val="16"/>
                <w:b w:val="1"/>
                <w:bCs w:val="1"/>
                <w:color w:val="262626"/>
              </w:rPr>
              <w:t>Important Information About Voting at the 2021 Annual Meeting</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10080" w:type="dxa"/>
            <w:vAlign w:val="bottom"/>
            <w:gridSpan w:val="19"/>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Notice of Electronic Availability of Proxy Materials</w:t>
              </w:r>
            </w:hyperlink>
          </w:p>
        </w:tc>
        <w:tc>
          <w:tcPr>
            <w:tcW w:w="400" w:type="dxa"/>
            <w:vAlign w:val="bottom"/>
          </w:tcPr>
          <w:p>
            <w:pPr>
              <w:jc w:val="right"/>
              <w:spacing w:after="0"/>
              <w:rPr>
                <w:sz w:val="20"/>
                <w:szCs w:val="20"/>
                <w:color w:val="auto"/>
              </w:rPr>
            </w:pPr>
            <w:r>
              <w:rPr>
                <w:rFonts w:ascii="Arial" w:cs="Arial" w:eastAsia="Arial" w:hAnsi="Arial"/>
                <w:sz w:val="16"/>
                <w:szCs w:val="16"/>
                <w:color w:val="262626"/>
              </w:rPr>
              <w:t>39</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90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Why You Are Receiving These Materials</w:t>
              </w:r>
            </w:hyperlink>
          </w:p>
        </w:tc>
        <w:tc>
          <w:tcPr>
            <w:tcW w:w="640" w:type="dxa"/>
            <w:vAlign w:val="bottom"/>
            <w:tcBorders>
              <w:top w:val="single" w:sz="8" w:color="0000EE"/>
            </w:tcBorders>
            <w:gridSpan w:val="5"/>
          </w:tcPr>
          <w:p>
            <w:pPr>
              <w:spacing w:after="0"/>
              <w:rPr>
                <w:sz w:val="14"/>
                <w:szCs w:val="14"/>
                <w:color w:val="auto"/>
              </w:rPr>
            </w:pPr>
          </w:p>
        </w:tc>
        <w:tc>
          <w:tcPr>
            <w:tcW w:w="6540" w:type="dxa"/>
            <w:vAlign w:val="bottom"/>
            <w:gridSpan w:val="3"/>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39</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Accessing Materials</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39</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88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8"/>
              </w:rPr>
            </w:pPr>
            <w:hyperlink w:anchor="page45">
              <w:r>
                <w:rPr>
                  <w:rFonts w:ascii="Arial" w:cs="Arial" w:eastAsia="Arial" w:hAnsi="Arial"/>
                  <w:sz w:val="16"/>
                  <w:szCs w:val="16"/>
                  <w:color w:val="0000EE"/>
                  <w:w w:val="98"/>
                </w:rPr>
                <w:t>How to Vote</w:t>
              </w:r>
            </w:hyperlink>
          </w:p>
        </w:tc>
        <w:tc>
          <w:tcPr>
            <w:tcW w:w="560" w:type="dxa"/>
            <w:vAlign w:val="bottom"/>
            <w:tcBorders>
              <w:top w:val="single" w:sz="8" w:color="0000EE"/>
            </w:tcBorders>
            <w:gridSpan w:val="3"/>
          </w:tcPr>
          <w:p>
            <w:pPr>
              <w:spacing w:after="0"/>
              <w:rPr>
                <w:sz w:val="14"/>
                <w:szCs w:val="14"/>
                <w:color w:val="auto"/>
              </w:rPr>
            </w:pPr>
          </w:p>
        </w:tc>
        <w:tc>
          <w:tcPr>
            <w:tcW w:w="8640" w:type="dxa"/>
            <w:vAlign w:val="bottom"/>
            <w:gridSpan w:val="15"/>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40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0080" w:type="dxa"/>
            <w:vAlign w:val="bottom"/>
            <w:gridSpan w:val="19"/>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How to Participate in the Annual Meeting</w:t>
              </w:r>
            </w:hyperlink>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40</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Eliminating Duplicative Proxy Materials</w:t>
              </w:r>
            </w:hyperlink>
          </w:p>
        </w:tc>
        <w:tc>
          <w:tcPr>
            <w:tcW w:w="120" w:type="dxa"/>
            <w:vAlign w:val="bottom"/>
            <w:tcBorders>
              <w:top w:val="single" w:sz="8" w:color="0000EE"/>
            </w:tcBorders>
            <w:gridSpan w:val="2"/>
          </w:tcPr>
          <w:p>
            <w:pPr>
              <w:spacing w:after="0"/>
              <w:rPr>
                <w:sz w:val="14"/>
                <w:szCs w:val="14"/>
                <w:color w:val="auto"/>
              </w:rPr>
            </w:pPr>
          </w:p>
        </w:tc>
        <w:tc>
          <w:tcPr>
            <w:tcW w:w="7160" w:type="dxa"/>
            <w:vAlign w:val="bottom"/>
            <w:gridSpan w:val="7"/>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41</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56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Solicitation of Proxies</w:t>
              </w:r>
            </w:hyperlink>
          </w:p>
        </w:tc>
        <w:tc>
          <w:tcPr>
            <w:tcW w:w="8520" w:type="dxa"/>
            <w:vAlign w:val="bottom"/>
            <w:gridSpan w:val="14"/>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color w:val="262626"/>
              </w:rPr>
              <w:t>41</w:t>
            </w:r>
          </w:p>
        </w:tc>
        <w:tc>
          <w:tcPr>
            <w:tcW w:w="0" w:type="dxa"/>
            <w:vAlign w:val="bottom"/>
          </w:tcPr>
          <w:p>
            <w:pPr>
              <w:spacing w:after="0"/>
              <w:rPr>
                <w:sz w:val="1"/>
                <w:szCs w:val="1"/>
                <w:color w:val="auto"/>
              </w:rPr>
            </w:pPr>
          </w:p>
        </w:tc>
      </w:tr>
      <w:tr>
        <w:trPr>
          <w:trHeight w:val="425"/>
        </w:trPr>
        <w:tc>
          <w:tcPr>
            <w:tcW w:w="10560" w:type="dxa"/>
            <w:vAlign w:val="bottom"/>
            <w:gridSpan w:val="20"/>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Shareholder Proposals for 2022 Annual Meeting</w:t>
              </w:r>
            </w:hyperlink>
          </w:p>
        </w:tc>
        <w:tc>
          <w:tcPr>
            <w:tcW w:w="400" w:type="dxa"/>
            <w:vAlign w:val="bottom"/>
          </w:tcPr>
          <w:p>
            <w:pPr>
              <w:jc w:val="right"/>
              <w:spacing w:after="0"/>
              <w:rPr>
                <w:sz w:val="20"/>
                <w:szCs w:val="20"/>
                <w:color w:val="auto"/>
              </w:rPr>
            </w:pPr>
            <w:r>
              <w:rPr>
                <w:rFonts w:ascii="Arial" w:cs="Arial" w:eastAsia="Arial" w:hAnsi="Arial"/>
                <w:sz w:val="16"/>
                <w:szCs w:val="16"/>
                <w:color w:val="262626"/>
              </w:rPr>
              <w:t>42</w:t>
            </w:r>
          </w:p>
        </w:tc>
        <w:tc>
          <w:tcPr>
            <w:tcW w:w="0" w:type="dxa"/>
            <w:vAlign w:val="bottom"/>
          </w:tcPr>
          <w:p>
            <w:pPr>
              <w:spacing w:after="0"/>
              <w:rPr>
                <w:sz w:val="1"/>
                <w:szCs w:val="1"/>
                <w:color w:val="auto"/>
              </w:rPr>
            </w:pPr>
          </w:p>
        </w:tc>
      </w:tr>
      <w:tr>
        <w:trPr>
          <w:trHeight w:val="460"/>
        </w:trPr>
        <w:tc>
          <w:tcPr>
            <w:tcW w:w="3680" w:type="dxa"/>
            <w:vAlign w:val="bottom"/>
            <w:tcBorders>
              <w:top w:val="single" w:sz="8" w:color="0000EE"/>
            </w:tcBorders>
            <w:gridSpan w:val="15"/>
          </w:tcPr>
          <w:p>
            <w:pPr>
              <w:spacing w:after="0"/>
              <w:rPr>
                <w:sz w:val="20"/>
                <w:szCs w:val="20"/>
                <w:color w:val="auto"/>
              </w:rPr>
            </w:pPr>
            <w:r>
              <w:rPr>
                <w:rFonts w:ascii="Arial" w:cs="Arial" w:eastAsia="Arial" w:hAnsi="Arial"/>
                <w:sz w:val="16"/>
                <w:szCs w:val="16"/>
                <w:b w:val="1"/>
                <w:bCs w:val="1"/>
                <w:color w:val="262626"/>
              </w:rPr>
              <w:t>Appendices</w:t>
            </w:r>
          </w:p>
        </w:tc>
        <w:tc>
          <w:tcPr>
            <w:tcW w:w="68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500" w:type="dxa"/>
            <w:vAlign w:val="bottom"/>
            <w:tcBorders>
              <w:bottom w:val="single" w:sz="8" w:color="0000EE"/>
            </w:tcBorders>
            <w:gridSpan w:val="17"/>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Appendix A – Reconciliation of Non-GAAP Financial Measures</w:t>
              </w:r>
            </w:hyperlink>
          </w:p>
        </w:tc>
        <w:tc>
          <w:tcPr>
            <w:tcW w:w="5580" w:type="dxa"/>
            <w:vAlign w:val="bottom"/>
            <w:gridSpan w:val="2"/>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262626"/>
              </w:rPr>
              <w:t>A-1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About Federal</w:t>
      </w:r>
    </w:p>
    <w:p>
      <w:pPr>
        <w:spacing w:after="0" w:line="23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Federal Realty Investment Trust is an S&amp;P 500 company founded in 1962 that owns, operates and redevelops high-quality retail based real estate located primarily in major coastal markets from Washington, D.C. to Boston as well as San Francisco and Los Angeles. Federal’s mission is to deliver long term, sustainable growth through investing in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Our 101 properties include approximately 2,800 commercial tenants, in more than 23 million square feet, and approximately 2,900 residential units.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Throughout this proxy statement, we use the terms “Federal”, “Company”, “we”, “our” and “us” to refer to Federal Realty Investment Trust and the terms “Board” and “Trustees” to refer to the Board of Trustees of Federal Realty Investment Trust and individual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146050</wp:posOffset>
            </wp:positionV>
            <wp:extent cx="70123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Summary Information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COVID-19 Response</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Company devoted a substantial amount of time and effort in 2020 to responding to the human and financial impact of the COVID-19 pandemic while maintaining the focus on positioning the Company for long-term future growth after the impacts of COVID-19 have dissipated. From the outset of the pandemic, the Company took actions to protect and assist our employees, our tenants, visitors to our properties and the communities in which we do business and to respond to the business impact from the pandemic.</w:t>
      </w:r>
    </w:p>
    <w:p>
      <w:pPr>
        <w:spacing w:after="0" w:line="187" w:lineRule="exact"/>
        <w:rPr>
          <w:sz w:val="20"/>
          <w:szCs w:val="20"/>
          <w:color w:val="auto"/>
        </w:rPr>
      </w:pPr>
    </w:p>
    <w:p>
      <w:pPr>
        <w:jc w:val="both"/>
        <w:ind w:left="560"/>
        <w:spacing w:after="0" w:line="250" w:lineRule="auto"/>
        <w:rPr>
          <w:sz w:val="20"/>
          <w:szCs w:val="20"/>
          <w:color w:val="auto"/>
        </w:rPr>
      </w:pPr>
      <w:r>
        <w:rPr>
          <w:rFonts w:ascii="Arial" w:cs="Arial" w:eastAsia="Arial" w:hAnsi="Arial"/>
          <w:sz w:val="18"/>
          <w:szCs w:val="18"/>
          <w:i w:val="1"/>
          <w:iCs w:val="1"/>
          <w:color w:val="262626"/>
        </w:rPr>
        <w:t xml:space="preserve">Our Employees: </w:t>
      </w:r>
      <w:r>
        <w:rPr>
          <w:rFonts w:ascii="Arial" w:cs="Arial" w:eastAsia="Arial" w:hAnsi="Arial"/>
          <w:sz w:val="18"/>
          <w:szCs w:val="18"/>
          <w:color w:val="262626"/>
        </w:rPr>
        <w:t>Throughout the entirety of the pandemic, we maintained our full workforce with no layoffs, furloughs or modifications</w:t>
      </w:r>
      <w:r>
        <w:rPr>
          <w:rFonts w:ascii="Arial" w:cs="Arial" w:eastAsia="Arial" w:hAnsi="Arial"/>
          <w:sz w:val="18"/>
          <w:szCs w:val="18"/>
          <w:i w:val="1"/>
          <w:iCs w:val="1"/>
          <w:color w:val="262626"/>
        </w:rPr>
        <w:t xml:space="preserve"> </w:t>
      </w:r>
      <w:r>
        <w:rPr>
          <w:rFonts w:ascii="Arial" w:cs="Arial" w:eastAsia="Arial" w:hAnsi="Arial"/>
          <w:sz w:val="18"/>
          <w:szCs w:val="18"/>
          <w:color w:val="262626"/>
        </w:rPr>
        <w:t>to employee compensation or benefits. We quickly transitioned the majority of our work force to working from home and provided enhanced health, wellness and other support resources to help everyone deal with the impacts of the pandemic.</w:t>
      </w:r>
    </w:p>
    <w:p>
      <w:pPr>
        <w:spacing w:after="0" w:line="177" w:lineRule="exact"/>
        <w:rPr>
          <w:sz w:val="20"/>
          <w:szCs w:val="20"/>
          <w:color w:val="auto"/>
        </w:rPr>
      </w:pPr>
    </w:p>
    <w:p>
      <w:pPr>
        <w:jc w:val="both"/>
        <w:ind w:left="560"/>
        <w:spacing w:after="0" w:line="242" w:lineRule="auto"/>
        <w:rPr>
          <w:sz w:val="20"/>
          <w:szCs w:val="20"/>
          <w:color w:val="auto"/>
        </w:rPr>
      </w:pPr>
      <w:r>
        <w:rPr>
          <w:rFonts w:ascii="Arial" w:cs="Arial" w:eastAsia="Arial" w:hAnsi="Arial"/>
          <w:sz w:val="18"/>
          <w:szCs w:val="18"/>
          <w:i w:val="1"/>
          <w:iCs w:val="1"/>
          <w:color w:val="262626"/>
        </w:rPr>
        <w:t xml:space="preserve">Our Properties and Tenants: </w:t>
      </w:r>
      <w:r>
        <w:rPr>
          <w:rFonts w:ascii="Arial" w:cs="Arial" w:eastAsia="Arial" w:hAnsi="Arial"/>
          <w:sz w:val="18"/>
          <w:szCs w:val="18"/>
          <w:color w:val="262626"/>
        </w:rPr>
        <w:t>We quickly implemented health, safety and convenience measures at our properties for the benefit of</w:t>
      </w:r>
      <w:r>
        <w:rPr>
          <w:rFonts w:ascii="Arial" w:cs="Arial" w:eastAsia="Arial" w:hAnsi="Arial"/>
          <w:sz w:val="18"/>
          <w:szCs w:val="18"/>
          <w:i w:val="1"/>
          <w:iCs w:val="1"/>
          <w:color w:val="262626"/>
        </w:rPr>
        <w:t xml:space="preserve"> </w:t>
      </w:r>
      <w:r>
        <w:rPr>
          <w:rFonts w:ascii="Arial" w:cs="Arial" w:eastAsia="Arial" w:hAnsi="Arial"/>
          <w:sz w:val="18"/>
          <w:szCs w:val="18"/>
          <w:color w:val="262626"/>
        </w:rPr>
        <w:t>our commercial tenants and the shoppers who patronized their businesses as well as for our residential and office tenants. We also partnered with many of our commercial tenants by modifying the financial obligations under their leases where their businesses were severely impacted by government imposed restrictions and also assisted them in identifying and securing federal, state and local aid available to combat the impacts of COVID-19.</w:t>
      </w:r>
    </w:p>
    <w:p>
      <w:pPr>
        <w:spacing w:after="0" w:line="185" w:lineRule="exact"/>
        <w:rPr>
          <w:sz w:val="20"/>
          <w:szCs w:val="20"/>
          <w:color w:val="auto"/>
        </w:rPr>
      </w:pPr>
    </w:p>
    <w:p>
      <w:pPr>
        <w:jc w:val="both"/>
        <w:ind w:left="560"/>
        <w:spacing w:after="0" w:line="242" w:lineRule="auto"/>
        <w:rPr>
          <w:sz w:val="20"/>
          <w:szCs w:val="20"/>
          <w:color w:val="auto"/>
        </w:rPr>
      </w:pPr>
      <w:r>
        <w:rPr>
          <w:rFonts w:ascii="Arial" w:cs="Arial" w:eastAsia="Arial" w:hAnsi="Arial"/>
          <w:sz w:val="18"/>
          <w:szCs w:val="18"/>
          <w:i w:val="1"/>
          <w:iCs w:val="1"/>
          <w:color w:val="262626"/>
        </w:rPr>
        <w:t xml:space="preserve">Our Shareholders: </w:t>
      </w:r>
      <w:r>
        <w:rPr>
          <w:rFonts w:ascii="Arial" w:cs="Arial" w:eastAsia="Arial" w:hAnsi="Arial"/>
          <w:sz w:val="18"/>
          <w:szCs w:val="18"/>
          <w:color w:val="262626"/>
        </w:rPr>
        <w:t>Very quickly after the potential impact of the pandemic started to become clear, we fully drew down our $1 billion</w:t>
      </w:r>
      <w:r>
        <w:rPr>
          <w:rFonts w:ascii="Arial" w:cs="Arial" w:eastAsia="Arial" w:hAnsi="Arial"/>
          <w:sz w:val="18"/>
          <w:szCs w:val="18"/>
          <w:i w:val="1"/>
          <w:iCs w:val="1"/>
          <w:color w:val="262626"/>
        </w:rPr>
        <w:t xml:space="preserve"> </w:t>
      </w:r>
      <w:r>
        <w:rPr>
          <w:rFonts w:ascii="Arial" w:cs="Arial" w:eastAsia="Arial" w:hAnsi="Arial"/>
          <w:sz w:val="18"/>
          <w:szCs w:val="18"/>
          <w:color w:val="262626"/>
        </w:rPr>
        <w:t>line of credit to ensure sufficient liquidity to continue to operate our business. We raised additional capital throughout the course of 2020 and ultimately repaid the line of credit. We ended 2020 with a fully undrawn line of credit and $800 million of cash on our balance sheet which we believe positions us well to weather the impacts from COVID-19 without jeopardizing the long-term prospects of the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2020 Company Performance</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The COVID-19 pandemic had a significant impact on our business. Many of our tenants were unable to fully operate their businesses for substantial portions of 2020 and as a result, those tenants were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1</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unable to pay the full rent owing under their leases during 2020 which is our primary source of revenue. We modified rent obligations under approximately 1,200 of our commercial leases in response to the COVID-19 pandemic as a way to help keep our tenants in business while their operations were impacted and to maximize our rent collections. Our total revenue decreased by approximately 11% from $935.8 million in 2019 to $835.5 million in 2020, largely the result of the impacts of the pandemic. Although our revenues were down significantly, we were not able to reduce operating expenses by any significant amount as we needed to continue to keep our properties operational and safe for the essential businesses that remained open and operating in our properties and their customers. That resulted in our property operating income declining 14% from $637.0 million in 2019 to $ 545.3 million in 2020. To ensure we had sufficient liquidity to continue our business during COVID, we raised $1.6 billion of new capital in 2020 which was in excess of our planned capital needs for the year. As a result, we carried significant cash balances on our balance sheet during most of 2020 which adversely impacted our earnings. The combination of our decline in revenues and capital activities were primary causes of our funds from operations per diluted share (“FFO”) decreasing to $ 4.38 in 2020 from $6.17 in 2019. See our Annual Report on Form 10-K for more information on the impact of COVID-19 on our business in 2020 and our calendar year 2020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Property operating income and FFO per share are non-GAAP financial measures that we consider significant in our business. More information on each of these measures can be found on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70123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Corporate Responsibility and Human Capital Management</w:t>
      </w:r>
    </w:p>
    <w:p>
      <w:pPr>
        <w:spacing w:after="0" w:line="23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Corporate responsibility is a high priority for the Company. Our focus on environmental, social and governance principles (“ESG”) is embedded into the way we do business at every level of our organization. We believe that we can own, operate, develop and redevelop our real estate assets incorporating environmental and societal considerations in a way that is beneficial for our stakeholders. Our ESG matters are governed at the highest level starting with our Nominating and Corporate Governance Committee (“Nominating Committee”) that has direct oversight responsibility for our ESG efforts on behalf of the Board. Internally, our ESG matters are overseen by our Executive Vice President-General Counsel and Head of Sustainability with support from key department heads and an interdisciplinary council made up of employees representing different functional areas, different offices and different employee demographics.</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We have aligned our ESG efforts with the United Nations Sustainable Development Goals, focusing on the following goals where our business can have the most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142875</wp:posOffset>
            </wp:positionV>
            <wp:extent cx="4251960" cy="394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19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We require that all investments presented to our Board or internal Investment Committee address the ESG impact of the proposed investment in alignment with these goals.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Environmental Sustainability</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We have a long-standing commitment to owning, operating, developing and redeveloping our assets in a way that minimizes their impact on the environment, in particular, lowering greenhouse gas (“GHG”) emissions, over the long-term. Some of our highlights include:</w:t>
      </w:r>
    </w:p>
    <w:p>
      <w:pPr>
        <w:spacing w:after="0" w:line="179" w:lineRule="exact"/>
        <w:rPr>
          <w:sz w:val="20"/>
          <w:szCs w:val="20"/>
          <w:color w:val="auto"/>
        </w:rPr>
      </w:pPr>
    </w:p>
    <w:p>
      <w:pPr>
        <w:jc w:val="both"/>
        <w:ind w:left="1100" w:right="20"/>
        <w:spacing w:after="0" w:line="241" w:lineRule="auto"/>
        <w:rPr>
          <w:sz w:val="20"/>
          <w:szCs w:val="20"/>
          <w:color w:val="auto"/>
        </w:rPr>
      </w:pPr>
      <w:r>
        <w:rPr>
          <w:rFonts w:ascii="Arial" w:cs="Arial" w:eastAsia="Arial" w:hAnsi="Arial"/>
          <w:sz w:val="18"/>
          <w:szCs w:val="18"/>
          <w:i w:val="1"/>
          <w:iCs w:val="1"/>
          <w:color w:val="262626"/>
        </w:rPr>
        <w:t xml:space="preserve">Actively developing and using solar power. </w:t>
      </w:r>
      <w:r>
        <w:rPr>
          <w:rFonts w:ascii="Arial" w:cs="Arial" w:eastAsia="Arial" w:hAnsi="Arial"/>
          <w:sz w:val="18"/>
          <w:szCs w:val="18"/>
          <w:color w:val="262626"/>
        </w:rPr>
        <w:t>We have installed and own outright solar arrays on approximately 25% of our</w:t>
      </w:r>
      <w:r>
        <w:rPr>
          <w:rFonts w:ascii="Arial" w:cs="Arial" w:eastAsia="Arial" w:hAnsi="Arial"/>
          <w:sz w:val="18"/>
          <w:szCs w:val="18"/>
          <w:i w:val="1"/>
          <w:iCs w:val="1"/>
          <w:color w:val="262626"/>
        </w:rPr>
        <w:t xml:space="preserve"> </w:t>
      </w:r>
      <w:r>
        <w:rPr>
          <w:rFonts w:ascii="Arial" w:cs="Arial" w:eastAsia="Arial" w:hAnsi="Arial"/>
          <w:sz w:val="18"/>
          <w:szCs w:val="18"/>
          <w:color w:val="262626"/>
        </w:rPr>
        <w:t>properties with capacity to generate in excess of 13 million kWhs of power annually. We have additional solar projects in process that are expected to increase our capacity for on-site solar energy production to more than 15 million kWhs per year. Our on-site solar arrays produced 13% of the electricity purchased for our properties in 2019, including providing electricity to numerous of our tenants who purchase our solar power directly. We were ranked 4th in the real estate sector by Solar Energy Industry Association in on-site solar capacity in 2019.</w:t>
      </w:r>
      <w:r>
        <w:rPr>
          <w:rFonts w:ascii="Arial" w:cs="Arial" w:eastAsia="Arial" w:hAnsi="Arial"/>
          <w:sz w:val="15"/>
          <w:szCs w:val="15"/>
          <w:color w:val="262626"/>
        </w:rPr>
        <w:t>1</w:t>
      </w:r>
    </w:p>
    <w:p>
      <w:pPr>
        <w:spacing w:after="0" w:line="184" w:lineRule="exact"/>
        <w:rPr>
          <w:sz w:val="20"/>
          <w:szCs w:val="20"/>
          <w:color w:val="auto"/>
        </w:rPr>
      </w:pPr>
    </w:p>
    <w:p>
      <w:pPr>
        <w:jc w:val="both"/>
        <w:ind w:left="1100"/>
        <w:spacing w:after="0" w:line="241" w:lineRule="auto"/>
        <w:rPr>
          <w:sz w:val="20"/>
          <w:szCs w:val="20"/>
          <w:color w:val="auto"/>
        </w:rPr>
      </w:pPr>
      <w:r>
        <w:rPr>
          <w:rFonts w:ascii="Arial" w:cs="Arial" w:eastAsia="Arial" w:hAnsi="Arial"/>
          <w:sz w:val="18"/>
          <w:szCs w:val="18"/>
          <w:i w:val="1"/>
          <w:iCs w:val="1"/>
          <w:color w:val="262626"/>
        </w:rPr>
        <w:t xml:space="preserve">Investing in energy reduction technology. </w:t>
      </w:r>
      <w:r>
        <w:rPr>
          <w:rFonts w:ascii="Arial" w:cs="Arial" w:eastAsia="Arial" w:hAnsi="Arial"/>
          <w:sz w:val="18"/>
          <w:szCs w:val="18"/>
          <w:color w:val="262626"/>
        </w:rPr>
        <w:t>We continue to upgrade lighting in the common areas of our properties to LED as a</w:t>
      </w:r>
      <w:r>
        <w:rPr>
          <w:rFonts w:ascii="Arial" w:cs="Arial" w:eastAsia="Arial" w:hAnsi="Arial"/>
          <w:sz w:val="18"/>
          <w:szCs w:val="18"/>
          <w:i w:val="1"/>
          <w:iCs w:val="1"/>
          <w:color w:val="262626"/>
        </w:rPr>
        <w:t xml:space="preserve"> </w:t>
      </w:r>
      <w:r>
        <w:rPr>
          <w:rFonts w:ascii="Arial" w:cs="Arial" w:eastAsia="Arial" w:hAnsi="Arial"/>
          <w:sz w:val="18"/>
          <w:szCs w:val="18"/>
          <w:color w:val="262626"/>
        </w:rPr>
        <w:t>way to reduce overall energy consumption. We have focused on the common area of our properties because it is the largest contributor to energy consumption at our properties that we as landlord can control and readily impact. Approximately 60% of our portfolio has been upgraded in whole or in part to LED lighting with more in process. Our efforts to improve energy efficiency led to a 12% reduction in our like for like common area electricity consumption in the three years of 2017 through 2019.</w:t>
      </w:r>
    </w:p>
    <w:p>
      <w:pPr>
        <w:spacing w:after="0" w:line="184" w:lineRule="exact"/>
        <w:rPr>
          <w:sz w:val="20"/>
          <w:szCs w:val="20"/>
          <w:color w:val="auto"/>
        </w:rPr>
      </w:pPr>
    </w:p>
    <w:p>
      <w:pPr>
        <w:jc w:val="both"/>
        <w:ind w:left="1100" w:right="20"/>
        <w:spacing w:after="0" w:line="242" w:lineRule="auto"/>
        <w:rPr>
          <w:sz w:val="20"/>
          <w:szCs w:val="20"/>
          <w:color w:val="auto"/>
        </w:rPr>
      </w:pPr>
      <w:r>
        <w:rPr>
          <w:rFonts w:ascii="Arial" w:cs="Arial" w:eastAsia="Arial" w:hAnsi="Arial"/>
          <w:sz w:val="18"/>
          <w:szCs w:val="18"/>
          <w:i w:val="1"/>
          <w:iCs w:val="1"/>
          <w:color w:val="262626"/>
        </w:rPr>
        <w:t xml:space="preserve">Procuring energy from low carbon sources. </w:t>
      </w:r>
      <w:r>
        <w:rPr>
          <w:rFonts w:ascii="Arial" w:cs="Arial" w:eastAsia="Arial" w:hAnsi="Arial"/>
          <w:sz w:val="18"/>
          <w:szCs w:val="18"/>
          <w:color w:val="262626"/>
        </w:rPr>
        <w:t>We work with a third party to manage our energy procurement strategy in regions</w:t>
      </w:r>
      <w:r>
        <w:rPr>
          <w:rFonts w:ascii="Arial" w:cs="Arial" w:eastAsia="Arial" w:hAnsi="Arial"/>
          <w:sz w:val="18"/>
          <w:szCs w:val="18"/>
          <w:i w:val="1"/>
          <w:iCs w:val="1"/>
          <w:color w:val="262626"/>
        </w:rPr>
        <w:t xml:space="preserve"> </w:t>
      </w:r>
      <w:r>
        <w:rPr>
          <w:rFonts w:ascii="Arial" w:cs="Arial" w:eastAsia="Arial" w:hAnsi="Arial"/>
          <w:sz w:val="18"/>
          <w:szCs w:val="18"/>
          <w:color w:val="262626"/>
        </w:rPr>
        <w:t>where we can purchase energy directly from an energy supplier rather than from the utility. In these regions, we purchase renewable energy where available and financially viable. In 2019, 45% of the electricity we purchased at our properties came from low carbon sources with 13% of that amount being generated by our on-site solar arrays and the remaining 32% coming from other low carbon sources such as hydropower and nuclear.</w:t>
      </w:r>
    </w:p>
    <w:p>
      <w:pPr>
        <w:spacing w:after="0" w:line="185" w:lineRule="exact"/>
        <w:rPr>
          <w:sz w:val="20"/>
          <w:szCs w:val="20"/>
          <w:color w:val="auto"/>
        </w:rPr>
      </w:pPr>
    </w:p>
    <w:p>
      <w:pPr>
        <w:jc w:val="both"/>
        <w:ind w:left="1100" w:right="20"/>
        <w:spacing w:after="0" w:line="267" w:lineRule="auto"/>
        <w:rPr>
          <w:sz w:val="20"/>
          <w:szCs w:val="20"/>
          <w:color w:val="auto"/>
        </w:rPr>
      </w:pPr>
      <w:r>
        <w:rPr>
          <w:rFonts w:ascii="Arial" w:cs="Arial" w:eastAsia="Arial" w:hAnsi="Arial"/>
          <w:sz w:val="18"/>
          <w:szCs w:val="18"/>
          <w:i w:val="1"/>
          <w:iCs w:val="1"/>
          <w:color w:val="262626"/>
        </w:rPr>
        <w:t xml:space="preserve">Supporting electrification infrastructure for automobiles. </w:t>
      </w:r>
      <w:r>
        <w:rPr>
          <w:rFonts w:ascii="Arial" w:cs="Arial" w:eastAsia="Arial" w:hAnsi="Arial"/>
          <w:sz w:val="18"/>
          <w:szCs w:val="18"/>
          <w:color w:val="262626"/>
        </w:rPr>
        <w:t>We are supporting the conversion to electric vehicles by providing</w:t>
      </w:r>
      <w:r>
        <w:rPr>
          <w:rFonts w:ascii="Arial" w:cs="Arial" w:eastAsia="Arial" w:hAnsi="Arial"/>
          <w:sz w:val="18"/>
          <w:szCs w:val="18"/>
          <w:i w:val="1"/>
          <w:iCs w:val="1"/>
          <w:color w:val="262626"/>
        </w:rPr>
        <w:t xml:space="preserve"> </w:t>
      </w:r>
      <w:r>
        <w:rPr>
          <w:rFonts w:ascii="Arial" w:cs="Arial" w:eastAsia="Arial" w:hAnsi="Arial"/>
          <w:sz w:val="18"/>
          <w:szCs w:val="18"/>
          <w:color w:val="262626"/>
        </w:rPr>
        <w:t>200 EV changing stations that are currently operational on our properties with 51 more in process.</w:t>
      </w:r>
    </w:p>
    <w:p>
      <w:pPr>
        <w:spacing w:after="0" w:line="160"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i w:val="1"/>
          <w:iCs w:val="1"/>
          <w:color w:val="262626"/>
        </w:rPr>
        <w:t xml:space="preserve">Building and investing to minimize environmental impact. </w:t>
      </w:r>
      <w:r>
        <w:rPr>
          <w:rFonts w:ascii="Arial" w:cs="Arial" w:eastAsia="Arial" w:hAnsi="Arial"/>
          <w:sz w:val="18"/>
          <w:szCs w:val="18"/>
          <w:color w:val="262626"/>
        </w:rPr>
        <w:t>We have invested approximately $1 billion in 16 LEED certified</w:t>
      </w:r>
      <w:r>
        <w:rPr>
          <w:rFonts w:ascii="Arial" w:cs="Arial" w:eastAsia="Arial" w:hAnsi="Arial"/>
          <w:sz w:val="18"/>
          <w:szCs w:val="18"/>
          <w:i w:val="1"/>
          <w:iCs w:val="1"/>
          <w:color w:val="262626"/>
        </w:rPr>
        <w:t xml:space="preserve"> </w:t>
      </w:r>
      <w:r>
        <w:rPr>
          <w:rFonts w:ascii="Arial" w:cs="Arial" w:eastAsia="Arial" w:hAnsi="Arial"/>
          <w:sz w:val="18"/>
          <w:szCs w:val="18"/>
          <w:color w:val="262626"/>
        </w:rPr>
        <w:t>projects to date with 5 more projects totaling another $ 1 billion in progress. All nine of the newly constructed buildings in our Pike &amp; Rose project have achieved LEED certification which contributed to the entirety of Pike &amp; Rose earning a LEED for Neighborhood Development Stage 3 Gold certification. As part of these developments, we purchased more than 7,000 MWh of renewal energy credits and it is estimated that our energy usage on these buildings has been reduced by 19% from the LEED baseline which is an estimated avoidance of 7,622 metric tons of CO2 emissions annually. Our development and redevelopment projects also prioritize the reuse of existing materials to minimize the need to produce and transport additional product, again minimizing our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25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00" w:lineRule="exact"/>
        <w:rPr>
          <w:sz w:val="20"/>
          <w:szCs w:val="20"/>
          <w:color w:val="auto"/>
        </w:rPr>
      </w:pPr>
    </w:p>
    <w:p>
      <w:pPr>
        <w:ind w:left="220" w:hanging="104"/>
        <w:spacing w:after="0"/>
        <w:tabs>
          <w:tab w:leader="none" w:pos="220" w:val="left"/>
        </w:tabs>
        <w:numPr>
          <w:ilvl w:val="0"/>
          <w:numId w:val="6"/>
        </w:numPr>
        <w:rPr>
          <w:rFonts w:ascii="Arial" w:cs="Arial" w:eastAsia="Arial" w:hAnsi="Arial"/>
          <w:sz w:val="24"/>
          <w:szCs w:val="24"/>
          <w:color w:val="262626"/>
          <w:vertAlign w:val="superscript"/>
        </w:rPr>
      </w:pPr>
      <w:r>
        <w:rPr>
          <w:rFonts w:ascii="Arial" w:cs="Arial" w:eastAsia="Arial" w:hAnsi="Arial"/>
          <w:sz w:val="14"/>
          <w:szCs w:val="14"/>
          <w:color w:val="262626"/>
        </w:rPr>
        <w:t>COVID-19 significantly impacted our operations in 2020 and a result, operating data for 2020 is not comparable. We are using 2019 data for comparability purposes.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Valuing Our Culture and Our Team</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Having a team of dedicated and talented employees is critical to our long-term success. We take a holistic approach to hiring, developing and retaining our employees with the tone set by the Board and the oversight provided by our Compensation and Human Capital Management Committee (“Compensation Committee”).</w:t>
      </w:r>
    </w:p>
    <w:p>
      <w:pPr>
        <w:spacing w:after="0" w:line="185" w:lineRule="exact"/>
        <w:rPr>
          <w:sz w:val="20"/>
          <w:szCs w:val="20"/>
          <w:color w:val="auto"/>
        </w:rPr>
      </w:pPr>
    </w:p>
    <w:p>
      <w:pPr>
        <w:jc w:val="both"/>
        <w:ind w:left="1100" w:right="20"/>
        <w:spacing w:after="0" w:line="250" w:lineRule="auto"/>
        <w:rPr>
          <w:sz w:val="20"/>
          <w:szCs w:val="20"/>
          <w:color w:val="auto"/>
        </w:rPr>
      </w:pPr>
      <w:r>
        <w:rPr>
          <w:rFonts w:ascii="Arial" w:cs="Arial" w:eastAsia="Arial" w:hAnsi="Arial"/>
          <w:sz w:val="18"/>
          <w:szCs w:val="18"/>
          <w:i w:val="1"/>
          <w:iCs w:val="1"/>
          <w:color w:val="262626"/>
        </w:rPr>
        <w:t xml:space="preserve">Our Culture: </w:t>
      </w:r>
      <w:r>
        <w:rPr>
          <w:rFonts w:ascii="Arial" w:cs="Arial" w:eastAsia="Arial" w:hAnsi="Arial"/>
          <w:sz w:val="18"/>
          <w:szCs w:val="18"/>
          <w:color w:val="262626"/>
        </w:rPr>
        <w:t>It starts with creating a culture that motivates, inspires and challenges our team. The foundation of that culture is</w:t>
      </w:r>
      <w:r>
        <w:rPr>
          <w:rFonts w:ascii="Arial" w:cs="Arial" w:eastAsia="Arial" w:hAnsi="Arial"/>
          <w:sz w:val="18"/>
          <w:szCs w:val="18"/>
          <w:i w:val="1"/>
          <w:iCs w:val="1"/>
          <w:color w:val="262626"/>
        </w:rPr>
        <w:t xml:space="preserve"> </w:t>
      </w:r>
      <w:r>
        <w:rPr>
          <w:rFonts w:ascii="Arial" w:cs="Arial" w:eastAsia="Arial" w:hAnsi="Arial"/>
          <w:sz w:val="18"/>
          <w:szCs w:val="18"/>
          <w:color w:val="262626"/>
        </w:rPr>
        <w:t>based on our four core values that guide each employee’s approach to his or her job and also guides our interactions internally as well as with our partners and other stakeholders:</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151"/>
        </w:trPr>
        <w:tc>
          <w:tcPr>
            <w:tcW w:w="1580" w:type="dxa"/>
            <w:vAlign w:val="bottom"/>
            <w:tcBorders>
              <w:top w:val="single" w:sz="8" w:color="F73A25"/>
            </w:tcBorders>
          </w:tcPr>
          <w:p>
            <w:pPr>
              <w:spacing w:after="0"/>
              <w:rPr>
                <w:sz w:val="13"/>
                <w:szCs w:val="13"/>
                <w:color w:val="auto"/>
              </w:rPr>
            </w:pPr>
          </w:p>
        </w:tc>
        <w:tc>
          <w:tcPr>
            <w:tcW w:w="3160" w:type="dxa"/>
            <w:vAlign w:val="bottom"/>
            <w:tcBorders>
              <w:top w:val="single" w:sz="8" w:color="F73A25"/>
              <w:right w:val="single" w:sz="8" w:color="262626"/>
            </w:tcBorders>
          </w:tcPr>
          <w:p>
            <w:pPr>
              <w:ind w:left="180"/>
              <w:spacing w:after="0" w:line="151" w:lineRule="exact"/>
              <w:rPr>
                <w:sz w:val="20"/>
                <w:szCs w:val="20"/>
                <w:color w:val="auto"/>
              </w:rPr>
            </w:pPr>
            <w:r>
              <w:rPr>
                <w:rFonts w:ascii="MS PGothic" w:cs="MS PGothic" w:eastAsia="MS PGothic" w:hAnsi="MS PGothic"/>
                <w:sz w:val="17"/>
                <w:szCs w:val="17"/>
                <w:color w:val="262626"/>
                <w:vertAlign w:val="superscript"/>
              </w:rPr>
              <w:t>◆</w:t>
            </w:r>
            <w:r>
              <w:rPr>
                <w:rFonts w:ascii="Arial" w:cs="Arial" w:eastAsia="Arial" w:hAnsi="Arial"/>
                <w:sz w:val="14"/>
                <w:szCs w:val="14"/>
                <w:color w:val="262626"/>
              </w:rPr>
              <w:t xml:space="preserve"> Strive to be best in class</w:t>
            </w:r>
          </w:p>
        </w:tc>
        <w:tc>
          <w:tcPr>
            <w:tcW w:w="1600" w:type="dxa"/>
            <w:vAlign w:val="bottom"/>
            <w:tcBorders>
              <w:top w:val="single" w:sz="8" w:color="F73A25"/>
            </w:tcBorders>
          </w:tcPr>
          <w:p>
            <w:pPr>
              <w:spacing w:after="0"/>
              <w:rPr>
                <w:sz w:val="13"/>
                <w:szCs w:val="13"/>
                <w:color w:val="auto"/>
              </w:rPr>
            </w:pPr>
          </w:p>
        </w:tc>
        <w:tc>
          <w:tcPr>
            <w:tcW w:w="3700" w:type="dxa"/>
            <w:vAlign w:val="bottom"/>
            <w:tcBorders>
              <w:top w:val="single" w:sz="8" w:color="F73A25"/>
            </w:tcBorders>
          </w:tcPr>
          <w:p>
            <w:pPr>
              <w:ind w:left="180"/>
              <w:spacing w:after="0" w:line="151" w:lineRule="exact"/>
              <w:rPr>
                <w:sz w:val="20"/>
                <w:szCs w:val="20"/>
                <w:color w:val="auto"/>
              </w:rPr>
            </w:pPr>
            <w:r>
              <w:rPr>
                <w:rFonts w:ascii="MS PGothic" w:cs="MS PGothic" w:eastAsia="MS PGothic" w:hAnsi="MS PGothic"/>
                <w:sz w:val="17"/>
                <w:szCs w:val="17"/>
                <w:color w:val="262626"/>
                <w:vertAlign w:val="superscript"/>
              </w:rPr>
              <w:t>◆</w:t>
            </w:r>
            <w:r>
              <w:rPr>
                <w:rFonts w:ascii="Arial" w:cs="Arial" w:eastAsia="Arial" w:hAnsi="Arial"/>
                <w:sz w:val="14"/>
                <w:szCs w:val="14"/>
                <w:color w:val="262626"/>
              </w:rPr>
              <w:t xml:space="preserve"> Always do the right thing</w:t>
            </w:r>
          </w:p>
        </w:tc>
      </w:tr>
      <w:tr>
        <w:trPr>
          <w:trHeight w:val="162"/>
        </w:trPr>
        <w:tc>
          <w:tcPr>
            <w:tcW w:w="1580" w:type="dxa"/>
            <w:vAlign w:val="bottom"/>
          </w:tcPr>
          <w:p>
            <w:pPr>
              <w:jc w:val="center"/>
              <w:ind w:left="88"/>
              <w:spacing w:after="0"/>
              <w:rPr>
                <w:sz w:val="20"/>
                <w:szCs w:val="20"/>
                <w:color w:val="auto"/>
              </w:rPr>
            </w:pPr>
            <w:r>
              <w:rPr>
                <w:rFonts w:ascii="Arial" w:cs="Arial" w:eastAsia="Arial" w:hAnsi="Arial"/>
                <w:sz w:val="14"/>
                <w:szCs w:val="14"/>
                <w:color w:val="262626"/>
              </w:rPr>
              <w:t>Excellence</w:t>
            </w:r>
          </w:p>
        </w:tc>
        <w:tc>
          <w:tcPr>
            <w:tcW w:w="3160" w:type="dxa"/>
            <w:vAlign w:val="bottom"/>
            <w:tcBorders>
              <w:right w:val="single" w:sz="8" w:color="262626"/>
            </w:tcBorders>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Embrace change</w:t>
            </w:r>
          </w:p>
        </w:tc>
        <w:tc>
          <w:tcPr>
            <w:tcW w:w="1600" w:type="dxa"/>
            <w:vAlign w:val="bottom"/>
          </w:tcPr>
          <w:p>
            <w:pPr>
              <w:jc w:val="center"/>
              <w:ind w:left="108"/>
              <w:spacing w:after="0"/>
              <w:rPr>
                <w:sz w:val="20"/>
                <w:szCs w:val="20"/>
                <w:color w:val="auto"/>
              </w:rPr>
            </w:pPr>
            <w:r>
              <w:rPr>
                <w:rFonts w:ascii="Arial" w:cs="Arial" w:eastAsia="Arial" w:hAnsi="Arial"/>
                <w:sz w:val="14"/>
                <w:szCs w:val="14"/>
                <w:color w:val="262626"/>
              </w:rPr>
              <w:t>Integrity</w:t>
            </w:r>
          </w:p>
        </w:tc>
        <w:tc>
          <w:tcPr>
            <w:tcW w:w="3700" w:type="dxa"/>
            <w:vAlign w:val="bottom"/>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Be trustworthy, fair and respectful</w:t>
            </w:r>
          </w:p>
        </w:tc>
      </w:tr>
      <w:tr>
        <w:trPr>
          <w:trHeight w:val="162"/>
        </w:trPr>
        <w:tc>
          <w:tcPr>
            <w:tcW w:w="1580" w:type="dxa"/>
            <w:vAlign w:val="bottom"/>
          </w:tcPr>
          <w:p>
            <w:pPr>
              <w:jc w:val="center"/>
              <w:ind w:left="68"/>
              <w:spacing w:after="0"/>
              <w:rPr>
                <w:sz w:val="20"/>
                <w:szCs w:val="20"/>
                <w:color w:val="auto"/>
              </w:rPr>
            </w:pPr>
            <w:r>
              <w:rPr>
                <w:rFonts w:ascii="Arial" w:cs="Arial" w:eastAsia="Arial" w:hAnsi="Arial"/>
                <w:sz w:val="14"/>
                <w:szCs w:val="14"/>
                <w:color w:val="262626"/>
              </w:rPr>
              <w:t>“Be Outstanding”</w:t>
            </w:r>
          </w:p>
        </w:tc>
        <w:tc>
          <w:tcPr>
            <w:tcW w:w="3160" w:type="dxa"/>
            <w:vAlign w:val="bottom"/>
            <w:tcBorders>
              <w:right w:val="single" w:sz="8" w:color="262626"/>
            </w:tcBorders>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Be determined to succeed</w:t>
            </w:r>
          </w:p>
        </w:tc>
        <w:tc>
          <w:tcPr>
            <w:tcW w:w="1600" w:type="dxa"/>
            <w:vAlign w:val="bottom"/>
          </w:tcPr>
          <w:p>
            <w:pPr>
              <w:jc w:val="center"/>
              <w:ind w:left="108"/>
              <w:spacing w:after="0"/>
              <w:rPr>
                <w:sz w:val="20"/>
                <w:szCs w:val="20"/>
                <w:color w:val="auto"/>
              </w:rPr>
            </w:pPr>
            <w:r>
              <w:rPr>
                <w:rFonts w:ascii="Arial" w:cs="Arial" w:eastAsia="Arial" w:hAnsi="Arial"/>
                <w:sz w:val="14"/>
                <w:szCs w:val="14"/>
                <w:color w:val="262626"/>
              </w:rPr>
              <w:t>“Make Us Proud”</w:t>
            </w:r>
          </w:p>
        </w:tc>
        <w:tc>
          <w:tcPr>
            <w:tcW w:w="3700" w:type="dxa"/>
            <w:vAlign w:val="bottom"/>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Value diversity in all respects</w:t>
            </w:r>
          </w:p>
        </w:tc>
      </w:tr>
      <w:tr>
        <w:trPr>
          <w:trHeight w:val="200"/>
        </w:trPr>
        <w:tc>
          <w:tcPr>
            <w:tcW w:w="1580" w:type="dxa"/>
            <w:vAlign w:val="bottom"/>
            <w:tcBorders>
              <w:bottom w:val="single" w:sz="8" w:color="F73A25"/>
            </w:tcBorders>
          </w:tcPr>
          <w:p>
            <w:pPr>
              <w:spacing w:after="0"/>
              <w:rPr>
                <w:sz w:val="17"/>
                <w:szCs w:val="17"/>
                <w:color w:val="auto"/>
              </w:rPr>
            </w:pPr>
          </w:p>
        </w:tc>
        <w:tc>
          <w:tcPr>
            <w:tcW w:w="3160" w:type="dxa"/>
            <w:vAlign w:val="bottom"/>
            <w:tcBorders>
              <w:bottom w:val="single" w:sz="8" w:color="F73A25"/>
              <w:right w:val="single" w:sz="8" w:color="262626"/>
            </w:tcBorders>
          </w:tcPr>
          <w:p>
            <w:pPr>
              <w:spacing w:after="0"/>
              <w:rPr>
                <w:sz w:val="17"/>
                <w:szCs w:val="17"/>
                <w:color w:val="auto"/>
              </w:rPr>
            </w:pPr>
          </w:p>
        </w:tc>
        <w:tc>
          <w:tcPr>
            <w:tcW w:w="1600" w:type="dxa"/>
            <w:vAlign w:val="bottom"/>
            <w:tcBorders>
              <w:bottom w:val="single" w:sz="8" w:color="F73A25"/>
            </w:tcBorders>
          </w:tcPr>
          <w:p>
            <w:pPr>
              <w:spacing w:after="0"/>
              <w:rPr>
                <w:sz w:val="17"/>
                <w:szCs w:val="17"/>
                <w:color w:val="auto"/>
              </w:rPr>
            </w:pPr>
          </w:p>
        </w:tc>
        <w:tc>
          <w:tcPr>
            <w:tcW w:w="3700" w:type="dxa"/>
            <w:vAlign w:val="bottom"/>
            <w:tcBorders>
              <w:bottom w:val="single" w:sz="8" w:color="F73A25"/>
            </w:tcBorders>
          </w:tcPr>
          <w:p>
            <w:pPr>
              <w:ind w:left="180"/>
              <w:spacing w:after="0" w:line="200"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Value what makes us unique</w:t>
            </w:r>
          </w:p>
        </w:tc>
      </w:tr>
      <w:tr>
        <w:trPr>
          <w:trHeight w:val="155"/>
        </w:trPr>
        <w:tc>
          <w:tcPr>
            <w:tcW w:w="1580" w:type="dxa"/>
            <w:vAlign w:val="bottom"/>
            <w:tcBorders>
              <w:bottom w:val="single" w:sz="8" w:color="F73A25"/>
            </w:tcBorders>
          </w:tcPr>
          <w:p>
            <w:pPr>
              <w:spacing w:after="0"/>
              <w:rPr>
                <w:sz w:val="13"/>
                <w:szCs w:val="13"/>
                <w:color w:val="auto"/>
              </w:rPr>
            </w:pPr>
          </w:p>
        </w:tc>
        <w:tc>
          <w:tcPr>
            <w:tcW w:w="3160" w:type="dxa"/>
            <w:vAlign w:val="bottom"/>
            <w:tcBorders>
              <w:bottom w:val="single" w:sz="8" w:color="F73A25"/>
            </w:tcBorders>
          </w:tcPr>
          <w:p>
            <w:pPr>
              <w:spacing w:after="0"/>
              <w:rPr>
                <w:sz w:val="13"/>
                <w:szCs w:val="13"/>
                <w:color w:val="auto"/>
              </w:rPr>
            </w:pPr>
          </w:p>
        </w:tc>
        <w:tc>
          <w:tcPr>
            <w:tcW w:w="1600" w:type="dxa"/>
            <w:vAlign w:val="bottom"/>
            <w:tcBorders>
              <w:bottom w:val="single" w:sz="8" w:color="F73A25"/>
            </w:tcBorders>
          </w:tcPr>
          <w:p>
            <w:pPr>
              <w:spacing w:after="0"/>
              <w:rPr>
                <w:sz w:val="13"/>
                <w:szCs w:val="13"/>
                <w:color w:val="auto"/>
              </w:rPr>
            </w:pPr>
          </w:p>
        </w:tc>
        <w:tc>
          <w:tcPr>
            <w:tcW w:w="3700" w:type="dxa"/>
            <w:vAlign w:val="bottom"/>
            <w:tcBorders>
              <w:bottom w:val="single" w:sz="8" w:color="F73A25"/>
            </w:tcBorders>
          </w:tcPr>
          <w:p>
            <w:pPr>
              <w:spacing w:after="0"/>
              <w:rPr>
                <w:sz w:val="13"/>
                <w:szCs w:val="13"/>
                <w:color w:val="auto"/>
              </w:rPr>
            </w:pPr>
          </w:p>
        </w:tc>
      </w:tr>
      <w:tr>
        <w:trPr>
          <w:trHeight w:val="131"/>
        </w:trPr>
        <w:tc>
          <w:tcPr>
            <w:tcW w:w="1580" w:type="dxa"/>
            <w:vAlign w:val="bottom"/>
          </w:tcPr>
          <w:p>
            <w:pPr>
              <w:spacing w:after="0"/>
              <w:rPr>
                <w:sz w:val="11"/>
                <w:szCs w:val="11"/>
                <w:color w:val="auto"/>
              </w:rPr>
            </w:pPr>
          </w:p>
        </w:tc>
        <w:tc>
          <w:tcPr>
            <w:tcW w:w="3160" w:type="dxa"/>
            <w:vAlign w:val="bottom"/>
            <w:tcBorders>
              <w:right w:val="single" w:sz="8" w:color="262626"/>
            </w:tcBorders>
          </w:tcPr>
          <w:p>
            <w:pPr>
              <w:ind w:left="180"/>
              <w:spacing w:after="0" w:line="131" w:lineRule="exact"/>
              <w:rPr>
                <w:sz w:val="20"/>
                <w:szCs w:val="20"/>
                <w:color w:val="auto"/>
              </w:rPr>
            </w:pPr>
            <w:r>
              <w:rPr>
                <w:rFonts w:ascii="MS PGothic" w:cs="MS PGothic" w:eastAsia="MS PGothic" w:hAnsi="MS PGothic"/>
                <w:sz w:val="15"/>
                <w:szCs w:val="15"/>
                <w:color w:val="262626"/>
                <w:vertAlign w:val="superscript"/>
              </w:rPr>
              <w:t>◆</w:t>
            </w:r>
            <w:r>
              <w:rPr>
                <w:rFonts w:ascii="Arial" w:cs="Arial" w:eastAsia="Arial" w:hAnsi="Arial"/>
                <w:sz w:val="12"/>
                <w:szCs w:val="12"/>
                <w:color w:val="262626"/>
              </w:rPr>
              <w:t xml:space="preserve"> Do what you say you’re going to do</w:t>
            </w:r>
          </w:p>
        </w:tc>
        <w:tc>
          <w:tcPr>
            <w:tcW w:w="1600" w:type="dxa"/>
            <w:vAlign w:val="bottom"/>
          </w:tcPr>
          <w:p>
            <w:pPr>
              <w:spacing w:after="0"/>
              <w:rPr>
                <w:sz w:val="11"/>
                <w:szCs w:val="11"/>
                <w:color w:val="auto"/>
              </w:rPr>
            </w:pPr>
          </w:p>
        </w:tc>
        <w:tc>
          <w:tcPr>
            <w:tcW w:w="3700" w:type="dxa"/>
            <w:vAlign w:val="bottom"/>
          </w:tcPr>
          <w:p>
            <w:pPr>
              <w:ind w:left="180"/>
              <w:spacing w:after="0" w:line="131" w:lineRule="exact"/>
              <w:rPr>
                <w:sz w:val="20"/>
                <w:szCs w:val="20"/>
                <w:color w:val="auto"/>
              </w:rPr>
            </w:pPr>
            <w:r>
              <w:rPr>
                <w:rFonts w:ascii="MS PGothic" w:cs="MS PGothic" w:eastAsia="MS PGothic" w:hAnsi="MS PGothic"/>
                <w:sz w:val="15"/>
                <w:szCs w:val="15"/>
                <w:color w:val="262626"/>
                <w:vertAlign w:val="superscript"/>
              </w:rPr>
              <w:t>◆</w:t>
            </w:r>
            <w:r>
              <w:rPr>
                <w:rFonts w:ascii="Arial" w:cs="Arial" w:eastAsia="Arial" w:hAnsi="Arial"/>
                <w:sz w:val="12"/>
                <w:szCs w:val="12"/>
                <w:color w:val="262626"/>
              </w:rPr>
              <w:t xml:space="preserve"> Innovate and challenge the norm</w:t>
            </w:r>
          </w:p>
        </w:tc>
      </w:tr>
      <w:tr>
        <w:trPr>
          <w:trHeight w:val="162"/>
        </w:trPr>
        <w:tc>
          <w:tcPr>
            <w:tcW w:w="1580" w:type="dxa"/>
            <w:vAlign w:val="bottom"/>
          </w:tcPr>
          <w:p>
            <w:pPr>
              <w:jc w:val="center"/>
              <w:ind w:left="68"/>
              <w:spacing w:after="0"/>
              <w:rPr>
                <w:sz w:val="20"/>
                <w:szCs w:val="20"/>
                <w:color w:val="auto"/>
              </w:rPr>
            </w:pPr>
            <w:r>
              <w:rPr>
                <w:rFonts w:ascii="Arial" w:cs="Arial" w:eastAsia="Arial" w:hAnsi="Arial"/>
                <w:sz w:val="14"/>
                <w:szCs w:val="14"/>
                <w:color w:val="262626"/>
              </w:rPr>
              <w:t>Accountability</w:t>
            </w:r>
          </w:p>
        </w:tc>
        <w:tc>
          <w:tcPr>
            <w:tcW w:w="3160" w:type="dxa"/>
            <w:vAlign w:val="bottom"/>
            <w:tcBorders>
              <w:right w:val="single" w:sz="8" w:color="262626"/>
            </w:tcBorders>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Take ownership of your work quality</w:t>
            </w:r>
          </w:p>
        </w:tc>
        <w:tc>
          <w:tcPr>
            <w:tcW w:w="1600" w:type="dxa"/>
            <w:vAlign w:val="bottom"/>
          </w:tcPr>
          <w:p>
            <w:pPr>
              <w:jc w:val="center"/>
              <w:ind w:left="108"/>
              <w:spacing w:after="0"/>
              <w:rPr>
                <w:sz w:val="20"/>
                <w:szCs w:val="20"/>
                <w:color w:val="auto"/>
              </w:rPr>
            </w:pPr>
            <w:r>
              <w:rPr>
                <w:rFonts w:ascii="Arial" w:cs="Arial" w:eastAsia="Arial" w:hAnsi="Arial"/>
                <w:sz w:val="14"/>
                <w:szCs w:val="14"/>
                <w:color w:val="262626"/>
              </w:rPr>
              <w:t>Innovation</w:t>
            </w:r>
          </w:p>
        </w:tc>
        <w:tc>
          <w:tcPr>
            <w:tcW w:w="3700" w:type="dxa"/>
            <w:vAlign w:val="bottom"/>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Be creative</w:t>
            </w:r>
          </w:p>
        </w:tc>
      </w:tr>
      <w:tr>
        <w:trPr>
          <w:trHeight w:val="162"/>
        </w:trPr>
        <w:tc>
          <w:tcPr>
            <w:tcW w:w="1580" w:type="dxa"/>
            <w:vAlign w:val="bottom"/>
          </w:tcPr>
          <w:p>
            <w:pPr>
              <w:jc w:val="center"/>
              <w:ind w:left="68"/>
              <w:spacing w:after="0"/>
              <w:rPr>
                <w:sz w:val="20"/>
                <w:szCs w:val="20"/>
                <w:color w:val="auto"/>
              </w:rPr>
            </w:pPr>
            <w:r>
              <w:rPr>
                <w:rFonts w:ascii="Arial" w:cs="Arial" w:eastAsia="Arial" w:hAnsi="Arial"/>
                <w:sz w:val="14"/>
                <w:szCs w:val="14"/>
                <w:color w:val="262626"/>
              </w:rPr>
              <w:t>“Own It”</w:t>
            </w:r>
          </w:p>
        </w:tc>
        <w:tc>
          <w:tcPr>
            <w:tcW w:w="3160" w:type="dxa"/>
            <w:vAlign w:val="bottom"/>
            <w:tcBorders>
              <w:right w:val="single" w:sz="8" w:color="262626"/>
            </w:tcBorders>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Take pride in team achievements</w:t>
            </w:r>
          </w:p>
        </w:tc>
        <w:tc>
          <w:tcPr>
            <w:tcW w:w="1600" w:type="dxa"/>
            <w:vAlign w:val="bottom"/>
          </w:tcPr>
          <w:p>
            <w:pPr>
              <w:jc w:val="center"/>
              <w:ind w:left="108"/>
              <w:spacing w:after="0"/>
              <w:rPr>
                <w:sz w:val="20"/>
                <w:szCs w:val="20"/>
                <w:color w:val="auto"/>
              </w:rPr>
            </w:pPr>
            <w:r>
              <w:rPr>
                <w:rFonts w:ascii="Arial" w:cs="Arial" w:eastAsia="Arial" w:hAnsi="Arial"/>
                <w:sz w:val="14"/>
                <w:szCs w:val="14"/>
                <w:color w:val="262626"/>
              </w:rPr>
              <w:t>“Be Progressive”</w:t>
            </w:r>
          </w:p>
        </w:tc>
        <w:tc>
          <w:tcPr>
            <w:tcW w:w="3700" w:type="dxa"/>
            <w:vAlign w:val="bottom"/>
          </w:tcPr>
          <w:p>
            <w:pPr>
              <w:ind w:left="180"/>
              <w:spacing w:after="0" w:line="162"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Take smart risks</w:t>
            </w:r>
          </w:p>
        </w:tc>
      </w:tr>
      <w:tr>
        <w:trPr>
          <w:trHeight w:val="200"/>
        </w:trPr>
        <w:tc>
          <w:tcPr>
            <w:tcW w:w="1580" w:type="dxa"/>
            <w:vAlign w:val="bottom"/>
            <w:tcBorders>
              <w:bottom w:val="single" w:sz="8" w:color="F73A25"/>
            </w:tcBorders>
          </w:tcPr>
          <w:p>
            <w:pPr>
              <w:spacing w:after="0"/>
              <w:rPr>
                <w:sz w:val="17"/>
                <w:szCs w:val="17"/>
                <w:color w:val="auto"/>
              </w:rPr>
            </w:pPr>
          </w:p>
        </w:tc>
        <w:tc>
          <w:tcPr>
            <w:tcW w:w="3160" w:type="dxa"/>
            <w:vAlign w:val="bottom"/>
            <w:tcBorders>
              <w:bottom w:val="single" w:sz="8" w:color="F73A25"/>
              <w:right w:val="single" w:sz="8" w:color="262626"/>
            </w:tcBorders>
          </w:tcPr>
          <w:p>
            <w:pPr>
              <w:ind w:left="180"/>
              <w:spacing w:after="0" w:line="200"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Be accountable for what you do</w:t>
            </w:r>
          </w:p>
        </w:tc>
        <w:tc>
          <w:tcPr>
            <w:tcW w:w="1600" w:type="dxa"/>
            <w:vAlign w:val="bottom"/>
            <w:tcBorders>
              <w:bottom w:val="single" w:sz="8" w:color="F73A25"/>
            </w:tcBorders>
          </w:tcPr>
          <w:p>
            <w:pPr>
              <w:spacing w:after="0"/>
              <w:rPr>
                <w:sz w:val="17"/>
                <w:szCs w:val="17"/>
                <w:color w:val="auto"/>
              </w:rPr>
            </w:pPr>
          </w:p>
        </w:tc>
        <w:tc>
          <w:tcPr>
            <w:tcW w:w="3700" w:type="dxa"/>
            <w:vAlign w:val="bottom"/>
            <w:tcBorders>
              <w:bottom w:val="single" w:sz="8" w:color="F73A25"/>
            </w:tcBorders>
          </w:tcPr>
          <w:p>
            <w:pPr>
              <w:ind w:left="180"/>
              <w:spacing w:after="0" w:line="200" w:lineRule="exact"/>
              <w:rPr>
                <w:sz w:val="20"/>
                <w:szCs w:val="20"/>
                <w:color w:val="auto"/>
              </w:rPr>
            </w:pPr>
            <w:r>
              <w:rPr>
                <w:rFonts w:ascii="MS PGothic" w:cs="MS PGothic" w:eastAsia="MS PGothic" w:hAnsi="MS PGothic"/>
                <w:sz w:val="18"/>
                <w:szCs w:val="18"/>
                <w:color w:val="262626"/>
                <w:vertAlign w:val="superscript"/>
              </w:rPr>
              <w:t>◆</w:t>
            </w:r>
            <w:r>
              <w:rPr>
                <w:rFonts w:ascii="Arial" w:cs="Arial" w:eastAsia="Arial" w:hAnsi="Arial"/>
                <w:sz w:val="14"/>
                <w:szCs w:val="14"/>
                <w:color w:val="262626"/>
              </w:rPr>
              <w:t xml:space="preserve"> Learn from setbacks</w:t>
            </w:r>
          </w:p>
        </w:tc>
      </w:tr>
    </w:tbl>
    <w:p>
      <w:pPr>
        <w:spacing w:after="0" w:line="197" w:lineRule="exact"/>
        <w:rPr>
          <w:sz w:val="20"/>
          <w:szCs w:val="20"/>
          <w:color w:val="auto"/>
        </w:rPr>
      </w:pPr>
    </w:p>
    <w:p>
      <w:pPr>
        <w:jc w:val="both"/>
        <w:ind w:left="1100" w:right="20"/>
        <w:spacing w:after="0" w:line="238" w:lineRule="auto"/>
        <w:rPr>
          <w:sz w:val="20"/>
          <w:szCs w:val="20"/>
          <w:color w:val="auto"/>
        </w:rPr>
      </w:pPr>
      <w:r>
        <w:rPr>
          <w:rFonts w:ascii="Arial" w:cs="Arial" w:eastAsia="Arial" w:hAnsi="Arial"/>
          <w:sz w:val="18"/>
          <w:szCs w:val="18"/>
          <w:i w:val="1"/>
          <w:iCs w:val="1"/>
          <w:color w:val="262626"/>
        </w:rPr>
        <w:t xml:space="preserve">Our Talent: </w:t>
      </w:r>
      <w:r>
        <w:rPr>
          <w:rFonts w:ascii="Arial" w:cs="Arial" w:eastAsia="Arial" w:hAnsi="Arial"/>
          <w:sz w:val="18"/>
          <w:szCs w:val="18"/>
          <w:color w:val="262626"/>
        </w:rPr>
        <w:t>We invest in our talent in many ways that go beyond providing market competitive compensation. We support the</w:t>
      </w:r>
      <w:r>
        <w:rPr>
          <w:rFonts w:ascii="Arial" w:cs="Arial" w:eastAsia="Arial" w:hAnsi="Arial"/>
          <w:sz w:val="18"/>
          <w:szCs w:val="18"/>
          <w:i w:val="1"/>
          <w:iCs w:val="1"/>
          <w:color w:val="262626"/>
        </w:rPr>
        <w:t xml:space="preserve"> </w:t>
      </w:r>
      <w:r>
        <w:rPr>
          <w:rFonts w:ascii="Arial" w:cs="Arial" w:eastAsia="Arial" w:hAnsi="Arial"/>
          <w:sz w:val="18"/>
          <w:szCs w:val="18"/>
          <w:color w:val="262626"/>
        </w:rPr>
        <w:t>health and wellness of our employees through a wide range of benefits that includes providing a working environment that promotes health and well-being. Two-thirds of our office employees are located in LEED Gold certified office buildings with ergonomically designed work-stations including those in our corporate headquarters where we earned a Fitwel certification recognizing the high level of health and wellness features provided in the office. Our wellness program also supports our commitment to the community as we leverage wellness motivation with rewards that are linked to social causes that give back to the community. We have also made significant investments in systems that not only allow us to train employees to develop new skills but improves the quality of their work experience by allowing them to focus their efforts on the intellectually challenging and motivating aspects of their job instead of tedious, routine tasks and by providing them with more flexibility performing their job to promote greater work life balance. The success in managing our team is evident in the fact that we had a 94% retention rate in 2020 and the average tenure of our employees is more than 8 years as of the end of 2020.</w:t>
      </w:r>
    </w:p>
    <w:p>
      <w:pPr>
        <w:spacing w:after="0" w:line="186" w:lineRule="exact"/>
        <w:rPr>
          <w:sz w:val="20"/>
          <w:szCs w:val="20"/>
          <w:color w:val="auto"/>
        </w:rPr>
      </w:pPr>
    </w:p>
    <w:p>
      <w:pPr>
        <w:jc w:val="both"/>
        <w:ind w:left="1100"/>
        <w:spacing w:after="0" w:line="245" w:lineRule="auto"/>
        <w:rPr>
          <w:sz w:val="20"/>
          <w:szCs w:val="20"/>
          <w:color w:val="auto"/>
        </w:rPr>
      </w:pPr>
      <w:r>
        <w:rPr>
          <w:rFonts w:ascii="Arial" w:cs="Arial" w:eastAsia="Arial" w:hAnsi="Arial"/>
          <w:sz w:val="18"/>
          <w:szCs w:val="18"/>
          <w:i w:val="1"/>
          <w:iCs w:val="1"/>
          <w:color w:val="262626"/>
        </w:rPr>
        <w:t xml:space="preserve">Recognition: </w:t>
      </w:r>
      <w:r>
        <w:rPr>
          <w:rFonts w:ascii="Arial" w:cs="Arial" w:eastAsia="Arial" w:hAnsi="Arial"/>
          <w:sz w:val="18"/>
          <w:szCs w:val="18"/>
          <w:color w:val="262626"/>
        </w:rPr>
        <w:t>Our efforts were recognized in 2020 by the Alliance for Workplace Excellence with their Workplace Seal of</w:t>
      </w:r>
      <w:r>
        <w:rPr>
          <w:rFonts w:ascii="Arial" w:cs="Arial" w:eastAsia="Arial" w:hAnsi="Arial"/>
          <w:sz w:val="18"/>
          <w:szCs w:val="18"/>
          <w:i w:val="1"/>
          <w:iCs w:val="1"/>
          <w:color w:val="262626"/>
        </w:rPr>
        <w:t xml:space="preserve"> </w:t>
      </w:r>
      <w:r>
        <w:rPr>
          <w:rFonts w:ascii="Arial" w:cs="Arial" w:eastAsia="Arial" w:hAnsi="Arial"/>
          <w:sz w:val="18"/>
          <w:szCs w:val="18"/>
          <w:color w:val="262626"/>
        </w:rPr>
        <w:t>Approval (13</w:t>
      </w:r>
      <w:r>
        <w:rPr>
          <w:rFonts w:ascii="Arial" w:cs="Arial" w:eastAsia="Arial" w:hAnsi="Arial"/>
          <w:sz w:val="15"/>
          <w:szCs w:val="15"/>
          <w:color w:val="262626"/>
        </w:rPr>
        <w:t>th</w:t>
      </w:r>
      <w:r>
        <w:rPr>
          <w:rFonts w:ascii="Arial" w:cs="Arial" w:eastAsia="Arial" w:hAnsi="Arial"/>
          <w:sz w:val="18"/>
          <w:szCs w:val="18"/>
          <w:color w:val="262626"/>
        </w:rPr>
        <w:t xml:space="preserve"> consecutive year), Health &amp; Wellness Seal of Approval (13</w:t>
      </w:r>
      <w:r>
        <w:rPr>
          <w:rFonts w:ascii="Arial" w:cs="Arial" w:eastAsia="Arial" w:hAnsi="Arial"/>
          <w:sz w:val="15"/>
          <w:szCs w:val="15"/>
          <w:color w:val="262626"/>
        </w:rPr>
        <w:t>th</w:t>
      </w:r>
      <w:r>
        <w:rPr>
          <w:rFonts w:ascii="Arial" w:cs="Arial" w:eastAsia="Arial" w:hAnsi="Arial"/>
          <w:sz w:val="18"/>
          <w:szCs w:val="18"/>
          <w:color w:val="262626"/>
        </w:rPr>
        <w:t xml:space="preserve"> consecutive year), and EcoLeadership Award (10</w:t>
      </w:r>
      <w:r>
        <w:rPr>
          <w:rFonts w:ascii="Arial" w:cs="Arial" w:eastAsia="Arial" w:hAnsi="Arial"/>
          <w:sz w:val="15"/>
          <w:szCs w:val="15"/>
          <w:color w:val="262626"/>
        </w:rPr>
        <w:t>th</w:t>
      </w:r>
      <w:r>
        <w:rPr>
          <w:rFonts w:ascii="Arial" w:cs="Arial" w:eastAsia="Arial" w:hAnsi="Arial"/>
          <w:sz w:val="18"/>
          <w:szCs w:val="18"/>
          <w:color w:val="262626"/>
        </w:rPr>
        <w:t xml:space="preserve"> consecutive year). The Alliance for Workplace Excellence is an organization that recognizes employers throughout the United States for their exemplary commitment to building excellent places to work.</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Corporate Governance</w:t>
      </w:r>
    </w:p>
    <w:p>
      <w:pPr>
        <w:spacing w:after="0" w:line="23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Federal’s corporate governance principles, guidelines and practices are designed to support consistent financial performance and long-term value creation for our shareholders. They incorporate the regulatory requirements under which we operate, recognized effective governance practices and the basic structure for effective leadership and oversight by our Board and our senior management team.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Corporate Governance Framework</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The functioning of the Board is guided by our Corporate Governance Guidelines which provide a framework for governance of the Company and set forth the responsibilities of the Board. The Corporate Governance Guidelines are supplemented by committee charters and other governance documents that are reviewed on a regular basis by the Board to ensure that they remain effective given then-current conditions. In addition, we have adopted a Code of Ethics that applies to our senior financial officers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139700</wp:posOffset>
            </wp:positionV>
            <wp:extent cx="7011670" cy="385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1670" cy="385445"/>
                    </a:xfrm>
                    <a:prstGeom prst="rect">
                      <a:avLst/>
                    </a:prstGeom>
                    <a:noFill/>
                  </pic:spPr>
                </pic:pic>
              </a:graphicData>
            </a:graphic>
          </wp:anchor>
        </w:drawing>
      </w:r>
    </w:p>
    <w:p>
      <w:pPr>
        <w:spacing w:after="0" w:line="309" w:lineRule="exact"/>
        <w:rPr>
          <w:sz w:val="20"/>
          <w:szCs w:val="20"/>
          <w:color w:val="auto"/>
        </w:rPr>
      </w:pPr>
    </w:p>
    <w:p>
      <w:pPr>
        <w:ind w:left="440" w:right="400"/>
        <w:spacing w:after="0" w:line="260" w:lineRule="auto"/>
        <w:rPr>
          <w:sz w:val="20"/>
          <w:szCs w:val="20"/>
          <w:color w:val="auto"/>
        </w:rPr>
      </w:pPr>
      <w:r>
        <w:rPr>
          <w:rFonts w:ascii="Arial" w:cs="Arial" w:eastAsia="Arial" w:hAnsi="Arial"/>
          <w:sz w:val="16"/>
          <w:szCs w:val="16"/>
          <w:color w:val="262626"/>
        </w:rPr>
        <w:t xml:space="preserve">Complete copies of our Corporate Governance Guidelines, Committee Charters, Code of Business Conduct, Code of Ethics for Senior Financial Officers and other governance documents are available in the Investor/Corporate Governance section of our website at </w:t>
      </w:r>
      <w:r>
        <w:rPr>
          <w:rFonts w:ascii="Arial" w:cs="Arial" w:eastAsia="Arial" w:hAnsi="Arial"/>
          <w:sz w:val="16"/>
          <w:szCs w:val="16"/>
          <w:i w:val="1"/>
          <w:iCs w:val="1"/>
          <w:color w:val="262626"/>
        </w:rPr>
        <w:t>www.federalrealty.com</w:t>
      </w:r>
      <w:r>
        <w:rPr>
          <w:rFonts w:ascii="Arial" w:cs="Arial" w:eastAsia="Arial" w:hAnsi="Arial"/>
          <w:sz w:val="16"/>
          <w:szCs w:val="16"/>
          <w:color w:val="262626"/>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Key Governance Policies and Practices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Some of the key governance policies and practices that govern the Company include the following:</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2880" w:type="dxa"/>
            <w:vAlign w:val="bottom"/>
            <w:tcBorders>
              <w:top w:val="single" w:sz="8" w:color="F73A25"/>
            </w:tcBorders>
            <w:shd w:val="clear" w:color="auto" w:fill="EAEFED"/>
          </w:tcPr>
          <w:p>
            <w:pPr>
              <w:spacing w:after="0"/>
              <w:rPr>
                <w:sz w:val="20"/>
                <w:szCs w:val="20"/>
                <w:color w:val="auto"/>
              </w:rPr>
            </w:pPr>
            <w:r>
              <w:rPr>
                <w:rFonts w:ascii="Arial" w:cs="Arial" w:eastAsia="Arial" w:hAnsi="Arial"/>
                <w:sz w:val="18"/>
                <w:szCs w:val="18"/>
                <w:color w:val="262626"/>
              </w:rPr>
              <w:t>Board Composition</w:t>
            </w:r>
          </w:p>
        </w:tc>
        <w:tc>
          <w:tcPr>
            <w:tcW w:w="8140" w:type="dxa"/>
            <w:vAlign w:val="bottom"/>
            <w:tcBorders>
              <w:top w:val="single" w:sz="8" w:color="F73A25"/>
            </w:tcBorders>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Independent Non-Executive Chairman since 2003</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Independent Committees</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Annual Board and Committee Evaluations</w:t>
            </w:r>
          </w:p>
        </w:tc>
      </w:tr>
      <w:tr>
        <w:trPr>
          <w:trHeight w:val="263"/>
        </w:trPr>
        <w:tc>
          <w:tcPr>
            <w:tcW w:w="2880" w:type="dxa"/>
            <w:vAlign w:val="bottom"/>
            <w:tcBorders>
              <w:bottom w:val="single" w:sz="8" w:color="F73A25"/>
            </w:tcBorders>
            <w:shd w:val="clear" w:color="auto" w:fill="EAEFED"/>
          </w:tcPr>
          <w:p>
            <w:pPr>
              <w:spacing w:after="0"/>
              <w:rPr>
                <w:sz w:val="22"/>
                <w:szCs w:val="22"/>
                <w:color w:val="auto"/>
              </w:rPr>
            </w:pPr>
          </w:p>
        </w:tc>
        <w:tc>
          <w:tcPr>
            <w:tcW w:w="8140" w:type="dxa"/>
            <w:vAlign w:val="bottom"/>
            <w:tcBorders>
              <w:bottom w:val="single" w:sz="8" w:color="F73A25"/>
            </w:tcBorders>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Annual Individual Trustee Evaluations</w:t>
            </w:r>
          </w:p>
        </w:tc>
      </w:tr>
      <w:tr>
        <w:trPr>
          <w:trHeight w:val="203"/>
        </w:trPr>
        <w:tc>
          <w:tcPr>
            <w:tcW w:w="2880" w:type="dxa"/>
            <w:vAlign w:val="bottom"/>
            <w:shd w:val="clear" w:color="auto" w:fill="EAEFED"/>
          </w:tcPr>
          <w:p>
            <w:pPr>
              <w:spacing w:after="0" w:line="203" w:lineRule="exact"/>
              <w:rPr>
                <w:sz w:val="20"/>
                <w:szCs w:val="20"/>
                <w:color w:val="auto"/>
              </w:rPr>
            </w:pPr>
            <w:r>
              <w:rPr>
                <w:rFonts w:ascii="Arial" w:cs="Arial" w:eastAsia="Arial" w:hAnsi="Arial"/>
                <w:sz w:val="18"/>
                <w:szCs w:val="18"/>
                <w:color w:val="262626"/>
              </w:rPr>
              <w:t>Shareholder Rights</w:t>
            </w:r>
          </w:p>
        </w:tc>
        <w:tc>
          <w:tcPr>
            <w:tcW w:w="8140" w:type="dxa"/>
            <w:vAlign w:val="bottom"/>
          </w:tcPr>
          <w:p>
            <w:pPr>
              <w:ind w:left="200"/>
              <w:spacing w:after="0" w:line="203"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Annual election of Trustees</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Shareholder approval required to classify the Board</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Majority voting in uncontested elections</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Proxy access for shareholders </w:t>
            </w:r>
            <w:r>
              <w:rPr>
                <w:rFonts w:ascii="Arial" w:cs="Arial" w:eastAsia="Arial" w:hAnsi="Arial"/>
                <w:sz w:val="18"/>
                <w:szCs w:val="18"/>
                <w:color w:val="F73A25"/>
              </w:rPr>
              <w:t>(New)</w:t>
            </w:r>
          </w:p>
        </w:tc>
      </w:tr>
      <w:tr>
        <w:trPr>
          <w:trHeight w:val="263"/>
        </w:trPr>
        <w:tc>
          <w:tcPr>
            <w:tcW w:w="2880" w:type="dxa"/>
            <w:vAlign w:val="bottom"/>
            <w:tcBorders>
              <w:bottom w:val="single" w:sz="8" w:color="F73A25"/>
            </w:tcBorders>
            <w:shd w:val="clear" w:color="auto" w:fill="EAEFED"/>
          </w:tcPr>
          <w:p>
            <w:pPr>
              <w:spacing w:after="0"/>
              <w:rPr>
                <w:sz w:val="22"/>
                <w:szCs w:val="22"/>
                <w:color w:val="auto"/>
              </w:rPr>
            </w:pPr>
          </w:p>
        </w:tc>
        <w:tc>
          <w:tcPr>
            <w:tcW w:w="8140" w:type="dxa"/>
            <w:vAlign w:val="bottom"/>
            <w:tcBorders>
              <w:bottom w:val="single" w:sz="8" w:color="F73A25"/>
            </w:tcBorders>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No poison pill</w:t>
            </w:r>
          </w:p>
        </w:tc>
      </w:tr>
      <w:tr>
        <w:trPr>
          <w:trHeight w:val="203"/>
        </w:trPr>
        <w:tc>
          <w:tcPr>
            <w:tcW w:w="2880" w:type="dxa"/>
            <w:vAlign w:val="bottom"/>
            <w:shd w:val="clear" w:color="auto" w:fill="EAEFED"/>
          </w:tcPr>
          <w:p>
            <w:pPr>
              <w:spacing w:after="0" w:line="203" w:lineRule="exact"/>
              <w:rPr>
                <w:sz w:val="20"/>
                <w:szCs w:val="20"/>
                <w:color w:val="auto"/>
              </w:rPr>
            </w:pPr>
            <w:r>
              <w:rPr>
                <w:rFonts w:ascii="Arial" w:cs="Arial" w:eastAsia="Arial" w:hAnsi="Arial"/>
                <w:sz w:val="18"/>
                <w:szCs w:val="18"/>
                <w:color w:val="262626"/>
              </w:rPr>
              <w:t>Key Policies</w:t>
            </w:r>
          </w:p>
        </w:tc>
        <w:tc>
          <w:tcPr>
            <w:tcW w:w="8140" w:type="dxa"/>
            <w:vAlign w:val="bottom"/>
          </w:tcPr>
          <w:p>
            <w:pPr>
              <w:ind w:left="200"/>
              <w:spacing w:after="0" w:line="203"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Pay for performance compensation philosophy</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Prohibition on hedging and pledging our stock</w:t>
            </w:r>
          </w:p>
        </w:tc>
      </w:tr>
      <w:tr>
        <w:trPr>
          <w:trHeight w:val="243"/>
        </w:trPr>
        <w:tc>
          <w:tcPr>
            <w:tcW w:w="2880" w:type="dxa"/>
            <w:vAlign w:val="bottom"/>
            <w:shd w:val="clear" w:color="auto" w:fill="EAEFED"/>
          </w:tcPr>
          <w:p>
            <w:pPr>
              <w:spacing w:after="0"/>
              <w:rPr>
                <w:sz w:val="21"/>
                <w:szCs w:val="21"/>
                <w:color w:val="auto"/>
              </w:rPr>
            </w:pPr>
          </w:p>
        </w:tc>
        <w:tc>
          <w:tcPr>
            <w:tcW w:w="8140" w:type="dxa"/>
            <w:vAlign w:val="bottom"/>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Stock ownership guidelines for Trustees and senior management</w:t>
            </w:r>
          </w:p>
        </w:tc>
      </w:tr>
      <w:tr>
        <w:trPr>
          <w:trHeight w:val="263"/>
        </w:trPr>
        <w:tc>
          <w:tcPr>
            <w:tcW w:w="2880" w:type="dxa"/>
            <w:vAlign w:val="bottom"/>
            <w:tcBorders>
              <w:bottom w:val="single" w:sz="8" w:color="F73A25"/>
            </w:tcBorders>
            <w:shd w:val="clear" w:color="auto" w:fill="EAEFED"/>
          </w:tcPr>
          <w:p>
            <w:pPr>
              <w:spacing w:after="0"/>
              <w:rPr>
                <w:sz w:val="22"/>
                <w:szCs w:val="22"/>
                <w:color w:val="auto"/>
              </w:rPr>
            </w:pPr>
          </w:p>
        </w:tc>
        <w:tc>
          <w:tcPr>
            <w:tcW w:w="8140" w:type="dxa"/>
            <w:vAlign w:val="bottom"/>
            <w:tcBorders>
              <w:bottom w:val="single" w:sz="8" w:color="F73A25"/>
            </w:tcBorders>
          </w:tcPr>
          <w:p>
            <w:pPr>
              <w:ind w:left="200"/>
              <w:spacing w:after="0" w:line="207" w:lineRule="exact"/>
              <w:rPr>
                <w:sz w:val="20"/>
                <w:szCs w:val="20"/>
                <w:color w:val="auto"/>
              </w:rPr>
            </w:pPr>
            <w:r>
              <w:rPr>
                <w:rFonts w:ascii="MS PGothic" w:cs="MS PGothic" w:eastAsia="MS PGothic" w:hAnsi="MS PGothic"/>
                <w:sz w:val="18"/>
                <w:szCs w:val="18"/>
                <w:color w:val="262626"/>
              </w:rPr>
              <w:t>✓</w:t>
            </w:r>
            <w:r>
              <w:rPr>
                <w:rFonts w:ascii="Arial" w:cs="Arial" w:eastAsia="Arial" w:hAnsi="Arial"/>
                <w:sz w:val="18"/>
                <w:szCs w:val="18"/>
                <w:color w:val="262626"/>
              </w:rPr>
              <w:t xml:space="preserve"> Clawback policy in place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154305</wp:posOffset>
            </wp:positionV>
            <wp:extent cx="70123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46"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Our Board</w:t>
      </w:r>
    </w:p>
    <w:p>
      <w:pPr>
        <w:spacing w:after="0" w:line="23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Refreshment and diversification were priorities of the Board in 2020. These efforts led to Nicole Y. Lamb-Hale and Anthony P. Nader, III being added to the Board on September 1, 2020 to fill the planned vacancies that would be created by the departures of Joseph S. Vassalluzzo (age 73) and Jon E. Bortz (age 64), neither of whom are standing for reelection in 2021. Information about each of Ms. Lamb-Hale and Mr. Nader is included below under “Proposal 1 - Election of Seven Trustees”. The Board believed it was critical to have a significant period of time during which our new Trustees were able to serve on the Board with all of our current Trustees in order for them to get the broadest range of Board perspectives and insights into our business and to get up to speed as quickly as possible.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This is especially critical in the real estate business given that the decisions made by the Board on real estate projects often take years to come to fruition and have long-term impacts that cannot easily be changed. Further changes to our Board will be determined based on individual Trustee performance evaluations and the ongoing evaluation of the skill sets of our Trustees to ensure that they provide the full range of expertise needed to effectively carry out their fiduciary obligations to oversee the Company on behalf of our shareholders.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of Trustees Nominee Information and Statistics</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The chart below provides a snapshot of information about the nominees standing for election to the Board in 2021. It does not include information for either Mr. Vassalluzzo or Mr. Bortz who are currently Trustees but are not standing for re-election at the 2021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51980" cy="3729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1980" cy="372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Composition and Independence</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With the addition of two new Board members in September 2020, the size of our Board was increased from seven to nine trustees. Mr. Vassalluzzo and Mr. Bortz who have served on the Board since 2002 and 2005, respectively, will serve out their current term to the 2021 Annual Meeting but will not stand for reelection at the meeting. At that point, assuming all nominees are elected, our Board will be comprised of seven trustees including three women and one representative of an underrepresented minority group. Further, two of our four Board leadership positions are held by women.</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Before nominating any individual to the Board whether at the annual meeting or otherwise, the Board conducts a complete review of each potential nominee to determine whether that individual is independent. That review takes into account all relationships between us and the nominee that could impact the nominee’s ability to exercise independent judgment as well as the independence requirements outlined in our Corporate Governance Guidelines and the New York Stock Exchange (“NYSE”) listing manual. Our Corporate Governance Guidelines include a standard that a Trustee’s position as a director, officer or owner of a company with which we do business does not constitute a material relationship so long as payments made by that company do not account for more than five percent (5%) of our gross revenues or more than ten percent (10%) of the gross revenues of that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company. After this review, the Board determined that all of our Board members other than Mr. Ordan and Mr. Wood are independent. In determining that Mr. Nader is independent, the Board considered certain indirect passive investments Mr. Nader has in a small number of the Company’s tenants and determined that such investments did not constitute a material relationship with the Company and would not interfere with Mr. Nader’s ability to exercise independent judgment. Mr. Ordan is not considered independent under NYSE listing standards because within the last three years, our chief executive officer, Mr. Wood, served on the compensation committee of QCP Properties, Inc. (“QCP”) while Mr. Ordan served as the chief executive officer of QCP. Mr. Wood’s board service at QCP ended in July 2018 and as a result, starting in August 2021, the Board may determine that Mr. Ordan is independent.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Building the Right Board for Federal</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Primary responsibility for identifying and recommending individuals to be added to the Board and stand for election by shareholders has been delegated to the Nominating Committee. The Nominating Committee focuses on identifying individuals who have the highest personal and professional integrity, have demonstrated exceptional intelligence and judgment, have proven leadership skills, are committed to our success, have the requisite skills necessary to advance our long term strategy which is so critical in the real estate industry, and have the ability to work effectively with our Chief Executive Officer and other members of the Board. For incumbent Trustees, the Nominating Committee also takes into account his/her performance as a board member which is evaluated annually and the need to periodically refresh the Board. Also critical to the consideration is ensuring there is diversity on the Board that can bring different viewpoints to discussions reflecting their diverse backgrounds and experiences. The Board believes that a diversity of skills, ages, tenure, gender and ethnicity are all factors to be considered, consistent with the goal of creating a Board that best serves the needs of the Company and our shareholders. The Board has not established any specific diversity goals but made diversity a priority as part of the Board refreshment in 2020.</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To identify, recruit and evaluate qualified candidates for the Board, the Board first looks to individuals known to current Board members through business and other relationships. If the Board is not able to identify qualified candidates in that way, the services of a professional search firm would be used. Both Ms. Lamb-Hale and Mr. Nader were recommended through existing business relationships. Each Board member met individually with Ms. Lamb-Hale and Mr. Nader before the unanimous decision was made to add them to the Board.</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Shareholders are also able to nominate individuals to stand for election to our Board by following the procedures set forth in our Bylaws. In February 2021, the Board approved amending the Company’s Bylaws to implement proxy access. As amended, our Bylaws permit a shareholder, or a group of up to 20 shareholders, that has continuously owned for 3 years at least 3% of the Company’s outstanding common shares of beneficial interest to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2022 Annual Meeting” section at page 42.</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The following table below summarizes certain of the key areas of experience and expertise for our nominees that help to support our long-term business strategy and as a result are relevant when considering candidates for election to the Board.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43725" cy="4183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372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Leadership</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Since 2003, our Board has been operated under a structure that includes a non-executive chairman. The Board believes that its oversight function is enhanced by having an independent trustee in that leadership role and in a position to set the agenda for, and preside over, meetings of the Board. We also believe that our leadership structure enhances the active participation of our independent trustees and provides an effective way to ensure that our non-management trustees are fully informed and have the opportunity to fully debate all important issues in order to fulfill their oversight responsibilities and hold management accountable for the performance of the Company. This also allows our Chief Executive Officer to focus his time on running our day-to-day business. Our Non-Executive Chairman presides at all meetings of the Board and all executive sessions of the non-management and independent trustees. Mr. Vassalluzzo currently serves as the Non-Executive Chairman and will remain in that position until his term ends with the 2021 Annual Meeting. At that point, Mr. Faeder, assuming he is elected at the Annual Meeting, will become the Non-Executive Chairman of the Board.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Meetings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Board of Trustees held 7 meetings in 2020 which because of COVID-19 related restrictions, were conducted in various combinations of in-person and video conference. On average, our Trustees attended 98% of all meetings of the Board and 100% of all committee meetings during 2020. It is our policy for all Trustees to attend our annual meeting of shareholders absent exceptional cause and all of our Trustees did attend our 2020 Annual Meeting of Shareholders which was held virtually because of COVID-19 restrictions.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Committees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 xml:space="preserve">The Board has three standing committees – the Audit Committee, the Compensation Committee and the Nominating Committee. Each committee operates under a written charter that is available in the Investors/Corporate Governance section of our website at </w:t>
      </w:r>
      <w:r>
        <w:rPr>
          <w:rFonts w:ascii="Arial" w:cs="Arial" w:eastAsia="Arial" w:hAnsi="Arial"/>
          <w:sz w:val="18"/>
          <w:szCs w:val="18"/>
          <w:i w:val="1"/>
          <w:iCs w:val="1"/>
          <w:color w:val="262626"/>
        </w:rPr>
        <w:t xml:space="preserve">www.federalrealty.com. </w:t>
      </w:r>
      <w:r>
        <w:rPr>
          <w:rFonts w:ascii="Arial" w:cs="Arial" w:eastAsia="Arial" w:hAnsi="Arial"/>
          <w:sz w:val="18"/>
          <w:szCs w:val="18"/>
          <w:color w:val="262626"/>
        </w:rPr>
        <w:t>Each committee member meets the independence, experience and, with respect to the Audit Committee, the</w:t>
      </w:r>
      <w:r>
        <w:rPr>
          <w:rFonts w:ascii="Arial" w:cs="Arial" w:eastAsia="Arial" w:hAnsi="Arial"/>
          <w:sz w:val="18"/>
          <w:szCs w:val="18"/>
          <w:i w:val="1"/>
          <w:iCs w:val="1"/>
          <w:color w:val="262626"/>
        </w:rPr>
        <w:t xml:space="preserve"> </w:t>
      </w:r>
      <w:r>
        <w:rPr>
          <w:rFonts w:ascii="Arial" w:cs="Arial" w:eastAsia="Arial" w:hAnsi="Arial"/>
          <w:sz w:val="18"/>
          <w:szCs w:val="18"/>
          <w:color w:val="262626"/>
        </w:rPr>
        <w:t>financial literacy requirements of the NYSE, the Securities and Exchange Commission (“SEC”) and our Corporate Governance Guidelines. Over the past year, the charter of the Compensation Committee was updated to specifically require that the committee oversee our general human resource policies and practices for our entire workforce and the Nominating Committee charter was updated to specifically require that committee to oversee our ESG efforts. Although these topics have always been covered in Board meetings, the Board believes that these critical issues should have the heightened level of attention that committees can bring to bear. Information about each of these committees is included in the charts below: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1962785" cy="1868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2785" cy="186880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1"/>
        </w:trPr>
        <w:tc>
          <w:tcPr>
            <w:tcW w:w="2500" w:type="dxa"/>
            <w:vAlign w:val="bottom"/>
            <w:tcBorders>
              <w:top w:val="single" w:sz="8" w:color="F73A25"/>
            </w:tcBorders>
          </w:tcPr>
          <w:p>
            <w:pPr>
              <w:spacing w:after="0"/>
              <w:rPr>
                <w:sz w:val="20"/>
                <w:szCs w:val="20"/>
                <w:color w:val="auto"/>
              </w:rPr>
            </w:pPr>
            <w:r>
              <w:rPr>
                <w:rFonts w:ascii="Arial" w:cs="Arial" w:eastAsia="Arial" w:hAnsi="Arial"/>
                <w:sz w:val="14"/>
                <w:szCs w:val="14"/>
                <w:b w:val="1"/>
                <w:bCs w:val="1"/>
                <w:color w:val="262626"/>
              </w:rPr>
              <w:t>Members:</w:t>
            </w:r>
          </w:p>
        </w:tc>
        <w:tc>
          <w:tcPr>
            <w:tcW w:w="8520" w:type="dxa"/>
            <w:vAlign w:val="bottom"/>
            <w:tcBorders>
              <w:top w:val="single" w:sz="8" w:color="F73A25"/>
            </w:tcBorders>
          </w:tcPr>
          <w:p>
            <w:pPr>
              <w:ind w:left="800"/>
              <w:spacing w:after="0" w:line="201" w:lineRule="exact"/>
              <w:rPr>
                <w:sz w:val="20"/>
                <w:szCs w:val="20"/>
                <w:color w:val="auto"/>
              </w:rPr>
            </w:pPr>
            <w:r>
              <w:rPr>
                <w:rFonts w:ascii="Arial" w:cs="Arial" w:eastAsia="Arial" w:hAnsi="Arial"/>
                <w:sz w:val="18"/>
                <w:szCs w:val="18"/>
                <w:color w:val="262626"/>
              </w:rPr>
              <w:t>The Audit Committee responsibilities include the following:</w:t>
            </w:r>
          </w:p>
        </w:tc>
        <w:tc>
          <w:tcPr>
            <w:tcW w:w="0" w:type="dxa"/>
            <w:vAlign w:val="bottom"/>
          </w:tcPr>
          <w:p>
            <w:pPr>
              <w:spacing w:after="0"/>
              <w:rPr>
                <w:sz w:val="1"/>
                <w:szCs w:val="1"/>
                <w:color w:val="auto"/>
              </w:rPr>
            </w:pPr>
          </w:p>
        </w:tc>
      </w:tr>
      <w:tr>
        <w:trPr>
          <w:trHeight w:val="162"/>
        </w:trPr>
        <w:tc>
          <w:tcPr>
            <w:tcW w:w="2500" w:type="dxa"/>
            <w:vAlign w:val="bottom"/>
          </w:tcPr>
          <w:p>
            <w:pPr>
              <w:ind w:left="280"/>
              <w:spacing w:after="0"/>
              <w:rPr>
                <w:sz w:val="20"/>
                <w:szCs w:val="20"/>
                <w:color w:val="auto"/>
              </w:rPr>
            </w:pPr>
            <w:r>
              <w:rPr>
                <w:rFonts w:ascii="Arial" w:cs="Arial" w:eastAsia="Arial" w:hAnsi="Arial"/>
                <w:sz w:val="14"/>
                <w:szCs w:val="14"/>
                <w:color w:val="262626"/>
              </w:rPr>
              <w:t>Gail P. Steinel (Chair)*</w:t>
            </w: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00" w:type="dxa"/>
            <w:vAlign w:val="bottom"/>
          </w:tcPr>
          <w:p>
            <w:pPr>
              <w:ind w:left="280"/>
              <w:spacing w:after="0"/>
              <w:rPr>
                <w:sz w:val="20"/>
                <w:szCs w:val="20"/>
                <w:color w:val="auto"/>
              </w:rPr>
            </w:pPr>
            <w:r>
              <w:rPr>
                <w:rFonts w:ascii="Arial" w:cs="Arial" w:eastAsia="Arial" w:hAnsi="Arial"/>
                <w:sz w:val="14"/>
                <w:szCs w:val="14"/>
                <w:color w:val="262626"/>
              </w:rPr>
              <w:t>Jon E. Bortz*</w:t>
            </w:r>
          </w:p>
        </w:tc>
        <w:tc>
          <w:tcPr>
            <w:tcW w:w="8520" w:type="dxa"/>
            <w:vAlign w:val="bottom"/>
          </w:tcPr>
          <w:p>
            <w:pPr>
              <w:ind w:left="800"/>
              <w:spacing w:after="0" w:line="198" w:lineRule="exact"/>
              <w:rPr>
                <w:sz w:val="20"/>
                <w:szCs w:val="20"/>
                <w:color w:val="auto"/>
              </w:rPr>
            </w:pPr>
            <w:r>
              <w:rPr>
                <w:rFonts w:ascii="Arial" w:cs="Arial" w:eastAsia="Arial" w:hAnsi="Arial"/>
                <w:sz w:val="18"/>
                <w:szCs w:val="18"/>
                <w:color w:val="262626"/>
              </w:rPr>
              <w:t>●  Selecting our independent auditor and approving and overseeing its work</w:t>
            </w:r>
          </w:p>
        </w:tc>
        <w:tc>
          <w:tcPr>
            <w:tcW w:w="0" w:type="dxa"/>
            <w:vAlign w:val="bottom"/>
          </w:tcPr>
          <w:p>
            <w:pPr>
              <w:spacing w:after="0"/>
              <w:rPr>
                <w:sz w:val="1"/>
                <w:szCs w:val="1"/>
                <w:color w:val="auto"/>
              </w:rPr>
            </w:pPr>
          </w:p>
        </w:tc>
      </w:tr>
      <w:tr>
        <w:trPr>
          <w:trHeight w:val="97"/>
        </w:trPr>
        <w:tc>
          <w:tcPr>
            <w:tcW w:w="2500" w:type="dxa"/>
            <w:vAlign w:val="bottom"/>
          </w:tcPr>
          <w:p>
            <w:pPr>
              <w:ind w:left="280"/>
              <w:spacing w:after="0" w:line="97" w:lineRule="exact"/>
              <w:rPr>
                <w:sz w:val="20"/>
                <w:szCs w:val="20"/>
                <w:color w:val="auto"/>
              </w:rPr>
            </w:pPr>
            <w:r>
              <w:rPr>
                <w:rFonts w:ascii="Arial" w:cs="Arial" w:eastAsia="Arial" w:hAnsi="Arial"/>
                <w:sz w:val="11"/>
                <w:szCs w:val="11"/>
                <w:color w:val="262626"/>
              </w:rPr>
              <w:t>David W. Faeder*</w:t>
            </w:r>
          </w:p>
        </w:tc>
        <w:tc>
          <w:tcPr>
            <w:tcW w:w="8520" w:type="dxa"/>
            <w:vAlign w:val="bottom"/>
            <w:vMerge w:val="restart"/>
          </w:tcPr>
          <w:p>
            <w:pPr>
              <w:ind w:left="800"/>
              <w:spacing w:after="0"/>
              <w:rPr>
                <w:sz w:val="20"/>
                <w:szCs w:val="20"/>
                <w:color w:val="auto"/>
              </w:rPr>
            </w:pPr>
            <w:r>
              <w:rPr>
                <w:rFonts w:ascii="Arial" w:cs="Arial" w:eastAsia="Arial" w:hAnsi="Arial"/>
                <w:sz w:val="18"/>
                <w:szCs w:val="18"/>
                <w:color w:val="262626"/>
              </w:rPr>
              <w:t>●  Overseeing our financial reporting, including reviewing results with management and our</w:t>
            </w:r>
          </w:p>
        </w:tc>
        <w:tc>
          <w:tcPr>
            <w:tcW w:w="0" w:type="dxa"/>
            <w:vAlign w:val="bottom"/>
          </w:tcPr>
          <w:p>
            <w:pPr>
              <w:spacing w:after="0"/>
              <w:rPr>
                <w:sz w:val="1"/>
                <w:szCs w:val="1"/>
                <w:color w:val="auto"/>
              </w:rPr>
            </w:pPr>
          </w:p>
        </w:tc>
      </w:tr>
      <w:tr>
        <w:trPr>
          <w:trHeight w:val="172"/>
        </w:trPr>
        <w:tc>
          <w:tcPr>
            <w:tcW w:w="2500" w:type="dxa"/>
            <w:vAlign w:val="bottom"/>
          </w:tcPr>
          <w:p>
            <w:pPr>
              <w:ind w:left="280"/>
              <w:spacing w:after="0" w:line="172" w:lineRule="exact"/>
              <w:rPr>
                <w:sz w:val="20"/>
                <w:szCs w:val="20"/>
                <w:color w:val="auto"/>
              </w:rPr>
            </w:pPr>
            <w:r>
              <w:rPr>
                <w:rFonts w:ascii="Arial" w:cs="Arial" w:eastAsia="Arial" w:hAnsi="Arial"/>
                <w:sz w:val="14"/>
                <w:szCs w:val="14"/>
                <w:color w:val="262626"/>
              </w:rPr>
              <w:t>Anthony P. Nader*</w:t>
            </w:r>
            <w:r>
              <w:rPr>
                <w:rFonts w:ascii="MS PGothic" w:cs="MS PGothic" w:eastAsia="MS PGothic" w:hAnsi="MS PGothic"/>
                <w:sz w:val="18"/>
                <w:szCs w:val="18"/>
                <w:color w:val="262626"/>
                <w:vertAlign w:val="superscript"/>
              </w:rPr>
              <w:t>◆</w:t>
            </w:r>
          </w:p>
        </w:tc>
        <w:tc>
          <w:tcPr>
            <w:tcW w:w="8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520" w:type="dxa"/>
            <w:vAlign w:val="bottom"/>
          </w:tcPr>
          <w:p>
            <w:pPr>
              <w:ind w:left="1080"/>
              <w:spacing w:after="0"/>
              <w:rPr>
                <w:sz w:val="20"/>
                <w:szCs w:val="20"/>
                <w:color w:val="auto"/>
              </w:rPr>
            </w:pPr>
            <w:r>
              <w:rPr>
                <w:rFonts w:ascii="Arial" w:cs="Arial" w:eastAsia="Arial" w:hAnsi="Arial"/>
                <w:sz w:val="18"/>
                <w:szCs w:val="18"/>
                <w:color w:val="262626"/>
              </w:rPr>
              <w:t>independent auditor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4"/>
          <w:szCs w:val="14"/>
          <w:b w:val="1"/>
          <w:bCs w:val="1"/>
          <w:color w:val="262626"/>
        </w:rPr>
        <w:t xml:space="preserve"># of 2020 Meetings: </w:t>
      </w:r>
      <w:r>
        <w:rPr>
          <w:rFonts w:ascii="Arial" w:cs="Arial" w:eastAsia="Arial" w:hAnsi="Arial"/>
          <w:sz w:val="14"/>
          <w:szCs w:val="14"/>
          <w:color w:val="262626"/>
        </w:rPr>
        <w:t>4</w:t>
      </w:r>
    </w:p>
    <w:p>
      <w:pPr>
        <w:spacing w:after="0" w:line="117" w:lineRule="exact"/>
        <w:rPr>
          <w:sz w:val="20"/>
          <w:szCs w:val="20"/>
          <w:color w:val="auto"/>
        </w:rPr>
      </w:pPr>
    </w:p>
    <w:p>
      <w:pPr>
        <w:ind w:left="240" w:hanging="124"/>
        <w:spacing w:after="0" w:line="230" w:lineRule="auto"/>
        <w:tabs>
          <w:tab w:leader="none" w:pos="234" w:val="left"/>
        </w:tabs>
        <w:numPr>
          <w:ilvl w:val="0"/>
          <w:numId w:val="7"/>
        </w:numPr>
        <w:rPr>
          <w:rFonts w:ascii="Arial" w:cs="Arial" w:eastAsia="Arial" w:hAnsi="Arial"/>
          <w:sz w:val="13"/>
          <w:szCs w:val="13"/>
          <w:color w:val="262626"/>
        </w:rPr>
      </w:pPr>
      <w:r>
        <w:rPr>
          <w:rFonts w:ascii="Arial" w:cs="Arial" w:eastAsia="Arial" w:hAnsi="Arial"/>
          <w:sz w:val="13"/>
          <w:szCs w:val="13"/>
          <w:color w:val="262626"/>
        </w:rPr>
        <w:t>Qualifies as an “audit committee financial expert” as defined by the SEC</w:t>
      </w:r>
    </w:p>
    <w:p>
      <w:pPr>
        <w:spacing w:after="0" w:line="280" w:lineRule="exact"/>
        <w:rPr>
          <w:sz w:val="20"/>
          <w:szCs w:val="20"/>
          <w:color w:val="auto"/>
        </w:rPr>
      </w:pPr>
    </w:p>
    <w:p>
      <w:pPr>
        <w:ind w:left="220" w:hanging="104"/>
        <w:spacing w:after="0"/>
        <w:tabs>
          <w:tab w:leader="none" w:pos="220" w:val="left"/>
        </w:tabs>
        <w:numPr>
          <w:ilvl w:val="0"/>
          <w:numId w:val="8"/>
        </w:numPr>
        <w:rPr>
          <w:rFonts w:ascii="MS PGothic" w:cs="MS PGothic" w:eastAsia="MS PGothic" w:hAnsi="MS PGothic"/>
          <w:sz w:val="8"/>
          <w:szCs w:val="8"/>
          <w:color w:val="262626"/>
        </w:rPr>
      </w:pPr>
      <w:r>
        <w:rPr>
          <w:rFonts w:ascii="Arial" w:cs="Arial" w:eastAsia="Arial" w:hAnsi="Arial"/>
          <w:sz w:val="13"/>
          <w:szCs w:val="13"/>
          <w:color w:val="262626"/>
        </w:rPr>
        <w:t>Joined the Audit Committee on November 4, 2020</w:t>
      </w:r>
    </w:p>
    <w:p>
      <w:pPr>
        <w:spacing w:after="0" w:line="20" w:lineRule="exact"/>
        <w:rPr>
          <w:sz w:val="20"/>
          <w:szCs w:val="20"/>
          <w:color w:val="auto"/>
        </w:rPr>
      </w:pPr>
      <w:r>
        <w:rPr>
          <w:sz w:val="20"/>
          <w:szCs w:val="20"/>
          <w:color w:val="auto"/>
        </w:rPr>
        <w:br w:type="column"/>
      </w:r>
    </w:p>
    <w:p>
      <w:pPr>
        <w:ind w:left="280" w:hanging="277"/>
        <w:spacing w:after="0"/>
        <w:tabs>
          <w:tab w:leader="none" w:pos="280" w:val="left"/>
        </w:tabs>
        <w:numPr>
          <w:ilvl w:val="0"/>
          <w:numId w:val="9"/>
        </w:numPr>
        <w:rPr>
          <w:rFonts w:ascii="Arial" w:cs="Arial" w:eastAsia="Arial" w:hAnsi="Arial"/>
          <w:sz w:val="18"/>
          <w:szCs w:val="18"/>
          <w:color w:val="262626"/>
        </w:rPr>
      </w:pPr>
      <w:r>
        <w:rPr>
          <w:rFonts w:ascii="Arial" w:cs="Arial" w:eastAsia="Arial" w:hAnsi="Arial"/>
          <w:sz w:val="18"/>
          <w:szCs w:val="18"/>
          <w:color w:val="262626"/>
        </w:rPr>
        <w:t>Overseeing our internal systems of accounting and control</w:t>
      </w:r>
    </w:p>
    <w:p>
      <w:pPr>
        <w:spacing w:after="0" w:line="9" w:lineRule="exact"/>
        <w:rPr>
          <w:rFonts w:ascii="Arial" w:cs="Arial" w:eastAsia="Arial" w:hAnsi="Arial"/>
          <w:sz w:val="18"/>
          <w:szCs w:val="18"/>
          <w:color w:val="262626"/>
        </w:rPr>
      </w:pPr>
    </w:p>
    <w:p>
      <w:pPr>
        <w:ind w:left="280" w:right="20" w:hanging="277"/>
        <w:spacing w:after="0" w:line="261" w:lineRule="auto"/>
        <w:tabs>
          <w:tab w:leader="none" w:pos="294" w:val="left"/>
        </w:tabs>
        <w:numPr>
          <w:ilvl w:val="0"/>
          <w:numId w:val="9"/>
        </w:numPr>
        <w:rPr>
          <w:rFonts w:ascii="Arial" w:cs="Arial" w:eastAsia="Arial" w:hAnsi="Arial"/>
          <w:sz w:val="18"/>
          <w:szCs w:val="18"/>
          <w:color w:val="262626"/>
        </w:rPr>
      </w:pPr>
      <w:r>
        <w:rPr>
          <w:rFonts w:ascii="Arial" w:cs="Arial" w:eastAsia="Arial" w:hAnsi="Arial"/>
          <w:sz w:val="18"/>
          <w:szCs w:val="18"/>
          <w:color w:val="262626"/>
        </w:rPr>
        <w:t>Overseeing financial, cybersecurity and similar risks with regular quarterly updates on each of these topics.</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62626"/>
        </w:rPr>
        <w:t>Each member of the Audit Committee is “independent” as defined by the SEC, the NYSE and our Corporate Governance Guidelines.</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62626"/>
        </w:rPr>
        <w:t>More information on the Audit Committee is included in the Audit Committee Report and “Proposal 3: Ratification of Independent Auditor” beginning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-10795</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300"/>
            <w:col w:w="7720"/>
          </w:cols>
          <w:pgMar w:left="320" w:top="459" w:right="439" w:bottom="1440" w:gutter="0" w:footer="0" w:header="0"/>
          <w:type w:val="continuous"/>
        </w:sectPr>
      </w:pP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262626"/>
        </w:rPr>
        <w:t>Compensation and Human Capital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800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2626"/>
        </w:rPr>
        <w:t>Members:</w:t>
      </w:r>
    </w:p>
    <w:p>
      <w:pPr>
        <w:spacing w:after="0" w:line="47" w:lineRule="exact"/>
        <w:rPr>
          <w:sz w:val="20"/>
          <w:szCs w:val="20"/>
          <w:color w:val="auto"/>
        </w:rPr>
      </w:pPr>
    </w:p>
    <w:p>
      <w:pPr>
        <w:ind w:left="400"/>
        <w:spacing w:after="0"/>
        <w:rPr>
          <w:sz w:val="20"/>
          <w:szCs w:val="20"/>
          <w:color w:val="auto"/>
        </w:rPr>
      </w:pPr>
      <w:r>
        <w:rPr>
          <w:rFonts w:ascii="Arial" w:cs="Arial" w:eastAsia="Arial" w:hAnsi="Arial"/>
          <w:sz w:val="14"/>
          <w:szCs w:val="14"/>
          <w:color w:val="262626"/>
        </w:rPr>
        <w:t>David W. Faeder (Chair)</w:t>
      </w:r>
    </w:p>
    <w:p>
      <w:pPr>
        <w:ind w:left="400"/>
        <w:spacing w:after="0" w:line="229" w:lineRule="auto"/>
        <w:rPr>
          <w:sz w:val="20"/>
          <w:szCs w:val="20"/>
          <w:color w:val="auto"/>
        </w:rPr>
      </w:pPr>
      <w:r>
        <w:rPr>
          <w:rFonts w:ascii="Arial" w:cs="Arial" w:eastAsia="Arial" w:hAnsi="Arial"/>
          <w:sz w:val="14"/>
          <w:szCs w:val="14"/>
          <w:color w:val="262626"/>
        </w:rPr>
        <w:t>Elizabeth I. Holland</w:t>
      </w:r>
    </w:p>
    <w:p>
      <w:pPr>
        <w:ind w:left="400"/>
        <w:spacing w:after="0" w:line="171" w:lineRule="exact"/>
        <w:rPr>
          <w:sz w:val="20"/>
          <w:szCs w:val="20"/>
          <w:color w:val="auto"/>
        </w:rPr>
      </w:pPr>
      <w:r>
        <w:rPr>
          <w:rFonts w:ascii="Arial" w:cs="Arial" w:eastAsia="Arial" w:hAnsi="Arial"/>
          <w:sz w:val="14"/>
          <w:szCs w:val="14"/>
          <w:color w:val="262626"/>
        </w:rPr>
        <w:t>Nicole Y. Lamb-Hale</w:t>
      </w:r>
      <w:r>
        <w:rPr>
          <w:rFonts w:ascii="MS PGothic" w:cs="MS PGothic" w:eastAsia="MS PGothic" w:hAnsi="MS PGothic"/>
          <w:sz w:val="18"/>
          <w:szCs w:val="18"/>
          <w:color w:val="262626"/>
          <w:vertAlign w:val="superscript"/>
        </w:rPr>
        <w:t>◆</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262626"/>
        </w:rPr>
        <w:t>Gail P. Steinel</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262626"/>
        </w:rPr>
        <w:t>Joseph S. Vassalluzzo</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2626"/>
        </w:rPr>
        <w:t xml:space="preserve"># of 2020 Meetings: </w:t>
      </w:r>
      <w:r>
        <w:rPr>
          <w:rFonts w:ascii="Arial" w:cs="Arial" w:eastAsia="Arial" w:hAnsi="Arial"/>
          <w:sz w:val="14"/>
          <w:szCs w:val="14"/>
          <w:color w:val="262626"/>
        </w:rPr>
        <w:t>2</w:t>
      </w:r>
    </w:p>
    <w:p>
      <w:pPr>
        <w:spacing w:after="0" w:line="197" w:lineRule="exact"/>
        <w:rPr>
          <w:sz w:val="20"/>
          <w:szCs w:val="20"/>
          <w:color w:val="auto"/>
        </w:rPr>
      </w:pPr>
    </w:p>
    <w:p>
      <w:pPr>
        <w:ind w:left="220" w:hanging="104"/>
        <w:spacing w:after="0"/>
        <w:tabs>
          <w:tab w:leader="none" w:pos="220" w:val="left"/>
        </w:tabs>
        <w:numPr>
          <w:ilvl w:val="0"/>
          <w:numId w:val="10"/>
        </w:numPr>
        <w:rPr>
          <w:rFonts w:ascii="MS PGothic" w:cs="MS PGothic" w:eastAsia="MS PGothic" w:hAnsi="MS PGothic"/>
          <w:sz w:val="7"/>
          <w:szCs w:val="7"/>
          <w:color w:val="262626"/>
        </w:rPr>
      </w:pPr>
      <w:r>
        <w:rPr>
          <w:rFonts w:ascii="Arial" w:cs="Arial" w:eastAsia="Arial" w:hAnsi="Arial"/>
          <w:sz w:val="12"/>
          <w:szCs w:val="12"/>
          <w:color w:val="262626"/>
        </w:rPr>
        <w:t>Joined the committee on November 4, 2020</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The Compensation Committee responsibilities include the following:</w:t>
      </w:r>
    </w:p>
    <w:p>
      <w:pPr>
        <w:spacing w:after="0" w:line="198" w:lineRule="exact"/>
        <w:rPr>
          <w:sz w:val="20"/>
          <w:szCs w:val="20"/>
          <w:color w:val="auto"/>
        </w:rPr>
      </w:pPr>
    </w:p>
    <w:p>
      <w:pPr>
        <w:ind w:left="280" w:hanging="277"/>
        <w:spacing w:after="0"/>
        <w:tabs>
          <w:tab w:leader="none" w:pos="280" w:val="left"/>
        </w:tabs>
        <w:numPr>
          <w:ilvl w:val="0"/>
          <w:numId w:val="11"/>
        </w:numPr>
        <w:rPr>
          <w:rFonts w:ascii="Arial" w:cs="Arial" w:eastAsia="Arial" w:hAnsi="Arial"/>
          <w:sz w:val="18"/>
          <w:szCs w:val="18"/>
          <w:color w:val="262626"/>
        </w:rPr>
      </w:pPr>
      <w:r>
        <w:rPr>
          <w:rFonts w:ascii="Arial" w:cs="Arial" w:eastAsia="Arial" w:hAnsi="Arial"/>
          <w:sz w:val="18"/>
          <w:szCs w:val="18"/>
          <w:color w:val="262626"/>
        </w:rPr>
        <w:t>Reviewing and recommending compensation for our senior officers</w:t>
      </w:r>
    </w:p>
    <w:p>
      <w:pPr>
        <w:spacing w:after="0" w:line="9" w:lineRule="exact"/>
        <w:rPr>
          <w:rFonts w:ascii="Arial" w:cs="Arial" w:eastAsia="Arial" w:hAnsi="Arial"/>
          <w:sz w:val="18"/>
          <w:szCs w:val="18"/>
          <w:color w:val="262626"/>
        </w:rPr>
      </w:pPr>
    </w:p>
    <w:p>
      <w:pPr>
        <w:ind w:left="260" w:hanging="257"/>
        <w:spacing w:after="0"/>
        <w:tabs>
          <w:tab w:leader="none" w:pos="260" w:val="left"/>
        </w:tabs>
        <w:numPr>
          <w:ilvl w:val="0"/>
          <w:numId w:val="11"/>
        </w:numPr>
        <w:rPr>
          <w:rFonts w:ascii="Arial" w:cs="Arial" w:eastAsia="Arial" w:hAnsi="Arial"/>
          <w:sz w:val="18"/>
          <w:szCs w:val="18"/>
          <w:color w:val="262626"/>
        </w:rPr>
      </w:pPr>
      <w:r>
        <w:rPr>
          <w:rFonts w:ascii="Arial" w:cs="Arial" w:eastAsia="Arial" w:hAnsi="Arial"/>
          <w:sz w:val="18"/>
          <w:szCs w:val="18"/>
          <w:color w:val="262626"/>
        </w:rPr>
        <w:t>Administering and making awards under our long-term incentive award plans</w:t>
      </w:r>
    </w:p>
    <w:p>
      <w:pPr>
        <w:spacing w:after="0" w:line="9" w:lineRule="exact"/>
        <w:rPr>
          <w:rFonts w:ascii="Arial" w:cs="Arial" w:eastAsia="Arial" w:hAnsi="Arial"/>
          <w:sz w:val="18"/>
          <w:szCs w:val="18"/>
          <w:color w:val="262626"/>
        </w:rPr>
      </w:pPr>
    </w:p>
    <w:p>
      <w:pPr>
        <w:ind w:left="260" w:hanging="257"/>
        <w:spacing w:after="0"/>
        <w:tabs>
          <w:tab w:leader="none" w:pos="260" w:val="left"/>
        </w:tabs>
        <w:numPr>
          <w:ilvl w:val="0"/>
          <w:numId w:val="11"/>
        </w:numPr>
        <w:rPr>
          <w:rFonts w:ascii="Arial" w:cs="Arial" w:eastAsia="Arial" w:hAnsi="Arial"/>
          <w:sz w:val="18"/>
          <w:szCs w:val="18"/>
          <w:color w:val="262626"/>
        </w:rPr>
      </w:pPr>
      <w:r>
        <w:rPr>
          <w:rFonts w:ascii="Arial" w:cs="Arial" w:eastAsia="Arial" w:hAnsi="Arial"/>
          <w:sz w:val="18"/>
          <w:szCs w:val="18"/>
          <w:color w:val="262626"/>
        </w:rPr>
        <w:t>Administering other benefit programs of the Company</w:t>
      </w:r>
    </w:p>
    <w:p>
      <w:pPr>
        <w:spacing w:after="0" w:line="22" w:lineRule="exact"/>
        <w:rPr>
          <w:rFonts w:ascii="Arial" w:cs="Arial" w:eastAsia="Arial" w:hAnsi="Arial"/>
          <w:sz w:val="18"/>
          <w:szCs w:val="18"/>
          <w:color w:val="262626"/>
        </w:rPr>
      </w:pPr>
    </w:p>
    <w:p>
      <w:pPr>
        <w:ind w:left="280" w:right="20" w:hanging="277"/>
        <w:spacing w:after="0" w:line="261" w:lineRule="auto"/>
        <w:tabs>
          <w:tab w:leader="none" w:pos="281" w:val="left"/>
        </w:tabs>
        <w:numPr>
          <w:ilvl w:val="0"/>
          <w:numId w:val="11"/>
        </w:numPr>
        <w:rPr>
          <w:rFonts w:ascii="Arial" w:cs="Arial" w:eastAsia="Arial" w:hAnsi="Arial"/>
          <w:sz w:val="18"/>
          <w:szCs w:val="18"/>
          <w:color w:val="262626"/>
        </w:rPr>
      </w:pPr>
      <w:r>
        <w:rPr>
          <w:rFonts w:ascii="Arial" w:cs="Arial" w:eastAsia="Arial" w:hAnsi="Arial"/>
          <w:sz w:val="18"/>
          <w:szCs w:val="18"/>
          <w:color w:val="262626"/>
        </w:rPr>
        <w:t xml:space="preserve">Overseeing our strategies and policies related to key human resources policies and practices for all employees </w:t>
      </w:r>
      <w:r>
        <w:rPr>
          <w:rFonts w:ascii="Arial" w:cs="Arial" w:eastAsia="Arial" w:hAnsi="Arial"/>
          <w:sz w:val="18"/>
          <w:szCs w:val="18"/>
          <w:color w:val="F73A25"/>
        </w:rPr>
        <w:t>(New)</w:t>
      </w:r>
    </w:p>
    <w:p>
      <w:pPr>
        <w:spacing w:after="0" w:line="7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262626"/>
        </w:rPr>
        <w:t>Each member of the Compensation Committee is “independent” as defined by the NYSE and our Corporate Governance Guidelines.</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262626"/>
        </w:rPr>
        <w:t>The Compensation Committee Report is included at page 27 of this proxy statement and more detail on the work of the Compensation Committee is included in the “Compensation Discussion and Analysis”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-7620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262626"/>
        </w:rPr>
        <w:t>9</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262626"/>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262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1962785" cy="1671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2785" cy="1671955"/>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4"/>
          <w:szCs w:val="14"/>
          <w:color w:val="262626"/>
        </w:rPr>
        <w:t>Elizabeth I. Holland (Chair)</w:t>
      </w:r>
    </w:p>
    <w:p>
      <w:pPr>
        <w:ind w:left="400"/>
        <w:spacing w:after="0" w:line="229" w:lineRule="auto"/>
        <w:rPr>
          <w:sz w:val="20"/>
          <w:szCs w:val="20"/>
          <w:color w:val="auto"/>
        </w:rPr>
      </w:pPr>
      <w:r>
        <w:rPr>
          <w:rFonts w:ascii="Arial" w:cs="Arial" w:eastAsia="Arial" w:hAnsi="Arial"/>
          <w:sz w:val="14"/>
          <w:szCs w:val="14"/>
          <w:color w:val="262626"/>
        </w:rPr>
        <w:t>Jon E. Bortz</w:t>
      </w:r>
    </w:p>
    <w:p>
      <w:pPr>
        <w:ind w:left="400"/>
        <w:spacing w:after="0" w:line="163" w:lineRule="exact"/>
        <w:rPr>
          <w:sz w:val="20"/>
          <w:szCs w:val="20"/>
          <w:color w:val="auto"/>
        </w:rPr>
      </w:pPr>
      <w:r>
        <w:rPr>
          <w:rFonts w:ascii="Arial" w:cs="Arial" w:eastAsia="Arial" w:hAnsi="Arial"/>
          <w:sz w:val="14"/>
          <w:szCs w:val="14"/>
          <w:color w:val="262626"/>
        </w:rPr>
        <w:t>Nicole Y. Lamb-Hale</w:t>
      </w:r>
      <w:r>
        <w:rPr>
          <w:rFonts w:ascii="MS PGothic" w:cs="MS PGothic" w:eastAsia="MS PGothic" w:hAnsi="MS PGothic"/>
          <w:sz w:val="18"/>
          <w:szCs w:val="18"/>
          <w:color w:val="262626"/>
          <w:vertAlign w:val="superscript"/>
        </w:rPr>
        <w:t>◆</w:t>
      </w:r>
    </w:p>
    <w:p>
      <w:pPr>
        <w:ind w:left="400"/>
        <w:spacing w:after="0" w:line="171" w:lineRule="exact"/>
        <w:rPr>
          <w:sz w:val="20"/>
          <w:szCs w:val="20"/>
          <w:color w:val="auto"/>
        </w:rPr>
      </w:pPr>
      <w:r>
        <w:rPr>
          <w:rFonts w:ascii="Arial" w:cs="Arial" w:eastAsia="Arial" w:hAnsi="Arial"/>
          <w:sz w:val="14"/>
          <w:szCs w:val="14"/>
          <w:color w:val="262626"/>
        </w:rPr>
        <w:t>Anthony P. Nader</w:t>
      </w:r>
      <w:r>
        <w:rPr>
          <w:rFonts w:ascii="MS PGothic" w:cs="MS PGothic" w:eastAsia="MS PGothic" w:hAnsi="MS PGothic"/>
          <w:sz w:val="18"/>
          <w:szCs w:val="18"/>
          <w:color w:val="262626"/>
          <w:vertAlign w:val="superscript"/>
        </w:rPr>
        <w:t>◆</w:t>
      </w:r>
    </w:p>
    <w:p>
      <w:pPr>
        <w:ind w:left="400"/>
        <w:spacing w:after="0"/>
        <w:rPr>
          <w:sz w:val="20"/>
          <w:szCs w:val="20"/>
          <w:color w:val="auto"/>
        </w:rPr>
      </w:pPr>
      <w:r>
        <w:rPr>
          <w:rFonts w:ascii="Arial" w:cs="Arial" w:eastAsia="Arial" w:hAnsi="Arial"/>
          <w:sz w:val="14"/>
          <w:szCs w:val="14"/>
          <w:color w:val="262626"/>
        </w:rPr>
        <w:t>Joseph S. Vassalluzzo</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62626"/>
        </w:rPr>
        <w:t xml:space="preserve"># of 2020 Meetings: </w:t>
      </w:r>
      <w:r>
        <w:rPr>
          <w:rFonts w:ascii="Arial" w:cs="Arial" w:eastAsia="Arial" w:hAnsi="Arial"/>
          <w:sz w:val="14"/>
          <w:szCs w:val="14"/>
          <w:color w:val="262626"/>
        </w:rPr>
        <w:t>2</w:t>
      </w:r>
    </w:p>
    <w:p>
      <w:pPr>
        <w:spacing w:after="0" w:line="170" w:lineRule="exact"/>
        <w:rPr>
          <w:sz w:val="20"/>
          <w:szCs w:val="20"/>
          <w:color w:val="auto"/>
        </w:rPr>
      </w:pPr>
    </w:p>
    <w:p>
      <w:pPr>
        <w:ind w:left="220" w:hanging="104"/>
        <w:spacing w:after="0"/>
        <w:tabs>
          <w:tab w:leader="none" w:pos="220" w:val="left"/>
        </w:tabs>
        <w:numPr>
          <w:ilvl w:val="0"/>
          <w:numId w:val="12"/>
        </w:numPr>
        <w:rPr>
          <w:rFonts w:ascii="MS PGothic" w:cs="MS PGothic" w:eastAsia="MS PGothic" w:hAnsi="MS PGothic"/>
          <w:sz w:val="7"/>
          <w:szCs w:val="7"/>
          <w:color w:val="262626"/>
        </w:rPr>
      </w:pPr>
      <w:r>
        <w:rPr>
          <w:rFonts w:ascii="Arial" w:cs="Arial" w:eastAsia="Arial" w:hAnsi="Arial"/>
          <w:sz w:val="12"/>
          <w:szCs w:val="12"/>
          <w:color w:val="262626"/>
        </w:rPr>
        <w:t>Joined the committee on November 4, 2020</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The Nominating Committee responsibilities include the following:</w:t>
      </w:r>
    </w:p>
    <w:p>
      <w:pPr>
        <w:spacing w:after="0" w:line="198" w:lineRule="exact"/>
        <w:rPr>
          <w:sz w:val="20"/>
          <w:szCs w:val="20"/>
          <w:color w:val="auto"/>
        </w:rPr>
      </w:pPr>
    </w:p>
    <w:p>
      <w:pPr>
        <w:ind w:left="280" w:hanging="277"/>
        <w:spacing w:after="0"/>
        <w:tabs>
          <w:tab w:leader="none" w:pos="280" w:val="left"/>
        </w:tabs>
        <w:numPr>
          <w:ilvl w:val="0"/>
          <w:numId w:val="13"/>
        </w:numPr>
        <w:rPr>
          <w:rFonts w:ascii="Arial" w:cs="Arial" w:eastAsia="Arial" w:hAnsi="Arial"/>
          <w:sz w:val="18"/>
          <w:szCs w:val="18"/>
          <w:color w:val="262626"/>
        </w:rPr>
      </w:pPr>
      <w:r>
        <w:rPr>
          <w:rFonts w:ascii="Arial" w:cs="Arial" w:eastAsia="Arial" w:hAnsi="Arial"/>
          <w:sz w:val="18"/>
          <w:szCs w:val="18"/>
          <w:color w:val="262626"/>
        </w:rPr>
        <w:t>Recommending individuals to stand for election to the Board</w:t>
      </w:r>
    </w:p>
    <w:p>
      <w:pPr>
        <w:spacing w:after="0" w:line="22" w:lineRule="exact"/>
        <w:rPr>
          <w:rFonts w:ascii="Arial" w:cs="Arial" w:eastAsia="Arial" w:hAnsi="Arial"/>
          <w:sz w:val="18"/>
          <w:szCs w:val="18"/>
          <w:color w:val="262626"/>
        </w:rPr>
      </w:pPr>
    </w:p>
    <w:p>
      <w:pPr>
        <w:ind w:left="280" w:hanging="277"/>
        <w:spacing w:after="0"/>
        <w:tabs>
          <w:tab w:leader="none" w:pos="280" w:val="left"/>
        </w:tabs>
        <w:numPr>
          <w:ilvl w:val="0"/>
          <w:numId w:val="13"/>
        </w:numPr>
        <w:rPr>
          <w:rFonts w:ascii="Arial" w:cs="Arial" w:eastAsia="Arial" w:hAnsi="Arial"/>
          <w:sz w:val="18"/>
          <w:szCs w:val="18"/>
          <w:color w:val="262626"/>
        </w:rPr>
      </w:pPr>
      <w:r>
        <w:rPr>
          <w:rFonts w:ascii="Arial" w:cs="Arial" w:eastAsia="Arial" w:hAnsi="Arial"/>
          <w:sz w:val="18"/>
          <w:szCs w:val="18"/>
          <w:color w:val="262626"/>
        </w:rPr>
        <w:t>Making recommendations regarding committee memberships</w:t>
      </w:r>
    </w:p>
    <w:p>
      <w:pPr>
        <w:spacing w:after="0" w:line="22" w:lineRule="exact"/>
        <w:rPr>
          <w:rFonts w:ascii="Arial" w:cs="Arial" w:eastAsia="Arial" w:hAnsi="Arial"/>
          <w:sz w:val="18"/>
          <w:szCs w:val="18"/>
          <w:color w:val="262626"/>
        </w:rPr>
      </w:pPr>
    </w:p>
    <w:p>
      <w:pPr>
        <w:ind w:left="280" w:hanging="277"/>
        <w:spacing w:after="0"/>
        <w:tabs>
          <w:tab w:leader="none" w:pos="280" w:val="left"/>
        </w:tabs>
        <w:numPr>
          <w:ilvl w:val="0"/>
          <w:numId w:val="13"/>
        </w:numPr>
        <w:rPr>
          <w:rFonts w:ascii="Arial" w:cs="Arial" w:eastAsia="Arial" w:hAnsi="Arial"/>
          <w:sz w:val="18"/>
          <w:szCs w:val="18"/>
          <w:color w:val="262626"/>
        </w:rPr>
      </w:pPr>
      <w:r>
        <w:rPr>
          <w:rFonts w:ascii="Arial" w:cs="Arial" w:eastAsia="Arial" w:hAnsi="Arial"/>
          <w:sz w:val="18"/>
          <w:szCs w:val="18"/>
          <w:color w:val="262626"/>
        </w:rPr>
        <w:t>Overseeing our corporate responsibility and sustainability efforts</w:t>
      </w:r>
    </w:p>
    <w:p>
      <w:pPr>
        <w:spacing w:after="0" w:line="22" w:lineRule="exact"/>
        <w:rPr>
          <w:rFonts w:ascii="Arial" w:cs="Arial" w:eastAsia="Arial" w:hAnsi="Arial"/>
          <w:sz w:val="18"/>
          <w:szCs w:val="18"/>
          <w:color w:val="262626"/>
        </w:rPr>
      </w:pPr>
    </w:p>
    <w:p>
      <w:pPr>
        <w:ind w:left="280"/>
        <w:spacing w:after="0"/>
        <w:rPr>
          <w:rFonts w:ascii="Arial" w:cs="Arial" w:eastAsia="Arial" w:hAnsi="Arial"/>
          <w:sz w:val="18"/>
          <w:szCs w:val="18"/>
          <w:color w:val="262626"/>
        </w:rPr>
      </w:pPr>
      <w:r>
        <w:rPr>
          <w:rFonts w:ascii="Arial" w:cs="Arial" w:eastAsia="Arial" w:hAnsi="Arial"/>
          <w:sz w:val="18"/>
          <w:szCs w:val="18"/>
          <w:color w:val="262626"/>
        </w:rPr>
        <w:t xml:space="preserve">and strategy, including quarterly updates on our strategy, progress and priorities </w:t>
      </w:r>
      <w:r>
        <w:rPr>
          <w:rFonts w:ascii="Arial" w:cs="Arial" w:eastAsia="Arial" w:hAnsi="Arial"/>
          <w:sz w:val="18"/>
          <w:szCs w:val="18"/>
          <w:color w:val="F73A25"/>
        </w:rPr>
        <w:t>(New)</w:t>
      </w:r>
    </w:p>
    <w:p>
      <w:pPr>
        <w:spacing w:after="0" w:line="22" w:lineRule="exact"/>
        <w:rPr>
          <w:rFonts w:ascii="Arial" w:cs="Arial" w:eastAsia="Arial" w:hAnsi="Arial"/>
          <w:sz w:val="18"/>
          <w:szCs w:val="18"/>
          <w:color w:val="262626"/>
        </w:rPr>
      </w:pPr>
    </w:p>
    <w:p>
      <w:pPr>
        <w:ind w:left="280" w:right="20" w:hanging="277"/>
        <w:spacing w:after="0" w:line="261" w:lineRule="auto"/>
        <w:tabs>
          <w:tab w:leader="none" w:pos="281" w:val="left"/>
        </w:tabs>
        <w:numPr>
          <w:ilvl w:val="0"/>
          <w:numId w:val="13"/>
        </w:numPr>
        <w:rPr>
          <w:rFonts w:ascii="Arial" w:cs="Arial" w:eastAsia="Arial" w:hAnsi="Arial"/>
          <w:sz w:val="18"/>
          <w:szCs w:val="18"/>
          <w:color w:val="262626"/>
        </w:rPr>
      </w:pPr>
      <w:r>
        <w:rPr>
          <w:rFonts w:ascii="Arial" w:cs="Arial" w:eastAsia="Arial" w:hAnsi="Arial"/>
          <w:sz w:val="18"/>
          <w:szCs w:val="18"/>
          <w:color w:val="262626"/>
        </w:rPr>
        <w:t>Overseeing our corporate governance policies and procedures, including Board and Trustee evaluations</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262626"/>
        </w:rPr>
        <w:t>Each member of the Nominating Committee is “independent” as defined by the NYSE and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160020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 and Committee Evaluations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The Board and each committee conducts an annual assessment of its effectiveness. The assessment is conducted as an open discussion in the last meeting of the year and specifically addresses areas identified in materials circulated in advance of the meeting as well as any other topic raised during the discussion. In addition, annual evaluations are conducted for each individual trustee. That process is conducted by the chair of the Nominating Committee who circulates a written questionnaire to each Trustee who then completes a questionnaire evaluating the performance of each of the other Trustees. The questionnaires are returned to the Nominating Committee chair who assembles the feedback and has individual conversations with each Trustee about the results of his/her evaluation including identifying any areas that need improvement. The one-on-one discussions are also used as an opportunity for any individual Trustee to raise any other Board related topics they would like to discuss. The Non-Executive Chairman runs this same process for the evaluation of the chair of the Nominating Committee. At the Company’s first meeting each year, the Nominating Committee chair and the Non-Executive Chairman provide an overview of the results of the evaluations to the entirety of the Board.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Board’s Risk Management Oversight</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The Board is responsible for overseeing enterprise level risk of the Company and does so directly and through its committees. The entire Board regularly receives updates from management on the continued viability of our business plan, market conditions, capital position, and our business results and specifically reviews potential business risks. Those updates were more frequent in 2020 as the impacts of COVID-19 were assessed and the strategies and plans for operating through the pandemic were discussed regularly.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w:t>
      </w:r>
    </w:p>
    <w:p>
      <w:pPr>
        <w:spacing w:after="0" w:line="230"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the impact of market conditions on our business;</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operational risks to the rental stream and growth potential of our properties;</w:t>
      </w:r>
    </w:p>
    <w:p>
      <w:pPr>
        <w:spacing w:after="0" w:line="9" w:lineRule="exact"/>
        <w:rPr>
          <w:rFonts w:ascii="Arial" w:cs="Arial" w:eastAsia="Arial" w:hAnsi="Arial"/>
          <w:sz w:val="18"/>
          <w:szCs w:val="18"/>
          <w:color w:val="262626"/>
        </w:rPr>
      </w:pPr>
    </w:p>
    <w:p>
      <w:pPr>
        <w:ind w:left="1080" w:right="20" w:hanging="424"/>
        <w:spacing w:after="0" w:line="234" w:lineRule="auto"/>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liquidity and credit risks, including our ability to access capital to run and grow our business and our overall cost of capital and the impact on our profitability;</w:t>
      </w:r>
    </w:p>
    <w:p>
      <w:pPr>
        <w:spacing w:after="0" w:line="1" w:lineRule="exact"/>
        <w:rPr>
          <w:rFonts w:ascii="Arial" w:cs="Arial" w:eastAsia="Arial" w:hAnsi="Arial"/>
          <w:sz w:val="18"/>
          <w:szCs w:val="18"/>
          <w:color w:val="262626"/>
        </w:rPr>
      </w:pPr>
    </w:p>
    <w:p>
      <w:pPr>
        <w:ind w:left="1080" w:hanging="424"/>
        <w:spacing w:after="0"/>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investment risks from acquisitions and our development and redevelopment projects;</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regulatory risks that may impact our profitability;</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4"/>
        </w:numPr>
        <w:rPr>
          <w:rFonts w:ascii="Arial" w:cs="Arial" w:eastAsia="Arial" w:hAnsi="Arial"/>
          <w:sz w:val="18"/>
          <w:szCs w:val="18"/>
          <w:color w:val="262626"/>
        </w:rPr>
      </w:pPr>
      <w:r>
        <w:rPr>
          <w:rFonts w:ascii="Arial" w:cs="Arial" w:eastAsia="Arial" w:hAnsi="Arial"/>
          <w:sz w:val="18"/>
          <w:szCs w:val="18"/>
          <w:color w:val="262626"/>
        </w:rPr>
        <w:t>risks relating to our status as a real estate investment trust;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10</w:t>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262626"/>
        </w:rPr>
      </w:pPr>
      <w:r>
        <w:rPr>
          <w:rFonts w:ascii="Arial" w:cs="Arial" w:eastAsia="Arial" w:hAnsi="Arial"/>
          <w:sz w:val="18"/>
          <w:szCs w:val="18"/>
          <w:color w:val="262626"/>
        </w:rPr>
        <w:t>environmental related risks including the physical and transitional risks to the Company in connection with climate change;</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5"/>
        </w:numPr>
        <w:rPr>
          <w:rFonts w:ascii="Arial" w:cs="Arial" w:eastAsia="Arial" w:hAnsi="Arial"/>
          <w:sz w:val="18"/>
          <w:szCs w:val="18"/>
          <w:color w:val="262626"/>
        </w:rPr>
      </w:pPr>
      <w:r>
        <w:rPr>
          <w:rFonts w:ascii="Arial" w:cs="Arial" w:eastAsia="Arial" w:hAnsi="Arial"/>
          <w:sz w:val="18"/>
          <w:szCs w:val="18"/>
          <w:color w:val="262626"/>
        </w:rPr>
        <w:t>human capital risks particularly as it relates to our ability to attract and retain high quality employees critical to our business;</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5"/>
        </w:numPr>
        <w:rPr>
          <w:rFonts w:ascii="Arial" w:cs="Arial" w:eastAsia="Arial" w:hAnsi="Arial"/>
          <w:sz w:val="18"/>
          <w:szCs w:val="18"/>
          <w:color w:val="262626"/>
        </w:rPr>
      </w:pPr>
      <w:r>
        <w:rPr>
          <w:rFonts w:ascii="Arial" w:cs="Arial" w:eastAsia="Arial" w:hAnsi="Arial"/>
          <w:sz w:val="18"/>
          <w:szCs w:val="18"/>
          <w:color w:val="262626"/>
        </w:rPr>
        <w:t>cybersecurity risks; and</w:t>
      </w:r>
    </w:p>
    <w:p>
      <w:pPr>
        <w:spacing w:after="0" w:line="9" w:lineRule="exact"/>
        <w:rPr>
          <w:rFonts w:ascii="Arial" w:cs="Arial" w:eastAsia="Arial" w:hAnsi="Arial"/>
          <w:sz w:val="18"/>
          <w:szCs w:val="18"/>
          <w:color w:val="262626"/>
        </w:rPr>
      </w:pPr>
    </w:p>
    <w:p>
      <w:pPr>
        <w:ind w:left="1080" w:hanging="424"/>
        <w:spacing w:after="0"/>
        <w:tabs>
          <w:tab w:leader="none" w:pos="1080" w:val="left"/>
        </w:tabs>
        <w:numPr>
          <w:ilvl w:val="0"/>
          <w:numId w:val="15"/>
        </w:numPr>
        <w:rPr>
          <w:rFonts w:ascii="Arial" w:cs="Arial" w:eastAsia="Arial" w:hAnsi="Arial"/>
          <w:sz w:val="18"/>
          <w:szCs w:val="18"/>
          <w:color w:val="262626"/>
        </w:rPr>
      </w:pPr>
      <w:r>
        <w:rPr>
          <w:rFonts w:ascii="Arial" w:cs="Arial" w:eastAsia="Arial" w:hAnsi="Arial"/>
          <w:sz w:val="18"/>
          <w:szCs w:val="18"/>
          <w:color w:val="262626"/>
        </w:rPr>
        <w:t>general risks inherent in the real estate industry.</w:t>
      </w:r>
    </w:p>
    <w:p>
      <w:pPr>
        <w:spacing w:after="0" w:line="22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During 2020, a significant portion of the risk discussions and review conducted by the Board were focused on the impact of COVID-19 both for the short-term ability of the Company to continue its business operations as well as the potential longer-term impacts.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Compensation Risk Assessment</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In February 2021, our Compensation Committee reviewed our compensation policies and practices for all of our employees to determine whether any of such policies or programs created any risk that is reasonably likely to have a material adverse effect on the Company. Based on that review, the Committee does not believe that our compensation programs encourage unnecessary or excessive risk taking. Specifically, the incentive compensation of 94% of our employees is based solely on corporate performance objectives. For the approximately 6% of our employees who earn all or a portion of their compensation from commissions or bonuses earned by completing leasing transactions or closing acquisitions, they cannot complete any deals without first obtaining approvals from either the Board and/or one or more members of senior management whose incentive compensation is tied to corporate performance.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Compensation Committee Interlocks and Insider Participation</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The Compensation Committee consists of Mr. Faeder, Ms. Holland, Ms. Lamb-Hale, Ms. Steinel and Mr. Vassalluzzo. There are no Compensation Committee interlocks and no member of the Compensation Committee serves, or has in the past served, as an employee or officer of the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Communications with the Board</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Any shareholder or other interested party may communicate with the Board or any Trustee by sending the communication to our corporate offices at 909 Rose Avenue, Suite 200, North Bethesda, Maryland 20852 in care of our Secretary. All communications should identify the party to whom it is being sent.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Trustee Compensation</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Our non-management Trustees were eligible to receive the following types and amounts of compensation for service on the Board and its committees in 2020. No changes were made to Trustee compensation for 2021. All amounts are prorated for any partial years of service and Shares issued are fully vested on the grant date.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220" w:type="dxa"/>
            <w:vAlign w:val="bottom"/>
            <w:tcBorders>
              <w:top w:val="single" w:sz="8" w:color="F73A25"/>
            </w:tcBorders>
            <w:shd w:val="clear" w:color="auto" w:fill="EAEFED"/>
          </w:tcPr>
          <w:p>
            <w:pPr>
              <w:spacing w:after="0"/>
              <w:rPr>
                <w:sz w:val="20"/>
                <w:szCs w:val="20"/>
                <w:color w:val="auto"/>
              </w:rPr>
            </w:pPr>
            <w:r>
              <w:rPr>
                <w:rFonts w:ascii="Arial" w:cs="Arial" w:eastAsia="Arial" w:hAnsi="Arial"/>
                <w:sz w:val="16"/>
                <w:szCs w:val="16"/>
                <w:color w:val="262626"/>
              </w:rPr>
              <w:t>Non-Executive Chairman</w:t>
            </w:r>
          </w:p>
        </w:tc>
        <w:tc>
          <w:tcPr>
            <w:tcW w:w="4260" w:type="dxa"/>
            <w:vAlign w:val="bottom"/>
            <w:tcBorders>
              <w:top w:val="single" w:sz="8" w:color="F73A25"/>
            </w:tcBorders>
          </w:tcPr>
          <w:p>
            <w:pPr>
              <w:ind w:left="160"/>
              <w:spacing w:after="0"/>
              <w:rPr>
                <w:sz w:val="20"/>
                <w:szCs w:val="20"/>
                <w:color w:val="auto"/>
              </w:rPr>
            </w:pPr>
            <w:r>
              <w:rPr>
                <w:rFonts w:ascii="Arial" w:cs="Arial" w:eastAsia="Arial" w:hAnsi="Arial"/>
                <w:sz w:val="16"/>
                <w:szCs w:val="16"/>
                <w:color w:val="262626"/>
              </w:rPr>
              <w:t>$110,000 annual retainer paid in cash</w:t>
            </w:r>
          </w:p>
        </w:tc>
      </w:tr>
      <w:tr>
        <w:trPr>
          <w:trHeight w:val="187"/>
        </w:trPr>
        <w:tc>
          <w:tcPr>
            <w:tcW w:w="3220" w:type="dxa"/>
            <w:vAlign w:val="bottom"/>
            <w:tcBorders>
              <w:bottom w:val="single" w:sz="8" w:color="F73A25"/>
            </w:tcBorders>
            <w:shd w:val="clear" w:color="auto" w:fill="EAEFED"/>
          </w:tcPr>
          <w:p>
            <w:pPr>
              <w:spacing w:after="0"/>
              <w:rPr>
                <w:sz w:val="16"/>
                <w:szCs w:val="16"/>
                <w:color w:val="auto"/>
              </w:rPr>
            </w:pPr>
          </w:p>
        </w:tc>
        <w:tc>
          <w:tcPr>
            <w:tcW w:w="4260" w:type="dxa"/>
            <w:vAlign w:val="bottom"/>
            <w:tcBorders>
              <w:bottom w:val="single" w:sz="8" w:color="F73A25"/>
            </w:tcBorders>
          </w:tcPr>
          <w:p>
            <w:pPr>
              <w:ind w:left="160"/>
              <w:spacing w:after="0"/>
              <w:rPr>
                <w:sz w:val="20"/>
                <w:szCs w:val="20"/>
                <w:color w:val="auto"/>
              </w:rPr>
            </w:pPr>
            <w:r>
              <w:rPr>
                <w:rFonts w:ascii="Arial" w:cs="Arial" w:eastAsia="Arial" w:hAnsi="Arial"/>
                <w:sz w:val="16"/>
                <w:szCs w:val="16"/>
                <w:color w:val="262626"/>
              </w:rPr>
              <w:t>$165,000 annual retainer paid in Shares</w:t>
            </w:r>
          </w:p>
        </w:tc>
      </w:tr>
      <w:tr>
        <w:trPr>
          <w:trHeight w:val="184"/>
        </w:trPr>
        <w:tc>
          <w:tcPr>
            <w:tcW w:w="3220" w:type="dxa"/>
            <w:vAlign w:val="bottom"/>
            <w:shd w:val="clear" w:color="auto" w:fill="EAEFED"/>
          </w:tcPr>
          <w:p>
            <w:pPr>
              <w:spacing w:after="0"/>
              <w:rPr>
                <w:sz w:val="20"/>
                <w:szCs w:val="20"/>
                <w:color w:val="auto"/>
              </w:rPr>
            </w:pPr>
            <w:r>
              <w:rPr>
                <w:rFonts w:ascii="Arial" w:cs="Arial" w:eastAsia="Arial" w:hAnsi="Arial"/>
                <w:sz w:val="16"/>
                <w:szCs w:val="16"/>
                <w:color w:val="262626"/>
              </w:rPr>
              <w:t>Non-Management Trustees</w:t>
            </w:r>
          </w:p>
        </w:tc>
        <w:tc>
          <w:tcPr>
            <w:tcW w:w="4260" w:type="dxa"/>
            <w:vAlign w:val="bottom"/>
          </w:tcPr>
          <w:p>
            <w:pPr>
              <w:ind w:left="160"/>
              <w:spacing w:after="0"/>
              <w:rPr>
                <w:sz w:val="20"/>
                <w:szCs w:val="20"/>
                <w:color w:val="auto"/>
              </w:rPr>
            </w:pPr>
            <w:r>
              <w:rPr>
                <w:rFonts w:ascii="Arial" w:cs="Arial" w:eastAsia="Arial" w:hAnsi="Arial"/>
                <w:sz w:val="16"/>
                <w:szCs w:val="16"/>
                <w:color w:val="262626"/>
              </w:rPr>
              <w:t>$80,000 annual retainer paid in cash</w:t>
            </w:r>
          </w:p>
        </w:tc>
      </w:tr>
      <w:tr>
        <w:trPr>
          <w:trHeight w:val="187"/>
        </w:trPr>
        <w:tc>
          <w:tcPr>
            <w:tcW w:w="3220" w:type="dxa"/>
            <w:vAlign w:val="bottom"/>
            <w:tcBorders>
              <w:bottom w:val="single" w:sz="8" w:color="F73A25"/>
            </w:tcBorders>
            <w:shd w:val="clear" w:color="auto" w:fill="EAEFED"/>
          </w:tcPr>
          <w:p>
            <w:pPr>
              <w:spacing w:after="0"/>
              <w:rPr>
                <w:sz w:val="16"/>
                <w:szCs w:val="16"/>
                <w:color w:val="auto"/>
              </w:rPr>
            </w:pPr>
          </w:p>
        </w:tc>
        <w:tc>
          <w:tcPr>
            <w:tcW w:w="4260" w:type="dxa"/>
            <w:vAlign w:val="bottom"/>
            <w:tcBorders>
              <w:bottom w:val="single" w:sz="8" w:color="F73A25"/>
            </w:tcBorders>
          </w:tcPr>
          <w:p>
            <w:pPr>
              <w:ind w:left="160"/>
              <w:spacing w:after="0"/>
              <w:rPr>
                <w:sz w:val="20"/>
                <w:szCs w:val="20"/>
                <w:color w:val="auto"/>
              </w:rPr>
            </w:pPr>
            <w:r>
              <w:rPr>
                <w:rFonts w:ascii="Arial" w:cs="Arial" w:eastAsia="Arial" w:hAnsi="Arial"/>
                <w:sz w:val="16"/>
                <w:szCs w:val="16"/>
                <w:color w:val="262626"/>
              </w:rPr>
              <w:t>$120,000 annual retainer paid in Shares</w:t>
            </w:r>
          </w:p>
        </w:tc>
      </w:tr>
      <w:tr>
        <w:trPr>
          <w:trHeight w:val="183"/>
        </w:trPr>
        <w:tc>
          <w:tcPr>
            <w:tcW w:w="3220" w:type="dxa"/>
            <w:vAlign w:val="bottom"/>
            <w:tcBorders>
              <w:bottom w:val="single" w:sz="8" w:color="F73A25"/>
            </w:tcBorders>
            <w:shd w:val="clear" w:color="auto" w:fill="EAEFED"/>
          </w:tcPr>
          <w:p>
            <w:pPr>
              <w:spacing w:after="0" w:line="183" w:lineRule="exact"/>
              <w:rPr>
                <w:sz w:val="20"/>
                <w:szCs w:val="20"/>
                <w:color w:val="auto"/>
              </w:rPr>
            </w:pPr>
            <w:r>
              <w:rPr>
                <w:rFonts w:ascii="Arial" w:cs="Arial" w:eastAsia="Arial" w:hAnsi="Arial"/>
                <w:sz w:val="16"/>
                <w:szCs w:val="16"/>
                <w:color w:val="262626"/>
              </w:rPr>
              <w:t>Audit Committee Chair</w:t>
            </w:r>
          </w:p>
        </w:tc>
        <w:tc>
          <w:tcPr>
            <w:tcW w:w="4260" w:type="dxa"/>
            <w:vAlign w:val="bottom"/>
            <w:tcBorders>
              <w:bottom w:val="single" w:sz="8" w:color="F73A25"/>
            </w:tcBorders>
          </w:tcPr>
          <w:p>
            <w:pPr>
              <w:ind w:left="160"/>
              <w:spacing w:after="0" w:line="183" w:lineRule="exact"/>
              <w:rPr>
                <w:sz w:val="20"/>
                <w:szCs w:val="20"/>
                <w:color w:val="auto"/>
              </w:rPr>
            </w:pPr>
            <w:r>
              <w:rPr>
                <w:rFonts w:ascii="Arial" w:cs="Arial" w:eastAsia="Arial" w:hAnsi="Arial"/>
                <w:sz w:val="16"/>
                <w:szCs w:val="16"/>
                <w:color w:val="262626"/>
              </w:rPr>
              <w:t>$25,000 chair fee paid in cash</w:t>
            </w:r>
          </w:p>
        </w:tc>
      </w:tr>
      <w:tr>
        <w:trPr>
          <w:trHeight w:val="183"/>
        </w:trPr>
        <w:tc>
          <w:tcPr>
            <w:tcW w:w="3220" w:type="dxa"/>
            <w:vAlign w:val="bottom"/>
            <w:tcBorders>
              <w:bottom w:val="single" w:sz="8" w:color="F73A25"/>
            </w:tcBorders>
            <w:shd w:val="clear" w:color="auto" w:fill="EAEFED"/>
          </w:tcPr>
          <w:p>
            <w:pPr>
              <w:spacing w:after="0" w:line="183" w:lineRule="exact"/>
              <w:rPr>
                <w:sz w:val="20"/>
                <w:szCs w:val="20"/>
                <w:color w:val="auto"/>
              </w:rPr>
            </w:pPr>
            <w:r>
              <w:rPr>
                <w:rFonts w:ascii="Arial" w:cs="Arial" w:eastAsia="Arial" w:hAnsi="Arial"/>
                <w:sz w:val="16"/>
                <w:szCs w:val="16"/>
                <w:color w:val="262626"/>
              </w:rPr>
              <w:t>Compensation Committee Chair</w:t>
            </w:r>
          </w:p>
        </w:tc>
        <w:tc>
          <w:tcPr>
            <w:tcW w:w="4260" w:type="dxa"/>
            <w:vAlign w:val="bottom"/>
            <w:tcBorders>
              <w:bottom w:val="single" w:sz="8" w:color="F73A25"/>
            </w:tcBorders>
          </w:tcPr>
          <w:p>
            <w:pPr>
              <w:ind w:left="160"/>
              <w:spacing w:after="0" w:line="183" w:lineRule="exact"/>
              <w:rPr>
                <w:sz w:val="20"/>
                <w:szCs w:val="20"/>
                <w:color w:val="auto"/>
              </w:rPr>
            </w:pPr>
            <w:r>
              <w:rPr>
                <w:rFonts w:ascii="Arial" w:cs="Arial" w:eastAsia="Arial" w:hAnsi="Arial"/>
                <w:sz w:val="16"/>
                <w:szCs w:val="16"/>
                <w:color w:val="262626"/>
              </w:rPr>
              <w:t>$15,000 chair fee paid in cash</w:t>
            </w:r>
          </w:p>
        </w:tc>
      </w:tr>
      <w:tr>
        <w:trPr>
          <w:trHeight w:val="183"/>
        </w:trPr>
        <w:tc>
          <w:tcPr>
            <w:tcW w:w="3220" w:type="dxa"/>
            <w:vAlign w:val="bottom"/>
            <w:tcBorders>
              <w:bottom w:val="single" w:sz="8" w:color="F73A25"/>
            </w:tcBorders>
            <w:shd w:val="clear" w:color="auto" w:fill="EAEFED"/>
          </w:tcPr>
          <w:p>
            <w:pPr>
              <w:spacing w:after="0" w:line="183" w:lineRule="exact"/>
              <w:rPr>
                <w:sz w:val="20"/>
                <w:szCs w:val="20"/>
                <w:color w:val="auto"/>
              </w:rPr>
            </w:pPr>
            <w:r>
              <w:rPr>
                <w:rFonts w:ascii="Arial" w:cs="Arial" w:eastAsia="Arial" w:hAnsi="Arial"/>
                <w:sz w:val="16"/>
                <w:szCs w:val="16"/>
                <w:color w:val="262626"/>
              </w:rPr>
              <w:t>Nominating Committee Chair</w:t>
            </w:r>
          </w:p>
        </w:tc>
        <w:tc>
          <w:tcPr>
            <w:tcW w:w="4260" w:type="dxa"/>
            <w:vAlign w:val="bottom"/>
            <w:tcBorders>
              <w:bottom w:val="single" w:sz="8" w:color="F73A25"/>
            </w:tcBorders>
          </w:tcPr>
          <w:p>
            <w:pPr>
              <w:ind w:left="160"/>
              <w:spacing w:after="0" w:line="183" w:lineRule="exact"/>
              <w:rPr>
                <w:sz w:val="20"/>
                <w:szCs w:val="20"/>
                <w:color w:val="auto"/>
              </w:rPr>
            </w:pPr>
            <w:r>
              <w:rPr>
                <w:rFonts w:ascii="Arial" w:cs="Arial" w:eastAsia="Arial" w:hAnsi="Arial"/>
                <w:sz w:val="16"/>
                <w:szCs w:val="16"/>
                <w:color w:val="262626"/>
              </w:rPr>
              <w:t>$15,000 chair fee paid in cash</w:t>
            </w: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In addition to the annual retainer for the Non-Executive Chairman described above, Mr. Vassalluzzo received administrative support for both Company business and his personal use from our regional office in Wynnewood, Pennsylvania. There were no additional fees paid or services provided to any Trustee for service on any of the Board committees or for attendance at any Board or committee meetings other than those described above.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actual compensation awarded to our Trustees for service in 2020 was as follows: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F73A25"/>
              </w:rPr>
              <w:t>Annual Retainer</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F73A25"/>
              </w:rPr>
              <w:t>Committee</w:t>
            </w:r>
          </w:p>
        </w:tc>
        <w:tc>
          <w:tcPr>
            <w:tcW w:w="4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F73A25"/>
              </w:rPr>
              <w:t>All Other</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8"/>
        </w:trPr>
        <w:tc>
          <w:tcPr>
            <w:tcW w:w="3280" w:type="dxa"/>
            <w:vAlign w:val="bottom"/>
            <w:tcBorders>
              <w:bottom w:val="single" w:sz="8" w:color="262626"/>
            </w:tcBorders>
          </w:tcPr>
          <w:p>
            <w:pPr>
              <w:spacing w:after="0"/>
              <w:rPr>
                <w:sz w:val="20"/>
                <w:szCs w:val="20"/>
                <w:color w:val="auto"/>
              </w:rPr>
            </w:pPr>
            <w:r>
              <w:rPr>
                <w:rFonts w:ascii="Arial" w:cs="Arial" w:eastAsia="Arial" w:hAnsi="Arial"/>
                <w:sz w:val="16"/>
                <w:szCs w:val="16"/>
                <w:b w:val="1"/>
                <w:bCs w:val="1"/>
                <w:color w:val="F73A25"/>
              </w:rPr>
              <w:t>Name</w:t>
            </w:r>
          </w:p>
        </w:tc>
        <w:tc>
          <w:tcPr>
            <w:tcW w:w="420" w:type="dxa"/>
            <w:vAlign w:val="bottom"/>
            <w:tcBorders>
              <w:bottom w:val="single" w:sz="8" w:color="262626"/>
            </w:tcBorders>
          </w:tcPr>
          <w:p>
            <w:pPr>
              <w:spacing w:after="0"/>
              <w:rPr>
                <w:sz w:val="18"/>
                <w:szCs w:val="18"/>
                <w:color w:val="auto"/>
              </w:rPr>
            </w:pPr>
          </w:p>
        </w:tc>
        <w:tc>
          <w:tcPr>
            <w:tcW w:w="116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b w:val="1"/>
                <w:bCs w:val="1"/>
                <w:color w:val="F73A25"/>
                <w:w w:val="99"/>
              </w:rPr>
              <w:t>Paid in Cash</w:t>
            </w:r>
          </w:p>
        </w:tc>
        <w:tc>
          <w:tcPr>
            <w:tcW w:w="1700" w:type="dxa"/>
            <w:vAlign w:val="bottom"/>
            <w:tcBorders>
              <w:bottom w:val="single" w:sz="8" w:color="262626"/>
            </w:tcBorders>
            <w:gridSpan w:val="2"/>
          </w:tcPr>
          <w:p>
            <w:pPr>
              <w:jc w:val="right"/>
              <w:ind w:right="119"/>
              <w:spacing w:after="0" w:line="207" w:lineRule="exact"/>
              <w:rPr>
                <w:sz w:val="20"/>
                <w:szCs w:val="20"/>
                <w:color w:val="auto"/>
              </w:rPr>
            </w:pPr>
            <w:r>
              <w:rPr>
                <w:rFonts w:ascii="Arial" w:cs="Arial" w:eastAsia="Arial" w:hAnsi="Arial"/>
                <w:sz w:val="15"/>
                <w:szCs w:val="15"/>
                <w:b w:val="1"/>
                <w:bCs w:val="1"/>
                <w:color w:val="F73A25"/>
              </w:rPr>
              <w:t>Paid in Shares</w:t>
            </w:r>
            <w:r>
              <w:rPr>
                <w:rFonts w:ascii="Arial" w:cs="Arial" w:eastAsia="Arial" w:hAnsi="Arial"/>
                <w:sz w:val="24"/>
                <w:szCs w:val="24"/>
                <w:b w:val="1"/>
                <w:bCs w:val="1"/>
                <w:color w:val="F73A25"/>
                <w:vertAlign w:val="superscript"/>
              </w:rPr>
              <w:t>(1)</w:t>
            </w:r>
          </w:p>
        </w:tc>
        <w:tc>
          <w:tcPr>
            <w:tcW w:w="300" w:type="dxa"/>
            <w:vAlign w:val="bottom"/>
            <w:tcBorders>
              <w:bottom w:val="single" w:sz="8" w:color="262626"/>
            </w:tcBorders>
          </w:tcPr>
          <w:p>
            <w:pPr>
              <w:spacing w:after="0"/>
              <w:rPr>
                <w:sz w:val="18"/>
                <w:szCs w:val="18"/>
                <w:color w:val="auto"/>
              </w:rPr>
            </w:pPr>
          </w:p>
        </w:tc>
        <w:tc>
          <w:tcPr>
            <w:tcW w:w="104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b w:val="1"/>
                <w:bCs w:val="1"/>
                <w:color w:val="F73A25"/>
              </w:rPr>
              <w:t>Chair Fees</w:t>
            </w:r>
          </w:p>
        </w:tc>
        <w:tc>
          <w:tcPr>
            <w:tcW w:w="1540" w:type="dxa"/>
            <w:vAlign w:val="bottom"/>
            <w:tcBorders>
              <w:bottom w:val="single" w:sz="8" w:color="262626"/>
            </w:tcBorders>
            <w:gridSpan w:val="2"/>
          </w:tcPr>
          <w:p>
            <w:pPr>
              <w:jc w:val="right"/>
              <w:ind w:right="99"/>
              <w:spacing w:after="0"/>
              <w:rPr>
                <w:sz w:val="20"/>
                <w:szCs w:val="20"/>
                <w:color w:val="auto"/>
              </w:rPr>
            </w:pPr>
            <w:r>
              <w:rPr>
                <w:rFonts w:ascii="Arial" w:cs="Arial" w:eastAsia="Arial" w:hAnsi="Arial"/>
                <w:sz w:val="16"/>
                <w:szCs w:val="16"/>
                <w:b w:val="1"/>
                <w:bCs w:val="1"/>
                <w:color w:val="F73A25"/>
              </w:rPr>
              <w:t>Compensation</w:t>
            </w:r>
          </w:p>
        </w:tc>
        <w:tc>
          <w:tcPr>
            <w:tcW w:w="480" w:type="dxa"/>
            <w:vAlign w:val="bottom"/>
            <w:tcBorders>
              <w:bottom w:val="single" w:sz="8" w:color="262626"/>
            </w:tcBorders>
          </w:tcPr>
          <w:p>
            <w:pPr>
              <w:spacing w:after="0"/>
              <w:rPr>
                <w:sz w:val="18"/>
                <w:szCs w:val="18"/>
                <w:color w:val="auto"/>
              </w:rPr>
            </w:pPr>
          </w:p>
        </w:tc>
        <w:tc>
          <w:tcPr>
            <w:tcW w:w="1100" w:type="dxa"/>
            <w:vAlign w:val="bottom"/>
            <w:tcBorders>
              <w:bottom w:val="single" w:sz="8" w:color="262626"/>
            </w:tcBorders>
          </w:tcPr>
          <w:p>
            <w:pPr>
              <w:jc w:val="right"/>
              <w:spacing w:after="0"/>
              <w:rPr>
                <w:sz w:val="20"/>
                <w:szCs w:val="20"/>
                <w:color w:val="auto"/>
              </w:rPr>
            </w:pPr>
            <w:r>
              <w:rPr>
                <w:rFonts w:ascii="Arial" w:cs="Arial" w:eastAsia="Arial" w:hAnsi="Arial"/>
                <w:sz w:val="16"/>
                <w:szCs w:val="16"/>
                <w:b w:val="1"/>
                <w:bCs w:val="1"/>
                <w:color w:val="F73A25"/>
              </w:rPr>
              <w:t>Total</w:t>
            </w:r>
          </w:p>
        </w:tc>
      </w:tr>
      <w:tr>
        <w:trPr>
          <w:trHeight w:val="184"/>
        </w:trPr>
        <w:tc>
          <w:tcPr>
            <w:tcW w:w="3280" w:type="dxa"/>
            <w:vAlign w:val="bottom"/>
            <w:shd w:val="clear" w:color="auto" w:fill="EAEFED"/>
          </w:tcPr>
          <w:p>
            <w:pPr>
              <w:spacing w:after="0"/>
              <w:rPr>
                <w:sz w:val="20"/>
                <w:szCs w:val="20"/>
                <w:color w:val="auto"/>
              </w:rPr>
            </w:pPr>
            <w:r>
              <w:rPr>
                <w:rFonts w:ascii="Arial" w:cs="Arial" w:eastAsia="Arial" w:hAnsi="Arial"/>
                <w:sz w:val="16"/>
                <w:szCs w:val="16"/>
                <w:color w:val="262626"/>
              </w:rPr>
              <w:t>Jon E. Bortz</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80,000</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120,000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200,000</w:t>
            </w:r>
          </w:p>
        </w:tc>
      </w:tr>
      <w:tr>
        <w:trPr>
          <w:trHeight w:val="189"/>
        </w:trPr>
        <w:tc>
          <w:tcPr>
            <w:tcW w:w="3280" w:type="dxa"/>
            <w:vAlign w:val="bottom"/>
            <w:shd w:val="clear" w:color="auto" w:fill="EAEFED"/>
          </w:tcPr>
          <w:p>
            <w:pPr>
              <w:spacing w:after="0"/>
              <w:rPr>
                <w:sz w:val="20"/>
                <w:szCs w:val="20"/>
                <w:color w:val="auto"/>
              </w:rPr>
            </w:pPr>
            <w:r>
              <w:rPr>
                <w:rFonts w:ascii="Arial" w:cs="Arial" w:eastAsia="Arial" w:hAnsi="Arial"/>
                <w:sz w:val="16"/>
                <w:szCs w:val="16"/>
                <w:color w:val="262626"/>
              </w:rPr>
              <w:t>David W. Faeder</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80,000</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120,000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15,000</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215,000</w:t>
            </w:r>
          </w:p>
        </w:tc>
      </w:tr>
      <w:tr>
        <w:trPr>
          <w:trHeight w:val="184"/>
        </w:trPr>
        <w:tc>
          <w:tcPr>
            <w:tcW w:w="3280" w:type="dxa"/>
            <w:vAlign w:val="bottom"/>
            <w:shd w:val="clear" w:color="auto" w:fill="EAEFED"/>
          </w:tcPr>
          <w:p>
            <w:pPr>
              <w:spacing w:after="0"/>
              <w:rPr>
                <w:sz w:val="20"/>
                <w:szCs w:val="20"/>
                <w:color w:val="auto"/>
              </w:rPr>
            </w:pPr>
            <w:r>
              <w:rPr>
                <w:rFonts w:ascii="Arial" w:cs="Arial" w:eastAsia="Arial" w:hAnsi="Arial"/>
                <w:sz w:val="16"/>
                <w:szCs w:val="16"/>
                <w:color w:val="262626"/>
              </w:rPr>
              <w:t>Elizabeth I. Holland</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80,000</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120,000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15,000</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215,000</w:t>
            </w:r>
          </w:p>
        </w:tc>
      </w:tr>
      <w:tr>
        <w:trPr>
          <w:trHeight w:val="189"/>
        </w:trPr>
        <w:tc>
          <w:tcPr>
            <w:tcW w:w="3280" w:type="dxa"/>
            <w:vAlign w:val="bottom"/>
            <w:shd w:val="clear" w:color="auto" w:fill="EAEFED"/>
          </w:tcPr>
          <w:p>
            <w:pPr>
              <w:spacing w:after="0" w:line="189" w:lineRule="exact"/>
              <w:rPr>
                <w:sz w:val="20"/>
                <w:szCs w:val="20"/>
                <w:color w:val="auto"/>
              </w:rPr>
            </w:pPr>
            <w:r>
              <w:rPr>
                <w:rFonts w:ascii="Arial" w:cs="Arial" w:eastAsia="Arial" w:hAnsi="Arial"/>
                <w:sz w:val="13"/>
                <w:szCs w:val="13"/>
                <w:color w:val="262626"/>
              </w:rPr>
              <w:t>Nicole Y. Lamb-Hale</w:t>
            </w:r>
            <w:r>
              <w:rPr>
                <w:rFonts w:ascii="Arial" w:cs="Arial" w:eastAsia="Arial" w:hAnsi="Arial"/>
                <w:sz w:val="21"/>
                <w:szCs w:val="21"/>
                <w:color w:val="262626"/>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26,667</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40,000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66,667</w:t>
            </w:r>
          </w:p>
        </w:tc>
      </w:tr>
      <w:tr>
        <w:trPr>
          <w:trHeight w:val="194"/>
        </w:trPr>
        <w:tc>
          <w:tcPr>
            <w:tcW w:w="3280" w:type="dxa"/>
            <w:vAlign w:val="bottom"/>
            <w:shd w:val="clear" w:color="auto" w:fill="EAEFED"/>
          </w:tcPr>
          <w:p>
            <w:pPr>
              <w:spacing w:after="0" w:line="194" w:lineRule="exact"/>
              <w:rPr>
                <w:sz w:val="20"/>
                <w:szCs w:val="20"/>
                <w:color w:val="auto"/>
              </w:rPr>
            </w:pPr>
            <w:r>
              <w:rPr>
                <w:rFonts w:ascii="Arial" w:cs="Arial" w:eastAsia="Arial" w:hAnsi="Arial"/>
                <w:sz w:val="14"/>
                <w:szCs w:val="14"/>
                <w:color w:val="262626"/>
              </w:rPr>
              <w:t>Anthony P. Nader, III</w:t>
            </w:r>
            <w:r>
              <w:rPr>
                <w:rFonts w:ascii="Arial" w:cs="Arial" w:eastAsia="Arial" w:hAnsi="Arial"/>
                <w:sz w:val="22"/>
                <w:szCs w:val="22"/>
                <w:color w:val="262626"/>
                <w:vertAlign w:val="superscript"/>
              </w:rPr>
              <w:t>(2)</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26,667</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40,000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66,667</w:t>
            </w:r>
          </w:p>
        </w:tc>
      </w:tr>
      <w:tr>
        <w:trPr>
          <w:trHeight w:val="189"/>
        </w:trPr>
        <w:tc>
          <w:tcPr>
            <w:tcW w:w="3280" w:type="dxa"/>
            <w:vAlign w:val="bottom"/>
            <w:shd w:val="clear" w:color="auto" w:fill="EAEFED"/>
          </w:tcPr>
          <w:p>
            <w:pPr>
              <w:spacing w:after="0"/>
              <w:rPr>
                <w:sz w:val="20"/>
                <w:szCs w:val="20"/>
                <w:color w:val="auto"/>
              </w:rPr>
            </w:pPr>
            <w:r>
              <w:rPr>
                <w:rFonts w:ascii="Arial" w:cs="Arial" w:eastAsia="Arial" w:hAnsi="Arial"/>
                <w:sz w:val="16"/>
                <w:szCs w:val="16"/>
                <w:color w:val="262626"/>
              </w:rPr>
              <w:t>Mark S. Ordan</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80,000</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120,000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200,000</w:t>
            </w:r>
          </w:p>
        </w:tc>
      </w:tr>
      <w:tr>
        <w:trPr>
          <w:trHeight w:val="184"/>
        </w:trPr>
        <w:tc>
          <w:tcPr>
            <w:tcW w:w="3280" w:type="dxa"/>
            <w:vAlign w:val="bottom"/>
            <w:shd w:val="clear" w:color="auto" w:fill="EAEFED"/>
          </w:tcPr>
          <w:p>
            <w:pPr>
              <w:spacing w:after="0"/>
              <w:rPr>
                <w:sz w:val="20"/>
                <w:szCs w:val="20"/>
                <w:color w:val="auto"/>
              </w:rPr>
            </w:pPr>
            <w:r>
              <w:rPr>
                <w:rFonts w:ascii="Arial" w:cs="Arial" w:eastAsia="Arial" w:hAnsi="Arial"/>
                <w:sz w:val="16"/>
                <w:szCs w:val="16"/>
                <w:color w:val="262626"/>
              </w:rPr>
              <w:t>Gail P. Steinel</w:t>
            </w:r>
          </w:p>
        </w:tc>
        <w:tc>
          <w:tcPr>
            <w:tcW w:w="420" w:type="dxa"/>
            <w:vAlign w:val="bottom"/>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262626"/>
              </w:rPr>
              <w:t>80,000</w:t>
            </w:r>
          </w:p>
        </w:tc>
        <w:tc>
          <w:tcPr>
            <w:tcW w:w="840" w:type="dxa"/>
            <w:vAlign w:val="bottom"/>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262626"/>
              </w:rPr>
              <w:t>120,000</w:t>
            </w:r>
          </w:p>
        </w:tc>
        <w:tc>
          <w:tcPr>
            <w:tcW w:w="300" w:type="dxa"/>
            <w:vAlign w:val="bottom"/>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262626"/>
              </w:rPr>
              <w:t>25,000</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262626"/>
              </w:rPr>
              <w:t>225,000</w:t>
            </w:r>
          </w:p>
        </w:tc>
      </w:tr>
      <w:tr>
        <w:trPr>
          <w:trHeight w:val="192"/>
        </w:trPr>
        <w:tc>
          <w:tcPr>
            <w:tcW w:w="3280" w:type="dxa"/>
            <w:vAlign w:val="bottom"/>
            <w:tcBorders>
              <w:bottom w:val="single" w:sz="8" w:color="262626"/>
            </w:tcBorders>
            <w:shd w:val="clear" w:color="auto" w:fill="EAEFED"/>
          </w:tcPr>
          <w:p>
            <w:pPr>
              <w:spacing w:after="0" w:line="192" w:lineRule="exact"/>
              <w:rPr>
                <w:sz w:val="20"/>
                <w:szCs w:val="20"/>
                <w:color w:val="auto"/>
              </w:rPr>
            </w:pPr>
            <w:r>
              <w:rPr>
                <w:rFonts w:ascii="Arial" w:cs="Arial" w:eastAsia="Arial" w:hAnsi="Arial"/>
                <w:sz w:val="14"/>
                <w:szCs w:val="14"/>
                <w:color w:val="262626"/>
              </w:rPr>
              <w:t>Joseph S. Vassalluzzo</w:t>
            </w:r>
            <w:r>
              <w:rPr>
                <w:rFonts w:ascii="Arial" w:cs="Arial" w:eastAsia="Arial" w:hAnsi="Arial"/>
                <w:sz w:val="22"/>
                <w:szCs w:val="22"/>
                <w:color w:val="262626"/>
                <w:vertAlign w:val="superscript"/>
              </w:rPr>
              <w:t>(3)</w:t>
            </w:r>
          </w:p>
        </w:tc>
        <w:tc>
          <w:tcPr>
            <w:tcW w:w="42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w:t>
            </w:r>
          </w:p>
        </w:tc>
        <w:tc>
          <w:tcPr>
            <w:tcW w:w="116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color w:val="262626"/>
              </w:rPr>
              <w:t>110,000</w:t>
            </w:r>
          </w:p>
        </w:tc>
        <w:tc>
          <w:tcPr>
            <w:tcW w:w="840" w:type="dxa"/>
            <w:vAlign w:val="bottom"/>
            <w:tcBorders>
              <w:bottom w:val="single" w:sz="8" w:color="262626"/>
            </w:tcBorders>
          </w:tcPr>
          <w:p>
            <w:pPr>
              <w:jc w:val="right"/>
              <w:ind w:right="480"/>
              <w:spacing w:after="0"/>
              <w:rPr>
                <w:sz w:val="20"/>
                <w:szCs w:val="20"/>
                <w:color w:val="auto"/>
              </w:rPr>
            </w:pPr>
            <w:r>
              <w:rPr>
                <w:rFonts w:ascii="Arial" w:cs="Arial" w:eastAsia="Arial" w:hAnsi="Arial"/>
                <w:sz w:val="16"/>
                <w:szCs w:val="16"/>
                <w:color w:val="262626"/>
              </w:rPr>
              <w:t>$</w:t>
            </w:r>
          </w:p>
        </w:tc>
        <w:tc>
          <w:tcPr>
            <w:tcW w:w="860" w:type="dxa"/>
            <w:vAlign w:val="bottom"/>
            <w:tcBorders>
              <w:bottom w:val="single" w:sz="8" w:color="262626"/>
            </w:tcBorders>
          </w:tcPr>
          <w:p>
            <w:pPr>
              <w:jc w:val="right"/>
              <w:ind w:right="119"/>
              <w:spacing w:after="0"/>
              <w:rPr>
                <w:sz w:val="20"/>
                <w:szCs w:val="20"/>
                <w:color w:val="auto"/>
              </w:rPr>
            </w:pPr>
            <w:r>
              <w:rPr>
                <w:rFonts w:ascii="Arial" w:cs="Arial" w:eastAsia="Arial" w:hAnsi="Arial"/>
                <w:sz w:val="16"/>
                <w:szCs w:val="16"/>
                <w:color w:val="262626"/>
              </w:rPr>
              <w:t>165,000</w:t>
            </w:r>
          </w:p>
        </w:tc>
        <w:tc>
          <w:tcPr>
            <w:tcW w:w="30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w:t>
            </w:r>
          </w:p>
        </w:tc>
        <w:tc>
          <w:tcPr>
            <w:tcW w:w="104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color w:val="262626"/>
              </w:rPr>
              <w:t>-</w:t>
            </w:r>
          </w:p>
        </w:tc>
        <w:tc>
          <w:tcPr>
            <w:tcW w:w="480" w:type="dxa"/>
            <w:vAlign w:val="bottom"/>
            <w:tcBorders>
              <w:bottom w:val="single" w:sz="8" w:color="262626"/>
            </w:tcBorders>
          </w:tcPr>
          <w:p>
            <w:pPr>
              <w:jc w:val="right"/>
              <w:ind w:right="119"/>
              <w:spacing w:after="0"/>
              <w:rPr>
                <w:sz w:val="20"/>
                <w:szCs w:val="20"/>
                <w:color w:val="auto"/>
              </w:rPr>
            </w:pPr>
            <w:r>
              <w:rPr>
                <w:rFonts w:ascii="Arial" w:cs="Arial" w:eastAsia="Arial" w:hAnsi="Arial"/>
                <w:sz w:val="16"/>
                <w:szCs w:val="16"/>
                <w:color w:val="262626"/>
              </w:rPr>
              <w:t>$</w:t>
            </w:r>
          </w:p>
        </w:tc>
        <w:tc>
          <w:tcPr>
            <w:tcW w:w="106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color w:val="262626"/>
              </w:rPr>
              <w:t>8,700</w:t>
            </w:r>
          </w:p>
        </w:tc>
        <w:tc>
          <w:tcPr>
            <w:tcW w:w="480" w:type="dxa"/>
            <w:vAlign w:val="bottom"/>
            <w:tcBorders>
              <w:bottom w:val="single" w:sz="8" w:color="262626"/>
            </w:tcBorders>
          </w:tcPr>
          <w:p>
            <w:pPr>
              <w:jc w:val="right"/>
              <w:ind w:right="119"/>
              <w:spacing w:after="0"/>
              <w:rPr>
                <w:sz w:val="20"/>
                <w:szCs w:val="20"/>
                <w:color w:val="auto"/>
              </w:rPr>
            </w:pPr>
            <w:r>
              <w:rPr>
                <w:rFonts w:ascii="Arial" w:cs="Arial" w:eastAsia="Arial" w:hAnsi="Arial"/>
                <w:sz w:val="16"/>
                <w:szCs w:val="16"/>
                <w:color w:val="262626"/>
              </w:rPr>
              <w:t>$</w:t>
            </w:r>
          </w:p>
        </w:tc>
        <w:tc>
          <w:tcPr>
            <w:tcW w:w="1100" w:type="dxa"/>
            <w:vAlign w:val="bottom"/>
            <w:tcBorders>
              <w:bottom w:val="single" w:sz="8" w:color="262626"/>
            </w:tcBorders>
          </w:tcPr>
          <w:p>
            <w:pPr>
              <w:jc w:val="right"/>
              <w:ind w:right="79"/>
              <w:spacing w:after="0"/>
              <w:rPr>
                <w:sz w:val="20"/>
                <w:szCs w:val="20"/>
                <w:color w:val="auto"/>
              </w:rPr>
            </w:pPr>
            <w:r>
              <w:rPr>
                <w:rFonts w:ascii="Arial" w:cs="Arial" w:eastAsia="Arial" w:hAnsi="Arial"/>
                <w:sz w:val="16"/>
                <w:szCs w:val="16"/>
                <w:color w:val="262626"/>
              </w:rPr>
              <w:t>283,700</w:t>
            </w:r>
          </w:p>
        </w:tc>
      </w:tr>
      <w:tr>
        <w:trPr>
          <w:trHeight w:val="208"/>
        </w:trPr>
        <w:tc>
          <w:tcPr>
            <w:tcW w:w="3280" w:type="dxa"/>
            <w:vAlign w:val="bottom"/>
          </w:tcPr>
          <w:p>
            <w:pPr>
              <w:spacing w:after="0"/>
              <w:rPr>
                <w:sz w:val="20"/>
                <w:szCs w:val="20"/>
                <w:color w:val="auto"/>
              </w:rPr>
            </w:pPr>
            <w:r>
              <w:rPr>
                <w:rFonts w:ascii="Arial" w:cs="Arial" w:eastAsia="Arial" w:hAnsi="Arial"/>
                <w:sz w:val="16"/>
                <w:szCs w:val="16"/>
                <w:b w:val="1"/>
                <w:bCs w:val="1"/>
                <w:color w:val="262626"/>
              </w:rPr>
              <w:t>Total</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262626"/>
              </w:rPr>
              <w:t>$</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262626"/>
              </w:rPr>
              <w:t>563,333</w:t>
            </w:r>
          </w:p>
        </w:tc>
        <w:tc>
          <w:tcPr>
            <w:tcW w:w="840" w:type="dxa"/>
            <w:vAlign w:val="bottom"/>
          </w:tcPr>
          <w:p>
            <w:pPr>
              <w:jc w:val="right"/>
              <w:ind w:right="480"/>
              <w:spacing w:after="0"/>
              <w:rPr>
                <w:sz w:val="20"/>
                <w:szCs w:val="20"/>
                <w:color w:val="auto"/>
              </w:rPr>
            </w:pPr>
            <w:r>
              <w:rPr>
                <w:rFonts w:ascii="Arial" w:cs="Arial" w:eastAsia="Arial" w:hAnsi="Arial"/>
                <w:sz w:val="16"/>
                <w:szCs w:val="16"/>
                <w:b w:val="1"/>
                <w:bCs w:val="1"/>
                <w:color w:val="262626"/>
              </w:rPr>
              <w:t>$</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262626"/>
              </w:rPr>
              <w:t>845,000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262626"/>
              </w:rPr>
              <w:t>$</w:t>
            </w: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262626"/>
              </w:rPr>
              <w:t>55,000</w:t>
            </w:r>
          </w:p>
        </w:tc>
        <w:tc>
          <w:tcPr>
            <w:tcW w:w="480" w:type="dxa"/>
            <w:vAlign w:val="bottom"/>
          </w:tcPr>
          <w:p>
            <w:pPr>
              <w:jc w:val="right"/>
              <w:ind w:right="119"/>
              <w:spacing w:after="0"/>
              <w:rPr>
                <w:sz w:val="20"/>
                <w:szCs w:val="20"/>
                <w:color w:val="auto"/>
              </w:rPr>
            </w:pPr>
            <w:r>
              <w:rPr>
                <w:rFonts w:ascii="Arial" w:cs="Arial" w:eastAsia="Arial" w:hAnsi="Arial"/>
                <w:sz w:val="16"/>
                <w:szCs w:val="16"/>
                <w:b w:val="1"/>
                <w:bCs w:val="1"/>
                <w:color w:val="262626"/>
              </w:rPr>
              <w:t>$</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262626"/>
              </w:rPr>
              <w:t>8,700</w:t>
            </w:r>
          </w:p>
        </w:tc>
        <w:tc>
          <w:tcPr>
            <w:tcW w:w="480" w:type="dxa"/>
            <w:vAlign w:val="bottom"/>
          </w:tcPr>
          <w:p>
            <w:pPr>
              <w:jc w:val="right"/>
              <w:ind w:right="119"/>
              <w:spacing w:after="0"/>
              <w:rPr>
                <w:sz w:val="20"/>
                <w:szCs w:val="20"/>
                <w:color w:val="auto"/>
              </w:rPr>
            </w:pPr>
            <w:r>
              <w:rPr>
                <w:rFonts w:ascii="Arial" w:cs="Arial" w:eastAsia="Arial" w:hAnsi="Arial"/>
                <w:sz w:val="16"/>
                <w:szCs w:val="16"/>
                <w:b w:val="1"/>
                <w:bCs w:val="1"/>
                <w:color w:val="262626"/>
              </w:rPr>
              <w:t>$</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262626"/>
              </w:rPr>
              <w:t>1,472,033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540" w:hanging="424"/>
        <w:spacing w:after="0" w:line="187" w:lineRule="auto"/>
        <w:tabs>
          <w:tab w:leader="none" w:pos="540" w:val="left"/>
        </w:tabs>
        <w:numPr>
          <w:ilvl w:val="0"/>
          <w:numId w:val="16"/>
        </w:numPr>
        <w:rPr>
          <w:rFonts w:ascii="Arial" w:cs="Arial" w:eastAsia="Arial" w:hAnsi="Arial"/>
          <w:sz w:val="26"/>
          <w:szCs w:val="26"/>
          <w:color w:val="262626"/>
          <w:vertAlign w:val="superscript"/>
        </w:rPr>
      </w:pPr>
      <w:r>
        <w:rPr>
          <w:rFonts w:ascii="Arial" w:cs="Arial" w:eastAsia="Arial" w:hAnsi="Arial"/>
          <w:sz w:val="16"/>
          <w:szCs w:val="16"/>
          <w:color w:val="262626"/>
        </w:rPr>
        <w:t>Shares were issued on January 4, 2021 with the number of Shares received by each Trustee determined by dividing the amount to be paid in Shares by $85.12, the closing price of our Shares on the NYSE on December 31, 2020.</w:t>
      </w:r>
    </w:p>
    <w:p>
      <w:pPr>
        <w:spacing w:after="0" w:line="1" w:lineRule="exact"/>
        <w:rPr>
          <w:rFonts w:ascii="Arial" w:cs="Arial" w:eastAsia="Arial" w:hAnsi="Arial"/>
          <w:sz w:val="26"/>
          <w:szCs w:val="26"/>
          <w:color w:val="262626"/>
          <w:vertAlign w:val="superscript"/>
        </w:rPr>
      </w:pPr>
    </w:p>
    <w:p>
      <w:pPr>
        <w:ind w:left="540" w:hanging="424"/>
        <w:spacing w:after="0" w:line="187" w:lineRule="auto"/>
        <w:tabs>
          <w:tab w:leader="none" w:pos="540" w:val="left"/>
        </w:tabs>
        <w:numPr>
          <w:ilvl w:val="0"/>
          <w:numId w:val="16"/>
        </w:numPr>
        <w:rPr>
          <w:rFonts w:ascii="Arial" w:cs="Arial" w:eastAsia="Arial" w:hAnsi="Arial"/>
          <w:sz w:val="21"/>
          <w:szCs w:val="21"/>
          <w:color w:val="262626"/>
          <w:vertAlign w:val="superscript"/>
        </w:rPr>
      </w:pPr>
      <w:r>
        <w:rPr>
          <w:rFonts w:ascii="Arial" w:cs="Arial" w:eastAsia="Arial" w:hAnsi="Arial"/>
          <w:sz w:val="13"/>
          <w:szCs w:val="13"/>
          <w:color w:val="262626"/>
        </w:rPr>
        <w:t>Pro-rated for partial year of service beginning September 1, 2020.</w:t>
      </w:r>
    </w:p>
    <w:p>
      <w:pPr>
        <w:ind w:left="540" w:right="20" w:hanging="424"/>
        <w:spacing w:after="0" w:line="181" w:lineRule="auto"/>
        <w:tabs>
          <w:tab w:leader="none" w:pos="540" w:val="left"/>
        </w:tabs>
        <w:numPr>
          <w:ilvl w:val="0"/>
          <w:numId w:val="16"/>
        </w:numPr>
        <w:rPr>
          <w:rFonts w:ascii="Arial" w:cs="Arial" w:eastAsia="Arial" w:hAnsi="Arial"/>
          <w:sz w:val="28"/>
          <w:szCs w:val="28"/>
          <w:color w:val="262626"/>
          <w:vertAlign w:val="superscript"/>
        </w:rPr>
      </w:pPr>
      <w:r>
        <w:rPr>
          <w:rFonts w:ascii="Arial" w:cs="Arial" w:eastAsia="Arial" w:hAnsi="Arial"/>
          <w:sz w:val="16"/>
          <w:szCs w:val="16"/>
          <w:color w:val="262626"/>
        </w:rPr>
        <w:t>The amount in the “All Other Compensation” column represents the estimated value of the administrative services we make available to Mr. Vassalluzzo. We do not believe there is any incremental cost to us of providing this administrative support.</w:t>
      </w:r>
    </w:p>
    <w:p>
      <w:pPr>
        <w:spacing w:after="0" w:line="21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Trustees are required to maintain ownership of our Shares having a value equal to 5 times the amount of their annual cash retainer. This requirement must be met within 5 years after joining the Board. As of December 31, 2020, neither Ms. Holland, Ms. Lamb-Hale, Mr. Nader nor Mr. Ordan met the ownership requirements. Each of these individuals joined the Board within the last 4 years and we expect each of them to be in compliance within the 5-year time frame.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80"/>
        <w:spacing w:after="0"/>
        <w:tabs>
          <w:tab w:leader="none" w:pos="2520" w:val="left"/>
        </w:tabs>
        <w:rPr>
          <w:sz w:val="20"/>
          <w:szCs w:val="20"/>
          <w:color w:val="auto"/>
        </w:rPr>
      </w:pPr>
      <w:r>
        <w:rPr>
          <w:rFonts w:ascii="Arial" w:cs="Arial" w:eastAsia="Arial" w:hAnsi="Arial"/>
          <w:sz w:val="20"/>
          <w:szCs w:val="20"/>
          <w:b w:val="1"/>
          <w:bCs w:val="1"/>
          <w:color w:val="F73A25"/>
        </w:rPr>
        <w:t>Proposal 1:</w:t>
      </w:r>
      <w:r>
        <w:rPr>
          <w:sz w:val="20"/>
          <w:szCs w:val="20"/>
          <w:color w:val="auto"/>
        </w:rPr>
        <w:tab/>
      </w:r>
      <w:r>
        <w:rPr>
          <w:rFonts w:ascii="Arial" w:cs="Arial" w:eastAsia="Arial" w:hAnsi="Arial"/>
          <w:sz w:val="19"/>
          <w:szCs w:val="19"/>
          <w:b w:val="1"/>
          <w:bCs w:val="1"/>
          <w:color w:val="262626"/>
        </w:rPr>
        <w:t>Election of Seven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-144780</wp:posOffset>
            </wp:positionV>
            <wp:extent cx="701230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Our Board, on recommendation of the Nominating Committee, has nominated seven of our current Trustees to stand for election at the 2021 Annual Meeting. All Trustees elected at the meeting will hold office until the 2022 Annual Meeting of Shareholders and until their successors have been duly elected and qualified. Neither Mr. Vassalluzzo nor Mr. Bortz will stand for re-election although both will continue to serve for the remainder of their current terms through the 2021 Annual Meeting.</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You are entitled to cast one vote per Share for each of the seven named individuals. Proxies may not be voted for more than seven individuals. An “abstention” or “broker non-vote” will have no effect on the outcome of the vote for this proposal. Our Bylaws require that a nominee receive a majority of votes cast in order to be elected. Any nominee who does not receive a majority of votes cast will be required to submit a resignation to the Nominating Committee which would then make a recommendation to the Board as to whether to accept the resignation. The decision by the Board on any resignation would be publicly disclosed, along with the rationale for the decision, within 90 days after the election. We believe this process is a best practice and provides accountability to our shareholders. Over the past 5 years, each of our Trustee nominees who have been voted on at our annual meetings in those years has received on average 96%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0" w:lineRule="exact"/>
        <w:rPr>
          <w:sz w:val="20"/>
          <w:szCs w:val="20"/>
          <w:color w:val="auto"/>
        </w:rPr>
      </w:pPr>
    </w:p>
    <w:p>
      <w:pPr>
        <w:ind w:left="320" w:hanging="204"/>
        <w:spacing w:after="0"/>
        <w:tabs>
          <w:tab w:leader="none" w:pos="320" w:val="left"/>
        </w:tabs>
        <w:numPr>
          <w:ilvl w:val="0"/>
          <w:numId w:val="17"/>
        </w:numPr>
        <w:rPr>
          <w:rFonts w:ascii="MS PGothic" w:cs="MS PGothic" w:eastAsia="MS PGothic" w:hAnsi="MS PGothic"/>
          <w:sz w:val="18"/>
          <w:szCs w:val="18"/>
          <w:color w:val="262626"/>
        </w:rPr>
      </w:pPr>
      <w:r>
        <w:rPr>
          <w:rFonts w:ascii="Arial" w:cs="Arial" w:eastAsia="Arial" w:hAnsi="Arial"/>
          <w:sz w:val="18"/>
          <w:szCs w:val="18"/>
          <w:color w:val="262626"/>
        </w:rPr>
        <w:t xml:space="preserve">Our Board recommends a vote </w:t>
      </w:r>
      <w:r>
        <w:rPr>
          <w:rFonts w:ascii="Arial" w:cs="Arial" w:eastAsia="Arial" w:hAnsi="Arial"/>
          <w:sz w:val="18"/>
          <w:szCs w:val="18"/>
          <w:b w:val="1"/>
          <w:bCs w:val="1"/>
          <w:color w:val="262626"/>
        </w:rPr>
        <w:t>FOR</w:t>
      </w:r>
      <w:r>
        <w:rPr>
          <w:rFonts w:ascii="Arial" w:cs="Arial" w:eastAsia="Arial" w:hAnsi="Arial"/>
          <w:sz w:val="18"/>
          <w:szCs w:val="18"/>
          <w:color w:val="262626"/>
        </w:rPr>
        <w:t xml:space="preserve"> each of the seven Trustee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Information regarding our nominees, including their qualifications and principal occupations, as well as the key experience and qualifications that led the Board to conclude each nominee should serve as a trustee, is provided below.</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510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David W. Faeder</w:t>
            </w:r>
          </w:p>
        </w:tc>
        <w:tc>
          <w:tcPr>
            <w:tcW w:w="2440" w:type="dxa"/>
            <w:vAlign w:val="bottom"/>
            <w:tcBorders>
              <w:top w:val="single" w:sz="8" w:color="F73A25"/>
            </w:tcBorders>
          </w:tcPr>
          <w:p>
            <w:pPr>
              <w:ind w:left="260"/>
              <w:spacing w:after="0"/>
              <w:rPr>
                <w:sz w:val="20"/>
                <w:szCs w:val="20"/>
                <w:color w:val="auto"/>
              </w:rPr>
            </w:pPr>
            <w:r>
              <w:rPr>
                <w:rFonts w:ascii="Arial" w:cs="Arial" w:eastAsia="Arial" w:hAnsi="Arial"/>
                <w:sz w:val="16"/>
                <w:szCs w:val="16"/>
                <w:b w:val="1"/>
                <w:bCs w:val="1"/>
                <w:color w:val="262626"/>
              </w:rPr>
              <w:t>Federal Committees:</w:t>
            </w:r>
          </w:p>
        </w:tc>
        <w:tc>
          <w:tcPr>
            <w:tcW w:w="3480" w:type="dxa"/>
            <w:vAlign w:val="bottom"/>
            <w:tcBorders>
              <w:top w:val="single" w:sz="8" w:color="F73A25"/>
            </w:tcBorders>
          </w:tcPr>
          <w:p>
            <w:pPr>
              <w:ind w:left="40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3"/>
        </w:trPr>
        <w:tc>
          <w:tcPr>
            <w:tcW w:w="510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64</w:t>
            </w:r>
          </w:p>
        </w:tc>
        <w:tc>
          <w:tcPr>
            <w:tcW w:w="2440" w:type="dxa"/>
            <w:vAlign w:val="bottom"/>
          </w:tcPr>
          <w:p>
            <w:pPr>
              <w:ind w:left="260"/>
              <w:spacing w:after="0"/>
              <w:rPr>
                <w:sz w:val="20"/>
                <w:szCs w:val="20"/>
                <w:color w:val="auto"/>
              </w:rPr>
            </w:pPr>
            <w:r>
              <w:rPr>
                <w:rFonts w:ascii="Arial" w:cs="Arial" w:eastAsia="Arial" w:hAnsi="Arial"/>
                <w:sz w:val="16"/>
                <w:szCs w:val="16"/>
                <w:color w:val="262626"/>
              </w:rPr>
              <w:t>● Compensation (Chair)</w:t>
            </w:r>
          </w:p>
        </w:tc>
        <w:tc>
          <w:tcPr>
            <w:tcW w:w="3480" w:type="dxa"/>
            <w:vAlign w:val="bottom"/>
          </w:tcPr>
          <w:p>
            <w:pPr>
              <w:ind w:left="400"/>
              <w:spacing w:after="0"/>
              <w:rPr>
                <w:sz w:val="20"/>
                <w:szCs w:val="20"/>
                <w:color w:val="auto"/>
              </w:rPr>
            </w:pPr>
            <w:r>
              <w:rPr>
                <w:rFonts w:ascii="Arial" w:cs="Arial" w:eastAsia="Arial" w:hAnsi="Arial"/>
                <w:sz w:val="16"/>
                <w:szCs w:val="16"/>
                <w:color w:val="262626"/>
              </w:rPr>
              <w:t>● Federal Realty</w:t>
            </w:r>
          </w:p>
        </w:tc>
        <w:tc>
          <w:tcPr>
            <w:tcW w:w="0" w:type="dxa"/>
            <w:vAlign w:val="bottom"/>
          </w:tcPr>
          <w:p>
            <w:pPr>
              <w:spacing w:after="0"/>
              <w:rPr>
                <w:sz w:val="1"/>
                <w:szCs w:val="1"/>
                <w:color w:val="auto"/>
              </w:rPr>
            </w:pPr>
          </w:p>
        </w:tc>
      </w:tr>
      <w:tr>
        <w:trPr>
          <w:trHeight w:val="181"/>
        </w:trPr>
        <w:tc>
          <w:tcPr>
            <w:tcW w:w="5100" w:type="dxa"/>
            <w:vAlign w:val="bottom"/>
            <w:vMerge w:val="continue"/>
          </w:tcPr>
          <w:p>
            <w:pPr>
              <w:spacing w:after="0"/>
              <w:rPr>
                <w:sz w:val="15"/>
                <w:szCs w:val="15"/>
                <w:color w:val="auto"/>
              </w:rPr>
            </w:pPr>
          </w:p>
        </w:tc>
        <w:tc>
          <w:tcPr>
            <w:tcW w:w="2440" w:type="dxa"/>
            <w:vAlign w:val="bottom"/>
          </w:tcPr>
          <w:p>
            <w:pPr>
              <w:ind w:left="260"/>
              <w:spacing w:after="0" w:line="181" w:lineRule="exact"/>
              <w:rPr>
                <w:sz w:val="20"/>
                <w:szCs w:val="20"/>
                <w:color w:val="auto"/>
              </w:rPr>
            </w:pPr>
            <w:r>
              <w:rPr>
                <w:rFonts w:ascii="Arial" w:cs="Arial" w:eastAsia="Arial" w:hAnsi="Arial"/>
                <w:sz w:val="16"/>
                <w:szCs w:val="16"/>
                <w:color w:val="262626"/>
              </w:rPr>
              <w:t>● Audit</w:t>
            </w:r>
          </w:p>
        </w:tc>
        <w:tc>
          <w:tcPr>
            <w:tcW w:w="3480" w:type="dxa"/>
            <w:vAlign w:val="bottom"/>
          </w:tcPr>
          <w:p>
            <w:pPr>
              <w:ind w:left="400"/>
              <w:spacing w:after="0" w:line="181" w:lineRule="exact"/>
              <w:rPr>
                <w:sz w:val="20"/>
                <w:szCs w:val="20"/>
                <w:color w:val="auto"/>
              </w:rPr>
            </w:pPr>
            <w:r>
              <w:rPr>
                <w:rFonts w:ascii="Arial" w:cs="Arial" w:eastAsia="Arial" w:hAnsi="Arial"/>
                <w:sz w:val="16"/>
                <w:szCs w:val="16"/>
                <w:color w:val="262626"/>
              </w:rPr>
              <w:t>● Arlington Asset Investment Corp.</w:t>
            </w:r>
          </w:p>
        </w:tc>
        <w:tc>
          <w:tcPr>
            <w:tcW w:w="0" w:type="dxa"/>
            <w:vAlign w:val="bottom"/>
          </w:tcPr>
          <w:p>
            <w:pPr>
              <w:spacing w:after="0"/>
              <w:rPr>
                <w:sz w:val="1"/>
                <w:szCs w:val="1"/>
                <w:color w:val="auto"/>
              </w:rPr>
            </w:pPr>
          </w:p>
        </w:tc>
      </w:tr>
      <w:tr>
        <w:trPr>
          <w:trHeight w:val="215"/>
        </w:trPr>
        <w:tc>
          <w:tcPr>
            <w:tcW w:w="510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2003</w:t>
            </w:r>
          </w:p>
        </w:tc>
        <w:tc>
          <w:tcPr>
            <w:tcW w:w="2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00" w:type="dxa"/>
            <w:vAlign w:val="bottom"/>
          </w:tcPr>
          <w:p>
            <w:pPr>
              <w:ind w:left="2620"/>
              <w:spacing w:after="0"/>
              <w:rPr>
                <w:sz w:val="20"/>
                <w:szCs w:val="20"/>
                <w:color w:val="auto"/>
              </w:rPr>
            </w:pPr>
            <w:r>
              <w:rPr>
                <w:rFonts w:ascii="Arial" w:cs="Arial" w:eastAsia="Arial" w:hAnsi="Arial"/>
                <w:sz w:val="16"/>
                <w:szCs w:val="16"/>
                <w:color w:val="262626"/>
              </w:rPr>
              <w:t>Non-Executive Chairman Elect</w:t>
            </w:r>
          </w:p>
        </w:tc>
        <w:tc>
          <w:tcPr>
            <w:tcW w:w="24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-501015</wp:posOffset>
            </wp:positionV>
            <wp:extent cx="1156970" cy="1268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5" w:lineRule="exact"/>
        <w:rPr>
          <w:sz w:val="20"/>
          <w:szCs w:val="20"/>
          <w:color w:val="auto"/>
        </w:rPr>
      </w:pPr>
    </w:p>
    <w:p>
      <w:pPr>
        <w:jc w:val="both"/>
        <w:ind w:left="2740"/>
        <w:spacing w:after="0" w:line="248" w:lineRule="auto"/>
        <w:rPr>
          <w:sz w:val="20"/>
          <w:szCs w:val="20"/>
          <w:color w:val="auto"/>
        </w:rPr>
      </w:pPr>
      <w:r>
        <w:rPr>
          <w:rFonts w:ascii="Arial" w:cs="Arial" w:eastAsia="Arial" w:hAnsi="Arial"/>
          <w:sz w:val="16"/>
          <w:szCs w:val="16"/>
          <w:color w:val="262626"/>
        </w:rPr>
        <w:t>Mr. Faeder has been the managing partner of Fountain Square Properties since 2003 where he focuses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364"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5" w:lineRule="exact"/>
        <w:rPr>
          <w:sz w:val="20"/>
          <w:szCs w:val="20"/>
          <w:color w:val="auto"/>
        </w:rPr>
      </w:pPr>
    </w:p>
    <w:p>
      <w:pPr>
        <w:jc w:val="both"/>
        <w:ind w:left="2740"/>
        <w:spacing w:after="0" w:line="251" w:lineRule="auto"/>
        <w:rPr>
          <w:sz w:val="20"/>
          <w:szCs w:val="20"/>
          <w:color w:val="auto"/>
        </w:rPr>
      </w:pPr>
      <w:r>
        <w:rPr>
          <w:rFonts w:ascii="Arial" w:cs="Arial" w:eastAsia="Arial" w:hAnsi="Arial"/>
          <w:sz w:val="16"/>
          <w:szCs w:val="16"/>
          <w:color w:val="262626"/>
        </w:rPr>
        <w:t>Mr. Faeder has deep levels of experience in leadership, real estate investment and development as well as finance and accounting acquired from his time as a private investor and as a REIT CFO coupled with his public company and accounting background. This experience provides valuable perspective on our investment decisions, alignment of our capital structure to support those investments and on our financial reporting.</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504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Elizabeth I. Holland</w:t>
            </w:r>
          </w:p>
        </w:tc>
        <w:tc>
          <w:tcPr>
            <w:tcW w:w="2560" w:type="dxa"/>
            <w:vAlign w:val="bottom"/>
            <w:tcBorders>
              <w:top w:val="single" w:sz="8" w:color="F73A25"/>
            </w:tcBorders>
            <w:gridSpan w:val="2"/>
          </w:tcPr>
          <w:p>
            <w:pPr>
              <w:ind w:left="460"/>
              <w:spacing w:after="0"/>
              <w:rPr>
                <w:sz w:val="20"/>
                <w:szCs w:val="20"/>
                <w:color w:val="auto"/>
              </w:rPr>
            </w:pPr>
            <w:r>
              <w:rPr>
                <w:rFonts w:ascii="Arial" w:cs="Arial" w:eastAsia="Arial" w:hAnsi="Arial"/>
                <w:sz w:val="16"/>
                <w:szCs w:val="16"/>
                <w:b w:val="1"/>
                <w:bCs w:val="1"/>
                <w:color w:val="262626"/>
              </w:rPr>
              <w:t>Federal Committees:</w:t>
            </w:r>
          </w:p>
        </w:tc>
        <w:tc>
          <w:tcPr>
            <w:tcW w:w="3420" w:type="dxa"/>
            <w:vAlign w:val="bottom"/>
            <w:tcBorders>
              <w:top w:val="single" w:sz="8" w:color="F73A25"/>
            </w:tcBorders>
            <w:gridSpan w:val="2"/>
          </w:tcPr>
          <w:p>
            <w:pPr>
              <w:ind w:left="44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3"/>
        </w:trPr>
        <w:tc>
          <w:tcPr>
            <w:tcW w:w="504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55</w:t>
            </w:r>
          </w:p>
        </w:tc>
        <w:tc>
          <w:tcPr>
            <w:tcW w:w="660" w:type="dxa"/>
            <w:vAlign w:val="bottom"/>
          </w:tcPr>
          <w:p>
            <w:pPr>
              <w:ind w:left="460"/>
              <w:spacing w:after="0"/>
              <w:rPr>
                <w:sz w:val="20"/>
                <w:szCs w:val="20"/>
                <w:color w:val="auto"/>
              </w:rPr>
            </w:pPr>
            <w:r>
              <w:rPr>
                <w:rFonts w:ascii="Arial" w:cs="Arial" w:eastAsia="Arial" w:hAnsi="Arial"/>
                <w:sz w:val="16"/>
                <w:szCs w:val="16"/>
                <w:color w:val="262626"/>
              </w:rPr>
              <w:t>●</w:t>
            </w:r>
          </w:p>
        </w:tc>
        <w:tc>
          <w:tcPr>
            <w:tcW w:w="1900" w:type="dxa"/>
            <w:vAlign w:val="bottom"/>
          </w:tcPr>
          <w:p>
            <w:pPr>
              <w:ind w:left="120"/>
              <w:spacing w:after="0"/>
              <w:rPr>
                <w:sz w:val="20"/>
                <w:szCs w:val="20"/>
                <w:color w:val="auto"/>
              </w:rPr>
            </w:pPr>
            <w:r>
              <w:rPr>
                <w:rFonts w:ascii="Arial" w:cs="Arial" w:eastAsia="Arial" w:hAnsi="Arial"/>
                <w:sz w:val="16"/>
                <w:szCs w:val="16"/>
                <w:color w:val="262626"/>
              </w:rPr>
              <w:t>Nominating (Chair)</w:t>
            </w:r>
          </w:p>
        </w:tc>
        <w:tc>
          <w:tcPr>
            <w:tcW w:w="660" w:type="dxa"/>
            <w:vAlign w:val="bottom"/>
          </w:tcPr>
          <w:p>
            <w:pPr>
              <w:ind w:left="440"/>
              <w:spacing w:after="0"/>
              <w:rPr>
                <w:sz w:val="20"/>
                <w:szCs w:val="20"/>
                <w:color w:val="auto"/>
              </w:rPr>
            </w:pPr>
            <w:r>
              <w:rPr>
                <w:rFonts w:ascii="Arial" w:cs="Arial" w:eastAsia="Arial" w:hAnsi="Arial"/>
                <w:sz w:val="16"/>
                <w:szCs w:val="16"/>
                <w:color w:val="262626"/>
              </w:rPr>
              <w:t>●</w:t>
            </w:r>
          </w:p>
        </w:tc>
        <w:tc>
          <w:tcPr>
            <w:tcW w:w="2760" w:type="dxa"/>
            <w:vAlign w:val="bottom"/>
          </w:tcPr>
          <w:p>
            <w:pPr>
              <w:ind w:left="100"/>
              <w:spacing w:after="0"/>
              <w:rPr>
                <w:sz w:val="20"/>
                <w:szCs w:val="20"/>
                <w:color w:val="auto"/>
              </w:rPr>
            </w:pPr>
            <w:r>
              <w:rPr>
                <w:rFonts w:ascii="Arial" w:cs="Arial" w:eastAsia="Arial" w:hAnsi="Arial"/>
                <w:sz w:val="16"/>
                <w:szCs w:val="16"/>
                <w:color w:val="262626"/>
              </w:rPr>
              <w:t>Federal Realty</w:t>
            </w:r>
          </w:p>
        </w:tc>
        <w:tc>
          <w:tcPr>
            <w:tcW w:w="0" w:type="dxa"/>
            <w:vAlign w:val="bottom"/>
          </w:tcPr>
          <w:p>
            <w:pPr>
              <w:spacing w:after="0"/>
              <w:rPr>
                <w:sz w:val="1"/>
                <w:szCs w:val="1"/>
                <w:color w:val="auto"/>
              </w:rPr>
            </w:pPr>
          </w:p>
        </w:tc>
      </w:tr>
      <w:tr>
        <w:trPr>
          <w:trHeight w:val="181"/>
        </w:trPr>
        <w:tc>
          <w:tcPr>
            <w:tcW w:w="5040" w:type="dxa"/>
            <w:vAlign w:val="bottom"/>
            <w:vMerge w:val="continue"/>
          </w:tcPr>
          <w:p>
            <w:pPr>
              <w:spacing w:after="0"/>
              <w:rPr>
                <w:sz w:val="15"/>
                <w:szCs w:val="15"/>
                <w:color w:val="auto"/>
              </w:rPr>
            </w:pPr>
          </w:p>
        </w:tc>
        <w:tc>
          <w:tcPr>
            <w:tcW w:w="660" w:type="dxa"/>
            <w:vAlign w:val="bottom"/>
          </w:tcPr>
          <w:p>
            <w:pPr>
              <w:ind w:left="460"/>
              <w:spacing w:after="0" w:line="181" w:lineRule="exact"/>
              <w:rPr>
                <w:sz w:val="20"/>
                <w:szCs w:val="20"/>
                <w:color w:val="auto"/>
              </w:rPr>
            </w:pPr>
            <w:r>
              <w:rPr>
                <w:rFonts w:ascii="Arial" w:cs="Arial" w:eastAsia="Arial" w:hAnsi="Arial"/>
                <w:sz w:val="16"/>
                <w:szCs w:val="16"/>
                <w:color w:val="262626"/>
              </w:rPr>
              <w:t>●</w:t>
            </w:r>
          </w:p>
        </w:tc>
        <w:tc>
          <w:tcPr>
            <w:tcW w:w="1900" w:type="dxa"/>
            <w:vAlign w:val="bottom"/>
          </w:tcPr>
          <w:p>
            <w:pPr>
              <w:ind w:left="120"/>
              <w:spacing w:after="0" w:line="181" w:lineRule="exact"/>
              <w:rPr>
                <w:sz w:val="20"/>
                <w:szCs w:val="20"/>
                <w:color w:val="auto"/>
              </w:rPr>
            </w:pPr>
            <w:r>
              <w:rPr>
                <w:rFonts w:ascii="Arial" w:cs="Arial" w:eastAsia="Arial" w:hAnsi="Arial"/>
                <w:sz w:val="16"/>
                <w:szCs w:val="16"/>
                <w:color w:val="262626"/>
              </w:rPr>
              <w:t>Compensation</w:t>
            </w:r>
          </w:p>
        </w:tc>
        <w:tc>
          <w:tcPr>
            <w:tcW w:w="660" w:type="dxa"/>
            <w:vAlign w:val="bottom"/>
          </w:tcPr>
          <w:p>
            <w:pPr>
              <w:ind w:left="440"/>
              <w:spacing w:after="0" w:line="181" w:lineRule="exact"/>
              <w:rPr>
                <w:sz w:val="20"/>
                <w:szCs w:val="20"/>
                <w:color w:val="auto"/>
              </w:rPr>
            </w:pPr>
            <w:r>
              <w:rPr>
                <w:rFonts w:ascii="Arial" w:cs="Arial" w:eastAsia="Arial" w:hAnsi="Arial"/>
                <w:sz w:val="16"/>
                <w:szCs w:val="16"/>
                <w:color w:val="262626"/>
              </w:rPr>
              <w:t>●</w:t>
            </w:r>
          </w:p>
        </w:tc>
        <w:tc>
          <w:tcPr>
            <w:tcW w:w="2760" w:type="dxa"/>
            <w:vAlign w:val="bottom"/>
          </w:tcPr>
          <w:p>
            <w:pPr>
              <w:ind w:left="100"/>
              <w:spacing w:after="0" w:line="181" w:lineRule="exact"/>
              <w:rPr>
                <w:sz w:val="20"/>
                <w:szCs w:val="20"/>
                <w:color w:val="auto"/>
              </w:rPr>
            </w:pPr>
            <w:r>
              <w:rPr>
                <w:rFonts w:ascii="Arial" w:cs="Arial" w:eastAsia="Arial" w:hAnsi="Arial"/>
                <w:sz w:val="16"/>
                <w:szCs w:val="16"/>
                <w:color w:val="262626"/>
              </w:rPr>
              <w:t>Vici Properties, Inc.</w:t>
            </w:r>
          </w:p>
        </w:tc>
        <w:tc>
          <w:tcPr>
            <w:tcW w:w="0" w:type="dxa"/>
            <w:vAlign w:val="bottom"/>
          </w:tcPr>
          <w:p>
            <w:pPr>
              <w:spacing w:after="0"/>
              <w:rPr>
                <w:sz w:val="1"/>
                <w:szCs w:val="1"/>
                <w:color w:val="auto"/>
              </w:rPr>
            </w:pPr>
          </w:p>
        </w:tc>
      </w:tr>
      <w:tr>
        <w:trPr>
          <w:trHeight w:val="215"/>
        </w:trPr>
        <w:tc>
          <w:tcPr>
            <w:tcW w:w="504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2017</w:t>
            </w: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48" w:lineRule="auto"/>
        <w:rPr>
          <w:sz w:val="20"/>
          <w:szCs w:val="20"/>
          <w:color w:val="auto"/>
        </w:rPr>
      </w:pPr>
      <w:r>
        <w:rPr>
          <w:rFonts w:ascii="Arial" w:cs="Arial" w:eastAsia="Arial" w:hAnsi="Arial"/>
          <w:sz w:val="16"/>
          <w:szCs w:val="16"/>
          <w:color w:val="262626"/>
        </w:rPr>
        <w:t>Ms. Holland is the Chief Executive Officer of Abbell Credit Corporation and Abbell Associates, LLC, a private real estate company. She has held that position since 1997.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the International Council of Shopping Centers and has served as a trustee for that organization since 2004. Ms. Holland earned a BA from Hamilton College and a JD from Brooklyn Law School. In addition to her public board service, Ms. Holland serves on the boards of 1000 Friends of Iowa, a non-profit organization focused on responsible land use, and Primo Center for Women &amp; Children whose mission is to provide family shelter and permanent supportive housing and other supportive services to homeless families in Chicago.</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right="20"/>
        <w:spacing w:after="0" w:line="251" w:lineRule="auto"/>
        <w:rPr>
          <w:sz w:val="20"/>
          <w:szCs w:val="20"/>
          <w:color w:val="auto"/>
        </w:rPr>
      </w:pPr>
      <w:r>
        <w:rPr>
          <w:rFonts w:ascii="Arial" w:cs="Arial" w:eastAsia="Arial" w:hAnsi="Arial"/>
          <w:sz w:val="16"/>
          <w:szCs w:val="16"/>
          <w:color w:val="262626"/>
        </w:rPr>
        <w:t>Ms. Holland brings valuable insights into retailers and the retail industry in general from her time in leadership positions with the International Council of Shopping Centers and her own investing experience in retail real estate as well as a wealth of business and leadership experience from running a private real estate company. Those perspectives are invaluable for a retail based real estate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508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Nicole Y. Lamb-Hale</w:t>
            </w:r>
          </w:p>
        </w:tc>
        <w:tc>
          <w:tcPr>
            <w:tcW w:w="2480" w:type="dxa"/>
            <w:vAlign w:val="bottom"/>
            <w:tcBorders>
              <w:top w:val="single" w:sz="8" w:color="F73A25"/>
            </w:tcBorders>
            <w:gridSpan w:val="2"/>
          </w:tcPr>
          <w:p>
            <w:pPr>
              <w:ind w:left="420"/>
              <w:spacing w:after="0"/>
              <w:rPr>
                <w:sz w:val="20"/>
                <w:szCs w:val="20"/>
                <w:color w:val="auto"/>
              </w:rPr>
            </w:pPr>
            <w:r>
              <w:rPr>
                <w:rFonts w:ascii="Arial" w:cs="Arial" w:eastAsia="Arial" w:hAnsi="Arial"/>
                <w:sz w:val="16"/>
                <w:szCs w:val="16"/>
                <w:b w:val="1"/>
                <w:bCs w:val="1"/>
                <w:color w:val="262626"/>
              </w:rPr>
              <w:t>Federal Committees:</w:t>
            </w:r>
          </w:p>
        </w:tc>
        <w:tc>
          <w:tcPr>
            <w:tcW w:w="3460" w:type="dxa"/>
            <w:vAlign w:val="bottom"/>
            <w:tcBorders>
              <w:top w:val="single" w:sz="8" w:color="F73A25"/>
            </w:tcBorders>
            <w:gridSpan w:val="2"/>
          </w:tcPr>
          <w:p>
            <w:pPr>
              <w:ind w:left="48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3"/>
        </w:trPr>
        <w:tc>
          <w:tcPr>
            <w:tcW w:w="508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54</w:t>
            </w:r>
          </w:p>
        </w:tc>
        <w:tc>
          <w:tcPr>
            <w:tcW w:w="620" w:type="dxa"/>
            <w:vAlign w:val="bottom"/>
          </w:tcPr>
          <w:p>
            <w:pPr>
              <w:ind w:left="420"/>
              <w:spacing w:after="0"/>
              <w:rPr>
                <w:sz w:val="20"/>
                <w:szCs w:val="20"/>
                <w:color w:val="auto"/>
              </w:rPr>
            </w:pPr>
            <w:r>
              <w:rPr>
                <w:rFonts w:ascii="Arial" w:cs="Arial" w:eastAsia="Arial" w:hAnsi="Arial"/>
                <w:sz w:val="16"/>
                <w:szCs w:val="16"/>
                <w:color w:val="262626"/>
              </w:rPr>
              <w:t>●</w:t>
            </w:r>
          </w:p>
        </w:tc>
        <w:tc>
          <w:tcPr>
            <w:tcW w:w="1860" w:type="dxa"/>
            <w:vAlign w:val="bottom"/>
          </w:tcPr>
          <w:p>
            <w:pPr>
              <w:ind w:left="120"/>
              <w:spacing w:after="0"/>
              <w:rPr>
                <w:sz w:val="20"/>
                <w:szCs w:val="20"/>
                <w:color w:val="auto"/>
              </w:rPr>
            </w:pPr>
            <w:r>
              <w:rPr>
                <w:rFonts w:ascii="Arial" w:cs="Arial" w:eastAsia="Arial" w:hAnsi="Arial"/>
                <w:sz w:val="16"/>
                <w:szCs w:val="16"/>
                <w:color w:val="262626"/>
              </w:rPr>
              <w:t>Nominating</w:t>
            </w:r>
          </w:p>
        </w:tc>
        <w:tc>
          <w:tcPr>
            <w:tcW w:w="700" w:type="dxa"/>
            <w:vAlign w:val="bottom"/>
          </w:tcPr>
          <w:p>
            <w:pPr>
              <w:ind w:left="480"/>
              <w:spacing w:after="0"/>
              <w:rPr>
                <w:sz w:val="20"/>
                <w:szCs w:val="20"/>
                <w:color w:val="auto"/>
              </w:rPr>
            </w:pPr>
            <w:r>
              <w:rPr>
                <w:rFonts w:ascii="Arial" w:cs="Arial" w:eastAsia="Arial" w:hAnsi="Arial"/>
                <w:sz w:val="16"/>
                <w:szCs w:val="16"/>
                <w:color w:val="262626"/>
              </w:rPr>
              <w:t>●</w:t>
            </w:r>
          </w:p>
        </w:tc>
        <w:tc>
          <w:tcPr>
            <w:tcW w:w="2760" w:type="dxa"/>
            <w:vAlign w:val="bottom"/>
          </w:tcPr>
          <w:p>
            <w:pPr>
              <w:ind w:left="100"/>
              <w:spacing w:after="0"/>
              <w:rPr>
                <w:sz w:val="20"/>
                <w:szCs w:val="20"/>
                <w:color w:val="auto"/>
              </w:rPr>
            </w:pPr>
            <w:r>
              <w:rPr>
                <w:rFonts w:ascii="Arial" w:cs="Arial" w:eastAsia="Arial" w:hAnsi="Arial"/>
                <w:sz w:val="16"/>
                <w:szCs w:val="16"/>
                <w:color w:val="262626"/>
              </w:rPr>
              <w:t>Federal Realty</w:t>
            </w:r>
          </w:p>
        </w:tc>
        <w:tc>
          <w:tcPr>
            <w:tcW w:w="0" w:type="dxa"/>
            <w:vAlign w:val="bottom"/>
          </w:tcPr>
          <w:p>
            <w:pPr>
              <w:spacing w:after="0"/>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620" w:type="dxa"/>
            <w:vAlign w:val="bottom"/>
          </w:tcPr>
          <w:p>
            <w:pPr>
              <w:ind w:left="420"/>
              <w:spacing w:after="0" w:line="181" w:lineRule="exact"/>
              <w:rPr>
                <w:sz w:val="20"/>
                <w:szCs w:val="20"/>
                <w:color w:val="auto"/>
              </w:rPr>
            </w:pPr>
            <w:r>
              <w:rPr>
                <w:rFonts w:ascii="Arial" w:cs="Arial" w:eastAsia="Arial" w:hAnsi="Arial"/>
                <w:sz w:val="16"/>
                <w:szCs w:val="16"/>
                <w:color w:val="262626"/>
              </w:rPr>
              <w:t>●</w:t>
            </w:r>
          </w:p>
        </w:tc>
        <w:tc>
          <w:tcPr>
            <w:tcW w:w="1860" w:type="dxa"/>
            <w:vAlign w:val="bottom"/>
          </w:tcPr>
          <w:p>
            <w:pPr>
              <w:ind w:left="120"/>
              <w:spacing w:after="0" w:line="181" w:lineRule="exact"/>
              <w:rPr>
                <w:sz w:val="20"/>
                <w:szCs w:val="20"/>
                <w:color w:val="auto"/>
              </w:rPr>
            </w:pPr>
            <w:r>
              <w:rPr>
                <w:rFonts w:ascii="Arial" w:cs="Arial" w:eastAsia="Arial" w:hAnsi="Arial"/>
                <w:sz w:val="16"/>
                <w:szCs w:val="16"/>
                <w:color w:val="262626"/>
              </w:rPr>
              <w:t>Compensation</w:t>
            </w:r>
          </w:p>
        </w:tc>
        <w:tc>
          <w:tcPr>
            <w:tcW w:w="700" w:type="dxa"/>
            <w:vAlign w:val="bottom"/>
          </w:tcPr>
          <w:p>
            <w:pPr>
              <w:ind w:left="480"/>
              <w:spacing w:after="0" w:line="181" w:lineRule="exact"/>
              <w:rPr>
                <w:sz w:val="20"/>
                <w:szCs w:val="20"/>
                <w:color w:val="auto"/>
              </w:rPr>
            </w:pPr>
            <w:r>
              <w:rPr>
                <w:rFonts w:ascii="Arial" w:cs="Arial" w:eastAsia="Arial" w:hAnsi="Arial"/>
                <w:sz w:val="16"/>
                <w:szCs w:val="16"/>
                <w:color w:val="262626"/>
              </w:rPr>
              <w:t>●</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2020</w:t>
            </w:r>
          </w:p>
        </w:tc>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47" w:lineRule="auto"/>
        <w:rPr>
          <w:sz w:val="20"/>
          <w:szCs w:val="20"/>
          <w:color w:val="auto"/>
        </w:rPr>
      </w:pPr>
      <w:r>
        <w:rPr>
          <w:rFonts w:ascii="Arial" w:cs="Arial" w:eastAsia="Arial" w:hAnsi="Arial"/>
          <w:sz w:val="16"/>
          <w:szCs w:val="16"/>
          <w:color w:val="262626"/>
        </w:rPr>
        <w:t>Ms. Lamb-Hale is a Managing Director at Kroll, a division of Duff &amp; Phelps, a global provider of risk management solutions, a position she has held since 2016. She is head of Duff &amp; Phelps’ Washington, DC office, chairs the firm’s Committee on Foreign Investments in the US and National Security practice and co- chairs the firm’s Educational Investigations practice. Prior to joining Kroll, Ms. Lamb-Hale was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boards of various non-profit groups including the American Leadership Initiative, The Holton Arms School, Shiloh Baptist Church of Washington, D.C. and the Center for International Private Enterprise.</w:t>
      </w:r>
    </w:p>
    <w:p>
      <w:pPr>
        <w:spacing w:after="0" w:line="17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5" w:lineRule="exact"/>
        <w:rPr>
          <w:sz w:val="20"/>
          <w:szCs w:val="20"/>
          <w:color w:val="auto"/>
        </w:rPr>
      </w:pPr>
    </w:p>
    <w:p>
      <w:pPr>
        <w:jc w:val="both"/>
        <w:ind w:left="2740" w:right="20"/>
        <w:spacing w:after="0" w:line="253" w:lineRule="auto"/>
        <w:rPr>
          <w:sz w:val="20"/>
          <w:szCs w:val="20"/>
          <w:color w:val="auto"/>
        </w:rPr>
      </w:pPr>
      <w:r>
        <w:rPr>
          <w:rFonts w:ascii="Arial" w:cs="Arial" w:eastAsia="Arial" w:hAnsi="Arial"/>
          <w:sz w:val="16"/>
          <w:szCs w:val="16"/>
          <w:color w:val="262626"/>
        </w:rPr>
        <w:t>Ms. Lamb-Hale’s 30 years of experience, spanning the private and public sectors, in law, risk mitigation and restructuring, coupled with her leadership skills gained from her varied executive roles, provides the company with diverse and valuable insights as it develops and implements its current and long-term business strategies.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510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Anthony P. Nader, III</w:t>
            </w:r>
          </w:p>
        </w:tc>
        <w:tc>
          <w:tcPr>
            <w:tcW w:w="2460" w:type="dxa"/>
            <w:vAlign w:val="bottom"/>
            <w:tcBorders>
              <w:top w:val="single" w:sz="8" w:color="F73A25"/>
            </w:tcBorders>
            <w:gridSpan w:val="2"/>
          </w:tcPr>
          <w:p>
            <w:pPr>
              <w:ind w:left="400"/>
              <w:spacing w:after="0"/>
              <w:rPr>
                <w:sz w:val="20"/>
                <w:szCs w:val="20"/>
                <w:color w:val="auto"/>
              </w:rPr>
            </w:pPr>
            <w:r>
              <w:rPr>
                <w:rFonts w:ascii="Arial" w:cs="Arial" w:eastAsia="Arial" w:hAnsi="Arial"/>
                <w:sz w:val="16"/>
                <w:szCs w:val="16"/>
                <w:b w:val="1"/>
                <w:bCs w:val="1"/>
                <w:color w:val="262626"/>
              </w:rPr>
              <w:t>Federal Committees:</w:t>
            </w:r>
          </w:p>
        </w:tc>
        <w:tc>
          <w:tcPr>
            <w:tcW w:w="3460" w:type="dxa"/>
            <w:vAlign w:val="bottom"/>
            <w:tcBorders>
              <w:top w:val="single" w:sz="8" w:color="F73A25"/>
            </w:tcBorders>
            <w:gridSpan w:val="2"/>
          </w:tcPr>
          <w:p>
            <w:pPr>
              <w:ind w:left="48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3"/>
        </w:trPr>
        <w:tc>
          <w:tcPr>
            <w:tcW w:w="510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57</w:t>
            </w:r>
          </w:p>
        </w:tc>
        <w:tc>
          <w:tcPr>
            <w:tcW w:w="600" w:type="dxa"/>
            <w:vAlign w:val="bottom"/>
          </w:tcPr>
          <w:p>
            <w:pPr>
              <w:ind w:left="400"/>
              <w:spacing w:after="0"/>
              <w:rPr>
                <w:sz w:val="20"/>
                <w:szCs w:val="20"/>
                <w:color w:val="auto"/>
              </w:rPr>
            </w:pPr>
            <w:r>
              <w:rPr>
                <w:rFonts w:ascii="Arial" w:cs="Arial" w:eastAsia="Arial" w:hAnsi="Arial"/>
                <w:sz w:val="16"/>
                <w:szCs w:val="16"/>
                <w:color w:val="262626"/>
              </w:rPr>
              <w:t>●</w:t>
            </w:r>
          </w:p>
        </w:tc>
        <w:tc>
          <w:tcPr>
            <w:tcW w:w="1860" w:type="dxa"/>
            <w:vAlign w:val="bottom"/>
          </w:tcPr>
          <w:p>
            <w:pPr>
              <w:ind w:left="100"/>
              <w:spacing w:after="0"/>
              <w:rPr>
                <w:sz w:val="20"/>
                <w:szCs w:val="20"/>
                <w:color w:val="auto"/>
              </w:rPr>
            </w:pPr>
            <w:r>
              <w:rPr>
                <w:rFonts w:ascii="Arial" w:cs="Arial" w:eastAsia="Arial" w:hAnsi="Arial"/>
                <w:sz w:val="16"/>
                <w:szCs w:val="16"/>
                <w:color w:val="262626"/>
              </w:rPr>
              <w:t>Audit</w:t>
            </w:r>
          </w:p>
        </w:tc>
        <w:tc>
          <w:tcPr>
            <w:tcW w:w="680" w:type="dxa"/>
            <w:vAlign w:val="bottom"/>
          </w:tcPr>
          <w:p>
            <w:pPr>
              <w:ind w:left="480"/>
              <w:spacing w:after="0"/>
              <w:rPr>
                <w:sz w:val="20"/>
                <w:szCs w:val="20"/>
                <w:color w:val="auto"/>
              </w:rPr>
            </w:pPr>
            <w:r>
              <w:rPr>
                <w:rFonts w:ascii="Arial" w:cs="Arial" w:eastAsia="Arial" w:hAnsi="Arial"/>
                <w:sz w:val="16"/>
                <w:szCs w:val="16"/>
                <w:color w:val="262626"/>
              </w:rPr>
              <w:t>●</w:t>
            </w:r>
          </w:p>
        </w:tc>
        <w:tc>
          <w:tcPr>
            <w:tcW w:w="2780" w:type="dxa"/>
            <w:vAlign w:val="bottom"/>
          </w:tcPr>
          <w:p>
            <w:pPr>
              <w:ind w:left="120"/>
              <w:spacing w:after="0"/>
              <w:rPr>
                <w:sz w:val="20"/>
                <w:szCs w:val="20"/>
                <w:color w:val="auto"/>
              </w:rPr>
            </w:pPr>
            <w:r>
              <w:rPr>
                <w:rFonts w:ascii="Arial" w:cs="Arial" w:eastAsia="Arial" w:hAnsi="Arial"/>
                <w:sz w:val="16"/>
                <w:szCs w:val="16"/>
                <w:color w:val="262626"/>
              </w:rPr>
              <w:t>Federal Realty</w:t>
            </w:r>
          </w:p>
        </w:tc>
        <w:tc>
          <w:tcPr>
            <w:tcW w:w="0" w:type="dxa"/>
            <w:vAlign w:val="bottom"/>
          </w:tcPr>
          <w:p>
            <w:pPr>
              <w:spacing w:after="0"/>
              <w:rPr>
                <w:sz w:val="1"/>
                <w:szCs w:val="1"/>
                <w:color w:val="auto"/>
              </w:rPr>
            </w:pPr>
          </w:p>
        </w:tc>
      </w:tr>
      <w:tr>
        <w:trPr>
          <w:trHeight w:val="181"/>
        </w:trPr>
        <w:tc>
          <w:tcPr>
            <w:tcW w:w="5100" w:type="dxa"/>
            <w:vAlign w:val="bottom"/>
            <w:vMerge w:val="continue"/>
          </w:tcPr>
          <w:p>
            <w:pPr>
              <w:spacing w:after="0"/>
              <w:rPr>
                <w:sz w:val="15"/>
                <w:szCs w:val="15"/>
                <w:color w:val="auto"/>
              </w:rPr>
            </w:pPr>
          </w:p>
        </w:tc>
        <w:tc>
          <w:tcPr>
            <w:tcW w:w="600" w:type="dxa"/>
            <w:vAlign w:val="bottom"/>
          </w:tcPr>
          <w:p>
            <w:pPr>
              <w:ind w:left="400"/>
              <w:spacing w:after="0" w:line="181" w:lineRule="exact"/>
              <w:rPr>
                <w:sz w:val="20"/>
                <w:szCs w:val="20"/>
                <w:color w:val="auto"/>
              </w:rPr>
            </w:pPr>
            <w:r>
              <w:rPr>
                <w:rFonts w:ascii="Arial" w:cs="Arial" w:eastAsia="Arial" w:hAnsi="Arial"/>
                <w:sz w:val="16"/>
                <w:szCs w:val="16"/>
                <w:color w:val="262626"/>
              </w:rPr>
              <w:t>●</w:t>
            </w:r>
          </w:p>
        </w:tc>
        <w:tc>
          <w:tcPr>
            <w:tcW w:w="1860" w:type="dxa"/>
            <w:vAlign w:val="bottom"/>
          </w:tcPr>
          <w:p>
            <w:pPr>
              <w:ind w:left="120"/>
              <w:spacing w:after="0" w:line="181" w:lineRule="exact"/>
              <w:rPr>
                <w:sz w:val="20"/>
                <w:szCs w:val="20"/>
                <w:color w:val="auto"/>
              </w:rPr>
            </w:pPr>
            <w:r>
              <w:rPr>
                <w:rFonts w:ascii="Arial" w:cs="Arial" w:eastAsia="Arial" w:hAnsi="Arial"/>
                <w:sz w:val="16"/>
                <w:szCs w:val="16"/>
                <w:color w:val="262626"/>
              </w:rPr>
              <w:t>Nominating</w:t>
            </w:r>
          </w:p>
        </w:tc>
        <w:tc>
          <w:tcPr>
            <w:tcW w:w="680" w:type="dxa"/>
            <w:vAlign w:val="bottom"/>
          </w:tcPr>
          <w:p>
            <w:pPr>
              <w:ind w:left="480"/>
              <w:spacing w:after="0" w:line="181" w:lineRule="exact"/>
              <w:rPr>
                <w:sz w:val="20"/>
                <w:szCs w:val="20"/>
                <w:color w:val="auto"/>
              </w:rPr>
            </w:pPr>
            <w:r>
              <w:rPr>
                <w:rFonts w:ascii="Arial" w:cs="Arial" w:eastAsia="Arial" w:hAnsi="Arial"/>
                <w:sz w:val="16"/>
                <w:szCs w:val="16"/>
                <w:color w:val="262626"/>
              </w:rPr>
              <w:t>●</w:t>
            </w:r>
          </w:p>
        </w:tc>
        <w:tc>
          <w:tcPr>
            <w:tcW w:w="2780" w:type="dxa"/>
            <w:vAlign w:val="bottom"/>
          </w:tcPr>
          <w:p>
            <w:pPr>
              <w:ind w:left="120"/>
              <w:spacing w:after="0" w:line="181" w:lineRule="exact"/>
              <w:rPr>
                <w:sz w:val="20"/>
                <w:szCs w:val="20"/>
                <w:color w:val="auto"/>
              </w:rPr>
            </w:pPr>
            <w:r>
              <w:rPr>
                <w:rFonts w:ascii="Arial" w:cs="Arial" w:eastAsia="Arial" w:hAnsi="Arial"/>
                <w:sz w:val="16"/>
                <w:szCs w:val="16"/>
                <w:color w:val="262626"/>
              </w:rPr>
              <w:t>Arlington Asset Investment Corp.</w:t>
            </w:r>
          </w:p>
        </w:tc>
        <w:tc>
          <w:tcPr>
            <w:tcW w:w="0" w:type="dxa"/>
            <w:vAlign w:val="bottom"/>
          </w:tcPr>
          <w:p>
            <w:pPr>
              <w:spacing w:after="0"/>
              <w:rPr>
                <w:sz w:val="1"/>
                <w:szCs w:val="1"/>
                <w:color w:val="auto"/>
              </w:rPr>
            </w:pPr>
          </w:p>
        </w:tc>
      </w:tr>
      <w:tr>
        <w:trPr>
          <w:trHeight w:val="215"/>
        </w:trPr>
        <w:tc>
          <w:tcPr>
            <w:tcW w:w="510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2020</w:t>
            </w:r>
          </w:p>
        </w:tc>
        <w:tc>
          <w:tcPr>
            <w:tcW w:w="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48" w:lineRule="auto"/>
        <w:rPr>
          <w:sz w:val="20"/>
          <w:szCs w:val="20"/>
          <w:color w:val="auto"/>
        </w:rPr>
      </w:pPr>
      <w:r>
        <w:rPr>
          <w:rFonts w:ascii="Arial" w:cs="Arial" w:eastAsia="Arial" w:hAnsi="Arial"/>
          <w:sz w:val="16"/>
          <w:szCs w:val="16"/>
          <w:color w:val="262626"/>
        </w:rPr>
        <w:t>Mr. Nader is a Managing Director of SWaN &amp; Legend Venture Partners, an investment firm that Mr. Nader co-founded in 2006, with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serves as the Chairman of the Inova Health System Board of Trustees. Mr. Nader has been designated by the Board as an audit committee financial expert in accordance with the SEC definition.</w:t>
      </w:r>
    </w:p>
    <w:p>
      <w:pPr>
        <w:spacing w:after="0" w:line="36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51" w:lineRule="auto"/>
        <w:rPr>
          <w:sz w:val="20"/>
          <w:szCs w:val="20"/>
          <w:color w:val="auto"/>
        </w:rPr>
      </w:pPr>
      <w:r>
        <w:rPr>
          <w:rFonts w:ascii="Arial" w:cs="Arial" w:eastAsia="Arial" w:hAnsi="Arial"/>
          <w:sz w:val="16"/>
          <w:szCs w:val="16"/>
          <w:color w:val="262626"/>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482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Mark S. Ordan</w:t>
            </w:r>
          </w:p>
        </w:tc>
        <w:tc>
          <w:tcPr>
            <w:tcW w:w="2740" w:type="dxa"/>
            <w:vAlign w:val="bottom"/>
            <w:tcBorders>
              <w:top w:val="single" w:sz="8" w:color="F73A25"/>
            </w:tcBorders>
          </w:tcPr>
          <w:p>
            <w:pPr>
              <w:ind w:left="680"/>
              <w:spacing w:after="0"/>
              <w:rPr>
                <w:sz w:val="20"/>
                <w:szCs w:val="20"/>
                <w:color w:val="auto"/>
              </w:rPr>
            </w:pPr>
            <w:r>
              <w:rPr>
                <w:rFonts w:ascii="Arial" w:cs="Arial" w:eastAsia="Arial" w:hAnsi="Arial"/>
                <w:sz w:val="16"/>
                <w:szCs w:val="16"/>
                <w:b w:val="1"/>
                <w:bCs w:val="1"/>
                <w:color w:val="262626"/>
              </w:rPr>
              <w:t>Federal Committees:</w:t>
            </w:r>
          </w:p>
        </w:tc>
        <w:tc>
          <w:tcPr>
            <w:tcW w:w="3460" w:type="dxa"/>
            <w:vAlign w:val="bottom"/>
            <w:tcBorders>
              <w:top w:val="single" w:sz="8" w:color="F73A25"/>
            </w:tcBorders>
            <w:gridSpan w:val="2"/>
          </w:tcPr>
          <w:p>
            <w:pPr>
              <w:ind w:left="48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2"/>
        </w:trPr>
        <w:tc>
          <w:tcPr>
            <w:tcW w:w="482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62</w:t>
            </w:r>
          </w:p>
        </w:tc>
        <w:tc>
          <w:tcPr>
            <w:tcW w:w="2740" w:type="dxa"/>
            <w:vAlign w:val="bottom"/>
          </w:tcPr>
          <w:p>
            <w:pPr>
              <w:ind w:left="680"/>
              <w:spacing w:after="0"/>
              <w:rPr>
                <w:sz w:val="20"/>
                <w:szCs w:val="20"/>
                <w:color w:val="auto"/>
              </w:rPr>
            </w:pPr>
            <w:r>
              <w:rPr>
                <w:rFonts w:ascii="Arial" w:cs="Arial" w:eastAsia="Arial" w:hAnsi="Arial"/>
                <w:sz w:val="16"/>
                <w:szCs w:val="16"/>
                <w:color w:val="262626"/>
              </w:rPr>
              <w:t>●   None</w:t>
            </w:r>
          </w:p>
        </w:tc>
        <w:tc>
          <w:tcPr>
            <w:tcW w:w="700" w:type="dxa"/>
            <w:vAlign w:val="bottom"/>
          </w:tcPr>
          <w:p>
            <w:pPr>
              <w:ind w:left="480"/>
              <w:spacing w:after="0"/>
              <w:rPr>
                <w:sz w:val="20"/>
                <w:szCs w:val="20"/>
                <w:color w:val="auto"/>
              </w:rPr>
            </w:pPr>
            <w:r>
              <w:rPr>
                <w:rFonts w:ascii="Arial" w:cs="Arial" w:eastAsia="Arial" w:hAnsi="Arial"/>
                <w:sz w:val="16"/>
                <w:szCs w:val="16"/>
                <w:color w:val="262626"/>
              </w:rPr>
              <w:t>●</w:t>
            </w:r>
          </w:p>
        </w:tc>
        <w:tc>
          <w:tcPr>
            <w:tcW w:w="2760" w:type="dxa"/>
            <w:vAlign w:val="bottom"/>
          </w:tcPr>
          <w:p>
            <w:pPr>
              <w:ind w:left="100"/>
              <w:spacing w:after="0"/>
              <w:rPr>
                <w:sz w:val="20"/>
                <w:szCs w:val="20"/>
                <w:color w:val="auto"/>
              </w:rPr>
            </w:pPr>
            <w:r>
              <w:rPr>
                <w:rFonts w:ascii="Arial" w:cs="Arial" w:eastAsia="Arial" w:hAnsi="Arial"/>
                <w:sz w:val="16"/>
                <w:szCs w:val="16"/>
                <w:color w:val="262626"/>
              </w:rPr>
              <w:t>Federal Realty</w:t>
            </w:r>
          </w:p>
        </w:tc>
        <w:tc>
          <w:tcPr>
            <w:tcW w:w="0" w:type="dxa"/>
            <w:vAlign w:val="bottom"/>
          </w:tcPr>
          <w:p>
            <w:pPr>
              <w:spacing w:after="0"/>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Pr>
          <w:p>
            <w:pPr>
              <w:ind w:left="480"/>
              <w:spacing w:after="0" w:line="181" w:lineRule="exact"/>
              <w:rPr>
                <w:sz w:val="20"/>
                <w:szCs w:val="20"/>
                <w:color w:val="auto"/>
              </w:rPr>
            </w:pPr>
            <w:r>
              <w:rPr>
                <w:rFonts w:ascii="Arial" w:cs="Arial" w:eastAsia="Arial" w:hAnsi="Arial"/>
                <w:sz w:val="16"/>
                <w:szCs w:val="16"/>
                <w:color w:val="262626"/>
              </w:rPr>
              <w:t>●</w:t>
            </w:r>
          </w:p>
        </w:tc>
        <w:tc>
          <w:tcPr>
            <w:tcW w:w="2760" w:type="dxa"/>
            <w:vAlign w:val="bottom"/>
          </w:tcPr>
          <w:p>
            <w:pPr>
              <w:ind w:left="100"/>
              <w:spacing w:after="0" w:line="181" w:lineRule="exact"/>
              <w:rPr>
                <w:sz w:val="20"/>
                <w:szCs w:val="20"/>
                <w:color w:val="auto"/>
              </w:rPr>
            </w:pPr>
            <w:r>
              <w:rPr>
                <w:rFonts w:ascii="Arial" w:cs="Arial" w:eastAsia="Arial" w:hAnsi="Arial"/>
                <w:sz w:val="16"/>
                <w:szCs w:val="16"/>
                <w:color w:val="262626"/>
              </w:rPr>
              <w:t>Mednax, Inc.</w:t>
            </w:r>
          </w:p>
        </w:tc>
        <w:tc>
          <w:tcPr>
            <w:tcW w:w="0" w:type="dxa"/>
            <w:vAlign w:val="bottom"/>
          </w:tcPr>
          <w:p>
            <w:pPr>
              <w:spacing w:after="0"/>
              <w:rPr>
                <w:sz w:val="1"/>
                <w:szCs w:val="1"/>
                <w:color w:val="auto"/>
              </w:rPr>
            </w:pPr>
          </w:p>
        </w:tc>
      </w:tr>
      <w:tr>
        <w:trPr>
          <w:trHeight w:val="215"/>
        </w:trPr>
        <w:tc>
          <w:tcPr>
            <w:tcW w:w="482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2019</w:t>
            </w: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48" w:lineRule="auto"/>
        <w:rPr>
          <w:sz w:val="20"/>
          <w:szCs w:val="20"/>
          <w:color w:val="auto"/>
        </w:rPr>
      </w:pPr>
      <w:r>
        <w:rPr>
          <w:rFonts w:ascii="Arial" w:cs="Arial" w:eastAsia="Arial" w:hAnsi="Arial"/>
          <w:sz w:val="16"/>
          <w:szCs w:val="16"/>
          <w:color w:val="262626"/>
        </w:rPr>
        <w:t>Mr. Ordan currently serves as Chief Executive Officer of Mednax, Inc., a position he has held since 2020. Mednax is a physician-led health care organization that partners with hospitals, health systems and health care facilities to offer clinical services spanning the women’s and children’s continuum of care. Prior to joining Mednax, Mr. Ordan held chairman and Chief Executive Officer roles with Quality Care Properties, Inc. (2016-2018), Washington Prime Group (2015-2016), Sunrise Senior Living (2008-2013), The Mills Corporation (2006-2007), Balducci’s (2003-2006), High Noon Always (1999-2003), Chartwell Health Management (1996-1999) and Fresh Fields Market (1989-1996). He began his career in investment banking at Goldman Sachs in 1983. Mr. Ordan earned a BA from Vassar College and an MBA from Harvard Business School. Previously, Mr. Ordan served on the public company boards of VEREIT, Inc. (2015-2020), Forest City Realty Trust (2018), Quality Care Properties (2016-2018) and Washington Prime Group (2014-2017).</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spacing w:after="0" w:line="251" w:lineRule="auto"/>
        <w:rPr>
          <w:sz w:val="20"/>
          <w:szCs w:val="20"/>
          <w:color w:val="auto"/>
        </w:rPr>
      </w:pPr>
      <w:r>
        <w:rPr>
          <w:rFonts w:ascii="Arial" w:cs="Arial" w:eastAsia="Arial" w:hAnsi="Arial"/>
          <w:sz w:val="16"/>
          <w:szCs w:val="16"/>
          <w:color w:val="262626"/>
        </w:rPr>
        <w:t>Mr. Ordan provides our Board with many years of leadership and governance experience from his years of serving as CEO of multiple companies and as CEO and a director of other public traded REITs. This is in addition to the retailing understanding he adds to the Board from his prior experiences of founding and running multiple gourmet grocery and other food concepts.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482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Gail P. Steinel</w:t>
            </w:r>
          </w:p>
        </w:tc>
        <w:tc>
          <w:tcPr>
            <w:tcW w:w="2740" w:type="dxa"/>
            <w:vAlign w:val="bottom"/>
            <w:tcBorders>
              <w:top w:val="single" w:sz="8" w:color="F73A25"/>
            </w:tcBorders>
            <w:gridSpan w:val="2"/>
          </w:tcPr>
          <w:p>
            <w:pPr>
              <w:ind w:left="680"/>
              <w:spacing w:after="0"/>
              <w:rPr>
                <w:sz w:val="20"/>
                <w:szCs w:val="20"/>
                <w:color w:val="auto"/>
              </w:rPr>
            </w:pPr>
            <w:r>
              <w:rPr>
                <w:rFonts w:ascii="Arial" w:cs="Arial" w:eastAsia="Arial" w:hAnsi="Arial"/>
                <w:sz w:val="16"/>
                <w:szCs w:val="16"/>
                <w:b w:val="1"/>
                <w:bCs w:val="1"/>
                <w:color w:val="262626"/>
              </w:rPr>
              <w:t>Federal Committees:</w:t>
            </w:r>
          </w:p>
        </w:tc>
        <w:tc>
          <w:tcPr>
            <w:tcW w:w="3460" w:type="dxa"/>
            <w:vAlign w:val="bottom"/>
            <w:tcBorders>
              <w:top w:val="single" w:sz="8" w:color="F73A25"/>
            </w:tcBorders>
          </w:tcPr>
          <w:p>
            <w:pPr>
              <w:ind w:left="48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3"/>
        </w:trPr>
        <w:tc>
          <w:tcPr>
            <w:tcW w:w="482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64</w:t>
            </w:r>
          </w:p>
        </w:tc>
        <w:tc>
          <w:tcPr>
            <w:tcW w:w="880" w:type="dxa"/>
            <w:vAlign w:val="bottom"/>
          </w:tcPr>
          <w:p>
            <w:pPr>
              <w:ind w:left="680"/>
              <w:spacing w:after="0"/>
              <w:rPr>
                <w:sz w:val="20"/>
                <w:szCs w:val="20"/>
                <w:color w:val="auto"/>
              </w:rPr>
            </w:pPr>
            <w:r>
              <w:rPr>
                <w:rFonts w:ascii="Arial" w:cs="Arial" w:eastAsia="Arial" w:hAnsi="Arial"/>
                <w:sz w:val="16"/>
                <w:szCs w:val="16"/>
                <w:color w:val="262626"/>
              </w:rPr>
              <w:t>●</w:t>
            </w:r>
          </w:p>
        </w:tc>
        <w:tc>
          <w:tcPr>
            <w:tcW w:w="1860" w:type="dxa"/>
            <w:vAlign w:val="bottom"/>
          </w:tcPr>
          <w:p>
            <w:pPr>
              <w:ind w:left="100"/>
              <w:spacing w:after="0"/>
              <w:rPr>
                <w:sz w:val="20"/>
                <w:szCs w:val="20"/>
                <w:color w:val="auto"/>
              </w:rPr>
            </w:pPr>
            <w:r>
              <w:rPr>
                <w:rFonts w:ascii="Arial" w:cs="Arial" w:eastAsia="Arial" w:hAnsi="Arial"/>
                <w:sz w:val="16"/>
                <w:szCs w:val="16"/>
                <w:color w:val="262626"/>
              </w:rPr>
              <w:t>Audit (Chair)</w:t>
            </w:r>
          </w:p>
        </w:tc>
        <w:tc>
          <w:tcPr>
            <w:tcW w:w="3460" w:type="dxa"/>
            <w:vAlign w:val="bottom"/>
          </w:tcPr>
          <w:p>
            <w:pPr>
              <w:ind w:left="480"/>
              <w:spacing w:after="0"/>
              <w:rPr>
                <w:sz w:val="20"/>
                <w:szCs w:val="20"/>
                <w:color w:val="auto"/>
              </w:rPr>
            </w:pPr>
            <w:r>
              <w:rPr>
                <w:rFonts w:ascii="Arial" w:cs="Arial" w:eastAsia="Arial" w:hAnsi="Arial"/>
                <w:sz w:val="16"/>
                <w:szCs w:val="16"/>
                <w:color w:val="262626"/>
              </w:rPr>
              <w:t>●   Federal Realty</w:t>
            </w:r>
          </w:p>
        </w:tc>
        <w:tc>
          <w:tcPr>
            <w:tcW w:w="0" w:type="dxa"/>
            <w:vAlign w:val="bottom"/>
          </w:tcPr>
          <w:p>
            <w:pPr>
              <w:spacing w:after="0"/>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880" w:type="dxa"/>
            <w:vAlign w:val="bottom"/>
          </w:tcPr>
          <w:p>
            <w:pPr>
              <w:ind w:left="680"/>
              <w:spacing w:after="0" w:line="181" w:lineRule="exact"/>
              <w:rPr>
                <w:sz w:val="20"/>
                <w:szCs w:val="20"/>
                <w:color w:val="auto"/>
              </w:rPr>
            </w:pPr>
            <w:r>
              <w:rPr>
                <w:rFonts w:ascii="Arial" w:cs="Arial" w:eastAsia="Arial" w:hAnsi="Arial"/>
                <w:sz w:val="16"/>
                <w:szCs w:val="16"/>
                <w:color w:val="262626"/>
              </w:rPr>
              <w:t>●</w:t>
            </w:r>
          </w:p>
        </w:tc>
        <w:tc>
          <w:tcPr>
            <w:tcW w:w="1860" w:type="dxa"/>
            <w:vAlign w:val="bottom"/>
          </w:tcPr>
          <w:p>
            <w:pPr>
              <w:ind w:left="120"/>
              <w:spacing w:after="0" w:line="181" w:lineRule="exact"/>
              <w:rPr>
                <w:sz w:val="20"/>
                <w:szCs w:val="20"/>
                <w:color w:val="auto"/>
              </w:rPr>
            </w:pPr>
            <w:r>
              <w:rPr>
                <w:rFonts w:ascii="Arial" w:cs="Arial" w:eastAsia="Arial" w:hAnsi="Arial"/>
                <w:sz w:val="16"/>
                <w:szCs w:val="16"/>
                <w:color w:val="262626"/>
              </w:rPr>
              <w:t>Compensation</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2006</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right="20"/>
        <w:spacing w:after="0" w:line="247" w:lineRule="auto"/>
        <w:rPr>
          <w:sz w:val="20"/>
          <w:szCs w:val="20"/>
          <w:color w:val="auto"/>
        </w:rPr>
      </w:pPr>
      <w:r>
        <w:rPr>
          <w:rFonts w:ascii="Arial" w:cs="Arial" w:eastAsia="Arial" w:hAnsi="Arial"/>
          <w:sz w:val="16"/>
          <w:szCs w:val="16"/>
          <w:color w:val="262626"/>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to her public board service, Ms. Steinel also serves on the boards of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179"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5" w:lineRule="exact"/>
        <w:rPr>
          <w:sz w:val="20"/>
          <w:szCs w:val="20"/>
          <w:color w:val="auto"/>
        </w:rPr>
      </w:pPr>
    </w:p>
    <w:p>
      <w:pPr>
        <w:jc w:val="both"/>
        <w:ind w:left="2740" w:right="20"/>
        <w:spacing w:after="0" w:line="253" w:lineRule="auto"/>
        <w:rPr>
          <w:sz w:val="20"/>
          <w:szCs w:val="20"/>
          <w:color w:val="auto"/>
        </w:rPr>
      </w:pPr>
      <w:r>
        <w:rPr>
          <w:rFonts w:ascii="Arial" w:cs="Arial" w:eastAsia="Arial" w:hAnsi="Arial"/>
          <w:sz w:val="16"/>
          <w:szCs w:val="16"/>
          <w:color w:val="262626"/>
        </w:rPr>
        <w:t>Ms. Steinel has over 35 years of experience in auditing, leadership, leadership development and financial systems that provides us with valuable insights on leadership, leadership development, risk management and systems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4900" w:type="dxa"/>
            <w:vAlign w:val="bottom"/>
            <w:tcBorders>
              <w:top w:val="single" w:sz="8" w:color="F73A25"/>
            </w:tcBorders>
          </w:tcPr>
          <w:p>
            <w:pPr>
              <w:ind w:left="2620"/>
              <w:spacing w:after="0"/>
              <w:rPr>
                <w:sz w:val="20"/>
                <w:szCs w:val="20"/>
                <w:color w:val="auto"/>
              </w:rPr>
            </w:pPr>
            <w:r>
              <w:rPr>
                <w:rFonts w:ascii="Arial" w:cs="Arial" w:eastAsia="Arial" w:hAnsi="Arial"/>
                <w:sz w:val="22"/>
                <w:szCs w:val="22"/>
                <w:b w:val="1"/>
                <w:bCs w:val="1"/>
                <w:color w:val="262626"/>
              </w:rPr>
              <w:t>Donald C. Wood</w:t>
            </w:r>
          </w:p>
        </w:tc>
        <w:tc>
          <w:tcPr>
            <w:tcW w:w="2660" w:type="dxa"/>
            <w:vAlign w:val="bottom"/>
            <w:tcBorders>
              <w:top w:val="single" w:sz="8" w:color="F73A25"/>
            </w:tcBorders>
          </w:tcPr>
          <w:p>
            <w:pPr>
              <w:ind w:left="600"/>
              <w:spacing w:after="0"/>
              <w:rPr>
                <w:sz w:val="20"/>
                <w:szCs w:val="20"/>
                <w:color w:val="auto"/>
              </w:rPr>
            </w:pPr>
            <w:r>
              <w:rPr>
                <w:rFonts w:ascii="Arial" w:cs="Arial" w:eastAsia="Arial" w:hAnsi="Arial"/>
                <w:sz w:val="16"/>
                <w:szCs w:val="16"/>
                <w:b w:val="1"/>
                <w:bCs w:val="1"/>
                <w:color w:val="262626"/>
              </w:rPr>
              <w:t>Federal Committees:</w:t>
            </w:r>
          </w:p>
        </w:tc>
        <w:tc>
          <w:tcPr>
            <w:tcW w:w="3460" w:type="dxa"/>
            <w:vAlign w:val="bottom"/>
            <w:tcBorders>
              <w:top w:val="single" w:sz="8" w:color="F73A25"/>
            </w:tcBorders>
          </w:tcPr>
          <w:p>
            <w:pPr>
              <w:ind w:left="480"/>
              <w:spacing w:after="0"/>
              <w:rPr>
                <w:sz w:val="20"/>
                <w:szCs w:val="20"/>
                <w:color w:val="auto"/>
              </w:rPr>
            </w:pPr>
            <w:r>
              <w:rPr>
                <w:rFonts w:ascii="Arial" w:cs="Arial" w:eastAsia="Arial" w:hAnsi="Arial"/>
                <w:sz w:val="16"/>
                <w:szCs w:val="16"/>
                <w:b w:val="1"/>
                <w:bCs w:val="1"/>
                <w:color w:val="262626"/>
              </w:rPr>
              <w:t>Current Public Company Boards:</w:t>
            </w:r>
          </w:p>
        </w:tc>
        <w:tc>
          <w:tcPr>
            <w:tcW w:w="0" w:type="dxa"/>
            <w:vAlign w:val="bottom"/>
          </w:tcPr>
          <w:p>
            <w:pPr>
              <w:spacing w:after="0"/>
              <w:rPr>
                <w:sz w:val="1"/>
                <w:szCs w:val="1"/>
                <w:color w:val="auto"/>
              </w:rPr>
            </w:pPr>
          </w:p>
        </w:tc>
      </w:tr>
      <w:tr>
        <w:trPr>
          <w:trHeight w:val="206"/>
        </w:trPr>
        <w:tc>
          <w:tcPr>
            <w:tcW w:w="4900" w:type="dxa"/>
            <w:vAlign w:val="bottom"/>
            <w:vMerge w:val="restart"/>
          </w:tcPr>
          <w:p>
            <w:pPr>
              <w:ind w:left="262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60</w:t>
            </w:r>
          </w:p>
        </w:tc>
        <w:tc>
          <w:tcPr>
            <w:tcW w:w="2660" w:type="dxa"/>
            <w:vAlign w:val="bottom"/>
          </w:tcPr>
          <w:p>
            <w:pPr>
              <w:ind w:left="600"/>
              <w:spacing w:after="0"/>
              <w:rPr>
                <w:sz w:val="20"/>
                <w:szCs w:val="20"/>
                <w:color w:val="auto"/>
              </w:rPr>
            </w:pPr>
            <w:r>
              <w:rPr>
                <w:rFonts w:ascii="Arial" w:cs="Arial" w:eastAsia="Arial" w:hAnsi="Arial"/>
                <w:sz w:val="16"/>
                <w:szCs w:val="16"/>
                <w:color w:val="262626"/>
              </w:rPr>
              <w:t>●   None</w:t>
            </w:r>
          </w:p>
        </w:tc>
        <w:tc>
          <w:tcPr>
            <w:tcW w:w="3460" w:type="dxa"/>
            <w:vAlign w:val="bottom"/>
          </w:tcPr>
          <w:p>
            <w:pPr>
              <w:ind w:left="480"/>
              <w:spacing w:after="0"/>
              <w:rPr>
                <w:sz w:val="20"/>
                <w:szCs w:val="20"/>
                <w:color w:val="auto"/>
              </w:rPr>
            </w:pPr>
            <w:r>
              <w:rPr>
                <w:rFonts w:ascii="Arial" w:cs="Arial" w:eastAsia="Arial" w:hAnsi="Arial"/>
                <w:sz w:val="16"/>
                <w:szCs w:val="16"/>
                <w:color w:val="262626"/>
              </w:rPr>
              <w:t>●   Federal Realty</w:t>
            </w:r>
          </w:p>
        </w:tc>
        <w:tc>
          <w:tcPr>
            <w:tcW w:w="0" w:type="dxa"/>
            <w:vAlign w:val="bottom"/>
          </w:tcPr>
          <w:p>
            <w:pPr>
              <w:spacing w:after="0"/>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6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00" w:type="dxa"/>
            <w:vAlign w:val="bottom"/>
          </w:tcPr>
          <w:p>
            <w:pPr>
              <w:ind w:left="2620"/>
              <w:spacing w:after="0"/>
              <w:rPr>
                <w:sz w:val="20"/>
                <w:szCs w:val="20"/>
                <w:color w:val="auto"/>
              </w:rPr>
            </w:pPr>
            <w:r>
              <w:rPr>
                <w:rFonts w:ascii="Arial" w:cs="Arial" w:eastAsia="Arial" w:hAnsi="Arial"/>
                <w:sz w:val="16"/>
                <w:szCs w:val="16"/>
                <w:b w:val="1"/>
                <w:bCs w:val="1"/>
                <w:color w:val="262626"/>
              </w:rPr>
              <w:t xml:space="preserve">Trustee Since: </w:t>
            </w:r>
            <w:r>
              <w:rPr>
                <w:rFonts w:ascii="Arial" w:cs="Arial" w:eastAsia="Arial" w:hAnsi="Arial"/>
                <w:sz w:val="16"/>
                <w:szCs w:val="16"/>
                <w:color w:val="262626"/>
              </w:rPr>
              <w:t>2003</w:t>
            </w:r>
          </w:p>
        </w:tc>
        <w:tc>
          <w:tcPr>
            <w:tcW w:w="26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-372745</wp:posOffset>
            </wp:positionV>
            <wp:extent cx="1156970" cy="1268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5" w:lineRule="exact"/>
        <w:rPr>
          <w:sz w:val="20"/>
          <w:szCs w:val="20"/>
          <w:color w:val="auto"/>
        </w:rPr>
      </w:pPr>
    </w:p>
    <w:p>
      <w:pPr>
        <w:jc w:val="both"/>
        <w:ind w:left="2740"/>
        <w:spacing w:after="0" w:line="248" w:lineRule="auto"/>
        <w:rPr>
          <w:sz w:val="20"/>
          <w:szCs w:val="20"/>
          <w:color w:val="auto"/>
        </w:rPr>
      </w:pPr>
      <w:r>
        <w:rPr>
          <w:rFonts w:ascii="Arial" w:cs="Arial" w:eastAsia="Arial" w:hAnsi="Arial"/>
          <w:sz w:val="16"/>
          <w:szCs w:val="16"/>
          <w:color w:val="262626"/>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has served on the Board of Governors of the International Council of Shopping Centers since 2010.</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262626"/>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-113030</wp:posOffset>
            </wp:positionV>
            <wp:extent cx="53917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5" w:lineRule="exact"/>
        <w:rPr>
          <w:sz w:val="20"/>
          <w:szCs w:val="20"/>
          <w:color w:val="auto"/>
        </w:rPr>
      </w:pPr>
    </w:p>
    <w:p>
      <w:pPr>
        <w:jc w:val="both"/>
        <w:ind w:left="2740" w:right="20"/>
        <w:spacing w:after="0" w:line="260" w:lineRule="auto"/>
        <w:rPr>
          <w:sz w:val="20"/>
          <w:szCs w:val="20"/>
          <w:color w:val="auto"/>
        </w:rPr>
      </w:pPr>
      <w:r>
        <w:rPr>
          <w:rFonts w:ascii="Arial" w:cs="Arial" w:eastAsia="Arial" w:hAnsi="Arial"/>
          <w:sz w:val="16"/>
          <w:szCs w:val="16"/>
          <w:color w:val="262626"/>
        </w:rPr>
        <w:t>Mr. Wood’s 23 years of experience with Federal and his responsibilities as chief executive officer provide the Board with familiarity and details on all aspects of operating the company.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80"/>
        <w:spacing w:after="0"/>
        <w:tabs>
          <w:tab w:leader="none" w:pos="2360" w:val="left"/>
        </w:tabs>
        <w:rPr>
          <w:sz w:val="20"/>
          <w:szCs w:val="20"/>
          <w:color w:val="auto"/>
        </w:rPr>
      </w:pPr>
      <w:r>
        <w:rPr>
          <w:rFonts w:ascii="Arial" w:cs="Arial" w:eastAsia="Arial" w:hAnsi="Arial"/>
          <w:sz w:val="20"/>
          <w:szCs w:val="20"/>
          <w:b w:val="1"/>
          <w:bCs w:val="1"/>
          <w:color w:val="F73A25"/>
        </w:rPr>
        <w:t>Proposal 2:</w:t>
      </w:r>
      <w:r>
        <w:rPr>
          <w:sz w:val="20"/>
          <w:szCs w:val="20"/>
          <w:color w:val="auto"/>
        </w:rPr>
        <w:tab/>
      </w:r>
      <w:r>
        <w:rPr>
          <w:rFonts w:ascii="Arial" w:cs="Arial" w:eastAsia="Arial" w:hAnsi="Arial"/>
          <w:sz w:val="19"/>
          <w:szCs w:val="19"/>
          <w:b w:val="1"/>
          <w:bCs w:val="1"/>
          <w:color w:val="262626"/>
        </w:rPr>
        <w:t>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-144780</wp:posOffset>
            </wp:positionV>
            <wp:extent cx="701230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You are being asked to approve on an advisory basis the compensation of our named executive officers (“NEOs”) for 2020 as described in the Compensation Discussion and Analysis (“CD&amp;A”) and the Executive Compensation section that follow. This is an opportunity to express your opinion regarding the decisions made by the Compensation Committee on the compensation of our NEOs for 2020 as required by law; however, it will not affect any compensation already paid or awarded for 2020 and will not be binding on the Compensation Committee, the Board or the Company. We currently ask our shareholders to approve the compensation of our NEOs on an annual basis. The Board and our Compensation Committee value the opinions of our shareholders and will review the results of this vote and take those results into consideration in addressing future compensation policies and decisions.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Board supports the overall design of the compensation program which is characterized by the following:</w:t>
      </w:r>
    </w:p>
    <w:p>
      <w:pPr>
        <w:spacing w:after="0" w:line="239" w:lineRule="exact"/>
        <w:rPr>
          <w:sz w:val="20"/>
          <w:szCs w:val="20"/>
          <w:color w:val="auto"/>
        </w:rPr>
      </w:pPr>
    </w:p>
    <w:p>
      <w:pPr>
        <w:jc w:val="both"/>
        <w:ind w:left="540" w:right="20" w:hanging="424"/>
        <w:spacing w:after="0"/>
        <w:tabs>
          <w:tab w:leader="none" w:pos="540" w:val="left"/>
        </w:tabs>
        <w:numPr>
          <w:ilvl w:val="0"/>
          <w:numId w:val="18"/>
        </w:numPr>
        <w:rPr>
          <w:rFonts w:ascii="Arial" w:cs="Arial" w:eastAsia="Arial" w:hAnsi="Arial"/>
          <w:sz w:val="18"/>
          <w:szCs w:val="18"/>
          <w:color w:val="262626"/>
        </w:rPr>
      </w:pPr>
      <w:r>
        <w:rPr>
          <w:rFonts w:ascii="Arial" w:cs="Arial" w:eastAsia="Arial" w:hAnsi="Arial"/>
          <w:sz w:val="18"/>
          <w:szCs w:val="18"/>
          <w:color w:val="262626"/>
        </w:rPr>
        <w:t>A significant portion of our NEOs’ compensation is directly linked to our performance and the creation of long-term shareholder value through both our annual bonus program (1-year performance period) and our long-term incentive plan (3-year performance period with additional vesting).</w:t>
      </w:r>
    </w:p>
    <w:p>
      <w:pPr>
        <w:spacing w:after="0" w:line="229" w:lineRule="exact"/>
        <w:rPr>
          <w:rFonts w:ascii="Arial" w:cs="Arial" w:eastAsia="Arial" w:hAnsi="Arial"/>
          <w:sz w:val="18"/>
          <w:szCs w:val="18"/>
          <w:color w:val="262626"/>
        </w:rPr>
      </w:pPr>
    </w:p>
    <w:p>
      <w:pPr>
        <w:ind w:left="540" w:right="20" w:hanging="424"/>
        <w:spacing w:after="0" w:line="246" w:lineRule="auto"/>
        <w:tabs>
          <w:tab w:leader="none" w:pos="540" w:val="left"/>
        </w:tabs>
        <w:numPr>
          <w:ilvl w:val="0"/>
          <w:numId w:val="18"/>
        </w:numPr>
        <w:rPr>
          <w:rFonts w:ascii="Arial" w:cs="Arial" w:eastAsia="Arial" w:hAnsi="Arial"/>
          <w:sz w:val="18"/>
          <w:szCs w:val="18"/>
          <w:color w:val="262626"/>
        </w:rPr>
      </w:pPr>
      <w:r>
        <w:rPr>
          <w:rFonts w:ascii="Arial" w:cs="Arial" w:eastAsia="Arial" w:hAnsi="Arial"/>
          <w:sz w:val="18"/>
          <w:szCs w:val="18"/>
          <w:color w:val="262626"/>
        </w:rPr>
        <w:t>The combination of base pay, annual bonus and long-term incentives provides an appropriate balance between short-term and long-term pay and objectives.</w:t>
      </w:r>
    </w:p>
    <w:p>
      <w:pPr>
        <w:spacing w:after="0" w:line="223" w:lineRule="exact"/>
        <w:rPr>
          <w:rFonts w:ascii="Arial" w:cs="Arial" w:eastAsia="Arial" w:hAnsi="Arial"/>
          <w:sz w:val="18"/>
          <w:szCs w:val="18"/>
          <w:color w:val="262626"/>
        </w:rPr>
      </w:pPr>
    </w:p>
    <w:p>
      <w:pPr>
        <w:jc w:val="both"/>
        <w:ind w:left="540" w:hanging="424"/>
        <w:spacing w:after="0" w:line="238" w:lineRule="auto"/>
        <w:tabs>
          <w:tab w:leader="none" w:pos="540" w:val="left"/>
        </w:tabs>
        <w:numPr>
          <w:ilvl w:val="0"/>
          <w:numId w:val="18"/>
        </w:numPr>
        <w:rPr>
          <w:rFonts w:ascii="Arial" w:cs="Arial" w:eastAsia="Arial" w:hAnsi="Arial"/>
          <w:sz w:val="18"/>
          <w:szCs w:val="18"/>
          <w:color w:val="262626"/>
        </w:rPr>
      </w:pPr>
      <w:r>
        <w:rPr>
          <w:rFonts w:ascii="Arial" w:cs="Arial" w:eastAsia="Arial" w:hAnsi="Arial"/>
          <w:sz w:val="18"/>
          <w:szCs w:val="18"/>
          <w:color w:val="262626"/>
        </w:rPr>
        <w:t>Our CEO is required to hold Shares having a value equal to at least 7.0x the amount of his base pay and our other NEOs are required to hold Shares having a value equal to at least 2.5x the amount of his/her base pay and annual bonus. The requirement for our CEO was increased in 2020 from its prior level. This requirement aligns our NEOs with our shareholders and incentivizes them to act in the best long-term interests of the Company.</w:t>
      </w:r>
    </w:p>
    <w:p>
      <w:pPr>
        <w:spacing w:after="0" w:line="231" w:lineRule="exact"/>
        <w:rPr>
          <w:rFonts w:ascii="Arial" w:cs="Arial" w:eastAsia="Arial" w:hAnsi="Arial"/>
          <w:sz w:val="18"/>
          <w:szCs w:val="18"/>
          <w:color w:val="262626"/>
        </w:rPr>
      </w:pPr>
    </w:p>
    <w:p>
      <w:pPr>
        <w:ind w:left="540" w:right="20" w:hanging="424"/>
        <w:spacing w:after="0" w:line="246" w:lineRule="auto"/>
        <w:tabs>
          <w:tab w:leader="none" w:pos="540" w:val="left"/>
        </w:tabs>
        <w:numPr>
          <w:ilvl w:val="0"/>
          <w:numId w:val="18"/>
        </w:numPr>
        <w:rPr>
          <w:rFonts w:ascii="Arial" w:cs="Arial" w:eastAsia="Arial" w:hAnsi="Arial"/>
          <w:sz w:val="18"/>
          <w:szCs w:val="18"/>
          <w:color w:val="262626"/>
        </w:rPr>
      </w:pPr>
      <w:r>
        <w:rPr>
          <w:rFonts w:ascii="Arial" w:cs="Arial" w:eastAsia="Arial" w:hAnsi="Arial"/>
          <w:sz w:val="18"/>
          <w:szCs w:val="18"/>
          <w:color w:val="262626"/>
        </w:rPr>
        <w:t>We do not provide any perquisites to our NEOs that are not widely available to our other employees other than as described in the CD&amp;A and the “Potential Payments on Termination of Employment and Change-in Control” sections below.</w:t>
      </w:r>
    </w:p>
    <w:p>
      <w:pPr>
        <w:spacing w:after="0" w:line="1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8" w:lineRule="exact"/>
        <w:rPr>
          <w:sz w:val="20"/>
          <w:szCs w:val="20"/>
          <w:color w:val="auto"/>
        </w:rPr>
      </w:pPr>
    </w:p>
    <w:p>
      <w:pPr>
        <w:ind w:left="340" w:hanging="224"/>
        <w:spacing w:after="0"/>
        <w:tabs>
          <w:tab w:leader="none" w:pos="340" w:val="left"/>
        </w:tabs>
        <w:numPr>
          <w:ilvl w:val="0"/>
          <w:numId w:val="19"/>
        </w:numPr>
        <w:rPr>
          <w:rFonts w:ascii="MS PGothic" w:cs="MS PGothic" w:eastAsia="MS PGothic" w:hAnsi="MS PGothic"/>
          <w:sz w:val="20"/>
          <w:szCs w:val="20"/>
          <w:color w:val="262626"/>
        </w:rPr>
      </w:pPr>
      <w:r>
        <w:rPr>
          <w:rFonts w:ascii="Arial" w:cs="Arial" w:eastAsia="Arial" w:hAnsi="Arial"/>
          <w:sz w:val="20"/>
          <w:szCs w:val="20"/>
          <w:color w:val="262626"/>
        </w:rPr>
        <w:t xml:space="preserve">Our Board recommends a vote </w:t>
      </w:r>
      <w:r>
        <w:rPr>
          <w:rFonts w:ascii="Arial" w:cs="Arial" w:eastAsia="Arial" w:hAnsi="Arial"/>
          <w:sz w:val="20"/>
          <w:szCs w:val="20"/>
          <w:b w:val="1"/>
          <w:bCs w:val="1"/>
          <w:color w:val="262626"/>
        </w:rPr>
        <w:t>FOR</w:t>
      </w:r>
      <w:r>
        <w:rPr>
          <w:rFonts w:ascii="Arial" w:cs="Arial" w:eastAsia="Arial" w:hAnsi="Arial"/>
          <w:sz w:val="20"/>
          <w:szCs w:val="20"/>
          <w:color w:val="262626"/>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4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RESOLVED, that the shareholders of the Company hereby approve, on an advisory basis, the compensation of our NEOs as described in the CD&amp;A and the Executive Compensation section that follows as required by Item 402 of Regulation S-K.</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Compensation Discussion and Analysis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2020 Compensation Highlights</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340" w:type="dxa"/>
            <w:vAlign w:val="bottom"/>
            <w:tcBorders>
              <w:top w:val="single" w:sz="8" w:color="F73A25"/>
            </w:tcBorders>
            <w:shd w:val="clear" w:color="auto" w:fill="EAEFED"/>
          </w:tcPr>
          <w:p>
            <w:pPr>
              <w:spacing w:after="0"/>
              <w:rPr>
                <w:sz w:val="20"/>
                <w:szCs w:val="20"/>
                <w:color w:val="auto"/>
              </w:rPr>
            </w:pPr>
            <w:r>
              <w:rPr>
                <w:rFonts w:ascii="Arial" w:cs="Arial" w:eastAsia="Arial" w:hAnsi="Arial"/>
                <w:sz w:val="18"/>
                <w:szCs w:val="18"/>
                <w:color w:val="262626"/>
              </w:rPr>
              <w:t>Response to Say on Pay</w:t>
            </w:r>
          </w:p>
        </w:tc>
        <w:tc>
          <w:tcPr>
            <w:tcW w:w="8680" w:type="dxa"/>
            <w:vAlign w:val="bottom"/>
            <w:tcBorders>
              <w:top w:val="single" w:sz="8" w:color="F73A25"/>
            </w:tcBorders>
          </w:tcPr>
          <w:p>
            <w:pPr>
              <w:ind w:left="120"/>
              <w:spacing w:after="0"/>
              <w:rPr>
                <w:sz w:val="20"/>
                <w:szCs w:val="20"/>
                <w:color w:val="auto"/>
              </w:rPr>
            </w:pPr>
            <w:r>
              <w:rPr>
                <w:rFonts w:ascii="Arial" w:cs="Arial" w:eastAsia="Arial" w:hAnsi="Arial"/>
                <w:sz w:val="18"/>
                <w:szCs w:val="18"/>
                <w:color w:val="262626"/>
              </w:rPr>
              <w:t>Engaged with shareholders in response to failed Say on Pay vote and retained Semler Brossy Consulting</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Group as our compensation consultant to review our compensation programs in light of that vote. The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Compensation Committee and the Board committed that they will not make any future mid-performance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w w:val="99"/>
              </w:rPr>
              <w:t>period changes to performance goals or metrics under our long-term incentive plan. No other changes were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made to our compensation programs. See “Response to Say on Pay Vote” below for a more detailed</w:t>
            </w:r>
          </w:p>
        </w:tc>
      </w:tr>
      <w:tr>
        <w:trPr>
          <w:trHeight w:val="217"/>
        </w:trPr>
        <w:tc>
          <w:tcPr>
            <w:tcW w:w="2340" w:type="dxa"/>
            <w:vAlign w:val="bottom"/>
            <w:shd w:val="clear" w:color="auto" w:fill="EAEFED"/>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262626"/>
              </w:rPr>
              <w:t>discussion on this topic.</w:t>
            </w:r>
          </w:p>
        </w:tc>
      </w:tr>
      <w:tr>
        <w:trPr>
          <w:trHeight w:val="243"/>
        </w:trPr>
        <w:tc>
          <w:tcPr>
            <w:tcW w:w="2340" w:type="dxa"/>
            <w:vAlign w:val="bottom"/>
            <w:tcBorders>
              <w:bottom w:val="single" w:sz="8" w:color="F73A25"/>
            </w:tcBorders>
            <w:shd w:val="clear" w:color="auto" w:fill="EAEFED"/>
          </w:tcPr>
          <w:p>
            <w:pPr>
              <w:spacing w:after="0"/>
              <w:rPr>
                <w:sz w:val="21"/>
                <w:szCs w:val="21"/>
                <w:color w:val="auto"/>
              </w:rPr>
            </w:pPr>
          </w:p>
        </w:tc>
        <w:tc>
          <w:tcPr>
            <w:tcW w:w="8680" w:type="dxa"/>
            <w:vAlign w:val="bottom"/>
            <w:tcBorders>
              <w:bottom w:val="single" w:sz="8" w:color="F73A25"/>
            </w:tcBorders>
          </w:tcPr>
          <w:p>
            <w:pPr>
              <w:spacing w:after="0"/>
              <w:rPr>
                <w:sz w:val="21"/>
                <w:szCs w:val="21"/>
                <w:color w:val="auto"/>
              </w:rPr>
            </w:pPr>
          </w:p>
        </w:tc>
      </w:tr>
      <w:tr>
        <w:trPr>
          <w:trHeight w:val="195"/>
        </w:trPr>
        <w:tc>
          <w:tcPr>
            <w:tcW w:w="2340" w:type="dxa"/>
            <w:vAlign w:val="bottom"/>
            <w:shd w:val="clear" w:color="auto" w:fill="EAEFED"/>
          </w:tcPr>
          <w:p>
            <w:pPr>
              <w:spacing w:after="0" w:line="195" w:lineRule="exact"/>
              <w:rPr>
                <w:sz w:val="20"/>
                <w:szCs w:val="20"/>
                <w:color w:val="auto"/>
              </w:rPr>
            </w:pPr>
            <w:r>
              <w:rPr>
                <w:rFonts w:ascii="Arial" w:cs="Arial" w:eastAsia="Arial" w:hAnsi="Arial"/>
                <w:sz w:val="18"/>
                <w:szCs w:val="18"/>
                <w:color w:val="262626"/>
              </w:rPr>
              <w:t>Target NEO Compensation</w:t>
            </w:r>
          </w:p>
        </w:tc>
        <w:tc>
          <w:tcPr>
            <w:tcW w:w="8680" w:type="dxa"/>
            <w:vAlign w:val="bottom"/>
          </w:tcPr>
          <w:p>
            <w:pPr>
              <w:ind w:left="120"/>
              <w:spacing w:after="0" w:line="195" w:lineRule="exact"/>
              <w:rPr>
                <w:sz w:val="20"/>
                <w:szCs w:val="20"/>
                <w:color w:val="auto"/>
              </w:rPr>
            </w:pPr>
            <w:r>
              <w:rPr>
                <w:rFonts w:ascii="Arial" w:cs="Arial" w:eastAsia="Arial" w:hAnsi="Arial"/>
                <w:sz w:val="18"/>
                <w:szCs w:val="18"/>
                <w:color w:val="262626"/>
              </w:rPr>
              <w:t>Made no changes to the target level of compensation for any of our NEOs. There were no reductions or</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w w:val="99"/>
              </w:rPr>
              <w:t>negative adjustments to pay for our NEOs or any other employee, nor were there any furloughs or layoffs of</w:t>
            </w:r>
          </w:p>
        </w:tc>
      </w:tr>
      <w:tr>
        <w:trPr>
          <w:trHeight w:val="217"/>
        </w:trPr>
        <w:tc>
          <w:tcPr>
            <w:tcW w:w="2340" w:type="dxa"/>
            <w:vAlign w:val="bottom"/>
            <w:shd w:val="clear" w:color="auto" w:fill="EAEFED"/>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262626"/>
              </w:rPr>
              <w:t>any employees as part of our response to COVID-19.</w:t>
            </w:r>
          </w:p>
        </w:tc>
      </w:tr>
      <w:tr>
        <w:trPr>
          <w:trHeight w:val="243"/>
        </w:trPr>
        <w:tc>
          <w:tcPr>
            <w:tcW w:w="2340" w:type="dxa"/>
            <w:vAlign w:val="bottom"/>
            <w:tcBorders>
              <w:bottom w:val="single" w:sz="8" w:color="F73A25"/>
            </w:tcBorders>
            <w:shd w:val="clear" w:color="auto" w:fill="EAEFED"/>
          </w:tcPr>
          <w:p>
            <w:pPr>
              <w:spacing w:after="0"/>
              <w:rPr>
                <w:sz w:val="21"/>
                <w:szCs w:val="21"/>
                <w:color w:val="auto"/>
              </w:rPr>
            </w:pPr>
          </w:p>
        </w:tc>
        <w:tc>
          <w:tcPr>
            <w:tcW w:w="8680" w:type="dxa"/>
            <w:vAlign w:val="bottom"/>
            <w:tcBorders>
              <w:bottom w:val="single" w:sz="8" w:color="F73A25"/>
            </w:tcBorders>
          </w:tcPr>
          <w:p>
            <w:pPr>
              <w:spacing w:after="0"/>
              <w:rPr>
                <w:sz w:val="21"/>
                <w:szCs w:val="21"/>
                <w:color w:val="auto"/>
              </w:rPr>
            </w:pPr>
          </w:p>
        </w:tc>
      </w:tr>
      <w:tr>
        <w:trPr>
          <w:trHeight w:val="195"/>
        </w:trPr>
        <w:tc>
          <w:tcPr>
            <w:tcW w:w="2340" w:type="dxa"/>
            <w:vAlign w:val="bottom"/>
            <w:shd w:val="clear" w:color="auto" w:fill="EAEFED"/>
          </w:tcPr>
          <w:p>
            <w:pPr>
              <w:spacing w:after="0" w:line="195" w:lineRule="exact"/>
              <w:rPr>
                <w:sz w:val="20"/>
                <w:szCs w:val="20"/>
                <w:color w:val="auto"/>
              </w:rPr>
            </w:pPr>
            <w:r>
              <w:rPr>
                <w:rFonts w:ascii="Arial" w:cs="Arial" w:eastAsia="Arial" w:hAnsi="Arial"/>
                <w:sz w:val="18"/>
                <w:szCs w:val="18"/>
                <w:color w:val="262626"/>
              </w:rPr>
              <w:t>Annual Bonus</w:t>
            </w:r>
          </w:p>
        </w:tc>
        <w:tc>
          <w:tcPr>
            <w:tcW w:w="8680" w:type="dxa"/>
            <w:vAlign w:val="bottom"/>
          </w:tcPr>
          <w:p>
            <w:pPr>
              <w:ind w:left="120"/>
              <w:spacing w:after="0" w:line="195" w:lineRule="exact"/>
              <w:rPr>
                <w:sz w:val="20"/>
                <w:szCs w:val="20"/>
                <w:color w:val="auto"/>
              </w:rPr>
            </w:pPr>
            <w:r>
              <w:rPr>
                <w:rFonts w:ascii="Arial" w:cs="Arial" w:eastAsia="Arial" w:hAnsi="Arial"/>
                <w:sz w:val="18"/>
                <w:szCs w:val="18"/>
                <w:color w:val="262626"/>
              </w:rPr>
              <w:t>Paid annual bonus at 50% of target for our CEO and 75% of target for all other employees including our</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other NEOs. Although the impacts of the COVID-19 pandemic on our financial results did not make it</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possible to meet the annual 2020 performance goals that were established in early February 2020 before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the impacts of the pandemic were known, the Board, in consultation with our compensation consultant,</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exercised discretion to pay bonuses at a reduced rate based on the work done in 2020 to address the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pandemic’s impact. See “How our NEOS were Paid for Performance in 2020 - Annual Bonus Plan” section</w:t>
            </w:r>
          </w:p>
        </w:tc>
      </w:tr>
      <w:tr>
        <w:trPr>
          <w:trHeight w:val="217"/>
        </w:trPr>
        <w:tc>
          <w:tcPr>
            <w:tcW w:w="2340" w:type="dxa"/>
            <w:vAlign w:val="bottom"/>
            <w:shd w:val="clear" w:color="auto" w:fill="EAEFED"/>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262626"/>
              </w:rPr>
              <w:t>starting on page 22 for a more detailed discussion of this decision.</w:t>
            </w:r>
          </w:p>
        </w:tc>
      </w:tr>
      <w:tr>
        <w:trPr>
          <w:trHeight w:val="243"/>
        </w:trPr>
        <w:tc>
          <w:tcPr>
            <w:tcW w:w="2340" w:type="dxa"/>
            <w:vAlign w:val="bottom"/>
            <w:tcBorders>
              <w:bottom w:val="single" w:sz="8" w:color="F73A25"/>
            </w:tcBorders>
            <w:shd w:val="clear" w:color="auto" w:fill="EAEFED"/>
          </w:tcPr>
          <w:p>
            <w:pPr>
              <w:spacing w:after="0"/>
              <w:rPr>
                <w:sz w:val="21"/>
                <w:szCs w:val="21"/>
                <w:color w:val="auto"/>
              </w:rPr>
            </w:pPr>
          </w:p>
        </w:tc>
        <w:tc>
          <w:tcPr>
            <w:tcW w:w="8680" w:type="dxa"/>
            <w:vAlign w:val="bottom"/>
            <w:tcBorders>
              <w:bottom w:val="single" w:sz="8" w:color="F73A25"/>
            </w:tcBorders>
          </w:tcPr>
          <w:p>
            <w:pPr>
              <w:spacing w:after="0"/>
              <w:rPr>
                <w:sz w:val="21"/>
                <w:szCs w:val="21"/>
                <w:color w:val="auto"/>
              </w:rPr>
            </w:pPr>
          </w:p>
        </w:tc>
      </w:tr>
      <w:tr>
        <w:trPr>
          <w:trHeight w:val="195"/>
        </w:trPr>
        <w:tc>
          <w:tcPr>
            <w:tcW w:w="2340" w:type="dxa"/>
            <w:vAlign w:val="bottom"/>
            <w:shd w:val="clear" w:color="auto" w:fill="EAEFED"/>
          </w:tcPr>
          <w:p>
            <w:pPr>
              <w:spacing w:after="0" w:line="195" w:lineRule="exact"/>
              <w:rPr>
                <w:sz w:val="20"/>
                <w:szCs w:val="20"/>
                <w:color w:val="auto"/>
              </w:rPr>
            </w:pPr>
            <w:r>
              <w:rPr>
                <w:rFonts w:ascii="Arial" w:cs="Arial" w:eastAsia="Arial" w:hAnsi="Arial"/>
                <w:sz w:val="18"/>
                <w:szCs w:val="18"/>
                <w:color w:val="262626"/>
              </w:rPr>
              <w:t>Long-Term Equity</w:t>
            </w:r>
          </w:p>
        </w:tc>
        <w:tc>
          <w:tcPr>
            <w:tcW w:w="8680" w:type="dxa"/>
            <w:vAlign w:val="bottom"/>
          </w:tcPr>
          <w:p>
            <w:pPr>
              <w:ind w:left="120"/>
              <w:spacing w:after="0" w:line="195" w:lineRule="exact"/>
              <w:rPr>
                <w:sz w:val="20"/>
                <w:szCs w:val="20"/>
                <w:color w:val="auto"/>
              </w:rPr>
            </w:pPr>
            <w:r>
              <w:rPr>
                <w:rFonts w:ascii="Arial" w:cs="Arial" w:eastAsia="Arial" w:hAnsi="Arial"/>
                <w:sz w:val="18"/>
                <w:szCs w:val="18"/>
                <w:color w:val="262626"/>
              </w:rPr>
              <w:t>For the 3-year performance period ended December 31, 2020, awards were made at 100% of target based</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on the results achieved under the program with no modifications or adjustments. See “How our NEOS were</w:t>
            </w:r>
          </w:p>
        </w:tc>
      </w:tr>
      <w:tr>
        <w:trPr>
          <w:trHeight w:val="203"/>
        </w:trPr>
        <w:tc>
          <w:tcPr>
            <w:tcW w:w="2340" w:type="dxa"/>
            <w:vAlign w:val="bottom"/>
            <w:shd w:val="clear" w:color="auto" w:fill="EAEFED"/>
          </w:tcPr>
          <w:p>
            <w:pPr>
              <w:spacing w:after="0"/>
              <w:rPr>
                <w:sz w:val="17"/>
                <w:szCs w:val="17"/>
                <w:color w:val="auto"/>
              </w:rPr>
            </w:pPr>
          </w:p>
        </w:tc>
        <w:tc>
          <w:tcPr>
            <w:tcW w:w="8680" w:type="dxa"/>
            <w:vAlign w:val="bottom"/>
          </w:tcPr>
          <w:p>
            <w:pPr>
              <w:ind w:left="120"/>
              <w:spacing w:after="0" w:line="202" w:lineRule="exact"/>
              <w:rPr>
                <w:sz w:val="20"/>
                <w:szCs w:val="20"/>
                <w:color w:val="auto"/>
              </w:rPr>
            </w:pPr>
            <w:r>
              <w:rPr>
                <w:rFonts w:ascii="Arial" w:cs="Arial" w:eastAsia="Arial" w:hAnsi="Arial"/>
                <w:sz w:val="18"/>
                <w:szCs w:val="18"/>
                <w:color w:val="262626"/>
              </w:rPr>
              <w:t>Paid for Performance in 2020 – Long-Term Incentive Plan” section starting on page 24 for a more detailed</w:t>
            </w:r>
          </w:p>
        </w:tc>
      </w:tr>
      <w:tr>
        <w:trPr>
          <w:trHeight w:val="217"/>
        </w:trPr>
        <w:tc>
          <w:tcPr>
            <w:tcW w:w="2340" w:type="dxa"/>
            <w:vAlign w:val="bottom"/>
            <w:shd w:val="clear" w:color="auto" w:fill="EAEFED"/>
          </w:tcPr>
          <w:p>
            <w:pPr>
              <w:spacing w:after="0"/>
              <w:rPr>
                <w:sz w:val="18"/>
                <w:szCs w:val="18"/>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262626"/>
              </w:rPr>
              <w:t>discussion of this decision.</w:t>
            </w:r>
          </w:p>
        </w:tc>
      </w:tr>
      <w:tr>
        <w:trPr>
          <w:trHeight w:val="243"/>
        </w:trPr>
        <w:tc>
          <w:tcPr>
            <w:tcW w:w="2340" w:type="dxa"/>
            <w:vAlign w:val="bottom"/>
            <w:tcBorders>
              <w:bottom w:val="single" w:sz="8" w:color="F73A25"/>
            </w:tcBorders>
            <w:shd w:val="clear" w:color="auto" w:fill="EAEFED"/>
          </w:tcPr>
          <w:p>
            <w:pPr>
              <w:spacing w:after="0"/>
              <w:rPr>
                <w:sz w:val="21"/>
                <w:szCs w:val="21"/>
                <w:color w:val="auto"/>
              </w:rPr>
            </w:pPr>
          </w:p>
        </w:tc>
        <w:tc>
          <w:tcPr>
            <w:tcW w:w="8680" w:type="dxa"/>
            <w:vAlign w:val="bottom"/>
            <w:tcBorders>
              <w:bottom w:val="single" w:sz="8" w:color="F73A25"/>
            </w:tcBorders>
          </w:tcPr>
          <w:p>
            <w:pPr>
              <w:spacing w:after="0"/>
              <w:rPr>
                <w:sz w:val="21"/>
                <w:szCs w:val="2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Response to Say on Pay Vote</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262626"/>
        </w:rPr>
        <w:t>The Say on Pay vote held in 2020 with respect to our 2019 compensation decisions yielded support from only 42% of the votes cast on the matter. In the five annual Say on Pay votes before that (from 2015 through 2019) support for our compensation decisions averaged nearly 95% of the votes cast which suggested there was not a systemic problem with our pay practices but rather something unique to our 2019 pay decisions. That was confirmed through our conversations with many of our larger shareholders including many who voted against our Say on Pay proposal. The objection we heard from those we spoke to was that they were not supportive of our having changed performance metrics for our long-term incentive plan for a performance period that was in progress. Although many acknowledged and understood why the Compensation Committee made the change and the very real issue our Compensation Committee was trying to correct by making the change, they indicated that they would have preferred for the Committee to have solved the problem in a different way.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18</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Compensation Committee retained Semler Brossy Consulting Group (“SBCG”) as its compensation consultant to review our pay practices in general, to assist in developing a response to the failed Say on Pay vote and to provide guidance on 2020 annual bonus and long-term equity plan decisions given the impacts of COVID-19 on performance metrics. Neither the Company nor the Compensation Committee had previously retained SBCG or used any affiliate of SBCG to perform any other services for the Company or the Compensation Committee.</w:t>
      </w:r>
    </w:p>
    <w:p>
      <w:pPr>
        <w:spacing w:after="0" w:line="2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SBCG reviewed our compensation programs and pay practices and did not find anything that they believed was problematic other than the mid-cycle change in performance metrics made for our long-term incentive plan. The Compensation Committee committed that it would not in the future make any changes to the performance metrics of our long-term plan mid-performance cycle and after a significant amount of discussion and thorough review of our compensation programs with SBCG, the Compensation Committee elected not to make any further changes to our compensation programs.</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SBCG also recommended to the Compensation Committee a change to the equity holding requirement for our CEO. Ultimately the Nominating Committee and the Board approved modifying the equity holding requirement for our CEO and established a higher level of required ownership than what was recommended by SBCG. This decision is described in more detail in below. SBCG also assisted in the final decisions made by the Compensation Committee with respect to our annual bonus plan payout and long-term equity payouts for 2020 as described in more detail below.</w:t>
      </w:r>
    </w:p>
    <w:p>
      <w:pPr>
        <w:spacing w:after="0" w:line="20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Separate from this engagement, the Compensation Committee retained SBCG to assist with creating an appropriate compensation package for Mr. Jeffrey S. Berkes in connection with his promotion to President and Chief Operating Officer. See “2021 NEOs” section starting on page 26 for more information on that engagement.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2020 NEO Earned Compensation</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key decisions relating to compensation for our 2020 NEOs were: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262626"/>
        </w:rPr>
      </w:pPr>
      <w:r>
        <w:rPr>
          <w:rFonts w:ascii="Arial" w:cs="Arial" w:eastAsia="Arial" w:hAnsi="Arial"/>
          <w:sz w:val="18"/>
          <w:szCs w:val="18"/>
          <w:color w:val="262626"/>
        </w:rPr>
        <w:t>No change to base pay or total target compensation for any of our NEOs</w:t>
      </w:r>
    </w:p>
    <w:p>
      <w:pPr>
        <w:spacing w:after="0" w:line="9" w:lineRule="exact"/>
        <w:rPr>
          <w:rFonts w:ascii="Arial" w:cs="Arial" w:eastAsia="Arial" w:hAnsi="Arial"/>
          <w:sz w:val="18"/>
          <w:szCs w:val="18"/>
          <w:color w:val="262626"/>
        </w:rPr>
      </w:pPr>
    </w:p>
    <w:p>
      <w:pPr>
        <w:ind w:left="1080" w:right="20" w:hanging="532"/>
        <w:spacing w:after="0" w:line="234" w:lineRule="auto"/>
        <w:tabs>
          <w:tab w:leader="none" w:pos="1080" w:val="left"/>
        </w:tabs>
        <w:numPr>
          <w:ilvl w:val="0"/>
          <w:numId w:val="20"/>
        </w:numPr>
        <w:rPr>
          <w:rFonts w:ascii="Arial" w:cs="Arial" w:eastAsia="Arial" w:hAnsi="Arial"/>
          <w:sz w:val="18"/>
          <w:szCs w:val="18"/>
          <w:color w:val="262626"/>
        </w:rPr>
      </w:pPr>
      <w:r>
        <w:rPr>
          <w:rFonts w:ascii="Arial" w:cs="Arial" w:eastAsia="Arial" w:hAnsi="Arial"/>
          <w:sz w:val="18"/>
          <w:szCs w:val="18"/>
          <w:color w:val="262626"/>
        </w:rPr>
        <w:t>Annual bonuses paid at 50% of target for Mr. Wood and 75% of target for all other employees, including our other NEOs, Mr. Guglielmone and Ms. Becker</w:t>
      </w:r>
    </w:p>
    <w:p>
      <w:pPr>
        <w:spacing w:after="0" w:line="1" w:lineRule="exact"/>
        <w:rPr>
          <w:rFonts w:ascii="Arial" w:cs="Arial" w:eastAsia="Arial" w:hAnsi="Arial"/>
          <w:sz w:val="18"/>
          <w:szCs w:val="18"/>
          <w:color w:val="262626"/>
        </w:rPr>
      </w:pPr>
    </w:p>
    <w:p>
      <w:pPr>
        <w:ind w:left="1080" w:hanging="532"/>
        <w:spacing w:after="0"/>
        <w:tabs>
          <w:tab w:leader="none" w:pos="1080" w:val="left"/>
        </w:tabs>
        <w:numPr>
          <w:ilvl w:val="0"/>
          <w:numId w:val="20"/>
        </w:numPr>
        <w:rPr>
          <w:rFonts w:ascii="Arial" w:cs="Arial" w:eastAsia="Arial" w:hAnsi="Arial"/>
          <w:sz w:val="18"/>
          <w:szCs w:val="18"/>
          <w:color w:val="262626"/>
        </w:rPr>
      </w:pPr>
      <w:r>
        <w:rPr>
          <w:rFonts w:ascii="Arial" w:cs="Arial" w:eastAsia="Arial" w:hAnsi="Arial"/>
          <w:sz w:val="18"/>
          <w:szCs w:val="18"/>
          <w:color w:val="262626"/>
        </w:rPr>
        <w:t>Long-term incentives paid out at 100% of target, calculated strictly in conformance the terms of our long-term incentive plan</w:t>
      </w:r>
    </w:p>
    <w:p>
      <w:pPr>
        <w:spacing w:after="0" w:line="22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Those decisions resulted in a year-over-year decline in Mr. Wood’s compensation of 15% and a decline in the compensation for each of Mr. Guglielmone and Ms. Becker by 10% from 2019 to 2020. The following chart sets out the 2020 target compensation for each of our NEOs, the compensation actually earned by each for 2020 based on company and individual performance for the 1- and 3-year periods ending December 31, 2020 and a comparison of 2020 total earned compensation to 2019 total earned compensation.</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720" w:type="dxa"/>
            <w:vAlign w:val="bottom"/>
            <w:tcBorders>
              <w:bottom w:val="single" w:sz="8" w:color="262626"/>
            </w:tcBorders>
          </w:tcPr>
          <w:p>
            <w:pPr>
              <w:spacing w:after="0"/>
              <w:rPr>
                <w:sz w:val="14"/>
                <w:szCs w:val="14"/>
                <w:color w:val="auto"/>
              </w:rPr>
            </w:pPr>
          </w:p>
        </w:tc>
        <w:tc>
          <w:tcPr>
            <w:tcW w:w="1820" w:type="dxa"/>
            <w:vAlign w:val="bottom"/>
            <w:tcBorders>
              <w:bottom w:val="single" w:sz="8" w:color="262626"/>
            </w:tcBorders>
            <w:gridSpan w:val="4"/>
          </w:tcPr>
          <w:p>
            <w:pPr>
              <w:ind w:left="80"/>
              <w:spacing w:after="0"/>
              <w:rPr>
                <w:sz w:val="20"/>
                <w:szCs w:val="20"/>
                <w:color w:val="auto"/>
              </w:rPr>
            </w:pPr>
            <w:r>
              <w:rPr>
                <w:rFonts w:ascii="Arial" w:cs="Arial" w:eastAsia="Arial" w:hAnsi="Arial"/>
                <w:sz w:val="14"/>
                <w:szCs w:val="14"/>
                <w:color w:val="F73A25"/>
              </w:rPr>
              <w:t>2020 Target Compensation</w:t>
            </w:r>
          </w:p>
        </w:tc>
        <w:tc>
          <w:tcPr>
            <w:tcW w:w="880" w:type="dxa"/>
            <w:vAlign w:val="bottom"/>
            <w:tcBorders>
              <w:bottom w:val="single" w:sz="8" w:color="262626"/>
              <w:right w:val="single" w:sz="8" w:color="262626"/>
            </w:tcBorders>
          </w:tcPr>
          <w:p>
            <w:pPr>
              <w:spacing w:after="0"/>
              <w:rPr>
                <w:sz w:val="14"/>
                <w:szCs w:val="14"/>
                <w:color w:val="auto"/>
              </w:rPr>
            </w:pPr>
          </w:p>
        </w:tc>
        <w:tc>
          <w:tcPr>
            <w:tcW w:w="3280" w:type="dxa"/>
            <w:vAlign w:val="bottom"/>
            <w:tcBorders>
              <w:bottom w:val="single" w:sz="8" w:color="262626"/>
              <w:right w:val="single" w:sz="8" w:color="262626"/>
            </w:tcBorders>
            <w:gridSpan w:val="5"/>
          </w:tcPr>
          <w:p>
            <w:pPr>
              <w:jc w:val="center"/>
              <w:ind w:right="48"/>
              <w:spacing w:after="0"/>
              <w:rPr>
                <w:sz w:val="20"/>
                <w:szCs w:val="20"/>
                <w:color w:val="auto"/>
              </w:rPr>
            </w:pPr>
            <w:r>
              <w:rPr>
                <w:rFonts w:ascii="Arial" w:cs="Arial" w:eastAsia="Arial" w:hAnsi="Arial"/>
                <w:sz w:val="14"/>
                <w:szCs w:val="14"/>
                <w:color w:val="F73A25"/>
              </w:rPr>
              <w:t>2020 Actual Earned Compensation</w:t>
            </w:r>
          </w:p>
        </w:tc>
        <w:tc>
          <w:tcPr>
            <w:tcW w:w="840" w:type="dxa"/>
            <w:vAlign w:val="bottom"/>
            <w:tcBorders>
              <w:bottom w:val="single" w:sz="8" w:color="262626"/>
            </w:tcBorders>
          </w:tcPr>
          <w:p>
            <w:pPr>
              <w:spacing w:after="0"/>
              <w:rPr>
                <w:sz w:val="14"/>
                <w:szCs w:val="14"/>
                <w:color w:val="auto"/>
              </w:rPr>
            </w:pPr>
          </w:p>
        </w:tc>
        <w:tc>
          <w:tcPr>
            <w:tcW w:w="760" w:type="dxa"/>
            <w:vAlign w:val="bottom"/>
            <w:tcBorders>
              <w:bottom w:val="single" w:sz="8" w:color="262626"/>
            </w:tcBorders>
          </w:tcPr>
          <w:p>
            <w:pPr>
              <w:spacing w:after="0"/>
              <w:rPr>
                <w:sz w:val="14"/>
                <w:szCs w:val="14"/>
                <w:color w:val="auto"/>
              </w:rPr>
            </w:pPr>
          </w:p>
        </w:tc>
      </w:tr>
      <w:tr>
        <w:trPr>
          <w:trHeight w:val="160"/>
        </w:trPr>
        <w:tc>
          <w:tcPr>
            <w:tcW w:w="27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F73A25"/>
              </w:rPr>
              <w:t>Base</w:t>
            </w:r>
          </w:p>
        </w:tc>
        <w:tc>
          <w:tcPr>
            <w:tcW w:w="160" w:type="dxa"/>
            <w:vAlign w:val="bottom"/>
          </w:tcPr>
          <w:p>
            <w:pPr>
              <w:spacing w:after="0"/>
              <w:rPr>
                <w:sz w:val="13"/>
                <w:szCs w:val="1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F73A25"/>
              </w:rPr>
              <w:t>Annual</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F73A25"/>
              </w:rPr>
              <w:t>Long-Term</w:t>
            </w:r>
          </w:p>
        </w:tc>
        <w:tc>
          <w:tcPr>
            <w:tcW w:w="880" w:type="dxa"/>
            <w:vAlign w:val="bottom"/>
            <w:tcBorders>
              <w:right w:val="single" w:sz="8" w:color="262626"/>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F73A25"/>
              </w:rPr>
              <w:t>Base</w:t>
            </w:r>
          </w:p>
        </w:tc>
        <w:tc>
          <w:tcPr>
            <w:tcW w:w="760" w:type="dxa"/>
            <w:vAlign w:val="bottom"/>
          </w:tcPr>
          <w:p>
            <w:pPr>
              <w:jc w:val="right"/>
              <w:ind w:right="8"/>
              <w:spacing w:after="0"/>
              <w:rPr>
                <w:sz w:val="20"/>
                <w:szCs w:val="20"/>
                <w:color w:val="auto"/>
              </w:rPr>
            </w:pPr>
            <w:r>
              <w:rPr>
                <w:rFonts w:ascii="Arial" w:cs="Arial" w:eastAsia="Arial" w:hAnsi="Arial"/>
                <w:sz w:val="14"/>
                <w:szCs w:val="14"/>
                <w:color w:val="F73A25"/>
              </w:rPr>
              <w:t>Annual</w:t>
            </w:r>
          </w:p>
        </w:tc>
        <w:tc>
          <w:tcPr>
            <w:tcW w:w="880" w:type="dxa"/>
            <w:vAlign w:val="bottom"/>
            <w:gridSpan w:val="2"/>
          </w:tcPr>
          <w:p>
            <w:pPr>
              <w:jc w:val="right"/>
              <w:ind w:right="8"/>
              <w:spacing w:after="0"/>
              <w:rPr>
                <w:sz w:val="20"/>
                <w:szCs w:val="20"/>
                <w:color w:val="auto"/>
              </w:rPr>
            </w:pPr>
            <w:r>
              <w:rPr>
                <w:rFonts w:ascii="Arial" w:cs="Arial" w:eastAsia="Arial" w:hAnsi="Arial"/>
                <w:sz w:val="14"/>
                <w:szCs w:val="14"/>
                <w:color w:val="F73A25"/>
              </w:rPr>
              <w:t>Long-Term</w:t>
            </w:r>
          </w:p>
        </w:tc>
        <w:tc>
          <w:tcPr>
            <w:tcW w:w="940" w:type="dxa"/>
            <w:vAlign w:val="bottom"/>
            <w:tcBorders>
              <w:right w:val="single" w:sz="8" w:color="262626"/>
            </w:tcBorders>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F73A25"/>
              </w:rPr>
              <w:t>YOY</w:t>
            </w:r>
          </w:p>
        </w:tc>
      </w:tr>
      <w:tr>
        <w:trPr>
          <w:trHeight w:val="157"/>
        </w:trPr>
        <w:tc>
          <w:tcPr>
            <w:tcW w:w="2720" w:type="dxa"/>
            <w:vAlign w:val="bottom"/>
            <w:tcBorders>
              <w:bottom w:val="single" w:sz="8" w:color="262626"/>
            </w:tcBorders>
          </w:tcPr>
          <w:p>
            <w:pPr>
              <w:spacing w:after="0" w:line="157" w:lineRule="exact"/>
              <w:rPr>
                <w:sz w:val="20"/>
                <w:szCs w:val="20"/>
                <w:color w:val="auto"/>
              </w:rPr>
            </w:pPr>
            <w:r>
              <w:rPr>
                <w:rFonts w:ascii="Arial" w:cs="Arial" w:eastAsia="Arial" w:hAnsi="Arial"/>
                <w:sz w:val="14"/>
                <w:szCs w:val="14"/>
                <w:color w:val="F73A25"/>
              </w:rPr>
              <w:t>NEO</w:t>
            </w:r>
          </w:p>
        </w:tc>
        <w:tc>
          <w:tcPr>
            <w:tcW w:w="720" w:type="dxa"/>
            <w:vAlign w:val="bottom"/>
            <w:tcBorders>
              <w:bottom w:val="single" w:sz="8" w:color="262626"/>
            </w:tcBorders>
          </w:tcPr>
          <w:p>
            <w:pPr>
              <w:jc w:val="right"/>
              <w:spacing w:after="0" w:line="157" w:lineRule="exact"/>
              <w:rPr>
                <w:sz w:val="20"/>
                <w:szCs w:val="20"/>
                <w:color w:val="auto"/>
              </w:rPr>
            </w:pPr>
            <w:r>
              <w:rPr>
                <w:rFonts w:ascii="Arial" w:cs="Arial" w:eastAsia="Arial" w:hAnsi="Arial"/>
                <w:sz w:val="14"/>
                <w:szCs w:val="14"/>
                <w:color w:val="F73A25"/>
              </w:rPr>
              <w:t>Salary</w:t>
            </w:r>
          </w:p>
        </w:tc>
        <w:tc>
          <w:tcPr>
            <w:tcW w:w="160" w:type="dxa"/>
            <w:vAlign w:val="bottom"/>
            <w:tcBorders>
              <w:bottom w:val="single" w:sz="8" w:color="262626"/>
            </w:tcBorders>
          </w:tcPr>
          <w:p>
            <w:pPr>
              <w:spacing w:after="0"/>
              <w:rPr>
                <w:sz w:val="13"/>
                <w:szCs w:val="13"/>
                <w:color w:val="auto"/>
              </w:rPr>
            </w:pPr>
          </w:p>
        </w:tc>
        <w:tc>
          <w:tcPr>
            <w:tcW w:w="720" w:type="dxa"/>
            <w:vAlign w:val="bottom"/>
            <w:tcBorders>
              <w:bottom w:val="single" w:sz="8" w:color="262626"/>
            </w:tcBorders>
          </w:tcPr>
          <w:p>
            <w:pPr>
              <w:jc w:val="right"/>
              <w:ind w:right="8"/>
              <w:spacing w:after="0" w:line="157" w:lineRule="exact"/>
              <w:rPr>
                <w:sz w:val="20"/>
                <w:szCs w:val="20"/>
                <w:color w:val="auto"/>
              </w:rPr>
            </w:pPr>
            <w:r>
              <w:rPr>
                <w:rFonts w:ascii="Arial" w:cs="Arial" w:eastAsia="Arial" w:hAnsi="Arial"/>
                <w:sz w:val="14"/>
                <w:szCs w:val="14"/>
                <w:color w:val="F73A25"/>
              </w:rPr>
              <w:t>Bonus</w:t>
            </w:r>
          </w:p>
        </w:tc>
        <w:tc>
          <w:tcPr>
            <w:tcW w:w="160" w:type="dxa"/>
            <w:vAlign w:val="bottom"/>
            <w:tcBorders>
              <w:bottom w:val="single" w:sz="8" w:color="262626"/>
            </w:tcBorders>
          </w:tcPr>
          <w:p>
            <w:pPr>
              <w:spacing w:after="0"/>
              <w:rPr>
                <w:sz w:val="13"/>
                <w:szCs w:val="13"/>
                <w:color w:val="auto"/>
              </w:rPr>
            </w:pPr>
          </w:p>
        </w:tc>
        <w:tc>
          <w:tcPr>
            <w:tcW w:w="780" w:type="dxa"/>
            <w:vAlign w:val="bottom"/>
            <w:tcBorders>
              <w:bottom w:val="single" w:sz="8" w:color="262626"/>
            </w:tcBorders>
          </w:tcPr>
          <w:p>
            <w:pPr>
              <w:jc w:val="right"/>
              <w:ind w:right="68"/>
              <w:spacing w:after="0" w:line="157" w:lineRule="exact"/>
              <w:rPr>
                <w:sz w:val="20"/>
                <w:szCs w:val="20"/>
                <w:color w:val="auto"/>
              </w:rPr>
            </w:pPr>
            <w:r>
              <w:rPr>
                <w:rFonts w:ascii="Arial" w:cs="Arial" w:eastAsia="Arial" w:hAnsi="Arial"/>
                <w:sz w:val="14"/>
                <w:szCs w:val="14"/>
                <w:color w:val="F73A25"/>
              </w:rPr>
              <w:t>Incentive</w:t>
            </w:r>
          </w:p>
        </w:tc>
        <w:tc>
          <w:tcPr>
            <w:tcW w:w="880" w:type="dxa"/>
            <w:vAlign w:val="bottom"/>
            <w:tcBorders>
              <w:bottom w:val="single" w:sz="8" w:color="262626"/>
              <w:right w:val="single" w:sz="8" w:color="262626"/>
            </w:tcBorders>
          </w:tcPr>
          <w:p>
            <w:pPr>
              <w:jc w:val="right"/>
              <w:ind w:right="68"/>
              <w:spacing w:after="0" w:line="157" w:lineRule="exact"/>
              <w:rPr>
                <w:sz w:val="20"/>
                <w:szCs w:val="20"/>
                <w:color w:val="auto"/>
              </w:rPr>
            </w:pPr>
            <w:r>
              <w:rPr>
                <w:rFonts w:ascii="Arial" w:cs="Arial" w:eastAsia="Arial" w:hAnsi="Arial"/>
                <w:sz w:val="14"/>
                <w:szCs w:val="14"/>
                <w:color w:val="F73A25"/>
              </w:rPr>
              <w:t>Total</w:t>
            </w:r>
          </w:p>
        </w:tc>
        <w:tc>
          <w:tcPr>
            <w:tcW w:w="700" w:type="dxa"/>
            <w:vAlign w:val="bottom"/>
            <w:tcBorders>
              <w:bottom w:val="single" w:sz="8" w:color="262626"/>
            </w:tcBorders>
          </w:tcPr>
          <w:p>
            <w:pPr>
              <w:jc w:val="right"/>
              <w:spacing w:after="0" w:line="157" w:lineRule="exact"/>
              <w:rPr>
                <w:sz w:val="20"/>
                <w:szCs w:val="20"/>
                <w:color w:val="auto"/>
              </w:rPr>
            </w:pPr>
            <w:r>
              <w:rPr>
                <w:rFonts w:ascii="Arial" w:cs="Arial" w:eastAsia="Arial" w:hAnsi="Arial"/>
                <w:sz w:val="14"/>
                <w:szCs w:val="14"/>
                <w:color w:val="F73A25"/>
              </w:rPr>
              <w:t>Salary</w:t>
            </w:r>
          </w:p>
        </w:tc>
        <w:tc>
          <w:tcPr>
            <w:tcW w:w="760" w:type="dxa"/>
            <w:vAlign w:val="bottom"/>
            <w:tcBorders>
              <w:bottom w:val="single" w:sz="8" w:color="262626"/>
            </w:tcBorders>
          </w:tcPr>
          <w:p>
            <w:pPr>
              <w:jc w:val="right"/>
              <w:ind w:right="8"/>
              <w:spacing w:after="0" w:line="157" w:lineRule="exact"/>
              <w:rPr>
                <w:sz w:val="20"/>
                <w:szCs w:val="20"/>
                <w:color w:val="auto"/>
              </w:rPr>
            </w:pPr>
            <w:r>
              <w:rPr>
                <w:rFonts w:ascii="Arial" w:cs="Arial" w:eastAsia="Arial" w:hAnsi="Arial"/>
                <w:sz w:val="14"/>
                <w:szCs w:val="14"/>
                <w:color w:val="F73A25"/>
              </w:rPr>
              <w:t>Bonus</w:t>
            </w:r>
          </w:p>
        </w:tc>
        <w:tc>
          <w:tcPr>
            <w:tcW w:w="160" w:type="dxa"/>
            <w:vAlign w:val="bottom"/>
            <w:tcBorders>
              <w:bottom w:val="single" w:sz="8" w:color="262626"/>
            </w:tcBorders>
          </w:tcPr>
          <w:p>
            <w:pPr>
              <w:spacing w:after="0"/>
              <w:rPr>
                <w:sz w:val="13"/>
                <w:szCs w:val="13"/>
                <w:color w:val="auto"/>
              </w:rPr>
            </w:pPr>
          </w:p>
        </w:tc>
        <w:tc>
          <w:tcPr>
            <w:tcW w:w="720" w:type="dxa"/>
            <w:vAlign w:val="bottom"/>
            <w:tcBorders>
              <w:bottom w:val="single" w:sz="8" w:color="262626"/>
            </w:tcBorders>
          </w:tcPr>
          <w:p>
            <w:pPr>
              <w:jc w:val="right"/>
              <w:ind w:right="8"/>
              <w:spacing w:after="0" w:line="157" w:lineRule="exact"/>
              <w:rPr>
                <w:sz w:val="20"/>
                <w:szCs w:val="20"/>
                <w:color w:val="auto"/>
              </w:rPr>
            </w:pPr>
            <w:r>
              <w:rPr>
                <w:rFonts w:ascii="Arial" w:cs="Arial" w:eastAsia="Arial" w:hAnsi="Arial"/>
                <w:sz w:val="14"/>
                <w:szCs w:val="14"/>
                <w:color w:val="F73A25"/>
              </w:rPr>
              <w:t>Incentive</w:t>
            </w:r>
          </w:p>
        </w:tc>
        <w:tc>
          <w:tcPr>
            <w:tcW w:w="940" w:type="dxa"/>
            <w:vAlign w:val="bottom"/>
            <w:tcBorders>
              <w:bottom w:val="single" w:sz="8" w:color="262626"/>
              <w:right w:val="single" w:sz="8" w:color="262626"/>
            </w:tcBorders>
          </w:tcPr>
          <w:p>
            <w:pPr>
              <w:jc w:val="right"/>
              <w:ind w:right="68"/>
              <w:spacing w:after="0" w:line="157" w:lineRule="exact"/>
              <w:rPr>
                <w:sz w:val="20"/>
                <w:szCs w:val="20"/>
                <w:color w:val="auto"/>
              </w:rPr>
            </w:pPr>
            <w:r>
              <w:rPr>
                <w:rFonts w:ascii="Arial" w:cs="Arial" w:eastAsia="Arial" w:hAnsi="Arial"/>
                <w:sz w:val="14"/>
                <w:szCs w:val="14"/>
                <w:color w:val="F73A25"/>
              </w:rPr>
              <w:t>Total</w:t>
            </w:r>
          </w:p>
        </w:tc>
        <w:tc>
          <w:tcPr>
            <w:tcW w:w="840" w:type="dxa"/>
            <w:vAlign w:val="bottom"/>
            <w:tcBorders>
              <w:bottom w:val="single" w:sz="8" w:color="262626"/>
            </w:tcBorders>
          </w:tcPr>
          <w:p>
            <w:pPr>
              <w:jc w:val="right"/>
              <w:ind w:right="8"/>
              <w:spacing w:after="0" w:line="157" w:lineRule="exact"/>
              <w:rPr>
                <w:sz w:val="20"/>
                <w:szCs w:val="20"/>
                <w:color w:val="auto"/>
              </w:rPr>
            </w:pPr>
            <w:r>
              <w:rPr>
                <w:rFonts w:ascii="Arial" w:cs="Arial" w:eastAsia="Arial" w:hAnsi="Arial"/>
                <w:sz w:val="14"/>
                <w:szCs w:val="14"/>
                <w:color w:val="F73A25"/>
              </w:rPr>
              <w:t>2019 Total</w:t>
            </w:r>
          </w:p>
        </w:tc>
        <w:tc>
          <w:tcPr>
            <w:tcW w:w="760" w:type="dxa"/>
            <w:vAlign w:val="bottom"/>
            <w:tcBorders>
              <w:bottom w:val="single" w:sz="8" w:color="262626"/>
            </w:tcBorders>
          </w:tcPr>
          <w:p>
            <w:pPr>
              <w:jc w:val="right"/>
              <w:ind w:right="108"/>
              <w:spacing w:after="0" w:line="157" w:lineRule="exact"/>
              <w:rPr>
                <w:sz w:val="20"/>
                <w:szCs w:val="20"/>
                <w:color w:val="auto"/>
              </w:rPr>
            </w:pPr>
            <w:r>
              <w:rPr>
                <w:rFonts w:ascii="Arial" w:cs="Arial" w:eastAsia="Arial" w:hAnsi="Arial"/>
                <w:sz w:val="14"/>
                <w:szCs w:val="14"/>
                <w:color w:val="F73A25"/>
              </w:rPr>
              <w:t>Change</w:t>
            </w:r>
          </w:p>
        </w:tc>
      </w:tr>
      <w:tr>
        <w:trPr>
          <w:trHeight w:val="160"/>
        </w:trPr>
        <w:tc>
          <w:tcPr>
            <w:tcW w:w="2720" w:type="dxa"/>
            <w:vAlign w:val="bottom"/>
            <w:shd w:val="clear" w:color="auto" w:fill="EAEFED"/>
          </w:tcPr>
          <w:p>
            <w:pPr>
              <w:spacing w:after="0"/>
              <w:rPr>
                <w:sz w:val="20"/>
                <w:szCs w:val="20"/>
                <w:color w:val="auto"/>
              </w:rPr>
            </w:pPr>
            <w:r>
              <w:rPr>
                <w:rFonts w:ascii="Arial" w:cs="Arial" w:eastAsia="Arial" w:hAnsi="Arial"/>
                <w:sz w:val="14"/>
                <w:szCs w:val="14"/>
                <w:color w:val="262626"/>
              </w:rPr>
              <w:t>Don Wood</w:t>
            </w:r>
          </w:p>
        </w:tc>
        <w:tc>
          <w:tcPr>
            <w:tcW w:w="720" w:type="dxa"/>
            <w:vAlign w:val="bottom"/>
          </w:tcPr>
          <w:p>
            <w:pPr>
              <w:jc w:val="right"/>
              <w:spacing w:after="0"/>
              <w:rPr>
                <w:sz w:val="20"/>
                <w:szCs w:val="20"/>
                <w:color w:val="auto"/>
              </w:rPr>
            </w:pPr>
            <w:r>
              <w:rPr>
                <w:rFonts w:ascii="Arial" w:cs="Arial" w:eastAsia="Arial" w:hAnsi="Arial"/>
                <w:sz w:val="14"/>
                <w:szCs w:val="14"/>
                <w:color w:val="262626"/>
              </w:rPr>
              <w:t>$950,000</w:t>
            </w:r>
          </w:p>
        </w:tc>
        <w:tc>
          <w:tcPr>
            <w:tcW w:w="160" w:type="dxa"/>
            <w:vAlign w:val="bottom"/>
          </w:tcPr>
          <w:p>
            <w:pPr>
              <w:ind w:left="80"/>
              <w:spacing w:after="0"/>
              <w:rPr>
                <w:sz w:val="20"/>
                <w:szCs w:val="20"/>
                <w:color w:val="auto"/>
              </w:rPr>
            </w:pPr>
            <w:r>
              <w:rPr>
                <w:rFonts w:ascii="Arial" w:cs="Arial" w:eastAsia="Arial" w:hAnsi="Arial"/>
                <w:sz w:val="14"/>
                <w:szCs w:val="14"/>
                <w:color w:val="262626"/>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262626"/>
                <w:w w:val="99"/>
              </w:rPr>
              <w:t>1,425,000</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262626"/>
                <w:w w:val="99"/>
              </w:rPr>
              <w:t>5,000,000</w:t>
            </w:r>
          </w:p>
        </w:tc>
        <w:tc>
          <w:tcPr>
            <w:tcW w:w="880" w:type="dxa"/>
            <w:vAlign w:val="bottom"/>
            <w:tcBorders>
              <w:right w:val="single" w:sz="8" w:color="262626"/>
            </w:tcBorders>
          </w:tcPr>
          <w:p>
            <w:pPr>
              <w:jc w:val="right"/>
              <w:ind w:right="68"/>
              <w:spacing w:after="0"/>
              <w:rPr>
                <w:sz w:val="20"/>
                <w:szCs w:val="20"/>
                <w:color w:val="auto"/>
              </w:rPr>
            </w:pPr>
            <w:r>
              <w:rPr>
                <w:rFonts w:ascii="Arial" w:cs="Arial" w:eastAsia="Arial" w:hAnsi="Arial"/>
                <w:sz w:val="14"/>
                <w:szCs w:val="14"/>
                <w:color w:val="262626"/>
              </w:rPr>
              <w:t>$7,375,000</w:t>
            </w:r>
          </w:p>
        </w:tc>
        <w:tc>
          <w:tcPr>
            <w:tcW w:w="700" w:type="dxa"/>
            <w:vAlign w:val="bottom"/>
          </w:tcPr>
          <w:p>
            <w:pPr>
              <w:jc w:val="right"/>
              <w:spacing w:after="0"/>
              <w:rPr>
                <w:sz w:val="20"/>
                <w:szCs w:val="20"/>
                <w:color w:val="auto"/>
              </w:rPr>
            </w:pPr>
            <w:r>
              <w:rPr>
                <w:rFonts w:ascii="Arial" w:cs="Arial" w:eastAsia="Arial" w:hAnsi="Arial"/>
                <w:sz w:val="14"/>
                <w:szCs w:val="14"/>
                <w:color w:val="262626"/>
              </w:rPr>
              <w:t>$950,000</w:t>
            </w:r>
          </w:p>
        </w:tc>
        <w:tc>
          <w:tcPr>
            <w:tcW w:w="760" w:type="dxa"/>
            <w:vAlign w:val="bottom"/>
          </w:tcPr>
          <w:p>
            <w:pPr>
              <w:jc w:val="right"/>
              <w:ind w:right="8"/>
              <w:spacing w:after="0"/>
              <w:rPr>
                <w:sz w:val="20"/>
                <w:szCs w:val="20"/>
                <w:color w:val="auto"/>
              </w:rPr>
            </w:pPr>
            <w:r>
              <w:rPr>
                <w:rFonts w:ascii="Arial" w:cs="Arial" w:eastAsia="Arial" w:hAnsi="Arial"/>
                <w:sz w:val="14"/>
                <w:szCs w:val="14"/>
                <w:color w:val="262626"/>
              </w:rPr>
              <w:t>$712,500</w:t>
            </w:r>
          </w:p>
        </w:tc>
        <w:tc>
          <w:tcPr>
            <w:tcW w:w="160" w:type="dxa"/>
            <w:vAlign w:val="bottom"/>
          </w:tcPr>
          <w:p>
            <w:pPr>
              <w:jc w:val="center"/>
              <w:ind w:left="8"/>
              <w:spacing w:after="0"/>
              <w:rPr>
                <w:sz w:val="20"/>
                <w:szCs w:val="20"/>
                <w:color w:val="auto"/>
              </w:rPr>
            </w:pPr>
            <w:r>
              <w:rPr>
                <w:rFonts w:ascii="Arial" w:cs="Arial" w:eastAsia="Arial" w:hAnsi="Arial"/>
                <w:sz w:val="14"/>
                <w:szCs w:val="14"/>
                <w:color w:val="26262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262626"/>
                <w:w w:val="99"/>
              </w:rPr>
              <w:t>5,000,000</w:t>
            </w:r>
          </w:p>
        </w:tc>
        <w:tc>
          <w:tcPr>
            <w:tcW w:w="940" w:type="dxa"/>
            <w:vAlign w:val="bottom"/>
            <w:tcBorders>
              <w:right w:val="single" w:sz="8" w:color="262626"/>
            </w:tcBorders>
          </w:tcPr>
          <w:p>
            <w:pPr>
              <w:jc w:val="right"/>
              <w:ind w:right="68"/>
              <w:spacing w:after="0"/>
              <w:rPr>
                <w:sz w:val="20"/>
                <w:szCs w:val="20"/>
                <w:color w:val="auto"/>
              </w:rPr>
            </w:pPr>
            <w:r>
              <w:rPr>
                <w:rFonts w:ascii="Arial" w:cs="Arial" w:eastAsia="Arial" w:hAnsi="Arial"/>
                <w:sz w:val="14"/>
                <w:szCs w:val="14"/>
                <w:color w:val="262626"/>
              </w:rPr>
              <w:t>$6,662,500</w:t>
            </w:r>
          </w:p>
        </w:tc>
        <w:tc>
          <w:tcPr>
            <w:tcW w:w="840" w:type="dxa"/>
            <w:vAlign w:val="bottom"/>
          </w:tcPr>
          <w:p>
            <w:pPr>
              <w:jc w:val="right"/>
              <w:ind w:right="8"/>
              <w:spacing w:after="0"/>
              <w:rPr>
                <w:sz w:val="20"/>
                <w:szCs w:val="20"/>
                <w:color w:val="auto"/>
              </w:rPr>
            </w:pPr>
            <w:r>
              <w:rPr>
                <w:rFonts w:ascii="Arial" w:cs="Arial" w:eastAsia="Arial" w:hAnsi="Arial"/>
                <w:sz w:val="14"/>
                <w:szCs w:val="14"/>
                <w:color w:val="262626"/>
              </w:rPr>
              <w:t>$7,833,417</w:t>
            </w:r>
          </w:p>
        </w:tc>
        <w:tc>
          <w:tcPr>
            <w:tcW w:w="760" w:type="dxa"/>
            <w:vAlign w:val="bottom"/>
          </w:tcPr>
          <w:p>
            <w:pPr>
              <w:jc w:val="right"/>
              <w:spacing w:after="0"/>
              <w:rPr>
                <w:sz w:val="20"/>
                <w:szCs w:val="20"/>
                <w:color w:val="auto"/>
              </w:rPr>
            </w:pPr>
            <w:r>
              <w:rPr>
                <w:rFonts w:ascii="Arial" w:cs="Arial" w:eastAsia="Arial" w:hAnsi="Arial"/>
                <w:sz w:val="14"/>
                <w:szCs w:val="14"/>
                <w:color w:val="262626"/>
              </w:rPr>
              <w:t>-15%</w:t>
            </w:r>
          </w:p>
        </w:tc>
      </w:tr>
      <w:tr>
        <w:trPr>
          <w:trHeight w:val="162"/>
        </w:trPr>
        <w:tc>
          <w:tcPr>
            <w:tcW w:w="2720" w:type="dxa"/>
            <w:vAlign w:val="bottom"/>
            <w:shd w:val="clear" w:color="auto" w:fill="EAEFED"/>
          </w:tcPr>
          <w:p>
            <w:pPr>
              <w:spacing w:after="0"/>
              <w:rPr>
                <w:sz w:val="20"/>
                <w:szCs w:val="20"/>
                <w:color w:val="auto"/>
              </w:rPr>
            </w:pPr>
            <w:r>
              <w:rPr>
                <w:rFonts w:ascii="Arial" w:cs="Arial" w:eastAsia="Arial" w:hAnsi="Arial"/>
                <w:sz w:val="14"/>
                <w:szCs w:val="14"/>
                <w:color w:val="262626"/>
              </w:rPr>
              <w:t>Dan Guglielmone</w:t>
            </w:r>
          </w:p>
        </w:tc>
        <w:tc>
          <w:tcPr>
            <w:tcW w:w="720" w:type="dxa"/>
            <w:vAlign w:val="bottom"/>
          </w:tcPr>
          <w:p>
            <w:pPr>
              <w:jc w:val="right"/>
              <w:spacing w:after="0"/>
              <w:rPr>
                <w:sz w:val="20"/>
                <w:szCs w:val="20"/>
                <w:color w:val="auto"/>
              </w:rPr>
            </w:pPr>
            <w:r>
              <w:rPr>
                <w:rFonts w:ascii="Arial" w:cs="Arial" w:eastAsia="Arial" w:hAnsi="Arial"/>
                <w:sz w:val="14"/>
                <w:szCs w:val="14"/>
                <w:color w:val="262626"/>
              </w:rPr>
              <w:t>$500,000</w:t>
            </w:r>
          </w:p>
        </w:tc>
        <w:tc>
          <w:tcPr>
            <w:tcW w:w="160" w:type="dxa"/>
            <w:vAlign w:val="bottom"/>
          </w:tcPr>
          <w:p>
            <w:pPr>
              <w:ind w:left="80"/>
              <w:spacing w:after="0"/>
              <w:rPr>
                <w:sz w:val="20"/>
                <w:szCs w:val="20"/>
                <w:color w:val="auto"/>
              </w:rPr>
            </w:pPr>
            <w:r>
              <w:rPr>
                <w:rFonts w:ascii="Arial" w:cs="Arial" w:eastAsia="Arial" w:hAnsi="Arial"/>
                <w:sz w:val="14"/>
                <w:szCs w:val="14"/>
                <w:color w:val="262626"/>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262626"/>
              </w:rPr>
              <w:t>375,000</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262626"/>
              </w:rPr>
              <w:t>900,000</w:t>
            </w:r>
          </w:p>
        </w:tc>
        <w:tc>
          <w:tcPr>
            <w:tcW w:w="880" w:type="dxa"/>
            <w:vAlign w:val="bottom"/>
            <w:tcBorders>
              <w:right w:val="single" w:sz="8" w:color="262626"/>
            </w:tcBorders>
          </w:tcPr>
          <w:p>
            <w:pPr>
              <w:jc w:val="right"/>
              <w:ind w:right="68"/>
              <w:spacing w:after="0"/>
              <w:rPr>
                <w:sz w:val="20"/>
                <w:szCs w:val="20"/>
                <w:color w:val="auto"/>
              </w:rPr>
            </w:pPr>
            <w:r>
              <w:rPr>
                <w:rFonts w:ascii="Arial" w:cs="Arial" w:eastAsia="Arial" w:hAnsi="Arial"/>
                <w:sz w:val="14"/>
                <w:szCs w:val="14"/>
                <w:color w:val="262626"/>
              </w:rPr>
              <w:t>$1,775,000</w:t>
            </w:r>
          </w:p>
        </w:tc>
        <w:tc>
          <w:tcPr>
            <w:tcW w:w="700" w:type="dxa"/>
            <w:vAlign w:val="bottom"/>
          </w:tcPr>
          <w:p>
            <w:pPr>
              <w:jc w:val="right"/>
              <w:spacing w:after="0"/>
              <w:rPr>
                <w:sz w:val="20"/>
                <w:szCs w:val="20"/>
                <w:color w:val="auto"/>
              </w:rPr>
            </w:pPr>
            <w:r>
              <w:rPr>
                <w:rFonts w:ascii="Arial" w:cs="Arial" w:eastAsia="Arial" w:hAnsi="Arial"/>
                <w:sz w:val="14"/>
                <w:szCs w:val="14"/>
                <w:color w:val="262626"/>
              </w:rPr>
              <w:t>$500,000</w:t>
            </w:r>
          </w:p>
        </w:tc>
        <w:tc>
          <w:tcPr>
            <w:tcW w:w="760" w:type="dxa"/>
            <w:vAlign w:val="bottom"/>
          </w:tcPr>
          <w:p>
            <w:pPr>
              <w:jc w:val="right"/>
              <w:ind w:right="8"/>
              <w:spacing w:after="0"/>
              <w:rPr>
                <w:sz w:val="20"/>
                <w:szCs w:val="20"/>
                <w:color w:val="auto"/>
              </w:rPr>
            </w:pPr>
            <w:r>
              <w:rPr>
                <w:rFonts w:ascii="Arial" w:cs="Arial" w:eastAsia="Arial" w:hAnsi="Arial"/>
                <w:sz w:val="14"/>
                <w:szCs w:val="14"/>
                <w:color w:val="262626"/>
              </w:rPr>
              <w:t>$281,250</w:t>
            </w:r>
          </w:p>
        </w:tc>
        <w:tc>
          <w:tcPr>
            <w:tcW w:w="160" w:type="dxa"/>
            <w:vAlign w:val="bottom"/>
          </w:tcPr>
          <w:p>
            <w:pPr>
              <w:jc w:val="center"/>
              <w:ind w:left="8"/>
              <w:spacing w:after="0"/>
              <w:rPr>
                <w:sz w:val="20"/>
                <w:szCs w:val="20"/>
                <w:color w:val="auto"/>
              </w:rPr>
            </w:pPr>
            <w:r>
              <w:rPr>
                <w:rFonts w:ascii="Arial" w:cs="Arial" w:eastAsia="Arial" w:hAnsi="Arial"/>
                <w:sz w:val="14"/>
                <w:szCs w:val="14"/>
                <w:color w:val="26262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262626"/>
              </w:rPr>
              <w:t>900,000</w:t>
            </w:r>
          </w:p>
        </w:tc>
        <w:tc>
          <w:tcPr>
            <w:tcW w:w="940" w:type="dxa"/>
            <w:vAlign w:val="bottom"/>
            <w:tcBorders>
              <w:right w:val="single" w:sz="8" w:color="262626"/>
            </w:tcBorders>
          </w:tcPr>
          <w:p>
            <w:pPr>
              <w:jc w:val="right"/>
              <w:ind w:right="68"/>
              <w:spacing w:after="0"/>
              <w:rPr>
                <w:sz w:val="20"/>
                <w:szCs w:val="20"/>
                <w:color w:val="auto"/>
              </w:rPr>
            </w:pPr>
            <w:r>
              <w:rPr>
                <w:rFonts w:ascii="Arial" w:cs="Arial" w:eastAsia="Arial" w:hAnsi="Arial"/>
                <w:sz w:val="14"/>
                <w:szCs w:val="14"/>
                <w:color w:val="262626"/>
              </w:rPr>
              <w:t>$1,681,250</w:t>
            </w:r>
          </w:p>
        </w:tc>
        <w:tc>
          <w:tcPr>
            <w:tcW w:w="840" w:type="dxa"/>
            <w:vAlign w:val="bottom"/>
          </w:tcPr>
          <w:p>
            <w:pPr>
              <w:jc w:val="right"/>
              <w:ind w:right="8"/>
              <w:spacing w:after="0"/>
              <w:rPr>
                <w:sz w:val="20"/>
                <w:szCs w:val="20"/>
                <w:color w:val="auto"/>
              </w:rPr>
            </w:pPr>
            <w:r>
              <w:rPr>
                <w:rFonts w:ascii="Arial" w:cs="Arial" w:eastAsia="Arial" w:hAnsi="Arial"/>
                <w:sz w:val="14"/>
                <w:szCs w:val="14"/>
                <w:color w:val="262626"/>
              </w:rPr>
              <w:t>$1,864,098</w:t>
            </w:r>
          </w:p>
        </w:tc>
        <w:tc>
          <w:tcPr>
            <w:tcW w:w="760" w:type="dxa"/>
            <w:vAlign w:val="bottom"/>
          </w:tcPr>
          <w:p>
            <w:pPr>
              <w:jc w:val="right"/>
              <w:spacing w:after="0"/>
              <w:rPr>
                <w:sz w:val="20"/>
                <w:szCs w:val="20"/>
                <w:color w:val="auto"/>
              </w:rPr>
            </w:pPr>
            <w:r>
              <w:rPr>
                <w:rFonts w:ascii="Arial" w:cs="Arial" w:eastAsia="Arial" w:hAnsi="Arial"/>
                <w:sz w:val="14"/>
                <w:szCs w:val="14"/>
                <w:color w:val="262626"/>
              </w:rPr>
              <w:t>-10%</w:t>
            </w:r>
          </w:p>
        </w:tc>
      </w:tr>
      <w:tr>
        <w:trPr>
          <w:trHeight w:val="157"/>
        </w:trPr>
        <w:tc>
          <w:tcPr>
            <w:tcW w:w="2720" w:type="dxa"/>
            <w:vAlign w:val="bottom"/>
            <w:shd w:val="clear" w:color="auto" w:fill="EAEFED"/>
          </w:tcPr>
          <w:p>
            <w:pPr>
              <w:spacing w:after="0" w:line="157" w:lineRule="exact"/>
              <w:rPr>
                <w:sz w:val="20"/>
                <w:szCs w:val="20"/>
                <w:color w:val="auto"/>
              </w:rPr>
            </w:pPr>
            <w:r>
              <w:rPr>
                <w:rFonts w:ascii="Arial" w:cs="Arial" w:eastAsia="Arial" w:hAnsi="Arial"/>
                <w:sz w:val="14"/>
                <w:szCs w:val="14"/>
                <w:color w:val="262626"/>
              </w:rPr>
              <w:t>Dawn Becker</w:t>
            </w: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262626"/>
              </w:rPr>
              <w:t>$475,000</w:t>
            </w:r>
          </w:p>
        </w:tc>
        <w:tc>
          <w:tcPr>
            <w:tcW w:w="160" w:type="dxa"/>
            <w:vAlign w:val="bottom"/>
          </w:tcPr>
          <w:p>
            <w:pPr>
              <w:ind w:left="80"/>
              <w:spacing w:after="0" w:line="157" w:lineRule="exact"/>
              <w:rPr>
                <w:sz w:val="20"/>
                <w:szCs w:val="20"/>
                <w:color w:val="auto"/>
              </w:rPr>
            </w:pPr>
            <w:r>
              <w:rPr>
                <w:rFonts w:ascii="Arial" w:cs="Arial" w:eastAsia="Arial" w:hAnsi="Arial"/>
                <w:sz w:val="14"/>
                <w:szCs w:val="14"/>
                <w:color w:val="262626"/>
                <w:w w:val="76"/>
              </w:rPr>
              <w:t>$</w:t>
            </w: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356,250</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780" w:type="dxa"/>
            <w:vAlign w:val="bottom"/>
          </w:tcPr>
          <w:p>
            <w:pPr>
              <w:jc w:val="right"/>
              <w:ind w:right="68"/>
              <w:spacing w:after="0" w:line="157" w:lineRule="exact"/>
              <w:rPr>
                <w:sz w:val="20"/>
                <w:szCs w:val="20"/>
                <w:color w:val="auto"/>
              </w:rPr>
            </w:pPr>
            <w:r>
              <w:rPr>
                <w:rFonts w:ascii="Arial" w:cs="Arial" w:eastAsia="Arial" w:hAnsi="Arial"/>
                <w:sz w:val="14"/>
                <w:szCs w:val="14"/>
                <w:color w:val="262626"/>
              </w:rPr>
              <w:t>600,000</w:t>
            </w:r>
          </w:p>
        </w:tc>
        <w:tc>
          <w:tcPr>
            <w:tcW w:w="880" w:type="dxa"/>
            <w:vAlign w:val="bottom"/>
            <w:tcBorders>
              <w:right w:val="single" w:sz="8" w:color="262626"/>
            </w:tcBorders>
          </w:tcPr>
          <w:p>
            <w:pPr>
              <w:jc w:val="right"/>
              <w:ind w:right="68"/>
              <w:spacing w:after="0" w:line="157" w:lineRule="exact"/>
              <w:rPr>
                <w:sz w:val="20"/>
                <w:szCs w:val="20"/>
                <w:color w:val="auto"/>
              </w:rPr>
            </w:pPr>
            <w:r>
              <w:rPr>
                <w:rFonts w:ascii="Arial" w:cs="Arial" w:eastAsia="Arial" w:hAnsi="Arial"/>
                <w:sz w:val="14"/>
                <w:szCs w:val="14"/>
                <w:color w:val="262626"/>
              </w:rPr>
              <w:t>$1,431,250</w:t>
            </w: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262626"/>
              </w:rPr>
              <w:t>$475,000</w:t>
            </w:r>
          </w:p>
        </w:tc>
        <w:tc>
          <w:tcPr>
            <w:tcW w:w="76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$267,188</w:t>
            </w:r>
          </w:p>
        </w:tc>
        <w:tc>
          <w:tcPr>
            <w:tcW w:w="160" w:type="dxa"/>
            <w:vAlign w:val="bottom"/>
          </w:tcPr>
          <w:p>
            <w:pPr>
              <w:jc w:val="center"/>
              <w:ind w:left="8"/>
              <w:spacing w:after="0" w:line="157" w:lineRule="exact"/>
              <w:rPr>
                <w:sz w:val="20"/>
                <w:szCs w:val="20"/>
                <w:color w:val="auto"/>
              </w:rPr>
            </w:pPr>
            <w:r>
              <w:rPr>
                <w:rFonts w:ascii="Arial" w:cs="Arial" w:eastAsia="Arial" w:hAnsi="Arial"/>
                <w:sz w:val="14"/>
                <w:szCs w:val="14"/>
                <w:color w:val="262626"/>
              </w:rPr>
              <w:t>$</w:t>
            </w: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600,000</w:t>
            </w:r>
          </w:p>
        </w:tc>
        <w:tc>
          <w:tcPr>
            <w:tcW w:w="940" w:type="dxa"/>
            <w:vAlign w:val="bottom"/>
            <w:tcBorders>
              <w:right w:val="single" w:sz="8" w:color="262626"/>
            </w:tcBorders>
          </w:tcPr>
          <w:p>
            <w:pPr>
              <w:jc w:val="right"/>
              <w:ind w:right="68"/>
              <w:spacing w:after="0" w:line="157" w:lineRule="exact"/>
              <w:rPr>
                <w:sz w:val="20"/>
                <w:szCs w:val="20"/>
                <w:color w:val="auto"/>
              </w:rPr>
            </w:pPr>
            <w:r>
              <w:rPr>
                <w:rFonts w:ascii="Arial" w:cs="Arial" w:eastAsia="Arial" w:hAnsi="Arial"/>
                <w:sz w:val="14"/>
                <w:szCs w:val="14"/>
                <w:color w:val="262626"/>
              </w:rPr>
              <w:t>$1,342,188</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$1,496,552</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262626"/>
              </w:rPr>
              <w:t>-10%</w:t>
            </w:r>
          </w:p>
        </w:tc>
      </w:tr>
    </w:tbl>
    <w:p>
      <w:pPr>
        <w:spacing w:after="0" w:line="21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The amounts shown above for the annual bonus and performance based, long-term incentive program differ from the amounts shown for 2020 in the Summary Compensation Table because the chart above reflects the amount earned for the year while the Summary Compensation Table reflects these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amounts in the year in which they are paid regardless of the time period during which those amounts were earned. As a result, the long-term incentive awards actually earned as shown above will not be reported in the Summary Compensation Table until next year’s proxy. We believe the chart above is helpful because it reflects the way in which the Compensation Committee considers compensation decisions for our NEOs and it allows the actual compensation earned for 2020 to be understood in the context of our financial and other performance for the 1- and 3-year performance periods ending in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2020 Compensation Components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Shareholder interests are best represented by a compensation program that is properly structured to attract, retain and motivate our executives to lead the Company effectively. Our program contains various elements, each designed for a different purpose with the overarching goal of encouraging a high level of current and future individual and Company performance. The chart below describes the elements of direct total compensation we pay to our executives and their link to our business and talent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51980" cy="4732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5198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We also provide various retirement, health and welfare related benefits to our NEOs on the same terms and conditions as we provide to all of our employees. These benefits are competitive with those offered by companies with whom we compete for talent and provide another tool that allows us to attract and retain talented executives.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Setting Annual Compensation</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Annual compensation for our NEOs is paid in both cash and restricted Shares with a significant portion at risk and contingent on achieving either annual or longer term performance goals. The total potential</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262626"/>
        </w:rPr>
        <w:t>compensation for our NEOs is established based on the scope of his/her individual responsibilities and contributions to our performance taking into account competitive market compensation paid for similar positions. Our Compensation Committee determines appropriate levels of total compensation for each NEO by applying their individual understanding, experiences and judgments in the national marketplace of senior level real estate positions and related industry pay in both public and private companies that may compete for our executives while also considering the relative importance of various positions at Federal given our business plan and organization compared with the business plans of our major competitors. The Compensation Committee also consults compensation surveys prepared for the National Association of Real Estate Investment Trusts (“NAREIT Survey”) to confirm its assessment of appropriate market compensation for our NEOs, reviewing the information reported for each position by the 112 real estate investment trusts (“REITs”) that participated in the latest survey as well as by the approximately 25 retail focused REITs that participated in that survey. In addition, in finalizing decisions for 2020 with respect to annual bonus payouts and payouts under our long-term incentive plan, the Compensation Committee consulted with SBCG.</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Using the three components of compensation, their knowledge and experience in the marketplace and the NAREIT Survey information, the Compensation Committee establishes an individual compensation package for each NEO setting the target level of potential compensation at or slightly below market level compensation for that NEO. The purpose of setting target compensation at or below market is to further incentivize our NEOs to achieve the highest level of performance under our incentive programs with the expectation being that superior company performance will result in our NEOs being paid slightly above market compensation levels. The Compensation Committee believes that using performance based compensation as a way to pay our NEOs above market compensation levels helps us attract and retain the quality talent that is necessary to successfully run a business such as ours with a more diverse set of property types and tenants than other shopping center companies.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2020 Target Pay Mix</w:t>
      </w:r>
    </w:p>
    <w:p>
      <w:pPr>
        <w:spacing w:after="0" w:line="234"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262626"/>
        </w:rPr>
        <w:t>The Committee designs the compensation program to be heavily performance based. The following charts depict the target compensation mix for Mr. Wood and the average of the target compensation mix for our other 2020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142875</wp:posOffset>
            </wp:positionV>
            <wp:extent cx="4500245" cy="19716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002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How our NEOS were Paid for Performance in 2020</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262626"/>
        </w:rPr>
        <w:t>Annual Bonus Plan</w:t>
      </w:r>
    </w:p>
    <w:p>
      <w:pPr>
        <w:spacing w:after="0" w:line="23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The annual bonus plan is an annual cash incentive program with payment under the plan contingent on our achieving FFO per diluted Share within a range set by the Compensation Committee for that year. The Compensation Committee believes that FFO per diluted Share is the appropriate measure to use for an annual program because it reflects the impacts of operational decisions, capital allocation decisions and balance sheet management for the year. Consistent with past practice, the Compensation Committee set the FFO per diluted Share range for our 2020 annual bonus program at its first meeting of the year, held on February 4, 2020, to reflect acceptable to exceptional performance in light of our business objectives for the year after a thorough review and discussion of our budget and considering investor expectations for the year. At that point in time, the Committee had no information about the impact the COVID-19 pandemic would have on our business in 2020. The targets and payout levels set by the Committee in February 2020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60" w:type="dxa"/>
            <w:vAlign w:val="bottom"/>
            <w:tcBorders>
              <w:bottom w:val="single" w:sz="8" w:color="F73A25"/>
            </w:tcBorders>
          </w:tcPr>
          <w:p>
            <w:pPr>
              <w:spacing w:after="0"/>
              <w:rPr>
                <w:sz w:val="20"/>
                <w:szCs w:val="20"/>
                <w:color w:val="auto"/>
              </w:rPr>
            </w:pPr>
            <w:r>
              <w:rPr>
                <w:rFonts w:ascii="Arial" w:cs="Arial" w:eastAsia="Arial" w:hAnsi="Arial"/>
                <w:sz w:val="18"/>
                <w:szCs w:val="18"/>
                <w:color w:val="F73A25"/>
              </w:rPr>
              <w:t>Payout Level</w:t>
            </w:r>
          </w:p>
        </w:tc>
        <w:tc>
          <w:tcPr>
            <w:tcW w:w="1020" w:type="dxa"/>
            <w:vAlign w:val="bottom"/>
            <w:tcBorders>
              <w:bottom w:val="single" w:sz="8" w:color="F73A25"/>
            </w:tcBorders>
          </w:tcPr>
          <w:p>
            <w:pPr>
              <w:spacing w:after="0"/>
              <w:rPr>
                <w:sz w:val="17"/>
                <w:szCs w:val="17"/>
                <w:color w:val="auto"/>
              </w:rPr>
            </w:pPr>
          </w:p>
        </w:tc>
        <w:tc>
          <w:tcPr>
            <w:tcW w:w="1040" w:type="dxa"/>
            <w:vAlign w:val="bottom"/>
            <w:tcBorders>
              <w:bottom w:val="single" w:sz="8" w:color="F73A25"/>
            </w:tcBorders>
          </w:tcPr>
          <w:p>
            <w:pPr>
              <w:jc w:val="right"/>
              <w:ind w:right="330"/>
              <w:spacing w:after="0"/>
              <w:rPr>
                <w:sz w:val="20"/>
                <w:szCs w:val="20"/>
                <w:color w:val="auto"/>
              </w:rPr>
            </w:pPr>
            <w:r>
              <w:rPr>
                <w:rFonts w:ascii="Arial" w:cs="Arial" w:eastAsia="Arial" w:hAnsi="Arial"/>
                <w:sz w:val="18"/>
                <w:szCs w:val="18"/>
                <w:color w:val="F73A25"/>
              </w:rPr>
              <w:t>FFO</w:t>
            </w:r>
          </w:p>
        </w:tc>
        <w:tc>
          <w:tcPr>
            <w:tcW w:w="1060" w:type="dxa"/>
            <w:vAlign w:val="bottom"/>
            <w:tcBorders>
              <w:bottom w:val="single" w:sz="8" w:color="F73A25"/>
            </w:tcBorders>
          </w:tcPr>
          <w:p>
            <w:pPr>
              <w:jc w:val="right"/>
              <w:ind w:right="10"/>
              <w:spacing w:after="0"/>
              <w:rPr>
                <w:sz w:val="20"/>
                <w:szCs w:val="20"/>
                <w:color w:val="auto"/>
              </w:rPr>
            </w:pPr>
            <w:r>
              <w:rPr>
                <w:rFonts w:ascii="Arial" w:cs="Arial" w:eastAsia="Arial" w:hAnsi="Arial"/>
                <w:sz w:val="18"/>
                <w:szCs w:val="18"/>
                <w:color w:val="F73A25"/>
              </w:rPr>
              <w:t>Payout</w:t>
            </w:r>
          </w:p>
        </w:tc>
      </w:tr>
      <w:tr>
        <w:trPr>
          <w:trHeight w:val="210"/>
        </w:trPr>
        <w:tc>
          <w:tcPr>
            <w:tcW w:w="2160" w:type="dxa"/>
            <w:vAlign w:val="bottom"/>
            <w:shd w:val="clear" w:color="auto" w:fill="EAEFED"/>
          </w:tcPr>
          <w:p>
            <w:pPr>
              <w:spacing w:after="0"/>
              <w:rPr>
                <w:sz w:val="20"/>
                <w:szCs w:val="20"/>
                <w:color w:val="auto"/>
              </w:rPr>
            </w:pPr>
            <w:r>
              <w:rPr>
                <w:rFonts w:ascii="Arial" w:cs="Arial" w:eastAsia="Arial" w:hAnsi="Arial"/>
                <w:sz w:val="18"/>
                <w:szCs w:val="18"/>
                <w:color w:val="262626"/>
              </w:rPr>
              <w:t>Threshold</w:t>
            </w:r>
          </w:p>
        </w:tc>
        <w:tc>
          <w:tcPr>
            <w:tcW w:w="1020" w:type="dxa"/>
            <w:vAlign w:val="bottom"/>
          </w:tcPr>
          <w:p>
            <w:pPr>
              <w:jc w:val="right"/>
              <w:ind w:right="150"/>
              <w:spacing w:after="0"/>
              <w:rPr>
                <w:sz w:val="20"/>
                <w:szCs w:val="20"/>
                <w:color w:val="auto"/>
              </w:rPr>
            </w:pPr>
            <w:r>
              <w:rPr>
                <w:rFonts w:ascii="Arial" w:cs="Arial" w:eastAsia="Arial" w:hAnsi="Arial"/>
                <w:sz w:val="18"/>
                <w:szCs w:val="18"/>
                <w:color w:val="262626"/>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262626"/>
              </w:rPr>
              <w:t>6.33</w:t>
            </w:r>
          </w:p>
        </w:tc>
        <w:tc>
          <w:tcPr>
            <w:tcW w:w="1060" w:type="dxa"/>
            <w:vAlign w:val="bottom"/>
          </w:tcPr>
          <w:p>
            <w:pPr>
              <w:jc w:val="right"/>
              <w:ind w:right="10"/>
              <w:spacing w:after="0"/>
              <w:rPr>
                <w:sz w:val="20"/>
                <w:szCs w:val="20"/>
                <w:color w:val="auto"/>
              </w:rPr>
            </w:pPr>
            <w:r>
              <w:rPr>
                <w:rFonts w:ascii="Arial" w:cs="Arial" w:eastAsia="Arial" w:hAnsi="Arial"/>
                <w:sz w:val="18"/>
                <w:szCs w:val="18"/>
                <w:color w:val="262626"/>
              </w:rPr>
              <w:t>75%</w:t>
            </w:r>
          </w:p>
        </w:tc>
      </w:tr>
      <w:tr>
        <w:trPr>
          <w:trHeight w:val="283"/>
        </w:trPr>
        <w:tc>
          <w:tcPr>
            <w:tcW w:w="2160" w:type="dxa"/>
            <w:vAlign w:val="bottom"/>
            <w:shd w:val="clear" w:color="auto" w:fill="EAEFED"/>
          </w:tcPr>
          <w:p>
            <w:pPr>
              <w:spacing w:after="0"/>
              <w:rPr>
                <w:sz w:val="20"/>
                <w:szCs w:val="20"/>
                <w:color w:val="auto"/>
              </w:rPr>
            </w:pPr>
            <w:r>
              <w:rPr>
                <w:rFonts w:ascii="Arial" w:cs="Arial" w:eastAsia="Arial" w:hAnsi="Arial"/>
                <w:sz w:val="18"/>
                <w:szCs w:val="18"/>
                <w:color w:val="262626"/>
              </w:rPr>
              <w:t>Target</w:t>
            </w:r>
          </w:p>
        </w:tc>
        <w:tc>
          <w:tcPr>
            <w:tcW w:w="1020" w:type="dxa"/>
            <w:vAlign w:val="bottom"/>
          </w:tcPr>
          <w:p>
            <w:pPr>
              <w:jc w:val="right"/>
              <w:ind w:right="150"/>
              <w:spacing w:after="0"/>
              <w:rPr>
                <w:sz w:val="20"/>
                <w:szCs w:val="20"/>
                <w:color w:val="auto"/>
              </w:rPr>
            </w:pPr>
            <w:r>
              <w:rPr>
                <w:rFonts w:ascii="Arial" w:cs="Arial" w:eastAsia="Arial" w:hAnsi="Arial"/>
                <w:sz w:val="18"/>
                <w:szCs w:val="18"/>
                <w:color w:val="262626"/>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262626"/>
              </w:rPr>
              <w:t>6.40</w:t>
            </w:r>
          </w:p>
        </w:tc>
        <w:tc>
          <w:tcPr>
            <w:tcW w:w="1060" w:type="dxa"/>
            <w:vAlign w:val="bottom"/>
          </w:tcPr>
          <w:p>
            <w:pPr>
              <w:jc w:val="right"/>
              <w:ind w:right="10"/>
              <w:spacing w:after="0"/>
              <w:rPr>
                <w:sz w:val="20"/>
                <w:szCs w:val="20"/>
                <w:color w:val="auto"/>
              </w:rPr>
            </w:pPr>
            <w:r>
              <w:rPr>
                <w:rFonts w:ascii="Arial" w:cs="Arial" w:eastAsia="Arial" w:hAnsi="Arial"/>
                <w:sz w:val="18"/>
                <w:szCs w:val="18"/>
                <w:color w:val="262626"/>
              </w:rPr>
              <w:t>100%</w:t>
            </w:r>
          </w:p>
        </w:tc>
      </w:tr>
      <w:tr>
        <w:trPr>
          <w:trHeight w:val="283"/>
        </w:trPr>
        <w:tc>
          <w:tcPr>
            <w:tcW w:w="2160" w:type="dxa"/>
            <w:vAlign w:val="bottom"/>
            <w:shd w:val="clear" w:color="auto" w:fill="EAEFED"/>
          </w:tcPr>
          <w:p>
            <w:pPr>
              <w:spacing w:after="0"/>
              <w:rPr>
                <w:sz w:val="20"/>
                <w:szCs w:val="20"/>
                <w:color w:val="auto"/>
              </w:rPr>
            </w:pPr>
            <w:r>
              <w:rPr>
                <w:rFonts w:ascii="Arial" w:cs="Arial" w:eastAsia="Arial" w:hAnsi="Arial"/>
                <w:sz w:val="18"/>
                <w:szCs w:val="18"/>
                <w:color w:val="262626"/>
              </w:rPr>
              <w:t>Stretch</w:t>
            </w:r>
          </w:p>
        </w:tc>
        <w:tc>
          <w:tcPr>
            <w:tcW w:w="1020" w:type="dxa"/>
            <w:vAlign w:val="bottom"/>
          </w:tcPr>
          <w:p>
            <w:pPr>
              <w:jc w:val="right"/>
              <w:ind w:right="150"/>
              <w:spacing w:after="0"/>
              <w:rPr>
                <w:sz w:val="20"/>
                <w:szCs w:val="20"/>
                <w:color w:val="auto"/>
              </w:rPr>
            </w:pPr>
            <w:r>
              <w:rPr>
                <w:rFonts w:ascii="Arial" w:cs="Arial" w:eastAsia="Arial" w:hAnsi="Arial"/>
                <w:sz w:val="18"/>
                <w:szCs w:val="18"/>
                <w:color w:val="262626"/>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262626"/>
              </w:rPr>
              <w:t>6.48</w:t>
            </w:r>
          </w:p>
        </w:tc>
        <w:tc>
          <w:tcPr>
            <w:tcW w:w="1060" w:type="dxa"/>
            <w:vAlign w:val="bottom"/>
          </w:tcPr>
          <w:p>
            <w:pPr>
              <w:jc w:val="right"/>
              <w:ind w:right="10"/>
              <w:spacing w:after="0"/>
              <w:rPr>
                <w:sz w:val="20"/>
                <w:szCs w:val="20"/>
                <w:color w:val="auto"/>
              </w:rPr>
            </w:pPr>
            <w:r>
              <w:rPr>
                <w:rFonts w:ascii="Arial" w:cs="Arial" w:eastAsia="Arial" w:hAnsi="Arial"/>
                <w:sz w:val="18"/>
                <w:szCs w:val="18"/>
                <w:color w:val="262626"/>
              </w:rPr>
              <w:t>125%</w:t>
            </w:r>
          </w:p>
        </w:tc>
      </w:tr>
      <w:tr>
        <w:trPr>
          <w:trHeight w:val="68"/>
        </w:trPr>
        <w:tc>
          <w:tcPr>
            <w:tcW w:w="2160" w:type="dxa"/>
            <w:vAlign w:val="bottom"/>
            <w:shd w:val="clear" w:color="auto" w:fill="EAEFED"/>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5"/>
          <w:szCs w:val="15"/>
          <w:color w:val="262626"/>
        </w:rPr>
        <w:t>Interpolation is used to determine the payout percentages for results that fall</w:t>
      </w:r>
    </w:p>
    <w:p>
      <w:pPr>
        <w:ind w:left="120"/>
        <w:spacing w:after="0"/>
        <w:rPr>
          <w:sz w:val="20"/>
          <w:szCs w:val="20"/>
          <w:color w:val="auto"/>
        </w:rPr>
      </w:pPr>
      <w:r>
        <w:rPr>
          <w:rFonts w:ascii="Arial" w:cs="Arial" w:eastAsia="Arial" w:hAnsi="Arial"/>
          <w:sz w:val="15"/>
          <w:szCs w:val="15"/>
          <w:color w:val="262626"/>
        </w:rPr>
        <w:t>between the FFO levels shown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See Appendix A for a reconciliation of FFO to net income.</w:t>
      </w:r>
    </w:p>
    <w:p>
      <w:pPr>
        <w:spacing w:after="0" w:line="212"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262626"/>
        </w:rPr>
        <w:t>Our actual FFO achieved in 2020 was $4.38 per Share, below the threshold level for any payout under our annual bonus plan. As discussed in the “2020 Company Performance” section beginning on page 1, the COVID-19 pandemic had a material adverse impact on our ability to collect significant portions of our contractual revenue stream given that many of our retail tenants were required to close or significantly limit their operations for substantial portions of time in 2020 and as a result, they were unable to pay their full contractual rent. This was particularly pronounced in the populous markets in which we do business, many of which were the first to close businesses, imposed some of the most stringent limitations on tenants’ ability to operate and generate revenue and were some of the last to open and lift operating restrictions. Despite these impacts on our business, the Committee determined that not paying any bonus would not be appropriate given the extraordinary work done by the executives and the entire team to guide the Company through the COVID challenges of 2020 and achieve the objectives the Board required management to focus on as the impacts of the pandemic</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became clearer. The objectives the Board set in April 2020 to respond to the COVID pandemic and to focus the team’s efforts throughout the year and what was accomplished are set forth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420" w:type="dxa"/>
            <w:vAlign w:val="bottom"/>
            <w:tcBorders>
              <w:bottom w:val="single" w:sz="8" w:color="F73A25"/>
            </w:tcBorders>
          </w:tcPr>
          <w:p>
            <w:pPr>
              <w:spacing w:after="0"/>
              <w:rPr>
                <w:sz w:val="20"/>
                <w:szCs w:val="20"/>
                <w:color w:val="auto"/>
              </w:rPr>
            </w:pPr>
            <w:r>
              <w:rPr>
                <w:rFonts w:ascii="Arial" w:cs="Arial" w:eastAsia="Arial" w:hAnsi="Arial"/>
                <w:sz w:val="18"/>
                <w:szCs w:val="18"/>
                <w:color w:val="F73A25"/>
              </w:rPr>
              <w:t>Objective</w:t>
            </w:r>
          </w:p>
        </w:tc>
        <w:tc>
          <w:tcPr>
            <w:tcW w:w="7600" w:type="dxa"/>
            <w:vAlign w:val="bottom"/>
            <w:tcBorders>
              <w:bottom w:val="single" w:sz="8" w:color="F73A25"/>
            </w:tcBorders>
          </w:tcPr>
          <w:p>
            <w:pPr>
              <w:ind w:left="220"/>
              <w:spacing w:after="0"/>
              <w:rPr>
                <w:sz w:val="20"/>
                <w:szCs w:val="20"/>
                <w:color w:val="auto"/>
              </w:rPr>
            </w:pPr>
            <w:r>
              <w:rPr>
                <w:rFonts w:ascii="Arial" w:cs="Arial" w:eastAsia="Arial" w:hAnsi="Arial"/>
                <w:sz w:val="18"/>
                <w:szCs w:val="18"/>
                <w:color w:val="F73A25"/>
              </w:rPr>
              <w:t>Achievements</w:t>
            </w:r>
          </w:p>
        </w:tc>
      </w:tr>
      <w:tr>
        <w:trPr>
          <w:trHeight w:val="152"/>
        </w:trPr>
        <w:tc>
          <w:tcPr>
            <w:tcW w:w="3420" w:type="dxa"/>
            <w:vAlign w:val="bottom"/>
            <w:shd w:val="clear" w:color="auto" w:fill="EAEFED"/>
          </w:tcPr>
          <w:p>
            <w:pPr>
              <w:spacing w:after="0" w:line="152" w:lineRule="exact"/>
              <w:rPr>
                <w:sz w:val="20"/>
                <w:szCs w:val="20"/>
                <w:color w:val="auto"/>
              </w:rPr>
            </w:pPr>
            <w:r>
              <w:rPr>
                <w:rFonts w:ascii="Arial" w:cs="Arial" w:eastAsia="Arial" w:hAnsi="Arial"/>
                <w:sz w:val="15"/>
                <w:szCs w:val="15"/>
                <w:color w:val="262626"/>
              </w:rPr>
              <w:t>Ensure sufficient liquidity to operate until impacts</w:t>
            </w:r>
          </w:p>
        </w:tc>
        <w:tc>
          <w:tcPr>
            <w:tcW w:w="7600" w:type="dxa"/>
            <w:vAlign w:val="bottom"/>
          </w:tcPr>
          <w:p>
            <w:pPr>
              <w:ind w:left="220"/>
              <w:spacing w:after="0" w:line="152" w:lineRule="exact"/>
              <w:rPr>
                <w:sz w:val="20"/>
                <w:szCs w:val="20"/>
                <w:color w:val="auto"/>
              </w:rPr>
            </w:pPr>
            <w:r>
              <w:rPr>
                <w:rFonts w:ascii="Arial" w:cs="Arial" w:eastAsia="Arial" w:hAnsi="Arial"/>
                <w:sz w:val="15"/>
                <w:szCs w:val="15"/>
                <w:color w:val="262626"/>
              </w:rPr>
              <w:t>•  Modified line of credit to ensure continued ability to draw funds</w:t>
            </w:r>
          </w:p>
        </w:tc>
      </w:tr>
      <w:tr>
        <w:trPr>
          <w:trHeight w:val="162"/>
        </w:trPr>
        <w:tc>
          <w:tcPr>
            <w:tcW w:w="3420" w:type="dxa"/>
            <w:vAlign w:val="bottom"/>
            <w:shd w:val="clear" w:color="auto" w:fill="EAEFED"/>
          </w:tcPr>
          <w:p>
            <w:pPr>
              <w:spacing w:after="0" w:line="162" w:lineRule="exact"/>
              <w:rPr>
                <w:sz w:val="20"/>
                <w:szCs w:val="20"/>
                <w:color w:val="auto"/>
              </w:rPr>
            </w:pPr>
            <w:r>
              <w:rPr>
                <w:rFonts w:ascii="Arial" w:cs="Arial" w:eastAsia="Arial" w:hAnsi="Arial"/>
                <w:sz w:val="15"/>
                <w:szCs w:val="15"/>
                <w:color w:val="262626"/>
              </w:rPr>
              <w:t>of COVID passed</w:t>
            </w: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Raised $1.5 billion of debt including our first green bond issuance</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Completed sale of 3 properties for gross sales price of $170 million</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Raised approximately $100 million of equity</w:t>
            </w:r>
          </w:p>
        </w:tc>
      </w:tr>
      <w:tr>
        <w:trPr>
          <w:trHeight w:val="165"/>
        </w:trPr>
        <w:tc>
          <w:tcPr>
            <w:tcW w:w="3420" w:type="dxa"/>
            <w:vAlign w:val="bottom"/>
            <w:tcBorders>
              <w:bottom w:val="single" w:sz="8" w:color="F73A25"/>
            </w:tcBorders>
            <w:shd w:val="clear" w:color="auto" w:fill="EAEFED"/>
          </w:tcPr>
          <w:p>
            <w:pPr>
              <w:spacing w:after="0"/>
              <w:rPr>
                <w:sz w:val="14"/>
                <w:szCs w:val="14"/>
                <w:color w:val="auto"/>
              </w:rPr>
            </w:pPr>
          </w:p>
        </w:tc>
        <w:tc>
          <w:tcPr>
            <w:tcW w:w="7600" w:type="dxa"/>
            <w:vAlign w:val="bottom"/>
            <w:tcBorders>
              <w:bottom w:val="single" w:sz="8" w:color="F73A25"/>
            </w:tcBorders>
          </w:tcPr>
          <w:p>
            <w:pPr>
              <w:ind w:left="220"/>
              <w:spacing w:after="0" w:line="166" w:lineRule="exact"/>
              <w:rPr>
                <w:sz w:val="20"/>
                <w:szCs w:val="20"/>
                <w:color w:val="auto"/>
              </w:rPr>
            </w:pPr>
            <w:r>
              <w:rPr>
                <w:rFonts w:ascii="Arial" w:cs="Arial" w:eastAsia="Arial" w:hAnsi="Arial"/>
                <w:sz w:val="15"/>
                <w:szCs w:val="15"/>
                <w:color w:val="262626"/>
              </w:rPr>
              <w:t>•  Maintained significant cash balances in 2020 to ensure liquidity for the business</w:t>
            </w:r>
          </w:p>
        </w:tc>
      </w:tr>
      <w:tr>
        <w:trPr>
          <w:trHeight w:val="152"/>
        </w:trPr>
        <w:tc>
          <w:tcPr>
            <w:tcW w:w="3420" w:type="dxa"/>
            <w:vAlign w:val="bottom"/>
            <w:shd w:val="clear" w:color="auto" w:fill="EAEFED"/>
          </w:tcPr>
          <w:p>
            <w:pPr>
              <w:spacing w:after="0" w:line="152" w:lineRule="exact"/>
              <w:rPr>
                <w:sz w:val="20"/>
                <w:szCs w:val="20"/>
                <w:color w:val="auto"/>
              </w:rPr>
            </w:pPr>
            <w:r>
              <w:rPr>
                <w:rFonts w:ascii="Arial" w:cs="Arial" w:eastAsia="Arial" w:hAnsi="Arial"/>
                <w:sz w:val="15"/>
                <w:szCs w:val="15"/>
                <w:color w:val="262626"/>
              </w:rPr>
              <w:t>Maximize property revenue</w:t>
            </w:r>
          </w:p>
        </w:tc>
        <w:tc>
          <w:tcPr>
            <w:tcW w:w="7600" w:type="dxa"/>
            <w:vAlign w:val="bottom"/>
          </w:tcPr>
          <w:p>
            <w:pPr>
              <w:ind w:left="220"/>
              <w:spacing w:after="0" w:line="152" w:lineRule="exact"/>
              <w:rPr>
                <w:sz w:val="20"/>
                <w:szCs w:val="20"/>
                <w:color w:val="auto"/>
              </w:rPr>
            </w:pPr>
            <w:r>
              <w:rPr>
                <w:rFonts w:ascii="Arial" w:cs="Arial" w:eastAsia="Arial" w:hAnsi="Arial"/>
                <w:sz w:val="15"/>
                <w:szCs w:val="15"/>
                <w:color w:val="262626"/>
              </w:rPr>
              <w:t>•  Increased monthly collection rates from 53% in April to 84% in December</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Negotiated modified rent deals on approximately 1,200 leases to assist tenants through COVID</w:t>
            </w:r>
          </w:p>
        </w:tc>
      </w:tr>
      <w:tr>
        <w:trPr>
          <w:trHeight w:val="165"/>
        </w:trPr>
        <w:tc>
          <w:tcPr>
            <w:tcW w:w="3420" w:type="dxa"/>
            <w:vAlign w:val="bottom"/>
            <w:tcBorders>
              <w:bottom w:val="single" w:sz="8" w:color="F73A25"/>
            </w:tcBorders>
            <w:shd w:val="clear" w:color="auto" w:fill="EAEFED"/>
          </w:tcPr>
          <w:p>
            <w:pPr>
              <w:spacing w:after="0"/>
              <w:rPr>
                <w:sz w:val="14"/>
                <w:szCs w:val="14"/>
                <w:color w:val="auto"/>
              </w:rPr>
            </w:pPr>
          </w:p>
        </w:tc>
        <w:tc>
          <w:tcPr>
            <w:tcW w:w="7600" w:type="dxa"/>
            <w:vAlign w:val="bottom"/>
            <w:tcBorders>
              <w:bottom w:val="single" w:sz="8" w:color="F73A25"/>
            </w:tcBorders>
          </w:tcPr>
          <w:p>
            <w:pPr>
              <w:ind w:left="220"/>
              <w:spacing w:after="0" w:line="166" w:lineRule="exact"/>
              <w:rPr>
                <w:sz w:val="20"/>
                <w:szCs w:val="20"/>
                <w:color w:val="auto"/>
              </w:rPr>
            </w:pPr>
            <w:r>
              <w:rPr>
                <w:rFonts w:ascii="Arial" w:cs="Arial" w:eastAsia="Arial" w:hAnsi="Arial"/>
                <w:sz w:val="15"/>
                <w:szCs w:val="15"/>
                <w:color w:val="262626"/>
              </w:rPr>
              <w:t>•  Modified property operating plans to decrease expenditures where possible</w:t>
            </w:r>
          </w:p>
        </w:tc>
      </w:tr>
      <w:tr>
        <w:trPr>
          <w:trHeight w:val="152"/>
        </w:trPr>
        <w:tc>
          <w:tcPr>
            <w:tcW w:w="3420" w:type="dxa"/>
            <w:vAlign w:val="bottom"/>
            <w:shd w:val="clear" w:color="auto" w:fill="EAEFED"/>
          </w:tcPr>
          <w:p>
            <w:pPr>
              <w:spacing w:after="0" w:line="152" w:lineRule="exact"/>
              <w:rPr>
                <w:sz w:val="20"/>
                <w:szCs w:val="20"/>
                <w:color w:val="auto"/>
              </w:rPr>
            </w:pPr>
            <w:r>
              <w:rPr>
                <w:rFonts w:ascii="Arial" w:cs="Arial" w:eastAsia="Arial" w:hAnsi="Arial"/>
                <w:sz w:val="15"/>
                <w:szCs w:val="15"/>
                <w:color w:val="262626"/>
              </w:rPr>
              <w:t>Position the Company for success post-COVID</w:t>
            </w:r>
          </w:p>
        </w:tc>
        <w:tc>
          <w:tcPr>
            <w:tcW w:w="7600" w:type="dxa"/>
            <w:vAlign w:val="bottom"/>
          </w:tcPr>
          <w:p>
            <w:pPr>
              <w:ind w:left="220"/>
              <w:spacing w:after="0" w:line="152" w:lineRule="exact"/>
              <w:rPr>
                <w:sz w:val="20"/>
                <w:szCs w:val="20"/>
                <w:color w:val="auto"/>
              </w:rPr>
            </w:pPr>
            <w:r>
              <w:rPr>
                <w:rFonts w:ascii="Arial" w:cs="Arial" w:eastAsia="Arial" w:hAnsi="Arial"/>
                <w:sz w:val="15"/>
                <w:szCs w:val="15"/>
                <w:color w:val="262626"/>
              </w:rPr>
              <w:t>•  Identified and obtained approval for improvements to 10 properties to support current and future leasing</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440"/>
              <w:spacing w:after="0" w:line="162" w:lineRule="exact"/>
              <w:rPr>
                <w:sz w:val="20"/>
                <w:szCs w:val="20"/>
                <w:color w:val="auto"/>
              </w:rPr>
            </w:pPr>
            <w:r>
              <w:rPr>
                <w:rFonts w:ascii="Arial" w:cs="Arial" w:eastAsia="Arial" w:hAnsi="Arial"/>
                <w:sz w:val="15"/>
                <w:szCs w:val="15"/>
                <w:color w:val="262626"/>
              </w:rPr>
              <w:t>efforts</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Completed new and renewal leases for retail spaces for approximately 1.8 million square feet</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Advanced ESG efforts with corporate responsibility report, alignment with United Nations Sustainable</w:t>
            </w:r>
          </w:p>
        </w:tc>
      </w:tr>
      <w:tr>
        <w:trPr>
          <w:trHeight w:val="165"/>
        </w:trPr>
        <w:tc>
          <w:tcPr>
            <w:tcW w:w="3420" w:type="dxa"/>
            <w:vAlign w:val="bottom"/>
            <w:tcBorders>
              <w:bottom w:val="single" w:sz="8" w:color="F73A25"/>
            </w:tcBorders>
            <w:shd w:val="clear" w:color="auto" w:fill="EAEFED"/>
          </w:tcPr>
          <w:p>
            <w:pPr>
              <w:spacing w:after="0"/>
              <w:rPr>
                <w:sz w:val="14"/>
                <w:szCs w:val="14"/>
                <w:color w:val="auto"/>
              </w:rPr>
            </w:pPr>
          </w:p>
        </w:tc>
        <w:tc>
          <w:tcPr>
            <w:tcW w:w="7600" w:type="dxa"/>
            <w:vAlign w:val="bottom"/>
            <w:tcBorders>
              <w:bottom w:val="single" w:sz="8" w:color="F73A25"/>
            </w:tcBorders>
          </w:tcPr>
          <w:p>
            <w:pPr>
              <w:ind w:left="440"/>
              <w:spacing w:after="0" w:line="166" w:lineRule="exact"/>
              <w:rPr>
                <w:sz w:val="20"/>
                <w:szCs w:val="20"/>
                <w:color w:val="auto"/>
              </w:rPr>
            </w:pPr>
            <w:r>
              <w:rPr>
                <w:rFonts w:ascii="Arial" w:cs="Arial" w:eastAsia="Arial" w:hAnsi="Arial"/>
                <w:sz w:val="15"/>
                <w:szCs w:val="15"/>
                <w:color w:val="262626"/>
              </w:rPr>
              <w:t>Development Goals and formalization of ESG considerations in investment decisions</w:t>
            </w:r>
          </w:p>
        </w:tc>
      </w:tr>
      <w:tr>
        <w:trPr>
          <w:trHeight w:val="152"/>
        </w:trPr>
        <w:tc>
          <w:tcPr>
            <w:tcW w:w="3420" w:type="dxa"/>
            <w:vAlign w:val="bottom"/>
            <w:shd w:val="clear" w:color="auto" w:fill="EAEFED"/>
          </w:tcPr>
          <w:p>
            <w:pPr>
              <w:spacing w:after="0" w:line="152" w:lineRule="exact"/>
              <w:rPr>
                <w:sz w:val="20"/>
                <w:szCs w:val="20"/>
                <w:color w:val="auto"/>
              </w:rPr>
            </w:pPr>
            <w:r>
              <w:rPr>
                <w:rFonts w:ascii="Arial" w:cs="Arial" w:eastAsia="Arial" w:hAnsi="Arial"/>
                <w:sz w:val="15"/>
                <w:szCs w:val="15"/>
                <w:color w:val="262626"/>
              </w:rPr>
              <w:t>Protect health and wellness of employees and</w:t>
            </w:r>
          </w:p>
        </w:tc>
        <w:tc>
          <w:tcPr>
            <w:tcW w:w="7600" w:type="dxa"/>
            <w:vAlign w:val="bottom"/>
          </w:tcPr>
          <w:p>
            <w:pPr>
              <w:ind w:left="220"/>
              <w:spacing w:after="0" w:line="152" w:lineRule="exact"/>
              <w:rPr>
                <w:sz w:val="20"/>
                <w:szCs w:val="20"/>
                <w:color w:val="auto"/>
              </w:rPr>
            </w:pPr>
            <w:r>
              <w:rPr>
                <w:rFonts w:ascii="Arial" w:cs="Arial" w:eastAsia="Arial" w:hAnsi="Arial"/>
                <w:sz w:val="15"/>
                <w:szCs w:val="15"/>
                <w:color w:val="262626"/>
              </w:rPr>
              <w:t>•  Moved to remote work for all but essential employees</w:t>
            </w:r>
          </w:p>
        </w:tc>
      </w:tr>
      <w:tr>
        <w:trPr>
          <w:trHeight w:val="162"/>
        </w:trPr>
        <w:tc>
          <w:tcPr>
            <w:tcW w:w="3420" w:type="dxa"/>
            <w:vAlign w:val="bottom"/>
            <w:shd w:val="clear" w:color="auto" w:fill="EAEFED"/>
          </w:tcPr>
          <w:p>
            <w:pPr>
              <w:spacing w:after="0" w:line="162" w:lineRule="exact"/>
              <w:rPr>
                <w:sz w:val="20"/>
                <w:szCs w:val="20"/>
                <w:color w:val="auto"/>
              </w:rPr>
            </w:pPr>
            <w:r>
              <w:rPr>
                <w:rFonts w:ascii="Arial" w:cs="Arial" w:eastAsia="Arial" w:hAnsi="Arial"/>
                <w:sz w:val="15"/>
                <w:szCs w:val="15"/>
                <w:color w:val="262626"/>
              </w:rPr>
              <w:t>patrons</w:t>
            </w: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Relocated corporate headquarters to newly constructed Fitwel certified space</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Provided safety features throughout our properties to protect tenants and their customers</w:t>
            </w:r>
          </w:p>
        </w:tc>
      </w:tr>
      <w:tr>
        <w:trPr>
          <w:trHeight w:val="162"/>
        </w:trPr>
        <w:tc>
          <w:tcPr>
            <w:tcW w:w="3420" w:type="dxa"/>
            <w:vAlign w:val="bottom"/>
            <w:shd w:val="clear" w:color="auto" w:fill="EAEFED"/>
          </w:tcPr>
          <w:p>
            <w:pPr>
              <w:spacing w:after="0"/>
              <w:rPr>
                <w:sz w:val="14"/>
                <w:szCs w:val="14"/>
                <w:color w:val="auto"/>
              </w:rPr>
            </w:pPr>
          </w:p>
        </w:tc>
        <w:tc>
          <w:tcPr>
            <w:tcW w:w="7600" w:type="dxa"/>
            <w:vAlign w:val="bottom"/>
          </w:tcPr>
          <w:p>
            <w:pPr>
              <w:ind w:left="220"/>
              <w:spacing w:after="0" w:line="162" w:lineRule="exact"/>
              <w:rPr>
                <w:sz w:val="20"/>
                <w:szCs w:val="20"/>
                <w:color w:val="auto"/>
              </w:rPr>
            </w:pPr>
            <w:r>
              <w:rPr>
                <w:rFonts w:ascii="Arial" w:cs="Arial" w:eastAsia="Arial" w:hAnsi="Arial"/>
                <w:sz w:val="15"/>
                <w:szCs w:val="15"/>
                <w:color w:val="262626"/>
              </w:rPr>
              <w:t>•  Instituted curbside pick-up throughout the portfolio to support operations of tenants and safety of their</w:t>
            </w:r>
          </w:p>
        </w:tc>
      </w:tr>
      <w:tr>
        <w:trPr>
          <w:trHeight w:val="165"/>
        </w:trPr>
        <w:tc>
          <w:tcPr>
            <w:tcW w:w="3420" w:type="dxa"/>
            <w:vAlign w:val="bottom"/>
            <w:tcBorders>
              <w:bottom w:val="single" w:sz="8" w:color="F73A25"/>
            </w:tcBorders>
            <w:shd w:val="clear" w:color="auto" w:fill="EAEFED"/>
          </w:tcPr>
          <w:p>
            <w:pPr>
              <w:spacing w:after="0"/>
              <w:rPr>
                <w:sz w:val="14"/>
                <w:szCs w:val="14"/>
                <w:color w:val="auto"/>
              </w:rPr>
            </w:pPr>
          </w:p>
        </w:tc>
        <w:tc>
          <w:tcPr>
            <w:tcW w:w="7600" w:type="dxa"/>
            <w:vAlign w:val="bottom"/>
            <w:tcBorders>
              <w:bottom w:val="single" w:sz="8" w:color="F73A25"/>
            </w:tcBorders>
          </w:tcPr>
          <w:p>
            <w:pPr>
              <w:ind w:left="440"/>
              <w:spacing w:after="0" w:line="166" w:lineRule="exact"/>
              <w:rPr>
                <w:sz w:val="20"/>
                <w:szCs w:val="20"/>
                <w:color w:val="auto"/>
              </w:rPr>
            </w:pPr>
            <w:r>
              <w:rPr>
                <w:rFonts w:ascii="Arial" w:cs="Arial" w:eastAsia="Arial" w:hAnsi="Arial"/>
                <w:sz w:val="15"/>
                <w:szCs w:val="15"/>
                <w:color w:val="262626"/>
              </w:rPr>
              <w:t>customers</w:t>
            </w:r>
          </w:p>
        </w:tc>
      </w:tr>
    </w:tbl>
    <w:p>
      <w:pPr>
        <w:spacing w:after="0" w:line="21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Based on these achievements and in consultation with our compensation consultant SBCG, the Committee exercised discretion in awarding partial bonuses notwithstanding the failure to meet the FFO targets set pre-COVID. The Committee determined that a bonus payout equal to 50% of the bonus target for Mr. Wood and a bonus payout equal to 75% of the bonus target for all of our other employees who participate in this plan, including our other NEOs, was appropriate and a reasonable link of pay to performance given the challenges the Company faced in 2020. The payout for Mr. Wood took into account his overall leadership during the pandemic and reflected the significant impact on Company performance. For Mr. Guglielmone, the Committee determined the bonus payout was appropriate given his work in ensuring sufficient liquidity for the Company to continue to operate effectively and for Ms. Becker, the Committee considered her work in addressing legal issues with tenants, advancing the Company’s environmental and social initiatives and relocating our corporate headquarters.</w:t>
      </w:r>
    </w:p>
    <w:p>
      <w:pPr>
        <w:spacing w:after="0" w:line="20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262626"/>
        </w:rPr>
        <w:t>Approximately 37% of the 268 participants in our annual bonus plan, including 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For 2020, Mr. Wood and Ms. Becker each elected to receive 25% of the bonus in Shares and Mr. Guglielmone elected to receive all of his annual bonus in cash. The cash portion of the 2020 annual bonuses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262626"/>
        </w:rPr>
        <w:t>Long-Term Incentive Plan</w:t>
      </w:r>
    </w:p>
    <w:p>
      <w:pPr>
        <w:spacing w:after="0" w:line="23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The largest portion of compensation for our NEOs comes from our equity based long-term incentive plan. This plan aligns the interests of our NEOs with shareholders by incentivizing our NEOs to identify and accomplish longer-term business objectives that generate value through Share price appreciation and dividend growth. Key aspects of the program are:</w:t>
      </w:r>
    </w:p>
    <w:p>
      <w:pPr>
        <w:spacing w:after="0" w:line="230" w:lineRule="exact"/>
        <w:rPr>
          <w:sz w:val="20"/>
          <w:szCs w:val="20"/>
          <w:color w:val="auto"/>
        </w:rPr>
      </w:pPr>
    </w:p>
    <w:p>
      <w:pPr>
        <w:ind w:left="1120" w:right="20" w:hanging="1004"/>
        <w:spacing w:after="0" w:line="246" w:lineRule="auto"/>
        <w:tabs>
          <w:tab w:leader="none" w:pos="1120" w:val="left"/>
        </w:tabs>
        <w:numPr>
          <w:ilvl w:val="0"/>
          <w:numId w:val="21"/>
        </w:numPr>
        <w:rPr>
          <w:rFonts w:ascii="MS PGothic" w:cs="MS PGothic" w:eastAsia="MS PGothic" w:hAnsi="MS PGothic"/>
          <w:sz w:val="18"/>
          <w:szCs w:val="18"/>
          <w:color w:val="F73A25"/>
        </w:rPr>
      </w:pPr>
      <w:r>
        <w:rPr>
          <w:rFonts w:ascii="Arial" w:cs="Arial" w:eastAsia="Arial" w:hAnsi="Arial"/>
          <w:sz w:val="18"/>
          <w:szCs w:val="18"/>
          <w:color w:val="262626"/>
        </w:rPr>
        <w:t>Performance measured over a 3-year period with additional vesting requirements so that NEOs do not realize full value of awards until 6 to 8 years after beginning of the performance period</w:t>
      </w:r>
    </w:p>
    <w:p>
      <w:pPr>
        <w:spacing w:after="0" w:line="200" w:lineRule="exact"/>
        <w:rPr>
          <w:rFonts w:ascii="MS PGothic" w:cs="MS PGothic" w:eastAsia="MS PGothic" w:hAnsi="MS PGothic"/>
          <w:sz w:val="18"/>
          <w:szCs w:val="18"/>
          <w:color w:val="F73A25"/>
        </w:rPr>
      </w:pPr>
    </w:p>
    <w:p>
      <w:pPr>
        <w:spacing w:after="0" w:line="200" w:lineRule="exact"/>
        <w:rPr>
          <w:rFonts w:ascii="MS PGothic" w:cs="MS PGothic" w:eastAsia="MS PGothic" w:hAnsi="MS PGothic"/>
          <w:sz w:val="18"/>
          <w:szCs w:val="18"/>
          <w:color w:val="F73A25"/>
        </w:rPr>
      </w:pPr>
    </w:p>
    <w:p>
      <w:pPr>
        <w:spacing w:after="0" w:line="200" w:lineRule="exact"/>
        <w:rPr>
          <w:rFonts w:ascii="MS PGothic" w:cs="MS PGothic" w:eastAsia="MS PGothic" w:hAnsi="MS PGothic"/>
          <w:sz w:val="18"/>
          <w:szCs w:val="18"/>
          <w:color w:val="F73A25"/>
        </w:rPr>
      </w:pPr>
    </w:p>
    <w:p>
      <w:pPr>
        <w:spacing w:after="0" w:line="200" w:lineRule="exact"/>
        <w:rPr>
          <w:rFonts w:ascii="MS PGothic" w:cs="MS PGothic" w:eastAsia="MS PGothic" w:hAnsi="MS PGothic"/>
          <w:sz w:val="18"/>
          <w:szCs w:val="18"/>
          <w:color w:val="F73A25"/>
        </w:rPr>
      </w:pPr>
    </w:p>
    <w:p>
      <w:pPr>
        <w:spacing w:after="0" w:line="200" w:lineRule="exact"/>
        <w:rPr>
          <w:rFonts w:ascii="MS PGothic" w:cs="MS PGothic" w:eastAsia="MS PGothic" w:hAnsi="MS PGothic"/>
          <w:sz w:val="18"/>
          <w:szCs w:val="18"/>
          <w:color w:val="F73A25"/>
        </w:rPr>
      </w:pPr>
    </w:p>
    <w:p>
      <w:pPr>
        <w:spacing w:after="0" w:line="200" w:lineRule="exact"/>
        <w:rPr>
          <w:rFonts w:ascii="MS PGothic" w:cs="MS PGothic" w:eastAsia="MS PGothic" w:hAnsi="MS PGothic"/>
          <w:sz w:val="18"/>
          <w:szCs w:val="18"/>
          <w:color w:val="F73A25"/>
        </w:rPr>
      </w:pPr>
    </w:p>
    <w:p>
      <w:pPr>
        <w:spacing w:after="0" w:line="333" w:lineRule="exact"/>
        <w:rPr>
          <w:rFonts w:ascii="MS PGothic" w:cs="MS PGothic" w:eastAsia="MS PGothic" w:hAnsi="MS PGothic"/>
          <w:sz w:val="18"/>
          <w:szCs w:val="18"/>
          <w:color w:val="F73A25"/>
        </w:rPr>
      </w:pPr>
    </w:p>
    <w:p>
      <w:pPr>
        <w:ind w:left="1120" w:right="20" w:hanging="1004"/>
        <w:spacing w:after="0" w:line="242" w:lineRule="auto"/>
        <w:tabs>
          <w:tab w:leader="none" w:pos="1120" w:val="left"/>
        </w:tabs>
        <w:numPr>
          <w:ilvl w:val="0"/>
          <w:numId w:val="21"/>
        </w:numPr>
        <w:rPr>
          <w:rFonts w:ascii="MS PGothic" w:cs="MS PGothic" w:eastAsia="MS PGothic" w:hAnsi="MS PGothic"/>
          <w:sz w:val="18"/>
          <w:szCs w:val="18"/>
          <w:color w:val="F73A25"/>
        </w:rPr>
      </w:pPr>
      <w:r>
        <w:rPr>
          <w:rFonts w:ascii="Arial" w:cs="Arial" w:eastAsia="Arial" w:hAnsi="Arial"/>
          <w:sz w:val="18"/>
          <w:szCs w:val="18"/>
          <w:color w:val="262626"/>
        </w:rPr>
        <w:t>No Shares or options are issued until the performance period has ended and the level of performance achievement has been finally determined</w:t>
      </w:r>
    </w:p>
    <w:p>
      <w:pPr>
        <w:spacing w:after="0" w:line="1" w:lineRule="exact"/>
        <w:rPr>
          <w:rFonts w:ascii="MS PGothic" w:cs="MS PGothic" w:eastAsia="MS PGothic" w:hAnsi="MS PGothic"/>
          <w:sz w:val="18"/>
          <w:szCs w:val="18"/>
          <w:color w:val="F73A25"/>
        </w:rPr>
      </w:pPr>
    </w:p>
    <w:p>
      <w:pPr>
        <w:ind w:left="1120" w:hanging="1004"/>
        <w:spacing w:after="0" w:line="234" w:lineRule="auto"/>
        <w:tabs>
          <w:tab w:leader="none" w:pos="1120" w:val="left"/>
        </w:tabs>
        <w:numPr>
          <w:ilvl w:val="0"/>
          <w:numId w:val="21"/>
        </w:numPr>
        <w:rPr>
          <w:rFonts w:ascii="MS PGothic" w:cs="MS PGothic" w:eastAsia="MS PGothic" w:hAnsi="MS PGothic"/>
          <w:sz w:val="18"/>
          <w:szCs w:val="18"/>
          <w:color w:val="F73A25"/>
        </w:rPr>
      </w:pPr>
      <w:r>
        <w:rPr>
          <w:rFonts w:ascii="Arial" w:cs="Arial" w:eastAsia="Arial" w:hAnsi="Arial"/>
          <w:sz w:val="18"/>
          <w:szCs w:val="18"/>
          <w:color w:val="262626"/>
        </w:rPr>
        <w:t>Performance metrics are designed to reward creation of long-term value</w:t>
      </w:r>
    </w:p>
    <w:p>
      <w:pPr>
        <w:jc w:val="both"/>
        <w:ind w:left="1120" w:right="20" w:hanging="1004"/>
        <w:spacing w:after="0" w:line="234" w:lineRule="auto"/>
        <w:tabs>
          <w:tab w:leader="none" w:pos="1120" w:val="left"/>
        </w:tabs>
        <w:numPr>
          <w:ilvl w:val="0"/>
          <w:numId w:val="21"/>
        </w:numPr>
        <w:rPr>
          <w:rFonts w:ascii="MS PGothic" w:cs="MS PGothic" w:eastAsia="MS PGothic" w:hAnsi="MS PGothic"/>
          <w:sz w:val="18"/>
          <w:szCs w:val="18"/>
          <w:color w:val="F73A25"/>
        </w:rPr>
      </w:pPr>
      <w:r>
        <w:rPr>
          <w:rFonts w:ascii="Arial" w:cs="Arial" w:eastAsia="Arial" w:hAnsi="Arial"/>
          <w:sz w:val="18"/>
          <w:szCs w:val="18"/>
          <w:color w:val="262626"/>
        </w:rPr>
        <w:t>Paid in the form of restricted Shares; however, recipients can choose to take up to 50% of the award in the form of options to best accomplish his/her own financial planning objectives. The Compensation Committee believes the value of that personal choice outweighs any diminution in retention value from the granting of options in lieu of Shares. Each of our NEOs elected have the entire amount of the award for the performance period ending in 2020 paid in the form of restricted Shares</w:t>
      </w:r>
    </w:p>
    <w:p>
      <w:pPr>
        <w:spacing w:after="0" w:line="2" w:lineRule="exact"/>
        <w:rPr>
          <w:rFonts w:ascii="MS PGothic" w:cs="MS PGothic" w:eastAsia="MS PGothic" w:hAnsi="MS PGothic"/>
          <w:sz w:val="18"/>
          <w:szCs w:val="18"/>
          <w:color w:val="F73A25"/>
        </w:rPr>
      </w:pPr>
    </w:p>
    <w:p>
      <w:pPr>
        <w:ind w:left="1120" w:right="20" w:hanging="1004"/>
        <w:spacing w:after="0" w:line="246" w:lineRule="auto"/>
        <w:tabs>
          <w:tab w:leader="none" w:pos="1120" w:val="left"/>
        </w:tabs>
        <w:numPr>
          <w:ilvl w:val="0"/>
          <w:numId w:val="21"/>
        </w:numPr>
        <w:rPr>
          <w:rFonts w:ascii="MS PGothic" w:cs="MS PGothic" w:eastAsia="MS PGothic" w:hAnsi="MS PGothic"/>
          <w:sz w:val="18"/>
          <w:szCs w:val="18"/>
          <w:color w:val="F73A25"/>
        </w:rPr>
      </w:pPr>
      <w:r>
        <w:rPr>
          <w:rFonts w:ascii="Arial" w:cs="Arial" w:eastAsia="Arial" w:hAnsi="Arial"/>
          <w:sz w:val="18"/>
          <w:szCs w:val="18"/>
          <w:color w:val="262626"/>
        </w:rPr>
        <w:t>Compensation Committee has the discretion to increase or decrease awards by up to 20% to reflect individual performance. No adjustments were made to the awards for our NEOs for the current performance period that ended in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-2008505</wp:posOffset>
            </wp:positionV>
            <wp:extent cx="3874770" cy="754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4770" cy="754380"/>
                    </a:xfrm>
                    <a:prstGeom prst="rect">
                      <a:avLst/>
                    </a:prstGeom>
                    <a:noFill/>
                  </pic:spPr>
                </pic:pic>
              </a:graphicData>
            </a:graphic>
          </wp:anchor>
        </w:drawing>
      </w:r>
    </w:p>
    <w:p>
      <w:pPr>
        <w:spacing w:after="0" w:line="17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The metrics under our long-term incentive plan for the performance period from 2018 through 2020, together with their weighting under our plan and the payouts at various levels of performance are shown in the following chart.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420" w:type="dxa"/>
            <w:vAlign w:val="bottom"/>
            <w:vMerge w:val="restart"/>
          </w:tcPr>
          <w:p>
            <w:pPr>
              <w:spacing w:after="0"/>
              <w:rPr>
                <w:sz w:val="20"/>
                <w:szCs w:val="20"/>
                <w:color w:val="auto"/>
              </w:rPr>
            </w:pPr>
            <w:r>
              <w:rPr>
                <w:rFonts w:ascii="Arial" w:cs="Arial" w:eastAsia="Arial" w:hAnsi="Arial"/>
                <w:sz w:val="18"/>
                <w:szCs w:val="18"/>
                <w:color w:val="F73A25"/>
              </w:rPr>
              <w:t>Metric</w:t>
            </w:r>
          </w:p>
        </w:tc>
        <w:tc>
          <w:tcPr>
            <w:tcW w:w="1560" w:type="dxa"/>
            <w:vAlign w:val="bottom"/>
            <w:tcBorders>
              <w:bottom w:val="single" w:sz="8" w:color="262626"/>
            </w:tcBorders>
          </w:tcPr>
          <w:p>
            <w:pPr>
              <w:jc w:val="center"/>
              <w:spacing w:after="0"/>
              <w:rPr>
                <w:sz w:val="20"/>
                <w:szCs w:val="20"/>
                <w:color w:val="auto"/>
              </w:rPr>
            </w:pPr>
            <w:r>
              <w:rPr>
                <w:rFonts w:ascii="Arial" w:cs="Arial" w:eastAsia="Arial" w:hAnsi="Arial"/>
                <w:sz w:val="18"/>
                <w:szCs w:val="18"/>
                <w:color w:val="F73A25"/>
                <w:w w:val="99"/>
              </w:rPr>
              <w:t>Payout Level</w:t>
            </w:r>
          </w:p>
        </w:tc>
        <w:tc>
          <w:tcPr>
            <w:tcW w:w="1400" w:type="dxa"/>
            <w:vAlign w:val="bottom"/>
            <w:tcBorders>
              <w:bottom w:val="single" w:sz="8" w:color="262626"/>
            </w:tcBorders>
          </w:tcPr>
          <w:p>
            <w:pPr>
              <w:jc w:val="right"/>
              <w:ind w:right="170"/>
              <w:spacing w:after="0"/>
              <w:rPr>
                <w:sz w:val="20"/>
                <w:szCs w:val="20"/>
                <w:color w:val="auto"/>
              </w:rPr>
            </w:pPr>
            <w:r>
              <w:rPr>
                <w:rFonts w:ascii="Arial" w:cs="Arial" w:eastAsia="Arial" w:hAnsi="Arial"/>
                <w:sz w:val="18"/>
                <w:szCs w:val="18"/>
                <w:color w:val="F73A25"/>
              </w:rPr>
              <w:t>50%</w:t>
            </w:r>
          </w:p>
        </w:tc>
        <w:tc>
          <w:tcPr>
            <w:tcW w:w="1520" w:type="dxa"/>
            <w:vAlign w:val="bottom"/>
            <w:tcBorders>
              <w:bottom w:val="single" w:sz="8" w:color="262626"/>
            </w:tcBorders>
          </w:tcPr>
          <w:p>
            <w:pPr>
              <w:jc w:val="right"/>
              <w:ind w:right="170"/>
              <w:spacing w:after="0"/>
              <w:rPr>
                <w:sz w:val="20"/>
                <w:szCs w:val="20"/>
                <w:color w:val="auto"/>
              </w:rPr>
            </w:pPr>
            <w:r>
              <w:rPr>
                <w:rFonts w:ascii="Arial" w:cs="Arial" w:eastAsia="Arial" w:hAnsi="Arial"/>
                <w:sz w:val="18"/>
                <w:szCs w:val="18"/>
                <w:color w:val="F73A25"/>
              </w:rPr>
              <w:t>100%</w:t>
            </w:r>
          </w:p>
        </w:tc>
        <w:tc>
          <w:tcPr>
            <w:tcW w:w="1340" w:type="dxa"/>
            <w:vAlign w:val="bottom"/>
            <w:tcBorders>
              <w:bottom w:val="single" w:sz="8" w:color="262626"/>
            </w:tcBorders>
          </w:tcPr>
          <w:p>
            <w:pPr>
              <w:jc w:val="right"/>
              <w:spacing w:after="0"/>
              <w:rPr>
                <w:sz w:val="20"/>
                <w:szCs w:val="20"/>
                <w:color w:val="auto"/>
              </w:rPr>
            </w:pPr>
            <w:r>
              <w:rPr>
                <w:rFonts w:ascii="Arial" w:cs="Arial" w:eastAsia="Arial" w:hAnsi="Arial"/>
                <w:sz w:val="18"/>
                <w:szCs w:val="18"/>
                <w:color w:val="F73A25"/>
              </w:rPr>
              <w:t>150%</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262626"/>
            </w:tcBorders>
            <w:vMerge w:val="continue"/>
          </w:tcPr>
          <w:p>
            <w:pPr>
              <w:spacing w:after="0"/>
              <w:rPr>
                <w:sz w:val="17"/>
                <w:szCs w:val="17"/>
                <w:color w:val="auto"/>
              </w:rPr>
            </w:pPr>
          </w:p>
        </w:tc>
        <w:tc>
          <w:tcPr>
            <w:tcW w:w="1560" w:type="dxa"/>
            <w:vAlign w:val="bottom"/>
            <w:tcBorders>
              <w:bottom w:val="single" w:sz="8" w:color="262626"/>
            </w:tcBorders>
          </w:tcPr>
          <w:p>
            <w:pPr>
              <w:ind w:left="260"/>
              <w:spacing w:after="0" w:line="196" w:lineRule="exact"/>
              <w:rPr>
                <w:sz w:val="20"/>
                <w:szCs w:val="20"/>
                <w:color w:val="auto"/>
              </w:rPr>
            </w:pPr>
            <w:r>
              <w:rPr>
                <w:rFonts w:ascii="Arial" w:cs="Arial" w:eastAsia="Arial" w:hAnsi="Arial"/>
                <w:sz w:val="18"/>
                <w:szCs w:val="18"/>
                <w:color w:val="F73A25"/>
              </w:rPr>
              <w:t>Weighting</w:t>
            </w:r>
          </w:p>
        </w:tc>
        <w:tc>
          <w:tcPr>
            <w:tcW w:w="1400" w:type="dxa"/>
            <w:vAlign w:val="bottom"/>
            <w:tcBorders>
              <w:bottom w:val="single" w:sz="8" w:color="262626"/>
            </w:tcBorders>
          </w:tcPr>
          <w:p>
            <w:pPr>
              <w:jc w:val="right"/>
              <w:ind w:right="170"/>
              <w:spacing w:after="0" w:line="196" w:lineRule="exact"/>
              <w:rPr>
                <w:sz w:val="20"/>
                <w:szCs w:val="20"/>
                <w:color w:val="auto"/>
              </w:rPr>
            </w:pPr>
            <w:r>
              <w:rPr>
                <w:rFonts w:ascii="Arial" w:cs="Arial" w:eastAsia="Arial" w:hAnsi="Arial"/>
                <w:sz w:val="18"/>
                <w:szCs w:val="18"/>
                <w:color w:val="F73A25"/>
              </w:rPr>
              <w:t>Threshold</w:t>
            </w:r>
          </w:p>
        </w:tc>
        <w:tc>
          <w:tcPr>
            <w:tcW w:w="1520" w:type="dxa"/>
            <w:vAlign w:val="bottom"/>
            <w:tcBorders>
              <w:bottom w:val="single" w:sz="8" w:color="262626"/>
            </w:tcBorders>
          </w:tcPr>
          <w:p>
            <w:pPr>
              <w:jc w:val="right"/>
              <w:ind w:right="170"/>
              <w:spacing w:after="0" w:line="196" w:lineRule="exact"/>
              <w:rPr>
                <w:sz w:val="20"/>
                <w:szCs w:val="20"/>
                <w:color w:val="auto"/>
              </w:rPr>
            </w:pPr>
            <w:r>
              <w:rPr>
                <w:rFonts w:ascii="Arial" w:cs="Arial" w:eastAsia="Arial" w:hAnsi="Arial"/>
                <w:sz w:val="18"/>
                <w:szCs w:val="18"/>
                <w:color w:val="F73A25"/>
              </w:rPr>
              <w:t>Target</w:t>
            </w:r>
          </w:p>
        </w:tc>
        <w:tc>
          <w:tcPr>
            <w:tcW w:w="1340" w:type="dxa"/>
            <w:vAlign w:val="bottom"/>
            <w:tcBorders>
              <w:bottom w:val="single" w:sz="8" w:color="262626"/>
            </w:tcBorders>
          </w:tcPr>
          <w:p>
            <w:pPr>
              <w:jc w:val="right"/>
              <w:spacing w:after="0" w:line="196" w:lineRule="exact"/>
              <w:rPr>
                <w:sz w:val="20"/>
                <w:szCs w:val="20"/>
                <w:color w:val="auto"/>
              </w:rPr>
            </w:pPr>
            <w:r>
              <w:rPr>
                <w:rFonts w:ascii="Arial" w:cs="Arial" w:eastAsia="Arial" w:hAnsi="Arial"/>
                <w:sz w:val="18"/>
                <w:szCs w:val="18"/>
                <w:color w:val="F73A25"/>
              </w:rPr>
              <w:t>Stretch</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20"/>
                <w:szCs w:val="20"/>
                <w:color w:val="auto"/>
              </w:rPr>
            </w:pPr>
            <w:r>
              <w:rPr>
                <w:rFonts w:ascii="Arial" w:cs="Arial" w:eastAsia="Arial" w:hAnsi="Arial"/>
                <w:sz w:val="18"/>
                <w:szCs w:val="18"/>
                <w:color w:val="262626"/>
              </w:rPr>
              <w:t>Relative Total Return</w:t>
            </w:r>
          </w:p>
        </w:tc>
        <w:tc>
          <w:tcPr>
            <w:tcW w:w="1560" w:type="dxa"/>
            <w:vAlign w:val="bottom"/>
          </w:tcPr>
          <w:p>
            <w:pPr>
              <w:jc w:val="center"/>
              <w:spacing w:after="0"/>
              <w:rPr>
                <w:sz w:val="20"/>
                <w:szCs w:val="20"/>
                <w:color w:val="auto"/>
              </w:rPr>
            </w:pPr>
            <w:r>
              <w:rPr>
                <w:rFonts w:ascii="Arial" w:cs="Arial" w:eastAsia="Arial" w:hAnsi="Arial"/>
                <w:sz w:val="18"/>
                <w:szCs w:val="18"/>
                <w:color w:val="262626"/>
                <w:w w:val="99"/>
              </w:rPr>
              <w:t>34%</w:t>
            </w:r>
          </w:p>
        </w:tc>
        <w:tc>
          <w:tcPr>
            <w:tcW w:w="1400" w:type="dxa"/>
            <w:vAlign w:val="bottom"/>
          </w:tcPr>
          <w:p>
            <w:pPr>
              <w:jc w:val="right"/>
              <w:ind w:right="170"/>
              <w:spacing w:after="0"/>
              <w:rPr>
                <w:sz w:val="20"/>
                <w:szCs w:val="20"/>
                <w:color w:val="auto"/>
              </w:rPr>
            </w:pPr>
            <w:r>
              <w:rPr>
                <w:rFonts w:ascii="Arial" w:cs="Arial" w:eastAsia="Arial" w:hAnsi="Arial"/>
                <w:sz w:val="18"/>
                <w:szCs w:val="18"/>
                <w:color w:val="262626"/>
              </w:rPr>
              <w:t>Index - 5%</w:t>
            </w:r>
          </w:p>
        </w:tc>
        <w:tc>
          <w:tcPr>
            <w:tcW w:w="1520" w:type="dxa"/>
            <w:vAlign w:val="bottom"/>
          </w:tcPr>
          <w:p>
            <w:pPr>
              <w:jc w:val="right"/>
              <w:ind w:right="170"/>
              <w:spacing w:after="0"/>
              <w:rPr>
                <w:sz w:val="20"/>
                <w:szCs w:val="20"/>
                <w:color w:val="auto"/>
              </w:rPr>
            </w:pPr>
            <w:r>
              <w:rPr>
                <w:rFonts w:ascii="Arial" w:cs="Arial" w:eastAsia="Arial" w:hAnsi="Arial"/>
                <w:sz w:val="18"/>
                <w:szCs w:val="18"/>
                <w:color w:val="262626"/>
              </w:rPr>
              <w:t>Index</w:t>
            </w:r>
          </w:p>
        </w:tc>
        <w:tc>
          <w:tcPr>
            <w:tcW w:w="1340" w:type="dxa"/>
            <w:vAlign w:val="bottom"/>
          </w:tcPr>
          <w:p>
            <w:pPr>
              <w:jc w:val="right"/>
              <w:spacing w:after="0"/>
              <w:rPr>
                <w:sz w:val="20"/>
                <w:szCs w:val="20"/>
                <w:color w:val="auto"/>
              </w:rPr>
            </w:pPr>
            <w:r>
              <w:rPr>
                <w:rFonts w:ascii="Arial" w:cs="Arial" w:eastAsia="Arial" w:hAnsi="Arial"/>
                <w:sz w:val="18"/>
                <w:szCs w:val="18"/>
                <w:color w:val="262626"/>
              </w:rPr>
              <w:t>Index + 5%</w:t>
            </w:r>
          </w:p>
        </w:tc>
        <w:tc>
          <w:tcPr>
            <w:tcW w:w="0" w:type="dxa"/>
            <w:vAlign w:val="bottom"/>
          </w:tcPr>
          <w:p>
            <w:pPr>
              <w:spacing w:after="0"/>
              <w:rPr>
                <w:sz w:val="1"/>
                <w:szCs w:val="1"/>
                <w:color w:val="auto"/>
              </w:rPr>
            </w:pPr>
          </w:p>
        </w:tc>
      </w:tr>
      <w:tr>
        <w:trPr>
          <w:trHeight w:val="295"/>
        </w:trPr>
        <w:tc>
          <w:tcPr>
            <w:tcW w:w="3420" w:type="dxa"/>
            <w:vAlign w:val="bottom"/>
          </w:tcPr>
          <w:p>
            <w:pPr>
              <w:spacing w:after="0"/>
              <w:rPr>
                <w:sz w:val="20"/>
                <w:szCs w:val="20"/>
                <w:color w:val="auto"/>
              </w:rPr>
            </w:pPr>
            <w:r>
              <w:rPr>
                <w:rFonts w:ascii="Arial" w:cs="Arial" w:eastAsia="Arial" w:hAnsi="Arial"/>
                <w:sz w:val="18"/>
                <w:szCs w:val="18"/>
                <w:color w:val="262626"/>
              </w:rPr>
              <w:t>FFO Multiple Premium</w:t>
            </w:r>
          </w:p>
        </w:tc>
        <w:tc>
          <w:tcPr>
            <w:tcW w:w="1560" w:type="dxa"/>
            <w:vAlign w:val="bottom"/>
          </w:tcPr>
          <w:p>
            <w:pPr>
              <w:jc w:val="center"/>
              <w:spacing w:after="0"/>
              <w:rPr>
                <w:sz w:val="20"/>
                <w:szCs w:val="20"/>
                <w:color w:val="auto"/>
              </w:rPr>
            </w:pPr>
            <w:r>
              <w:rPr>
                <w:rFonts w:ascii="Arial" w:cs="Arial" w:eastAsia="Arial" w:hAnsi="Arial"/>
                <w:sz w:val="18"/>
                <w:szCs w:val="18"/>
                <w:color w:val="262626"/>
                <w:w w:val="99"/>
              </w:rPr>
              <w:t>33%</w:t>
            </w:r>
          </w:p>
        </w:tc>
        <w:tc>
          <w:tcPr>
            <w:tcW w:w="1400" w:type="dxa"/>
            <w:vAlign w:val="bottom"/>
          </w:tcPr>
          <w:p>
            <w:pPr>
              <w:jc w:val="right"/>
              <w:ind w:right="170"/>
              <w:spacing w:after="0"/>
              <w:rPr>
                <w:sz w:val="20"/>
                <w:szCs w:val="20"/>
                <w:color w:val="auto"/>
              </w:rPr>
            </w:pPr>
            <w:r>
              <w:rPr>
                <w:rFonts w:ascii="Arial" w:cs="Arial" w:eastAsia="Arial" w:hAnsi="Arial"/>
                <w:sz w:val="18"/>
                <w:szCs w:val="18"/>
                <w:color w:val="262626"/>
              </w:rPr>
              <w:t>At least 5%</w:t>
            </w:r>
          </w:p>
        </w:tc>
        <w:tc>
          <w:tcPr>
            <w:tcW w:w="1520" w:type="dxa"/>
            <w:vAlign w:val="bottom"/>
          </w:tcPr>
          <w:p>
            <w:pPr>
              <w:jc w:val="right"/>
              <w:ind w:right="170"/>
              <w:spacing w:after="0"/>
              <w:rPr>
                <w:sz w:val="20"/>
                <w:szCs w:val="20"/>
                <w:color w:val="auto"/>
              </w:rPr>
            </w:pPr>
            <w:r>
              <w:rPr>
                <w:rFonts w:ascii="Arial" w:cs="Arial" w:eastAsia="Arial" w:hAnsi="Arial"/>
                <w:sz w:val="18"/>
                <w:szCs w:val="18"/>
                <w:color w:val="262626"/>
              </w:rPr>
              <w:t>At least 15%</w:t>
            </w:r>
          </w:p>
        </w:tc>
        <w:tc>
          <w:tcPr>
            <w:tcW w:w="1340" w:type="dxa"/>
            <w:vAlign w:val="bottom"/>
          </w:tcPr>
          <w:p>
            <w:pPr>
              <w:jc w:val="right"/>
              <w:spacing w:after="0"/>
              <w:rPr>
                <w:sz w:val="20"/>
                <w:szCs w:val="20"/>
                <w:color w:val="auto"/>
              </w:rPr>
            </w:pPr>
            <w:r>
              <w:rPr>
                <w:rFonts w:ascii="Arial" w:cs="Arial" w:eastAsia="Arial" w:hAnsi="Arial"/>
                <w:sz w:val="18"/>
                <w:szCs w:val="18"/>
                <w:color w:val="262626"/>
              </w:rPr>
              <w:t>At least 20%</w:t>
            </w:r>
          </w:p>
        </w:tc>
        <w:tc>
          <w:tcPr>
            <w:tcW w:w="0" w:type="dxa"/>
            <w:vAlign w:val="bottom"/>
          </w:tcPr>
          <w:p>
            <w:pPr>
              <w:spacing w:after="0"/>
              <w:rPr>
                <w:sz w:val="1"/>
                <w:szCs w:val="1"/>
                <w:color w:val="auto"/>
              </w:rPr>
            </w:pPr>
          </w:p>
        </w:tc>
      </w:tr>
      <w:tr>
        <w:trPr>
          <w:trHeight w:val="257"/>
        </w:trPr>
        <w:tc>
          <w:tcPr>
            <w:tcW w:w="3420" w:type="dxa"/>
            <w:vAlign w:val="bottom"/>
          </w:tcPr>
          <w:p>
            <w:pPr>
              <w:spacing w:after="0"/>
              <w:rPr>
                <w:sz w:val="20"/>
                <w:szCs w:val="20"/>
                <w:color w:val="auto"/>
              </w:rPr>
            </w:pPr>
            <w:r>
              <w:rPr>
                <w:rFonts w:ascii="Arial" w:cs="Arial" w:eastAsia="Arial" w:hAnsi="Arial"/>
                <w:sz w:val="18"/>
                <w:szCs w:val="18"/>
                <w:color w:val="262626"/>
              </w:rPr>
              <w:t>Return on Invested Capital</w:t>
            </w:r>
          </w:p>
        </w:tc>
        <w:tc>
          <w:tcPr>
            <w:tcW w:w="1560" w:type="dxa"/>
            <w:vAlign w:val="bottom"/>
          </w:tcPr>
          <w:p>
            <w:pPr>
              <w:jc w:val="center"/>
              <w:spacing w:after="0"/>
              <w:rPr>
                <w:sz w:val="20"/>
                <w:szCs w:val="20"/>
                <w:color w:val="auto"/>
              </w:rPr>
            </w:pPr>
            <w:r>
              <w:rPr>
                <w:rFonts w:ascii="Arial" w:cs="Arial" w:eastAsia="Arial" w:hAnsi="Arial"/>
                <w:sz w:val="18"/>
                <w:szCs w:val="18"/>
                <w:color w:val="262626"/>
                <w:w w:val="99"/>
              </w:rPr>
              <w:t>33%</w:t>
            </w:r>
          </w:p>
        </w:tc>
        <w:tc>
          <w:tcPr>
            <w:tcW w:w="1400" w:type="dxa"/>
            <w:vAlign w:val="bottom"/>
          </w:tcPr>
          <w:p>
            <w:pPr>
              <w:jc w:val="right"/>
              <w:ind w:right="170"/>
              <w:spacing w:after="0"/>
              <w:rPr>
                <w:sz w:val="20"/>
                <w:szCs w:val="20"/>
                <w:color w:val="auto"/>
              </w:rPr>
            </w:pPr>
            <w:r>
              <w:rPr>
                <w:rFonts w:ascii="Arial" w:cs="Arial" w:eastAsia="Arial" w:hAnsi="Arial"/>
                <w:sz w:val="18"/>
                <w:szCs w:val="18"/>
                <w:color w:val="262626"/>
              </w:rPr>
              <w:t>7.00%</w:t>
            </w:r>
          </w:p>
        </w:tc>
        <w:tc>
          <w:tcPr>
            <w:tcW w:w="1520" w:type="dxa"/>
            <w:vAlign w:val="bottom"/>
          </w:tcPr>
          <w:p>
            <w:pPr>
              <w:jc w:val="right"/>
              <w:ind w:right="170"/>
              <w:spacing w:after="0"/>
              <w:rPr>
                <w:sz w:val="20"/>
                <w:szCs w:val="20"/>
                <w:color w:val="auto"/>
              </w:rPr>
            </w:pPr>
            <w:r>
              <w:rPr>
                <w:rFonts w:ascii="Arial" w:cs="Arial" w:eastAsia="Arial" w:hAnsi="Arial"/>
                <w:sz w:val="18"/>
                <w:szCs w:val="18"/>
                <w:color w:val="262626"/>
              </w:rPr>
              <w:t>7.25%</w:t>
            </w:r>
          </w:p>
        </w:tc>
        <w:tc>
          <w:tcPr>
            <w:tcW w:w="1340" w:type="dxa"/>
            <w:vAlign w:val="bottom"/>
          </w:tcPr>
          <w:p>
            <w:pPr>
              <w:jc w:val="right"/>
              <w:spacing w:after="0"/>
              <w:rPr>
                <w:sz w:val="20"/>
                <w:szCs w:val="20"/>
                <w:color w:val="auto"/>
              </w:rPr>
            </w:pPr>
            <w:r>
              <w:rPr>
                <w:rFonts w:ascii="Arial" w:cs="Arial" w:eastAsia="Arial" w:hAnsi="Arial"/>
                <w:sz w:val="18"/>
                <w:szCs w:val="18"/>
                <w:color w:val="262626"/>
              </w:rPr>
              <w:t>7.50%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20"/>
        <w:spacing w:after="0"/>
        <w:rPr>
          <w:sz w:val="20"/>
          <w:szCs w:val="20"/>
          <w:color w:val="auto"/>
        </w:rPr>
      </w:pPr>
      <w:r>
        <w:rPr>
          <w:rFonts w:ascii="Arial" w:cs="Arial" w:eastAsia="Arial" w:hAnsi="Arial"/>
          <w:sz w:val="15"/>
          <w:szCs w:val="15"/>
          <w:color w:val="262626"/>
        </w:rPr>
        <w:t>Interpolation is used to determine the payout percentages for results that fall between the performance levels shown</w:t>
      </w:r>
    </w:p>
    <w:p>
      <w:pPr>
        <w:spacing w:after="0" w:line="20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i w:val="1"/>
          <w:iCs w:val="1"/>
          <w:color w:val="262626"/>
        </w:rPr>
        <w:t xml:space="preserve">Relative Total Return: </w:t>
      </w:r>
      <w:r>
        <w:rPr>
          <w:rFonts w:ascii="Arial" w:cs="Arial" w:eastAsia="Arial" w:hAnsi="Arial"/>
          <w:sz w:val="18"/>
          <w:szCs w:val="18"/>
          <w:color w:val="262626"/>
        </w:rPr>
        <w:t>Directly aligns our compensation program with shareholder interests. This metric compares our total shareholder</w:t>
      </w:r>
      <w:r>
        <w:rPr>
          <w:rFonts w:ascii="Arial" w:cs="Arial" w:eastAsia="Arial" w:hAnsi="Arial"/>
          <w:sz w:val="18"/>
          <w:szCs w:val="18"/>
          <w:i w:val="1"/>
          <w:iCs w:val="1"/>
          <w:color w:val="262626"/>
        </w:rPr>
        <w:t xml:space="preserve"> </w:t>
      </w:r>
      <w:r>
        <w:rPr>
          <w:rFonts w:ascii="Arial" w:cs="Arial" w:eastAsia="Arial" w:hAnsi="Arial"/>
          <w:sz w:val="18"/>
          <w:szCs w:val="18"/>
          <w:color w:val="262626"/>
        </w:rPr>
        <w:t>return, taking into account Share price appreciation and assuming reinvestment of dividends, against the total return achieved by the Bloomberg REIT Shopping Center index (“BBRESHOP”) as a whole. The BBRESHOP is comprised of companies that own and operate open air shopping centers whose businesses are most closely aligned with ours and face the same general market dynamics. The Compensation Committee believes this metric is an appropriate reflection of the performance comparison used by investors when considering investment choices in public shopping center companies and that the BBRESHOP is the best index to use for this comparison.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8"/>
          <w:szCs w:val="18"/>
          <w:i w:val="1"/>
          <w:iCs w:val="1"/>
          <w:color w:val="262626"/>
        </w:rPr>
        <w:t xml:space="preserve">FFO Multiple Premium: </w:t>
      </w:r>
      <w:r>
        <w:rPr>
          <w:rFonts w:ascii="Arial" w:cs="Arial" w:eastAsia="Arial" w:hAnsi="Arial"/>
          <w:sz w:val="18"/>
          <w:szCs w:val="18"/>
          <w:color w:val="262626"/>
        </w:rPr>
        <w:t>Directly reflects how investors in the marketplace value our Shares taking into account investors’ perception of our</w:t>
      </w:r>
      <w:r>
        <w:rPr>
          <w:rFonts w:ascii="Arial" w:cs="Arial" w:eastAsia="Arial" w:hAnsi="Arial"/>
          <w:sz w:val="18"/>
          <w:szCs w:val="18"/>
          <w:i w:val="1"/>
          <w:iCs w:val="1"/>
          <w:color w:val="262626"/>
        </w:rPr>
        <w:t xml:space="preserve"> </w:t>
      </w:r>
      <w:r>
        <w:rPr>
          <w:rFonts w:ascii="Arial" w:cs="Arial" w:eastAsia="Arial" w:hAnsi="Arial"/>
          <w:sz w:val="18"/>
          <w:szCs w:val="18"/>
          <w:color w:val="262626"/>
        </w:rPr>
        <w:t>historical results as well as their belief in our ability to grow and deliver profits and value in the future. It is an effective measure of long-term performance using both history and future expectations and one that can be used to effectively evaluate the performance of the management team. This metric compares the FFO multiple at which the Company is trading at the end of the performance period against the average FFO multiple at which all other public shopping center companies (other than the Company) are trading at the end of the performance period as reported by a third party investment bank.</w:t>
      </w:r>
    </w:p>
    <w:p>
      <w:pPr>
        <w:spacing w:after="0" w:line="184" w:lineRule="exact"/>
        <w:rPr>
          <w:sz w:val="20"/>
          <w:szCs w:val="20"/>
          <w:color w:val="auto"/>
        </w:rPr>
      </w:pPr>
    </w:p>
    <w:p>
      <w:pPr>
        <w:jc w:val="both"/>
        <w:ind w:left="120"/>
        <w:spacing w:after="0" w:line="241" w:lineRule="auto"/>
        <w:rPr>
          <w:sz w:val="20"/>
          <w:szCs w:val="20"/>
          <w:color w:val="auto"/>
        </w:rPr>
      </w:pPr>
      <w:r>
        <w:rPr>
          <w:rFonts w:ascii="Arial" w:cs="Arial" w:eastAsia="Arial" w:hAnsi="Arial"/>
          <w:sz w:val="18"/>
          <w:szCs w:val="18"/>
          <w:i w:val="1"/>
          <w:iCs w:val="1"/>
          <w:color w:val="262626"/>
        </w:rPr>
        <w:t xml:space="preserve">Return on Invested Capital: </w:t>
      </w:r>
      <w:r>
        <w:rPr>
          <w:rFonts w:ascii="Arial" w:cs="Arial" w:eastAsia="Arial" w:hAnsi="Arial"/>
          <w:sz w:val="18"/>
          <w:szCs w:val="18"/>
          <w:color w:val="262626"/>
        </w:rPr>
        <w:t>Directly reflects how effectively we have allocated our shareholders’ capital during the 3-year performance</w:t>
      </w:r>
      <w:r>
        <w:rPr>
          <w:rFonts w:ascii="Arial" w:cs="Arial" w:eastAsia="Arial" w:hAnsi="Arial"/>
          <w:sz w:val="18"/>
          <w:szCs w:val="18"/>
          <w:i w:val="1"/>
          <w:iCs w:val="1"/>
          <w:color w:val="262626"/>
        </w:rPr>
        <w:t xml:space="preserve"> </w:t>
      </w:r>
      <w:r>
        <w:rPr>
          <w:rFonts w:ascii="Arial" w:cs="Arial" w:eastAsia="Arial" w:hAnsi="Arial"/>
          <w:sz w:val="18"/>
          <w:szCs w:val="18"/>
          <w:color w:val="262626"/>
        </w:rPr>
        <w:t>period and incentivizes our executives to make sound, long-term investment decisions that will generate strong future returns for our shareholders. This metric encompasses both the revenue and investment impact from all capital decisions including those made to renovate our assets, develop new buildings, improve energy efficiency and otherwise mitigate greenhouse gas emissions from our properties, acquire and sell assets and prepare spaces for occupancy by tenants. The required performance levels on this metric were designed to be adjusted to reflect changing market expectations as we acquire, sell and develop assets.</w:t>
      </w:r>
    </w:p>
    <w:p>
      <w:pPr>
        <w:spacing w:after="0" w:line="20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262626"/>
        </w:rPr>
        <w:t>The final level of performance achieved for each metric in the long-term incentive program for the performance period ending December 31, 2020 reflected as a percentage of target and after taking into account program weighting is set forth below.</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F73A25"/>
              </w:rPr>
              <w:t>Weighted</w:t>
            </w:r>
          </w:p>
        </w:tc>
      </w:tr>
      <w:tr>
        <w:trPr>
          <w:trHeight w:val="203"/>
        </w:trPr>
        <w:tc>
          <w:tcPr>
            <w:tcW w:w="2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760" w:type="dxa"/>
            <w:vAlign w:val="bottom"/>
          </w:tcPr>
          <w:p>
            <w:pPr>
              <w:jc w:val="right"/>
              <w:ind w:right="370"/>
              <w:spacing w:after="0" w:line="202" w:lineRule="exact"/>
              <w:rPr>
                <w:sz w:val="20"/>
                <w:szCs w:val="20"/>
                <w:color w:val="auto"/>
              </w:rPr>
            </w:pPr>
            <w:r>
              <w:rPr>
                <w:rFonts w:ascii="Arial" w:cs="Arial" w:eastAsia="Arial" w:hAnsi="Arial"/>
                <w:sz w:val="18"/>
                <w:szCs w:val="18"/>
                <w:color w:val="F73A25"/>
              </w:rPr>
              <w:t>Payout as %</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F73A25"/>
              </w:rPr>
              <w:t>Payout as %</w:t>
            </w:r>
          </w:p>
        </w:tc>
      </w:tr>
      <w:tr>
        <w:trPr>
          <w:trHeight w:val="203"/>
        </w:trPr>
        <w:tc>
          <w:tcPr>
            <w:tcW w:w="2720" w:type="dxa"/>
            <w:vAlign w:val="bottom"/>
            <w:tcBorders>
              <w:bottom w:val="single" w:sz="8" w:color="262626"/>
            </w:tcBorders>
          </w:tcPr>
          <w:p>
            <w:pPr>
              <w:spacing w:after="0" w:line="203" w:lineRule="exact"/>
              <w:rPr>
                <w:sz w:val="20"/>
                <w:szCs w:val="20"/>
                <w:color w:val="auto"/>
              </w:rPr>
            </w:pPr>
            <w:r>
              <w:rPr>
                <w:rFonts w:ascii="Arial" w:cs="Arial" w:eastAsia="Arial" w:hAnsi="Arial"/>
                <w:sz w:val="18"/>
                <w:szCs w:val="18"/>
                <w:color w:val="F73A25"/>
              </w:rPr>
              <w:t>Metric</w:t>
            </w:r>
          </w:p>
        </w:tc>
        <w:tc>
          <w:tcPr>
            <w:tcW w:w="1660" w:type="dxa"/>
            <w:vAlign w:val="bottom"/>
            <w:tcBorders>
              <w:bottom w:val="single" w:sz="8" w:color="262626"/>
            </w:tcBorders>
          </w:tcPr>
          <w:p>
            <w:pPr>
              <w:jc w:val="center"/>
              <w:ind w:left="230"/>
              <w:spacing w:after="0" w:line="203" w:lineRule="exact"/>
              <w:rPr>
                <w:sz w:val="20"/>
                <w:szCs w:val="20"/>
                <w:color w:val="auto"/>
              </w:rPr>
            </w:pPr>
            <w:r>
              <w:rPr>
                <w:rFonts w:ascii="Arial" w:cs="Arial" w:eastAsia="Arial" w:hAnsi="Arial"/>
                <w:sz w:val="18"/>
                <w:szCs w:val="18"/>
                <w:color w:val="F73A25"/>
                <w:w w:val="97"/>
              </w:rPr>
              <w:t>Weighting</w:t>
            </w:r>
          </w:p>
        </w:tc>
        <w:tc>
          <w:tcPr>
            <w:tcW w:w="3500" w:type="dxa"/>
            <w:vAlign w:val="bottom"/>
            <w:tcBorders>
              <w:bottom w:val="single" w:sz="8" w:color="262626"/>
            </w:tcBorders>
          </w:tcPr>
          <w:p>
            <w:pPr>
              <w:ind w:left="260"/>
              <w:spacing w:after="0" w:line="203" w:lineRule="exact"/>
              <w:rPr>
                <w:sz w:val="20"/>
                <w:szCs w:val="20"/>
                <w:color w:val="auto"/>
              </w:rPr>
            </w:pPr>
            <w:r>
              <w:rPr>
                <w:rFonts w:ascii="Arial" w:cs="Arial" w:eastAsia="Arial" w:hAnsi="Arial"/>
                <w:sz w:val="18"/>
                <w:szCs w:val="18"/>
                <w:color w:val="F73A25"/>
              </w:rPr>
              <w:t>Performance Achieved</w:t>
            </w:r>
          </w:p>
        </w:tc>
        <w:tc>
          <w:tcPr>
            <w:tcW w:w="1760" w:type="dxa"/>
            <w:vAlign w:val="bottom"/>
            <w:tcBorders>
              <w:bottom w:val="single" w:sz="8" w:color="262626"/>
            </w:tcBorders>
          </w:tcPr>
          <w:p>
            <w:pPr>
              <w:jc w:val="right"/>
              <w:ind w:right="370"/>
              <w:spacing w:after="0" w:line="203" w:lineRule="exact"/>
              <w:rPr>
                <w:sz w:val="20"/>
                <w:szCs w:val="20"/>
                <w:color w:val="auto"/>
              </w:rPr>
            </w:pPr>
            <w:r>
              <w:rPr>
                <w:rFonts w:ascii="Arial" w:cs="Arial" w:eastAsia="Arial" w:hAnsi="Arial"/>
                <w:sz w:val="18"/>
                <w:szCs w:val="18"/>
                <w:color w:val="F73A25"/>
              </w:rPr>
              <w:t>of Target</w:t>
            </w:r>
          </w:p>
        </w:tc>
        <w:tc>
          <w:tcPr>
            <w:tcW w:w="1380" w:type="dxa"/>
            <w:vAlign w:val="bottom"/>
            <w:tcBorders>
              <w:bottom w:val="single" w:sz="8" w:color="262626"/>
            </w:tcBorders>
          </w:tcPr>
          <w:p>
            <w:pPr>
              <w:jc w:val="right"/>
              <w:spacing w:after="0" w:line="203" w:lineRule="exact"/>
              <w:rPr>
                <w:sz w:val="20"/>
                <w:szCs w:val="20"/>
                <w:color w:val="auto"/>
              </w:rPr>
            </w:pPr>
            <w:r>
              <w:rPr>
                <w:rFonts w:ascii="Arial" w:cs="Arial" w:eastAsia="Arial" w:hAnsi="Arial"/>
                <w:sz w:val="18"/>
                <w:szCs w:val="18"/>
                <w:color w:val="F73A25"/>
              </w:rPr>
              <w:t>of Target</w:t>
            </w: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262626"/>
              </w:rPr>
              <w:t>Relative Total Return</w:t>
            </w:r>
          </w:p>
        </w:tc>
        <w:tc>
          <w:tcPr>
            <w:tcW w:w="16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262626"/>
                <w:w w:val="99"/>
              </w:rPr>
              <w:t>34%</w:t>
            </w:r>
          </w:p>
        </w:tc>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262626"/>
              </w:rPr>
              <w:t>Between threshold and target</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262626"/>
              </w:rPr>
              <w:t>71%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62626"/>
              </w:rPr>
              <w:t>24%</w:t>
            </w:r>
          </w:p>
        </w:tc>
      </w:tr>
      <w:tr>
        <w:trPr>
          <w:trHeight w:val="67"/>
        </w:trPr>
        <w:tc>
          <w:tcPr>
            <w:tcW w:w="272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35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17"/>
        </w:trPr>
        <w:tc>
          <w:tcPr>
            <w:tcW w:w="2720" w:type="dxa"/>
            <w:vAlign w:val="bottom"/>
          </w:tcPr>
          <w:p>
            <w:pPr>
              <w:spacing w:after="0"/>
              <w:rPr>
                <w:sz w:val="20"/>
                <w:szCs w:val="20"/>
                <w:color w:val="auto"/>
              </w:rPr>
            </w:pPr>
            <w:r>
              <w:rPr>
                <w:rFonts w:ascii="Arial" w:cs="Arial" w:eastAsia="Arial" w:hAnsi="Arial"/>
                <w:sz w:val="18"/>
                <w:szCs w:val="18"/>
                <w:color w:val="262626"/>
              </w:rPr>
              <w:t>FFO Multiple Premium</w:t>
            </w:r>
          </w:p>
        </w:tc>
        <w:tc>
          <w:tcPr>
            <w:tcW w:w="1660" w:type="dxa"/>
            <w:vAlign w:val="bottom"/>
          </w:tcPr>
          <w:p>
            <w:pPr>
              <w:jc w:val="center"/>
              <w:ind w:left="210"/>
              <w:spacing w:after="0"/>
              <w:rPr>
                <w:sz w:val="20"/>
                <w:szCs w:val="20"/>
                <w:color w:val="auto"/>
              </w:rPr>
            </w:pPr>
            <w:r>
              <w:rPr>
                <w:rFonts w:ascii="Arial" w:cs="Arial" w:eastAsia="Arial" w:hAnsi="Arial"/>
                <w:sz w:val="18"/>
                <w:szCs w:val="18"/>
                <w:color w:val="262626"/>
                <w:w w:val="99"/>
              </w:rPr>
              <w:t>33%</w:t>
            </w:r>
          </w:p>
        </w:tc>
        <w:tc>
          <w:tcPr>
            <w:tcW w:w="3500" w:type="dxa"/>
            <w:vAlign w:val="bottom"/>
          </w:tcPr>
          <w:p>
            <w:pPr>
              <w:ind w:left="260"/>
              <w:spacing w:after="0"/>
              <w:rPr>
                <w:sz w:val="20"/>
                <w:szCs w:val="20"/>
                <w:color w:val="auto"/>
              </w:rPr>
            </w:pPr>
            <w:r>
              <w:rPr>
                <w:rFonts w:ascii="Arial" w:cs="Arial" w:eastAsia="Arial" w:hAnsi="Arial"/>
                <w:sz w:val="18"/>
                <w:szCs w:val="18"/>
                <w:color w:val="262626"/>
              </w:rPr>
              <w:t>Above stretch</w:t>
            </w:r>
          </w:p>
        </w:tc>
        <w:tc>
          <w:tcPr>
            <w:tcW w:w="1760" w:type="dxa"/>
            <w:vAlign w:val="bottom"/>
          </w:tcPr>
          <w:p>
            <w:pPr>
              <w:jc w:val="right"/>
              <w:ind w:right="210"/>
              <w:spacing w:after="0"/>
              <w:rPr>
                <w:sz w:val="20"/>
                <w:szCs w:val="20"/>
                <w:color w:val="auto"/>
              </w:rPr>
            </w:pPr>
            <w:r>
              <w:rPr>
                <w:rFonts w:ascii="Arial" w:cs="Arial" w:eastAsia="Arial" w:hAnsi="Arial"/>
                <w:sz w:val="18"/>
                <w:szCs w:val="18"/>
                <w:color w:val="262626"/>
              </w:rPr>
              <w:t>150%</w:t>
            </w:r>
          </w:p>
        </w:tc>
        <w:tc>
          <w:tcPr>
            <w:tcW w:w="1380" w:type="dxa"/>
            <w:vAlign w:val="bottom"/>
          </w:tcPr>
          <w:p>
            <w:pPr>
              <w:jc w:val="right"/>
              <w:spacing w:after="0"/>
              <w:rPr>
                <w:sz w:val="20"/>
                <w:szCs w:val="20"/>
                <w:color w:val="auto"/>
              </w:rPr>
            </w:pPr>
            <w:r>
              <w:rPr>
                <w:rFonts w:ascii="Arial" w:cs="Arial" w:eastAsia="Arial" w:hAnsi="Arial"/>
                <w:sz w:val="18"/>
                <w:szCs w:val="18"/>
                <w:color w:val="262626"/>
              </w:rPr>
              <w:t>50%</w:t>
            </w:r>
          </w:p>
        </w:tc>
      </w:tr>
      <w:tr>
        <w:trPr>
          <w:trHeight w:val="67"/>
        </w:trPr>
        <w:tc>
          <w:tcPr>
            <w:tcW w:w="27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17"/>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262626"/>
              </w:rPr>
              <w:t>Return on Invested Capital</w:t>
            </w:r>
          </w:p>
        </w:tc>
        <w:tc>
          <w:tcPr>
            <w:tcW w:w="16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262626"/>
                <w:w w:val="99"/>
              </w:rPr>
              <w:t>33%</w:t>
            </w:r>
          </w:p>
        </w:tc>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262626"/>
              </w:rPr>
              <w:t>Between threshold and target</w:t>
            </w: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262626"/>
              </w:rPr>
              <w:t>80%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262626"/>
              </w:rPr>
              <w:t>26%</w:t>
            </w:r>
          </w:p>
        </w:tc>
      </w:tr>
      <w:tr>
        <w:trPr>
          <w:trHeight w:val="67"/>
        </w:trPr>
        <w:tc>
          <w:tcPr>
            <w:tcW w:w="2720" w:type="dxa"/>
            <w:vAlign w:val="bottom"/>
            <w:tcBorders>
              <w:bottom w:val="single" w:sz="8" w:color="262626"/>
            </w:tcBorders>
            <w:shd w:val="clear" w:color="auto" w:fill="CCEEFF"/>
          </w:tcPr>
          <w:p>
            <w:pPr>
              <w:spacing w:after="0"/>
              <w:rPr>
                <w:sz w:val="5"/>
                <w:szCs w:val="5"/>
                <w:color w:val="auto"/>
              </w:rPr>
            </w:pPr>
          </w:p>
        </w:tc>
        <w:tc>
          <w:tcPr>
            <w:tcW w:w="1660" w:type="dxa"/>
            <w:vAlign w:val="bottom"/>
            <w:tcBorders>
              <w:bottom w:val="single" w:sz="8" w:color="262626"/>
            </w:tcBorders>
            <w:shd w:val="clear" w:color="auto" w:fill="CCEEFF"/>
          </w:tcPr>
          <w:p>
            <w:pPr>
              <w:spacing w:after="0"/>
              <w:rPr>
                <w:sz w:val="5"/>
                <w:szCs w:val="5"/>
                <w:color w:val="auto"/>
              </w:rPr>
            </w:pPr>
          </w:p>
        </w:tc>
        <w:tc>
          <w:tcPr>
            <w:tcW w:w="3500" w:type="dxa"/>
            <w:vAlign w:val="bottom"/>
            <w:tcBorders>
              <w:bottom w:val="single" w:sz="8" w:color="262626"/>
            </w:tcBorders>
            <w:shd w:val="clear" w:color="auto" w:fill="CCEEFF"/>
          </w:tcPr>
          <w:p>
            <w:pPr>
              <w:spacing w:after="0"/>
              <w:rPr>
                <w:sz w:val="5"/>
                <w:szCs w:val="5"/>
                <w:color w:val="auto"/>
              </w:rPr>
            </w:pPr>
          </w:p>
        </w:tc>
        <w:tc>
          <w:tcPr>
            <w:tcW w:w="1760" w:type="dxa"/>
            <w:vAlign w:val="bottom"/>
            <w:tcBorders>
              <w:bottom w:val="single" w:sz="8" w:color="262626"/>
            </w:tcBorders>
            <w:shd w:val="clear" w:color="auto" w:fill="CCEEFF"/>
          </w:tcPr>
          <w:p>
            <w:pPr>
              <w:spacing w:after="0"/>
              <w:rPr>
                <w:sz w:val="5"/>
                <w:szCs w:val="5"/>
                <w:color w:val="auto"/>
              </w:rPr>
            </w:pPr>
          </w:p>
        </w:tc>
        <w:tc>
          <w:tcPr>
            <w:tcW w:w="1380" w:type="dxa"/>
            <w:vAlign w:val="bottom"/>
            <w:tcBorders>
              <w:bottom w:val="single" w:sz="8" w:color="262626"/>
            </w:tcBorders>
            <w:shd w:val="clear" w:color="auto" w:fill="CCEEFF"/>
          </w:tcPr>
          <w:p>
            <w:pPr>
              <w:spacing w:after="0"/>
              <w:rPr>
                <w:sz w:val="5"/>
                <w:szCs w:val="5"/>
                <w:color w:val="auto"/>
              </w:rPr>
            </w:pPr>
          </w:p>
        </w:tc>
      </w:tr>
      <w:tr>
        <w:trPr>
          <w:trHeight w:val="210"/>
        </w:trPr>
        <w:tc>
          <w:tcPr>
            <w:tcW w:w="2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00" w:type="dxa"/>
            <w:vAlign w:val="bottom"/>
          </w:tcPr>
          <w:p>
            <w:pPr>
              <w:ind w:left="260"/>
              <w:spacing w:after="0"/>
              <w:rPr>
                <w:sz w:val="20"/>
                <w:szCs w:val="20"/>
                <w:color w:val="auto"/>
              </w:rPr>
            </w:pPr>
            <w:r>
              <w:rPr>
                <w:rFonts w:ascii="Arial" w:cs="Arial" w:eastAsia="Arial" w:hAnsi="Arial"/>
                <w:sz w:val="18"/>
                <w:szCs w:val="18"/>
                <w:color w:val="F73A25"/>
              </w:rPr>
              <w:t>Total Payout as Percentage of Target</w:t>
            </w:r>
          </w:p>
        </w:tc>
        <w:tc>
          <w:tcPr>
            <w:tcW w:w="17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F73A25"/>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4"/>
          <w:szCs w:val="14"/>
          <w:color w:val="262626"/>
        </w:rPr>
        <w:t>Interpolation is used to determine the payout percentages for results that fall between the performance levels shown</w:t>
      </w:r>
    </w:p>
    <w:p>
      <w:pPr>
        <w:spacing w:after="0" w:line="22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Under our long-term incentive program, the Compensation Committee has the discretion to increase or decrease individual awards by up to twenty percent (20%) to reflect performance or for any other reason the Committee may choose. The Committee considered a downward adjustment to the long-term incentive awards given the Company’s performance in 2020 but elected not to do so. The amounts earned under the program were heavily influenced by the Company’s performance during the two years prior to 2020 and the Committee did not believe it was appropriate to make any adjustments to lessen that impact, acknowledging that future payouts under the long -term plan are likely to be materially adversely affected by the pandemic impacted years of 2020 and 2021. The Committee committed that it will not modify the performance metrics under this program mid-performance cycle in the future.</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The number of Shares actually awarded to each of our NEOs under the long-term plan is determined by dividing the amount of the award by the closing price of our stock on the NYSE on the date the awards are made. There is no amount included in the Summary Compensation Table or Grants of Plan-Based Awards Table in this proxy statement for long-term incentive plan awards earned for the 2018-2020 performance period. Those amounts will be included in next year’s proxy statement. The long-term incentive awards included in the Summary Compensation Table and the Grants of Plan-Based Awards Table for our NEOs in this proxy statement relate to awards made in February 2020 for the 3-year performance period ending December 31, 2019.</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Other Benefits</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We provide other health and welfare benefits to our NEOs on the same basis as we provide those benefits to all employees. In addition to those benefits, we provide to Mr. Wood, his spouse and one of his dependents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dependents until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and remained unchanged since 2008.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2021 NEOs</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262626"/>
        </w:rPr>
        <w:t>On February 10, 2021, the Board promoted Jeffrey S. Berkes to President and Chief Operating Officer of the Company and he was designated as an NEO at that time for 2021. As a result, Mr. Berkes will be included as an NEO in next year’s proxy statement. The Compensation Committee retained SBCG as its compensation consultant to assist the Committee in creating a market compensation package for Mr. Berkes that was put in place concurrently with his promotion. The compensation package approved for Mr. Berkes has a target level of total compensation of $2.15 million consisting of base pay of $575,000, an annual bonus target of 100% of base pay and a long-term equity target of $1 million. In addition, the Compensation Committee approved for Mr. Berkes a $1 million award of restricted Shares that will vest equally over 5 years and a performance award with a target of $1 million that can be earned over a four-year period based on our performance as compared to the BBRESHOP.</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Other Compensation Considerations</w:t>
      </w:r>
    </w:p>
    <w:p>
      <w:pPr>
        <w:spacing w:after="0" w:line="216"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262626"/>
        </w:rPr>
        <w:t xml:space="preserve">Equity Ownership: </w:t>
      </w:r>
      <w:r>
        <w:rPr>
          <w:rFonts w:ascii="Arial" w:cs="Arial" w:eastAsia="Arial" w:hAnsi="Arial"/>
          <w:sz w:val="18"/>
          <w:szCs w:val="18"/>
          <w:color w:val="262626"/>
        </w:rPr>
        <w:t>Each of our NEOs is required to maintain a level of ownership of equity in the Company equal to a multiple of the sum</w:t>
      </w:r>
      <w:r>
        <w:rPr>
          <w:rFonts w:ascii="Arial" w:cs="Arial" w:eastAsia="Arial" w:hAnsi="Arial"/>
          <w:sz w:val="18"/>
          <w:szCs w:val="18"/>
          <w:i w:val="1"/>
          <w:iCs w:val="1"/>
          <w:color w:val="262626"/>
        </w:rPr>
        <w:t xml:space="preserve"> </w:t>
      </w:r>
      <w:r>
        <w:rPr>
          <w:rFonts w:ascii="Arial" w:cs="Arial" w:eastAsia="Arial" w:hAnsi="Arial"/>
          <w:sz w:val="18"/>
          <w:szCs w:val="18"/>
          <w:color w:val="262626"/>
        </w:rPr>
        <w:t>of his or her base salary and/or annual bonus. Mr. Wood is required to maintain an equity ownership in the Company equal to at least 7 times his annual base salary and each of Mr. Guglielmone and Ms. Becker are required to maintain an equity ownership in the Company equal to at least 2.5 times his/her annual base salary and bonus. The required multiple for Mr. Wood was modified to its current level by the Board after discussions with SBCG. The Board ultimately adopted this multiple which is greater than what was recommended by SBCG to reflect the Board’s desire for our CEO to maintain a significant investment in the Company. Each of our NEOs was in compliance with the equity ownership requirement as of December 31, 2020.</w:t>
      </w:r>
    </w:p>
    <w:p>
      <w:pPr>
        <w:spacing w:after="0" w:line="18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262626"/>
        </w:rPr>
        <w:t xml:space="preserve">Risk Assessment: </w:t>
      </w:r>
      <w:r>
        <w:rPr>
          <w:rFonts w:ascii="Arial" w:cs="Arial" w:eastAsia="Arial" w:hAnsi="Arial"/>
          <w:sz w:val="18"/>
          <w:szCs w:val="18"/>
          <w:color w:val="262626"/>
        </w:rPr>
        <w:t>As described in the “Compensation Risk Assessment” section, we have concluded that our compensation programs do</w:t>
      </w:r>
      <w:r>
        <w:rPr>
          <w:rFonts w:ascii="Arial" w:cs="Arial" w:eastAsia="Arial" w:hAnsi="Arial"/>
          <w:sz w:val="18"/>
          <w:szCs w:val="18"/>
          <w:i w:val="1"/>
          <w:iCs w:val="1"/>
          <w:color w:val="262626"/>
        </w:rPr>
        <w:t xml:space="preserve"> </w:t>
      </w:r>
      <w:r>
        <w:rPr>
          <w:rFonts w:ascii="Arial" w:cs="Arial" w:eastAsia="Arial" w:hAnsi="Arial"/>
          <w:sz w:val="18"/>
          <w:szCs w:val="18"/>
          <w:color w:val="262626"/>
        </w:rPr>
        <w:t>not encourage excessive or unnecessary risk taking. We have in place a clawback policy allowing us to recoup compensation paid to our NEOs on the basis of incorrect financial statements where that NEO engaged in fraud or grossly negligent misconduct.</w:t>
      </w:r>
    </w:p>
    <w:p>
      <w:pPr>
        <w:spacing w:after="0" w:line="177"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262626"/>
        </w:rPr>
        <w:t xml:space="preserve">Timing of Equity Grants: </w:t>
      </w:r>
      <w:r>
        <w:rPr>
          <w:rFonts w:ascii="Arial" w:cs="Arial" w:eastAsia="Arial" w:hAnsi="Arial"/>
          <w:sz w:val="18"/>
          <w:szCs w:val="18"/>
          <w:color w:val="262626"/>
        </w:rPr>
        <w:t>Equity awards to our employees under our annual bonus plan and long-term incentive plan described above are</w:t>
      </w:r>
      <w:r>
        <w:rPr>
          <w:rFonts w:ascii="Arial" w:cs="Arial" w:eastAsia="Arial" w:hAnsi="Arial"/>
          <w:sz w:val="18"/>
          <w:szCs w:val="18"/>
          <w:i w:val="1"/>
          <w:iCs w:val="1"/>
          <w:color w:val="262626"/>
        </w:rPr>
        <w:t xml:space="preserve"> </w:t>
      </w:r>
      <w:r>
        <w:rPr>
          <w:rFonts w:ascii="Arial" w:cs="Arial" w:eastAsia="Arial" w:hAnsi="Arial"/>
          <w:sz w:val="18"/>
          <w:szCs w:val="18"/>
          <w:color w:val="262626"/>
        </w:rPr>
        <w:t>made at the Compensation Committee’s meeting that occurs in February of each calendar year. Based on our meeting schedule the past several years, these awards are made before we release financial results for the prior fiscal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exercise price that is less than the closing price on the NYSE on the date of the grant, or granted options which are priced on a date other than the grant date. Equity awards for Vice Presidents and above for the 3-year performance period ending on December 31, 2020 were made at the Compensation Committee’s meeting on February 10, 2021 based on the closing price of our Shares on the NYSE on that date.</w:t>
      </w:r>
    </w:p>
    <w:p>
      <w:pPr>
        <w:spacing w:after="0" w:line="187"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i w:val="1"/>
          <w:iCs w:val="1"/>
          <w:color w:val="262626"/>
        </w:rPr>
        <w:t xml:space="preserve">Termination and Change-in-Control Arrangements: </w:t>
      </w:r>
      <w:r>
        <w:rPr>
          <w:rFonts w:ascii="Arial" w:cs="Arial" w:eastAsia="Arial" w:hAnsi="Arial"/>
          <w:sz w:val="18"/>
          <w:szCs w:val="18"/>
          <w:color w:val="262626"/>
        </w:rPr>
        <w:t>We have agreements in place with each of our NEOs providing for various payments</w:t>
      </w:r>
      <w:r>
        <w:rPr>
          <w:rFonts w:ascii="Arial" w:cs="Arial" w:eastAsia="Arial" w:hAnsi="Arial"/>
          <w:sz w:val="18"/>
          <w:szCs w:val="18"/>
          <w:i w:val="1"/>
          <w:iCs w:val="1"/>
          <w:color w:val="262626"/>
        </w:rPr>
        <w:t xml:space="preserve"> </w:t>
      </w:r>
      <w:r>
        <w:rPr>
          <w:rFonts w:ascii="Arial" w:cs="Arial" w:eastAsia="Arial" w:hAnsi="Arial"/>
          <w:sz w:val="18"/>
          <w:szCs w:val="18"/>
          <w:color w:val="262626"/>
        </w:rPr>
        <w:t>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262626"/>
        </w:rPr>
        <w:t xml:space="preserve">Deductibility of Executive Compensation in Excess of $1.0 Million: </w:t>
      </w:r>
      <w:r>
        <w:rPr>
          <w:rFonts w:ascii="Arial" w:cs="Arial" w:eastAsia="Arial" w:hAnsi="Arial"/>
          <w:sz w:val="18"/>
          <w:szCs w:val="18"/>
          <w:color w:val="262626"/>
        </w:rPr>
        <w:t>For tax years ending on or prior to December 31, 2017, Section 162(m)</w:t>
      </w:r>
      <w:r>
        <w:rPr>
          <w:rFonts w:ascii="Arial" w:cs="Arial" w:eastAsia="Arial" w:hAnsi="Arial"/>
          <w:sz w:val="18"/>
          <w:szCs w:val="18"/>
          <w:i w:val="1"/>
          <w:iCs w:val="1"/>
          <w:color w:val="262626"/>
        </w:rPr>
        <w:t xml:space="preserve"> </w:t>
      </w:r>
      <w:r>
        <w:rPr>
          <w:rFonts w:ascii="Arial" w:cs="Arial" w:eastAsia="Arial" w:hAnsi="Arial"/>
          <w:sz w:val="18"/>
          <w:szCs w:val="18"/>
          <w:color w:val="262626"/>
        </w:rPr>
        <w:t>of the Internal Revenue Code generally prohibited any publicly held corporation from taking a federal income tax deduction for compensation in excess of $1 million in any taxable year paid to an executive officer who is named in the Summary Compensation Table. An exception was made for qualified performance-based compensation, among other things. Although the Compensation Committee considered the impact of Section 162(m) in structuring compensation programs, the Committee’s primary focus was on creating programs that addressed the needs and objectives of the Company regardless of the impact of Section 162(m). As a result, the Compensation Committee made awards and structured programs that were non-deductible under Section 162(m). The Tax Cuts and Jobs Act of 2017 modified Section 162(m) to, among other things, modify who is subject to the $1 million deduction limit and to eliminate the exception for performance based pay from the $1 million deduction limit starting with tax years ending after December 31, 2017. Because our awards and compensation programs were not necessarily designed to comply with Section 162(m), the changes to Section 162(m) have not had a material impact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147320</wp:posOffset>
            </wp:positionV>
            <wp:extent cx="701230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Compensation Committee Report</w:t>
      </w:r>
    </w:p>
    <w:p>
      <w:pPr>
        <w:spacing w:after="0" w:line="23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The Compensation Committee of the Board has reviewed and discussed the CD&amp;A required by Item 402(b) of Regulation S-K with management and, based on such review and discussions, the Compensation Committee recommended to the Board that the CD&amp;A be included in this Proxy Statement.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Submitted by: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David W. Faeder, Chairman</w:t>
      </w:r>
    </w:p>
    <w:p>
      <w:pPr>
        <w:ind w:left="120"/>
        <w:spacing w:after="0" w:line="234" w:lineRule="auto"/>
        <w:rPr>
          <w:sz w:val="20"/>
          <w:szCs w:val="20"/>
          <w:color w:val="auto"/>
        </w:rPr>
      </w:pPr>
      <w:r>
        <w:rPr>
          <w:rFonts w:ascii="Arial" w:cs="Arial" w:eastAsia="Arial" w:hAnsi="Arial"/>
          <w:sz w:val="18"/>
          <w:szCs w:val="18"/>
          <w:color w:val="262626"/>
        </w:rPr>
        <w:t>Elizabeth I. Holland</w:t>
      </w:r>
    </w:p>
    <w:p>
      <w:pPr>
        <w:ind w:left="120"/>
        <w:spacing w:after="0" w:line="235" w:lineRule="auto"/>
        <w:rPr>
          <w:sz w:val="20"/>
          <w:szCs w:val="20"/>
          <w:color w:val="auto"/>
        </w:rPr>
      </w:pPr>
      <w:r>
        <w:rPr>
          <w:rFonts w:ascii="Arial" w:cs="Arial" w:eastAsia="Arial" w:hAnsi="Arial"/>
          <w:sz w:val="18"/>
          <w:szCs w:val="18"/>
          <w:color w:val="262626"/>
        </w:rPr>
        <w:t>Nicole Y. Lamb-Hale (joined the Committee on November 4, 2020)</w:t>
      </w:r>
    </w:p>
    <w:p>
      <w:pPr>
        <w:ind w:left="120"/>
        <w:spacing w:after="0" w:line="235" w:lineRule="auto"/>
        <w:rPr>
          <w:sz w:val="20"/>
          <w:szCs w:val="20"/>
          <w:color w:val="auto"/>
        </w:rPr>
      </w:pPr>
      <w:r>
        <w:rPr>
          <w:rFonts w:ascii="Arial" w:cs="Arial" w:eastAsia="Arial" w:hAnsi="Arial"/>
          <w:sz w:val="18"/>
          <w:szCs w:val="18"/>
          <w:color w:val="262626"/>
        </w:rPr>
        <w:t>Gail P. Steinel</w:t>
      </w:r>
    </w:p>
    <w:p>
      <w:pPr>
        <w:ind w:left="120"/>
        <w:spacing w:after="0"/>
        <w:rPr>
          <w:sz w:val="20"/>
          <w:szCs w:val="20"/>
          <w:color w:val="auto"/>
        </w:rPr>
      </w:pPr>
      <w:r>
        <w:rPr>
          <w:rFonts w:ascii="Arial" w:cs="Arial" w:eastAsia="Arial" w:hAnsi="Arial"/>
          <w:sz w:val="18"/>
          <w:szCs w:val="18"/>
          <w:color w:val="262626"/>
        </w:rPr>
        <w:t>Joseph S. Vassalluzzo</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Executive Compensation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Our 2020 NEOs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For 2020, our NEOs were:</w:t>
      </w:r>
    </w:p>
    <w:p>
      <w:pPr>
        <w:spacing w:after="0" w:line="10" w:lineRule="exact"/>
        <w:rPr>
          <w:sz w:val="20"/>
          <w:szCs w:val="20"/>
          <w:color w:val="auto"/>
        </w:rPr>
      </w:pPr>
    </w:p>
    <w:p>
      <w:pPr>
        <w:ind w:left="2580"/>
        <w:spacing w:after="0"/>
        <w:tabs>
          <w:tab w:leader="none" w:pos="6700" w:val="left"/>
        </w:tabs>
        <w:rPr>
          <w:sz w:val="20"/>
          <w:szCs w:val="20"/>
          <w:color w:val="auto"/>
        </w:rPr>
      </w:pPr>
      <w:r>
        <w:rPr>
          <w:rFonts w:ascii="Arial" w:cs="Arial" w:eastAsia="Arial" w:hAnsi="Arial"/>
          <w:sz w:val="43"/>
          <w:szCs w:val="43"/>
          <w:b w:val="1"/>
          <w:bCs w:val="1"/>
          <w:color w:val="262626"/>
          <w:vertAlign w:val="subscript"/>
        </w:rPr>
        <w:t>Donald C. Wood</w:t>
      </w:r>
      <w:r>
        <w:rPr>
          <w:sz w:val="20"/>
          <w:szCs w:val="20"/>
          <w:color w:val="auto"/>
        </w:rPr>
        <w:tab/>
      </w:r>
      <w:r>
        <w:rPr>
          <w:rFonts w:ascii="Arial" w:cs="Arial" w:eastAsia="Arial" w:hAnsi="Arial"/>
          <w:sz w:val="15"/>
          <w:szCs w:val="15"/>
          <w:b w:val="1"/>
          <w:bCs w:val="1"/>
          <w:color w:val="262626"/>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3175</wp:posOffset>
            </wp:positionV>
            <wp:extent cx="1156970" cy="1268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60</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 xml:space="preserve">Tenure at Federal: </w:t>
      </w:r>
      <w:r>
        <w:rPr>
          <w:rFonts w:ascii="Arial" w:cs="Arial" w:eastAsia="Arial" w:hAnsi="Arial"/>
          <w:sz w:val="16"/>
          <w:szCs w:val="16"/>
          <w:color w:val="262626"/>
        </w:rPr>
        <w:t>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241935</wp:posOffset>
            </wp:positionV>
            <wp:extent cx="54946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580"/>
        <w:spacing w:after="0"/>
        <w:rPr>
          <w:sz w:val="20"/>
          <w:szCs w:val="20"/>
          <w:color w:val="auto"/>
        </w:rPr>
      </w:pPr>
      <w:r>
        <w:rPr>
          <w:rFonts w:ascii="Arial" w:cs="Arial" w:eastAsia="Arial" w:hAnsi="Arial"/>
          <w:sz w:val="16"/>
          <w:szCs w:val="16"/>
          <w:color w:val="262626"/>
        </w:rPr>
        <w:t>See “Proposal 1 Election of Seven Trustees” for more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267970</wp:posOffset>
            </wp:positionV>
            <wp:extent cx="54089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Education:</w:t>
      </w:r>
    </w:p>
    <w:p>
      <w:pPr>
        <w:spacing w:after="0" w:line="52" w:lineRule="exact"/>
        <w:rPr>
          <w:sz w:val="20"/>
          <w:szCs w:val="20"/>
          <w:color w:val="auto"/>
        </w:rPr>
      </w:pPr>
    </w:p>
    <w:p>
      <w:pPr>
        <w:ind w:left="2580"/>
        <w:spacing w:after="0"/>
        <w:rPr>
          <w:sz w:val="20"/>
          <w:szCs w:val="20"/>
          <w:color w:val="auto"/>
        </w:rPr>
      </w:pPr>
      <w:r>
        <w:rPr>
          <w:rFonts w:ascii="Arial" w:cs="Arial" w:eastAsia="Arial" w:hAnsi="Arial"/>
          <w:sz w:val="16"/>
          <w:szCs w:val="16"/>
          <w:color w:val="262626"/>
        </w:rPr>
        <w:t>See “Proposal 1 Election of Seven Trustees” for educational information.</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40" w:type="dxa"/>
            <w:vAlign w:val="bottom"/>
            <w:tcBorders>
              <w:top w:val="single" w:sz="8" w:color="F73A25"/>
            </w:tcBorders>
          </w:tcPr>
          <w:p>
            <w:pPr>
              <w:ind w:left="2460"/>
              <w:spacing w:after="0" w:line="216" w:lineRule="exact"/>
              <w:rPr>
                <w:sz w:val="20"/>
                <w:szCs w:val="20"/>
                <w:color w:val="auto"/>
              </w:rPr>
            </w:pPr>
            <w:r>
              <w:rPr>
                <w:rFonts w:ascii="Arial" w:cs="Arial" w:eastAsia="Arial" w:hAnsi="Arial"/>
                <w:sz w:val="22"/>
                <w:szCs w:val="22"/>
                <w:b w:val="1"/>
                <w:bCs w:val="1"/>
                <w:color w:val="262626"/>
              </w:rPr>
              <w:t>Daniel Guglielmone</w:t>
            </w:r>
          </w:p>
        </w:tc>
        <w:tc>
          <w:tcPr>
            <w:tcW w:w="5480" w:type="dxa"/>
            <w:vAlign w:val="bottom"/>
            <w:tcBorders>
              <w:top w:val="single" w:sz="8" w:color="F73A25"/>
            </w:tcBorders>
          </w:tcPr>
          <w:p>
            <w:pPr>
              <w:ind w:left="1060"/>
              <w:spacing w:after="0"/>
              <w:rPr>
                <w:sz w:val="20"/>
                <w:szCs w:val="20"/>
                <w:color w:val="auto"/>
              </w:rPr>
            </w:pPr>
            <w:r>
              <w:rPr>
                <w:rFonts w:ascii="Arial" w:cs="Arial" w:eastAsia="Arial" w:hAnsi="Arial"/>
                <w:sz w:val="15"/>
                <w:szCs w:val="15"/>
                <w:b w:val="1"/>
                <w:bCs w:val="1"/>
                <w:color w:val="262626"/>
              </w:rPr>
              <w:t>Executive Vice President-Chief Financial Officer &amp;</w:t>
            </w:r>
          </w:p>
        </w:tc>
      </w:tr>
      <w:tr>
        <w:trPr>
          <w:trHeight w:val="202"/>
        </w:trPr>
        <w:tc>
          <w:tcPr>
            <w:tcW w:w="5540" w:type="dxa"/>
            <w:vAlign w:val="bottom"/>
          </w:tcPr>
          <w:p>
            <w:pPr>
              <w:spacing w:after="0"/>
              <w:rPr>
                <w:sz w:val="17"/>
                <w:szCs w:val="17"/>
                <w:color w:val="auto"/>
              </w:rPr>
            </w:pPr>
          </w:p>
        </w:tc>
        <w:tc>
          <w:tcPr>
            <w:tcW w:w="5480" w:type="dxa"/>
            <w:vAlign w:val="bottom"/>
          </w:tcPr>
          <w:p>
            <w:pPr>
              <w:ind w:left="1060"/>
              <w:spacing w:after="0"/>
              <w:rPr>
                <w:sz w:val="20"/>
                <w:szCs w:val="20"/>
                <w:color w:val="auto"/>
              </w:rPr>
            </w:pPr>
            <w:r>
              <w:rPr>
                <w:rFonts w:ascii="Arial" w:cs="Arial" w:eastAsia="Arial" w:hAnsi="Arial"/>
                <w:sz w:val="15"/>
                <w:szCs w:val="15"/>
                <w:b w:val="1"/>
                <w:bCs w:val="1"/>
                <w:color w:val="262626"/>
              </w:rPr>
              <w:t>Treasurer</w:t>
            </w:r>
          </w:p>
        </w:tc>
      </w:tr>
      <w:tr>
        <w:trPr>
          <w:trHeight w:val="265"/>
        </w:trPr>
        <w:tc>
          <w:tcPr>
            <w:tcW w:w="5540" w:type="dxa"/>
            <w:vAlign w:val="bottom"/>
          </w:tcPr>
          <w:p>
            <w:pPr>
              <w:ind w:left="246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53</w:t>
            </w:r>
          </w:p>
        </w:tc>
        <w:tc>
          <w:tcPr>
            <w:tcW w:w="5480" w:type="dxa"/>
            <w:vAlign w:val="bottom"/>
          </w:tcPr>
          <w:p>
            <w:pPr>
              <w:spacing w:after="0"/>
              <w:rPr>
                <w:sz w:val="23"/>
                <w:szCs w:val="23"/>
                <w:color w:val="auto"/>
              </w:rPr>
            </w:pPr>
          </w:p>
        </w:tc>
      </w:tr>
      <w:tr>
        <w:trPr>
          <w:trHeight w:val="215"/>
        </w:trPr>
        <w:tc>
          <w:tcPr>
            <w:tcW w:w="5540" w:type="dxa"/>
            <w:vAlign w:val="bottom"/>
          </w:tcPr>
          <w:p>
            <w:pPr>
              <w:ind w:left="2460"/>
              <w:spacing w:after="0"/>
              <w:rPr>
                <w:sz w:val="20"/>
                <w:szCs w:val="20"/>
                <w:color w:val="auto"/>
              </w:rPr>
            </w:pPr>
            <w:r>
              <w:rPr>
                <w:rFonts w:ascii="Arial" w:cs="Arial" w:eastAsia="Arial" w:hAnsi="Arial"/>
                <w:sz w:val="16"/>
                <w:szCs w:val="16"/>
                <w:b w:val="1"/>
                <w:bCs w:val="1"/>
                <w:color w:val="262626"/>
              </w:rPr>
              <w:t xml:space="preserve">Tenure at Federal: </w:t>
            </w:r>
            <w:r>
              <w:rPr>
                <w:rFonts w:ascii="Arial" w:cs="Arial" w:eastAsia="Arial" w:hAnsi="Arial"/>
                <w:sz w:val="16"/>
                <w:szCs w:val="16"/>
                <w:color w:val="262626"/>
              </w:rPr>
              <w:t>5 years</w:t>
            </w:r>
          </w:p>
        </w:tc>
        <w:tc>
          <w:tcPr>
            <w:tcW w:w="5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-398780</wp:posOffset>
            </wp:positionV>
            <wp:extent cx="6995160" cy="1268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268730"/>
                    </a:xfrm>
                    <a:prstGeom prst="rect">
                      <a:avLst/>
                    </a:prstGeom>
                    <a:noFill/>
                  </pic:spPr>
                </pic:pic>
              </a:graphicData>
            </a:graphic>
          </wp:anchor>
        </w:drawing>
      </w:r>
    </w:p>
    <w:p>
      <w:pPr>
        <w:spacing w:after="0" w:line="244" w:lineRule="exact"/>
        <w:rPr>
          <w:sz w:val="20"/>
          <w:szCs w:val="20"/>
          <w:color w:val="auto"/>
        </w:rPr>
      </w:pPr>
    </w:p>
    <w:p>
      <w:pPr>
        <w:jc w:val="both"/>
        <w:ind w:left="2580" w:right="140"/>
        <w:spacing w:after="0" w:line="253" w:lineRule="auto"/>
        <w:rPr>
          <w:sz w:val="20"/>
          <w:szCs w:val="20"/>
          <w:color w:val="auto"/>
        </w:rPr>
      </w:pPr>
      <w:r>
        <w:rPr>
          <w:rFonts w:ascii="Arial" w:cs="Arial" w:eastAsia="Arial" w:hAnsi="Arial"/>
          <w:sz w:val="16"/>
          <w:szCs w:val="16"/>
          <w:color w:val="262626"/>
        </w:rPr>
        <w:t>Mr. Guglielmone has served as our Chief Financial Officer since 2016. In that role, he is responsible for overseeing our capital markets, financial reporting, accounting and East Coast acquisitions functions. Prior to joining Federal, Mr. Guglielmone was the Senior Vice President-Acquisitions &amp; Capital Markets for Vornado Realty Trust (2003-2016).</w:t>
      </w:r>
    </w:p>
    <w:p>
      <w:pPr>
        <w:spacing w:after="0" w:line="16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-113030</wp:posOffset>
            </wp:positionV>
            <wp:extent cx="54089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5" w:lineRule="exact"/>
        <w:rPr>
          <w:sz w:val="20"/>
          <w:szCs w:val="20"/>
          <w:color w:val="auto"/>
        </w:rPr>
      </w:pPr>
    </w:p>
    <w:p>
      <w:pPr>
        <w:jc w:val="both"/>
        <w:ind w:left="2580" w:right="140"/>
        <w:spacing w:after="0" w:line="250" w:lineRule="auto"/>
        <w:rPr>
          <w:sz w:val="20"/>
          <w:szCs w:val="20"/>
          <w:color w:val="auto"/>
        </w:rPr>
      </w:pPr>
      <w:r>
        <w:rPr>
          <w:rFonts w:ascii="Arial" w:cs="Arial" w:eastAsia="Arial" w:hAnsi="Arial"/>
          <w:sz w:val="16"/>
          <w:szCs w:val="16"/>
          <w:color w:val="262626"/>
        </w:rPr>
        <w:t>Mr. Guglielmone earned a BS in Applied Economics from Cornell University and a Masters in management from the Kellogg School of Management at Northwestern University.</w:t>
      </w:r>
    </w:p>
    <w:p>
      <w:pPr>
        <w:ind w:left="2580"/>
        <w:spacing w:after="0"/>
        <w:tabs>
          <w:tab w:leader="none" w:pos="6700" w:val="left"/>
        </w:tabs>
        <w:rPr>
          <w:sz w:val="20"/>
          <w:szCs w:val="20"/>
          <w:color w:val="auto"/>
        </w:rPr>
      </w:pPr>
      <w:r>
        <w:rPr>
          <w:rFonts w:ascii="Arial" w:cs="Arial" w:eastAsia="Arial" w:hAnsi="Arial"/>
          <w:sz w:val="43"/>
          <w:szCs w:val="43"/>
          <w:b w:val="1"/>
          <w:bCs w:val="1"/>
          <w:color w:val="262626"/>
          <w:vertAlign w:val="subscript"/>
        </w:rPr>
        <w:t>Dawn M. Becker</w:t>
      </w:r>
      <w:r>
        <w:rPr>
          <w:sz w:val="20"/>
          <w:szCs w:val="20"/>
          <w:color w:val="auto"/>
        </w:rPr>
        <w:tab/>
      </w:r>
      <w:r>
        <w:rPr>
          <w:rFonts w:ascii="Arial" w:cs="Arial" w:eastAsia="Arial" w:hAnsi="Arial"/>
          <w:sz w:val="15"/>
          <w:szCs w:val="15"/>
          <w:b w:val="1"/>
          <w:bCs w:val="1"/>
          <w:color w:val="262626"/>
        </w:rPr>
        <w:t>Executive Vice President-General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-5715</wp:posOffset>
            </wp:positionV>
            <wp:extent cx="1156970" cy="12687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56970" cy="1268730"/>
                    </a:xfrm>
                    <a:prstGeom prst="rect">
                      <a:avLst/>
                    </a:prstGeom>
                    <a:noFill/>
                  </pic:spPr>
                </pic:pic>
              </a:graphicData>
            </a:graphic>
          </wp:anchor>
        </w:drawing>
      </w:r>
    </w:p>
    <w:p>
      <w:pPr>
        <w:spacing w:after="0" w:line="19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 xml:space="preserve">Age: </w:t>
      </w:r>
      <w:r>
        <w:rPr>
          <w:rFonts w:ascii="Arial" w:cs="Arial" w:eastAsia="Arial" w:hAnsi="Arial"/>
          <w:sz w:val="16"/>
          <w:szCs w:val="16"/>
          <w:color w:val="262626"/>
        </w:rPr>
        <w:t>57</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 xml:space="preserve">Tenure at Federal: </w:t>
      </w:r>
      <w:r>
        <w:rPr>
          <w:rFonts w:ascii="Arial" w:cs="Arial" w:eastAsia="Arial" w:hAnsi="Arial"/>
          <w:sz w:val="16"/>
          <w:szCs w:val="16"/>
          <w:color w:val="262626"/>
        </w:rPr>
        <w:t>24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165100</wp:posOffset>
            </wp:positionV>
            <wp:extent cx="54946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255" w:lineRule="exact"/>
        <w:rPr>
          <w:sz w:val="20"/>
          <w:szCs w:val="20"/>
          <w:color w:val="auto"/>
        </w:rPr>
      </w:pPr>
    </w:p>
    <w:p>
      <w:pPr>
        <w:jc w:val="both"/>
        <w:ind w:left="2580"/>
        <w:spacing w:after="0" w:line="250" w:lineRule="auto"/>
        <w:rPr>
          <w:sz w:val="20"/>
          <w:szCs w:val="20"/>
          <w:color w:val="auto"/>
        </w:rPr>
      </w:pPr>
      <w:r>
        <w:rPr>
          <w:rFonts w:ascii="Arial" w:cs="Arial" w:eastAsia="Arial" w:hAnsi="Arial"/>
          <w:sz w:val="16"/>
          <w:szCs w:val="16"/>
          <w:color w:val="262626"/>
        </w:rPr>
        <w:t>Ms. Becker has served as our General Counsel and Secretary since 2002. In that role, she is responsible for overseeing our legal, human resources and information technology departments and has primary responsibility for establishing and implementing all of our environmental, social and governance activities and all ESG reporting. Previously, Ms. Becker served as our Managing Director Mixed-Use Operations (2015 -2016) and as our Chief Operating Officer (2010-2015).</w:t>
      </w:r>
    </w:p>
    <w:p>
      <w:pPr>
        <w:spacing w:after="0" w:line="361"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262626"/>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-113030</wp:posOffset>
            </wp:positionV>
            <wp:extent cx="54946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5" w:lineRule="exact"/>
        <w:rPr>
          <w:sz w:val="20"/>
          <w:szCs w:val="20"/>
          <w:color w:val="auto"/>
        </w:rPr>
      </w:pPr>
    </w:p>
    <w:p>
      <w:pPr>
        <w:ind w:left="2580"/>
        <w:spacing w:after="0"/>
        <w:rPr>
          <w:sz w:val="20"/>
          <w:szCs w:val="20"/>
          <w:color w:val="auto"/>
        </w:rPr>
      </w:pPr>
      <w:r>
        <w:rPr>
          <w:rFonts w:ascii="Arial" w:cs="Arial" w:eastAsia="Arial" w:hAnsi="Arial"/>
          <w:sz w:val="16"/>
          <w:szCs w:val="16"/>
          <w:color w:val="262626"/>
        </w:rPr>
        <w:t>Ms. Becker earned a BA in Economics from Bucknell University and a JD from Stanford Law School.</w:t>
      </w:r>
    </w:p>
    <w:p>
      <w:pPr>
        <w:spacing w:after="0" w:line="21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In February 2021, the Company promoted Jeffrey S. Berkes (age 57) to President and Chief Operating Officer of the Company. Mr. Berkes has been designated as an NEO for 2021 and his compensation information will be included in the Compensation Discussion and Analysis and executive compensation tables in next year’s proxy statement.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Summary Compensation Table</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following table summarizes the total compensation earned by each of our NEOs for the fiscal years ended December 31, 2020, 2019 and 2018, in accordance with current SEC rules. The Summary Compensation Table below does not include the value of the Shares issued to our NEOs on February 10, 2021 for the performance period ending December 31, 2020. The value of those Shares will appear in next year’s proxy statement in the Grants of Plan-Based Awards Table as well as the “Stock Awards” column of the Summary Compensation Table.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b w:val="1"/>
                <w:bCs w:val="1"/>
                <w:color w:val="F73A25"/>
                <w:w w:val="95"/>
              </w:rPr>
              <w:t>Non-Equity</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73"/>
              <w:spacing w:after="0"/>
              <w:rPr>
                <w:sz w:val="20"/>
                <w:szCs w:val="20"/>
                <w:color w:val="auto"/>
              </w:rPr>
            </w:pPr>
            <w:r>
              <w:rPr>
                <w:rFonts w:ascii="Arial" w:cs="Arial" w:eastAsia="Arial" w:hAnsi="Arial"/>
                <w:sz w:val="13"/>
                <w:szCs w:val="13"/>
                <w:b w:val="1"/>
                <w:bCs w:val="1"/>
                <w:color w:val="F73A25"/>
              </w:rPr>
              <w:t>Stock</w:t>
            </w:r>
          </w:p>
        </w:tc>
        <w:tc>
          <w:tcPr>
            <w:tcW w:w="180" w:type="dxa"/>
            <w:vAlign w:val="bottom"/>
          </w:tcPr>
          <w:p>
            <w:pPr>
              <w:spacing w:after="0"/>
              <w:rPr>
                <w:sz w:val="13"/>
                <w:szCs w:val="13"/>
                <w:color w:val="auto"/>
              </w:rPr>
            </w:pPr>
          </w:p>
        </w:tc>
        <w:tc>
          <w:tcPr>
            <w:tcW w:w="1120" w:type="dxa"/>
            <w:vAlign w:val="bottom"/>
          </w:tcPr>
          <w:p>
            <w:pPr>
              <w:jc w:val="center"/>
              <w:ind w:right="113"/>
              <w:spacing w:after="0"/>
              <w:rPr>
                <w:sz w:val="20"/>
                <w:szCs w:val="20"/>
                <w:color w:val="auto"/>
              </w:rPr>
            </w:pPr>
            <w:r>
              <w:rPr>
                <w:rFonts w:ascii="Arial" w:cs="Arial" w:eastAsia="Arial" w:hAnsi="Arial"/>
                <w:sz w:val="13"/>
                <w:szCs w:val="13"/>
                <w:b w:val="1"/>
                <w:bCs w:val="1"/>
                <w:color w:val="F73A25"/>
                <w:w w:val="98"/>
              </w:rPr>
              <w:t>Incentive Plan</w:t>
            </w:r>
          </w:p>
        </w:tc>
        <w:tc>
          <w:tcPr>
            <w:tcW w:w="160" w:type="dxa"/>
            <w:vAlign w:val="bottom"/>
          </w:tcPr>
          <w:p>
            <w:pPr>
              <w:spacing w:after="0"/>
              <w:rPr>
                <w:sz w:val="13"/>
                <w:szCs w:val="13"/>
                <w:color w:val="auto"/>
              </w:rPr>
            </w:pPr>
          </w:p>
        </w:tc>
        <w:tc>
          <w:tcPr>
            <w:tcW w:w="1160" w:type="dxa"/>
            <w:vAlign w:val="bottom"/>
          </w:tcPr>
          <w:p>
            <w:pPr>
              <w:jc w:val="right"/>
              <w:ind w:right="333"/>
              <w:spacing w:after="0"/>
              <w:rPr>
                <w:sz w:val="20"/>
                <w:szCs w:val="20"/>
                <w:color w:val="auto"/>
              </w:rPr>
            </w:pPr>
            <w:r>
              <w:rPr>
                <w:rFonts w:ascii="Arial" w:cs="Arial" w:eastAsia="Arial" w:hAnsi="Arial"/>
                <w:sz w:val="13"/>
                <w:szCs w:val="13"/>
                <w:b w:val="1"/>
                <w:bCs w:val="1"/>
                <w:color w:val="F73A25"/>
              </w:rPr>
              <w:t>All Other</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8"/>
        </w:trPr>
        <w:tc>
          <w:tcPr>
            <w:tcW w:w="4040" w:type="dxa"/>
            <w:vAlign w:val="bottom"/>
            <w:tcBorders>
              <w:bottom w:val="single" w:sz="8" w:color="262626"/>
            </w:tcBorders>
          </w:tcPr>
          <w:p>
            <w:pPr>
              <w:spacing w:after="0"/>
              <w:rPr>
                <w:sz w:val="20"/>
                <w:szCs w:val="20"/>
                <w:color w:val="auto"/>
              </w:rPr>
            </w:pPr>
            <w:r>
              <w:rPr>
                <w:rFonts w:ascii="Arial" w:cs="Arial" w:eastAsia="Arial" w:hAnsi="Arial"/>
                <w:sz w:val="13"/>
                <w:szCs w:val="13"/>
                <w:b w:val="1"/>
                <w:bCs w:val="1"/>
                <w:color w:val="F73A25"/>
              </w:rPr>
              <w:t>Name and Principal Position</w:t>
            </w:r>
          </w:p>
        </w:tc>
        <w:tc>
          <w:tcPr>
            <w:tcW w:w="580" w:type="dxa"/>
            <w:vAlign w:val="bottom"/>
            <w:tcBorders>
              <w:bottom w:val="single" w:sz="8" w:color="262626"/>
            </w:tcBorders>
          </w:tcPr>
          <w:p>
            <w:pPr>
              <w:jc w:val="right"/>
              <w:ind w:right="73"/>
              <w:spacing w:after="0"/>
              <w:rPr>
                <w:sz w:val="20"/>
                <w:szCs w:val="20"/>
                <w:color w:val="auto"/>
              </w:rPr>
            </w:pPr>
            <w:r>
              <w:rPr>
                <w:rFonts w:ascii="Arial" w:cs="Arial" w:eastAsia="Arial" w:hAnsi="Arial"/>
                <w:sz w:val="13"/>
                <w:szCs w:val="13"/>
                <w:b w:val="1"/>
                <w:bCs w:val="1"/>
                <w:color w:val="F73A25"/>
              </w:rPr>
              <w:t>Year</w:t>
            </w:r>
          </w:p>
        </w:tc>
        <w:tc>
          <w:tcPr>
            <w:tcW w:w="160" w:type="dxa"/>
            <w:vAlign w:val="bottom"/>
            <w:tcBorders>
              <w:bottom w:val="single" w:sz="8" w:color="262626"/>
            </w:tcBorders>
          </w:tcPr>
          <w:p>
            <w:pPr>
              <w:spacing w:after="0"/>
              <w:rPr>
                <w:sz w:val="14"/>
                <w:szCs w:val="14"/>
                <w:color w:val="auto"/>
              </w:rPr>
            </w:pPr>
          </w:p>
        </w:tc>
        <w:tc>
          <w:tcPr>
            <w:tcW w:w="700" w:type="dxa"/>
            <w:vAlign w:val="bottom"/>
            <w:tcBorders>
              <w:bottom w:val="single" w:sz="8" w:color="262626"/>
            </w:tcBorders>
          </w:tcPr>
          <w:p>
            <w:pPr>
              <w:jc w:val="right"/>
              <w:ind w:right="113"/>
              <w:spacing w:after="0"/>
              <w:rPr>
                <w:sz w:val="20"/>
                <w:szCs w:val="20"/>
                <w:color w:val="auto"/>
              </w:rPr>
            </w:pPr>
            <w:r>
              <w:rPr>
                <w:rFonts w:ascii="Arial" w:cs="Arial" w:eastAsia="Arial" w:hAnsi="Arial"/>
                <w:sz w:val="13"/>
                <w:szCs w:val="13"/>
                <w:b w:val="1"/>
                <w:bCs w:val="1"/>
                <w:color w:val="F73A25"/>
                <w:w w:val="97"/>
              </w:rPr>
              <w:t>Salary</w:t>
            </w:r>
            <w:r>
              <w:rPr>
                <w:rFonts w:ascii="Arial" w:cs="Arial" w:eastAsia="Arial" w:hAnsi="Arial"/>
                <w:sz w:val="10"/>
                <w:szCs w:val="10"/>
                <w:b w:val="1"/>
                <w:bCs w:val="1"/>
                <w:color w:val="F73A25"/>
                <w:w w:val="97"/>
              </w:rPr>
              <w:t>(1)</w:t>
            </w:r>
          </w:p>
        </w:tc>
        <w:tc>
          <w:tcPr>
            <w:tcW w:w="160" w:type="dxa"/>
            <w:vAlign w:val="bottom"/>
            <w:tcBorders>
              <w:bottom w:val="single" w:sz="8" w:color="262626"/>
            </w:tcBorders>
          </w:tcPr>
          <w:p>
            <w:pPr>
              <w:spacing w:after="0"/>
              <w:rPr>
                <w:sz w:val="14"/>
                <w:szCs w:val="14"/>
                <w:color w:val="auto"/>
              </w:rPr>
            </w:pPr>
          </w:p>
        </w:tc>
        <w:tc>
          <w:tcPr>
            <w:tcW w:w="700" w:type="dxa"/>
            <w:vAlign w:val="bottom"/>
            <w:tcBorders>
              <w:bottom w:val="single" w:sz="8" w:color="262626"/>
            </w:tcBorders>
          </w:tcPr>
          <w:p>
            <w:pPr>
              <w:jc w:val="right"/>
              <w:ind w:right="93"/>
              <w:spacing w:after="0"/>
              <w:rPr>
                <w:sz w:val="20"/>
                <w:szCs w:val="20"/>
                <w:color w:val="auto"/>
              </w:rPr>
            </w:pPr>
            <w:r>
              <w:rPr>
                <w:rFonts w:ascii="Arial" w:cs="Arial" w:eastAsia="Arial" w:hAnsi="Arial"/>
                <w:sz w:val="13"/>
                <w:szCs w:val="13"/>
                <w:b w:val="1"/>
                <w:bCs w:val="1"/>
                <w:color w:val="F73A25"/>
                <w:w w:val="98"/>
              </w:rPr>
              <w:t>Bonus</w:t>
            </w:r>
            <w:r>
              <w:rPr>
                <w:rFonts w:ascii="Arial" w:cs="Arial" w:eastAsia="Arial" w:hAnsi="Arial"/>
                <w:sz w:val="10"/>
                <w:szCs w:val="10"/>
                <w:b w:val="1"/>
                <w:bCs w:val="1"/>
                <w:color w:val="F73A25"/>
                <w:w w:val="98"/>
              </w:rPr>
              <w:t>(2)</w:t>
            </w:r>
          </w:p>
        </w:tc>
        <w:tc>
          <w:tcPr>
            <w:tcW w:w="180" w:type="dxa"/>
            <w:vAlign w:val="bottom"/>
            <w:tcBorders>
              <w:bottom w:val="single" w:sz="8" w:color="262626"/>
            </w:tcBorders>
          </w:tcPr>
          <w:p>
            <w:pPr>
              <w:spacing w:after="0"/>
              <w:rPr>
                <w:sz w:val="14"/>
                <w:szCs w:val="14"/>
                <w:color w:val="auto"/>
              </w:rPr>
            </w:pPr>
          </w:p>
        </w:tc>
        <w:tc>
          <w:tcPr>
            <w:tcW w:w="840" w:type="dxa"/>
            <w:vAlign w:val="bottom"/>
            <w:tcBorders>
              <w:bottom w:val="single" w:sz="8" w:color="262626"/>
            </w:tcBorders>
          </w:tcPr>
          <w:p>
            <w:pPr>
              <w:jc w:val="right"/>
              <w:ind w:right="153"/>
              <w:spacing w:after="0"/>
              <w:rPr>
                <w:sz w:val="20"/>
                <w:szCs w:val="20"/>
                <w:color w:val="auto"/>
              </w:rPr>
            </w:pPr>
            <w:r>
              <w:rPr>
                <w:rFonts w:ascii="Arial" w:cs="Arial" w:eastAsia="Arial" w:hAnsi="Arial"/>
                <w:sz w:val="13"/>
                <w:szCs w:val="13"/>
                <w:b w:val="1"/>
                <w:bCs w:val="1"/>
                <w:color w:val="F73A25"/>
              </w:rPr>
              <w:t>Awards</w:t>
            </w:r>
            <w:r>
              <w:rPr>
                <w:rFonts w:ascii="Arial" w:cs="Arial" w:eastAsia="Arial" w:hAnsi="Arial"/>
                <w:sz w:val="10"/>
                <w:szCs w:val="10"/>
                <w:b w:val="1"/>
                <w:bCs w:val="1"/>
                <w:color w:val="F73A25"/>
              </w:rPr>
              <w:t>(3)</w:t>
            </w:r>
          </w:p>
        </w:tc>
        <w:tc>
          <w:tcPr>
            <w:tcW w:w="1300" w:type="dxa"/>
            <w:vAlign w:val="bottom"/>
            <w:tcBorders>
              <w:bottom w:val="single" w:sz="8" w:color="262626"/>
            </w:tcBorders>
            <w:gridSpan w:val="2"/>
          </w:tcPr>
          <w:p>
            <w:pPr>
              <w:jc w:val="center"/>
              <w:spacing w:after="0"/>
              <w:rPr>
                <w:sz w:val="20"/>
                <w:szCs w:val="20"/>
                <w:color w:val="auto"/>
              </w:rPr>
            </w:pPr>
            <w:r>
              <w:rPr>
                <w:rFonts w:ascii="Arial" w:cs="Arial" w:eastAsia="Arial" w:hAnsi="Arial"/>
                <w:sz w:val="13"/>
                <w:szCs w:val="13"/>
                <w:b w:val="1"/>
                <w:bCs w:val="1"/>
                <w:color w:val="F73A25"/>
                <w:w w:val="99"/>
              </w:rPr>
              <w:t>Compensation</w:t>
            </w:r>
            <w:r>
              <w:rPr>
                <w:rFonts w:ascii="Arial" w:cs="Arial" w:eastAsia="Arial" w:hAnsi="Arial"/>
                <w:sz w:val="10"/>
                <w:szCs w:val="10"/>
                <w:b w:val="1"/>
                <w:bCs w:val="1"/>
                <w:color w:val="F73A25"/>
                <w:w w:val="99"/>
              </w:rPr>
              <w:t>(4)</w:t>
            </w:r>
          </w:p>
        </w:tc>
        <w:tc>
          <w:tcPr>
            <w:tcW w:w="160" w:type="dxa"/>
            <w:vAlign w:val="bottom"/>
            <w:tcBorders>
              <w:bottom w:val="single" w:sz="8" w:color="262626"/>
            </w:tcBorders>
          </w:tcPr>
          <w:p>
            <w:pPr>
              <w:spacing w:after="0"/>
              <w:rPr>
                <w:sz w:val="14"/>
                <w:szCs w:val="14"/>
                <w:color w:val="auto"/>
              </w:rPr>
            </w:pPr>
          </w:p>
        </w:tc>
        <w:tc>
          <w:tcPr>
            <w:tcW w:w="1160" w:type="dxa"/>
            <w:vAlign w:val="bottom"/>
            <w:tcBorders>
              <w:bottom w:val="single" w:sz="8" w:color="262626"/>
            </w:tcBorders>
          </w:tcPr>
          <w:p>
            <w:pPr>
              <w:jc w:val="right"/>
              <w:ind w:right="93"/>
              <w:spacing w:after="0"/>
              <w:rPr>
                <w:sz w:val="20"/>
                <w:szCs w:val="20"/>
                <w:color w:val="auto"/>
              </w:rPr>
            </w:pPr>
            <w:r>
              <w:rPr>
                <w:rFonts w:ascii="Arial" w:cs="Arial" w:eastAsia="Arial" w:hAnsi="Arial"/>
                <w:sz w:val="13"/>
                <w:szCs w:val="13"/>
                <w:b w:val="1"/>
                <w:bCs w:val="1"/>
                <w:color w:val="F73A25"/>
                <w:w w:val="95"/>
              </w:rPr>
              <w:t>Compensation</w:t>
            </w:r>
            <w:r>
              <w:rPr>
                <w:rFonts w:ascii="Arial" w:cs="Arial" w:eastAsia="Arial" w:hAnsi="Arial"/>
                <w:sz w:val="10"/>
                <w:szCs w:val="10"/>
                <w:b w:val="1"/>
                <w:bCs w:val="1"/>
                <w:color w:val="F73A25"/>
                <w:w w:val="95"/>
              </w:rPr>
              <w:t>(5)</w:t>
            </w:r>
          </w:p>
        </w:tc>
        <w:tc>
          <w:tcPr>
            <w:tcW w:w="260" w:type="dxa"/>
            <w:vAlign w:val="bottom"/>
            <w:tcBorders>
              <w:bottom w:val="single" w:sz="8" w:color="262626"/>
            </w:tcBorders>
          </w:tcPr>
          <w:p>
            <w:pPr>
              <w:spacing w:after="0"/>
              <w:rPr>
                <w:sz w:val="14"/>
                <w:szCs w:val="14"/>
                <w:color w:val="auto"/>
              </w:rPr>
            </w:pPr>
          </w:p>
        </w:tc>
        <w:tc>
          <w:tcPr>
            <w:tcW w:w="780" w:type="dxa"/>
            <w:vAlign w:val="bottom"/>
            <w:tcBorders>
              <w:bottom w:val="single" w:sz="8" w:color="262626"/>
            </w:tcBorders>
          </w:tcPr>
          <w:p>
            <w:pPr>
              <w:ind w:left="120"/>
              <w:spacing w:after="0"/>
              <w:rPr>
                <w:sz w:val="20"/>
                <w:szCs w:val="20"/>
                <w:color w:val="auto"/>
              </w:rPr>
            </w:pPr>
            <w:r>
              <w:rPr>
                <w:rFonts w:ascii="Arial" w:cs="Arial" w:eastAsia="Arial" w:hAnsi="Arial"/>
                <w:sz w:val="13"/>
                <w:szCs w:val="13"/>
                <w:b w:val="1"/>
                <w:bCs w:val="1"/>
                <w:color w:val="F73A25"/>
              </w:rPr>
              <w:t>Total</w:t>
            </w:r>
          </w:p>
        </w:tc>
      </w:tr>
      <w:tr>
        <w:trPr>
          <w:trHeight w:val="141"/>
        </w:trPr>
        <w:tc>
          <w:tcPr>
            <w:tcW w:w="4040" w:type="dxa"/>
            <w:vAlign w:val="bottom"/>
          </w:tcPr>
          <w:p>
            <w:pPr>
              <w:spacing w:after="0" w:line="141" w:lineRule="exact"/>
              <w:rPr>
                <w:sz w:val="20"/>
                <w:szCs w:val="20"/>
                <w:color w:val="auto"/>
              </w:rPr>
            </w:pPr>
            <w:r>
              <w:rPr>
                <w:rFonts w:ascii="Arial" w:cs="Arial" w:eastAsia="Arial" w:hAnsi="Arial"/>
                <w:sz w:val="13"/>
                <w:szCs w:val="13"/>
                <w:color w:val="262626"/>
              </w:rPr>
              <w:t>Donald C. Wood, Chief Executive Officer (PEO)</w:t>
            </w:r>
          </w:p>
        </w:tc>
        <w:tc>
          <w:tcPr>
            <w:tcW w:w="58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2020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950,000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line="141" w:lineRule="exact"/>
              <w:rPr>
                <w:sz w:val="20"/>
                <w:szCs w:val="20"/>
                <w:color w:val="auto"/>
              </w:rPr>
            </w:pPr>
            <w:r>
              <w:rPr>
                <w:rFonts w:ascii="Arial" w:cs="Arial" w:eastAsia="Arial" w:hAnsi="Arial"/>
                <w:sz w:val="13"/>
                <w:szCs w:val="13"/>
                <w:color w:val="262626"/>
              </w:rPr>
              <w:t>-</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5,830,493</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534,375</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166,928</w:t>
            </w:r>
          </w:p>
        </w:tc>
        <w:tc>
          <w:tcPr>
            <w:tcW w:w="260" w:type="dxa"/>
            <w:vAlign w:val="bottom"/>
          </w:tcPr>
          <w:p>
            <w:pPr>
              <w:jc w:val="right"/>
              <w:ind w:right="53"/>
              <w:spacing w:after="0" w:line="141" w:lineRule="exact"/>
              <w:rPr>
                <w:sz w:val="20"/>
                <w:szCs w:val="20"/>
                <w:color w:val="auto"/>
              </w:rPr>
            </w:pPr>
            <w:r>
              <w:rPr>
                <w:rFonts w:ascii="Arial" w:cs="Arial" w:eastAsia="Arial" w:hAnsi="Arial"/>
                <w:sz w:val="13"/>
                <w:szCs w:val="13"/>
                <w:color w:val="262626"/>
              </w:rPr>
              <w:t>$</w:t>
            </w:r>
          </w:p>
        </w:tc>
        <w:tc>
          <w:tcPr>
            <w:tcW w:w="780" w:type="dxa"/>
            <w:vAlign w:val="bottom"/>
          </w:tcPr>
          <w:p>
            <w:pPr>
              <w:ind w:left="120"/>
              <w:spacing w:after="0" w:line="141" w:lineRule="exact"/>
              <w:rPr>
                <w:sz w:val="20"/>
                <w:szCs w:val="20"/>
                <w:color w:val="auto"/>
              </w:rPr>
            </w:pPr>
            <w:r>
              <w:rPr>
                <w:rFonts w:ascii="Arial" w:cs="Arial" w:eastAsia="Arial" w:hAnsi="Arial"/>
                <w:sz w:val="13"/>
                <w:szCs w:val="13"/>
                <w:color w:val="262626"/>
              </w:rPr>
              <w:t>7,481,796</w:t>
            </w:r>
          </w:p>
        </w:tc>
      </w:tr>
      <w:tr>
        <w:trPr>
          <w:trHeight w:val="148"/>
        </w:trPr>
        <w:tc>
          <w:tcPr>
            <w:tcW w:w="4040" w:type="dxa"/>
            <w:vAlign w:val="bottom"/>
          </w:tcPr>
          <w:p>
            <w:pPr>
              <w:spacing w:after="0"/>
              <w:rPr>
                <w:sz w:val="12"/>
                <w:szCs w:val="12"/>
                <w:color w:val="auto"/>
              </w:rPr>
            </w:pPr>
          </w:p>
        </w:tc>
        <w:tc>
          <w:tcPr>
            <w:tcW w:w="580" w:type="dxa"/>
            <w:vAlign w:val="bottom"/>
          </w:tcPr>
          <w:p>
            <w:pPr>
              <w:jc w:val="right"/>
              <w:ind w:right="13"/>
              <w:spacing w:after="0"/>
              <w:rPr>
                <w:sz w:val="20"/>
                <w:szCs w:val="20"/>
                <w:color w:val="auto"/>
              </w:rPr>
            </w:pPr>
            <w:r>
              <w:rPr>
                <w:rFonts w:ascii="Arial" w:cs="Arial" w:eastAsia="Arial" w:hAnsi="Arial"/>
                <w:sz w:val="13"/>
                <w:szCs w:val="13"/>
                <w:color w:val="262626"/>
              </w:rPr>
              <w:t>2019</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262626"/>
              </w:rPr>
              <w:t>950,000</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262626"/>
              </w:rPr>
              <w:t>-</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62626"/>
              </w:rPr>
              <w:t>5,534,437</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rPr>
                <w:sz w:val="20"/>
                <w:szCs w:val="20"/>
                <w:color w:val="auto"/>
              </w:rPr>
            </w:pPr>
            <w:r>
              <w:rPr>
                <w:rFonts w:ascii="Arial" w:cs="Arial" w:eastAsia="Arial" w:hAnsi="Arial"/>
                <w:sz w:val="13"/>
                <w:szCs w:val="13"/>
                <w:color w:val="262626"/>
              </w:rPr>
              <w:t>1,128,125</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262626"/>
              </w:rPr>
              <w:t>18,296</w:t>
            </w:r>
          </w:p>
        </w:tc>
        <w:tc>
          <w:tcPr>
            <w:tcW w:w="260" w:type="dxa"/>
            <w:vAlign w:val="bottom"/>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Pr>
          <w:p>
            <w:pPr>
              <w:ind w:left="120"/>
              <w:spacing w:after="0"/>
              <w:rPr>
                <w:sz w:val="20"/>
                <w:szCs w:val="20"/>
                <w:color w:val="auto"/>
              </w:rPr>
            </w:pPr>
            <w:r>
              <w:rPr>
                <w:rFonts w:ascii="Arial" w:cs="Arial" w:eastAsia="Arial" w:hAnsi="Arial"/>
                <w:sz w:val="13"/>
                <w:szCs w:val="13"/>
                <w:color w:val="262626"/>
              </w:rPr>
              <w:t>7,630,858</w:t>
            </w:r>
          </w:p>
        </w:tc>
      </w:tr>
      <w:tr>
        <w:trPr>
          <w:trHeight w:val="149"/>
        </w:trPr>
        <w:tc>
          <w:tcPr>
            <w:tcW w:w="4040" w:type="dxa"/>
            <w:vAlign w:val="bottom"/>
            <w:tcBorders>
              <w:bottom w:val="single" w:sz="8" w:color="262626"/>
            </w:tcBorders>
          </w:tcPr>
          <w:p>
            <w:pPr>
              <w:spacing w:after="0"/>
              <w:rPr>
                <w:sz w:val="12"/>
                <w:szCs w:val="12"/>
                <w:color w:val="auto"/>
              </w:rPr>
            </w:pPr>
          </w:p>
        </w:tc>
        <w:tc>
          <w:tcPr>
            <w:tcW w:w="58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2018</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950,000</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ind w:right="73"/>
              <w:spacing w:after="0"/>
              <w:rPr>
                <w:sz w:val="20"/>
                <w:szCs w:val="20"/>
                <w:color w:val="auto"/>
              </w:rPr>
            </w:pPr>
            <w:r>
              <w:rPr>
                <w:rFonts w:ascii="Arial" w:cs="Arial" w:eastAsia="Arial" w:hAnsi="Arial"/>
                <w:sz w:val="13"/>
                <w:szCs w:val="13"/>
                <w:color w:val="262626"/>
              </w:rPr>
              <w:t>-</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84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5,160,832</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1,335,938</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17,412</w:t>
            </w:r>
          </w:p>
        </w:tc>
        <w:tc>
          <w:tcPr>
            <w:tcW w:w="260" w:type="dxa"/>
            <w:vAlign w:val="bottom"/>
            <w:tcBorders>
              <w:bottom w:val="single" w:sz="8" w:color="262626"/>
            </w:tcBorders>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Borders>
              <w:bottom w:val="single" w:sz="8" w:color="262626"/>
            </w:tcBorders>
          </w:tcPr>
          <w:p>
            <w:pPr>
              <w:ind w:left="120"/>
              <w:spacing w:after="0"/>
              <w:rPr>
                <w:sz w:val="20"/>
                <w:szCs w:val="20"/>
                <w:color w:val="auto"/>
              </w:rPr>
            </w:pPr>
            <w:r>
              <w:rPr>
                <w:rFonts w:ascii="Arial" w:cs="Arial" w:eastAsia="Arial" w:hAnsi="Arial"/>
                <w:sz w:val="13"/>
                <w:szCs w:val="13"/>
                <w:color w:val="262626"/>
              </w:rPr>
              <w:t>7,464,182</w:t>
            </w:r>
          </w:p>
        </w:tc>
      </w:tr>
      <w:tr>
        <w:trPr>
          <w:trHeight w:val="141"/>
        </w:trPr>
        <w:tc>
          <w:tcPr>
            <w:tcW w:w="4040" w:type="dxa"/>
            <w:vAlign w:val="bottom"/>
          </w:tcPr>
          <w:p>
            <w:pPr>
              <w:spacing w:after="0" w:line="141" w:lineRule="exact"/>
              <w:rPr>
                <w:sz w:val="20"/>
                <w:szCs w:val="20"/>
                <w:color w:val="auto"/>
              </w:rPr>
            </w:pPr>
            <w:r>
              <w:rPr>
                <w:rFonts w:ascii="Arial" w:cs="Arial" w:eastAsia="Arial" w:hAnsi="Arial"/>
                <w:sz w:val="13"/>
                <w:szCs w:val="13"/>
                <w:color w:val="262626"/>
              </w:rPr>
              <w:t>Daniel Guglielmone, Executive Vice President-Chief Financial</w:t>
            </w:r>
          </w:p>
        </w:tc>
        <w:tc>
          <w:tcPr>
            <w:tcW w:w="58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2020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500,000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line="141" w:lineRule="exact"/>
              <w:rPr>
                <w:sz w:val="20"/>
                <w:szCs w:val="20"/>
                <w:color w:val="auto"/>
              </w:rPr>
            </w:pPr>
            <w:r>
              <w:rPr>
                <w:rFonts w:ascii="Arial" w:cs="Arial" w:eastAsia="Arial" w:hAnsi="Arial"/>
                <w:sz w:val="13"/>
                <w:szCs w:val="13"/>
                <w:color w:val="262626"/>
              </w:rPr>
              <w:t>-</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968,270</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281,250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236,818</w:t>
            </w:r>
          </w:p>
        </w:tc>
        <w:tc>
          <w:tcPr>
            <w:tcW w:w="260" w:type="dxa"/>
            <w:vAlign w:val="bottom"/>
          </w:tcPr>
          <w:p>
            <w:pPr>
              <w:jc w:val="right"/>
              <w:ind w:right="53"/>
              <w:spacing w:after="0" w:line="141" w:lineRule="exact"/>
              <w:rPr>
                <w:sz w:val="20"/>
                <w:szCs w:val="20"/>
                <w:color w:val="auto"/>
              </w:rPr>
            </w:pPr>
            <w:r>
              <w:rPr>
                <w:rFonts w:ascii="Arial" w:cs="Arial" w:eastAsia="Arial" w:hAnsi="Arial"/>
                <w:sz w:val="13"/>
                <w:szCs w:val="13"/>
                <w:color w:val="262626"/>
              </w:rPr>
              <w:t>$</w:t>
            </w:r>
          </w:p>
        </w:tc>
        <w:tc>
          <w:tcPr>
            <w:tcW w:w="780" w:type="dxa"/>
            <w:vAlign w:val="bottom"/>
          </w:tcPr>
          <w:p>
            <w:pPr>
              <w:ind w:left="120"/>
              <w:spacing w:after="0" w:line="141" w:lineRule="exact"/>
              <w:rPr>
                <w:sz w:val="20"/>
                <w:szCs w:val="20"/>
                <w:color w:val="auto"/>
              </w:rPr>
            </w:pPr>
            <w:r>
              <w:rPr>
                <w:rFonts w:ascii="Arial" w:cs="Arial" w:eastAsia="Arial" w:hAnsi="Arial"/>
                <w:sz w:val="13"/>
                <w:szCs w:val="13"/>
                <w:color w:val="262626"/>
              </w:rPr>
              <w:t>1,986,338</w:t>
            </w: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262626"/>
              </w:rPr>
              <w:t>Officer and Treasurer (PFO)</w:t>
            </w:r>
          </w:p>
        </w:tc>
        <w:tc>
          <w:tcPr>
            <w:tcW w:w="580" w:type="dxa"/>
            <w:vAlign w:val="bottom"/>
          </w:tcPr>
          <w:p>
            <w:pPr>
              <w:jc w:val="right"/>
              <w:ind w:right="13"/>
              <w:spacing w:after="0"/>
              <w:rPr>
                <w:sz w:val="20"/>
                <w:szCs w:val="20"/>
                <w:color w:val="auto"/>
              </w:rPr>
            </w:pPr>
            <w:r>
              <w:rPr>
                <w:rFonts w:ascii="Arial" w:cs="Arial" w:eastAsia="Arial" w:hAnsi="Arial"/>
                <w:sz w:val="13"/>
                <w:szCs w:val="13"/>
                <w:color w:val="262626"/>
              </w:rPr>
              <w:t>2019</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262626"/>
              </w:rPr>
              <w:t>500,000</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262626"/>
              </w:rPr>
              <w:t>-</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62626"/>
              </w:rPr>
              <w:t>900,012</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rPr>
                <w:sz w:val="20"/>
                <w:szCs w:val="20"/>
                <w:color w:val="auto"/>
              </w:rPr>
            </w:pPr>
            <w:r>
              <w:rPr>
                <w:rFonts w:ascii="Arial" w:cs="Arial" w:eastAsia="Arial" w:hAnsi="Arial"/>
                <w:sz w:val="13"/>
                <w:szCs w:val="13"/>
                <w:color w:val="262626"/>
              </w:rPr>
              <w:t>395,833</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262626"/>
              </w:rPr>
              <w:t>9,728</w:t>
            </w:r>
          </w:p>
        </w:tc>
        <w:tc>
          <w:tcPr>
            <w:tcW w:w="260" w:type="dxa"/>
            <w:vAlign w:val="bottom"/>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Pr>
          <w:p>
            <w:pPr>
              <w:ind w:left="120"/>
              <w:spacing w:after="0"/>
              <w:rPr>
                <w:sz w:val="20"/>
                <w:szCs w:val="20"/>
                <w:color w:val="auto"/>
              </w:rPr>
            </w:pPr>
            <w:r>
              <w:rPr>
                <w:rFonts w:ascii="Arial" w:cs="Arial" w:eastAsia="Arial" w:hAnsi="Arial"/>
                <w:sz w:val="13"/>
                <w:szCs w:val="13"/>
                <w:color w:val="262626"/>
              </w:rPr>
              <w:t>1,805,573</w:t>
            </w:r>
          </w:p>
        </w:tc>
      </w:tr>
      <w:tr>
        <w:trPr>
          <w:trHeight w:val="149"/>
        </w:trPr>
        <w:tc>
          <w:tcPr>
            <w:tcW w:w="4040" w:type="dxa"/>
            <w:vAlign w:val="bottom"/>
            <w:tcBorders>
              <w:bottom w:val="single" w:sz="8" w:color="262626"/>
            </w:tcBorders>
          </w:tcPr>
          <w:p>
            <w:pPr>
              <w:spacing w:after="0"/>
              <w:rPr>
                <w:sz w:val="12"/>
                <w:szCs w:val="12"/>
                <w:color w:val="auto"/>
              </w:rPr>
            </w:pPr>
          </w:p>
        </w:tc>
        <w:tc>
          <w:tcPr>
            <w:tcW w:w="58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2018</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475,000</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300,000</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84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787,508</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445,313</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9,592</w:t>
            </w:r>
          </w:p>
        </w:tc>
        <w:tc>
          <w:tcPr>
            <w:tcW w:w="260" w:type="dxa"/>
            <w:vAlign w:val="bottom"/>
            <w:tcBorders>
              <w:bottom w:val="single" w:sz="8" w:color="262626"/>
            </w:tcBorders>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Borders>
              <w:bottom w:val="single" w:sz="8" w:color="262626"/>
            </w:tcBorders>
          </w:tcPr>
          <w:p>
            <w:pPr>
              <w:ind w:left="120"/>
              <w:spacing w:after="0"/>
              <w:rPr>
                <w:sz w:val="20"/>
                <w:szCs w:val="20"/>
                <w:color w:val="auto"/>
              </w:rPr>
            </w:pPr>
            <w:r>
              <w:rPr>
                <w:rFonts w:ascii="Arial" w:cs="Arial" w:eastAsia="Arial" w:hAnsi="Arial"/>
                <w:sz w:val="13"/>
                <w:szCs w:val="13"/>
                <w:color w:val="262626"/>
              </w:rPr>
              <w:t>2,017,413</w:t>
            </w:r>
          </w:p>
        </w:tc>
      </w:tr>
      <w:tr>
        <w:trPr>
          <w:trHeight w:val="141"/>
        </w:trPr>
        <w:tc>
          <w:tcPr>
            <w:tcW w:w="4040" w:type="dxa"/>
            <w:vAlign w:val="bottom"/>
          </w:tcPr>
          <w:p>
            <w:pPr>
              <w:spacing w:after="0" w:line="141" w:lineRule="exact"/>
              <w:rPr>
                <w:sz w:val="20"/>
                <w:szCs w:val="20"/>
                <w:color w:val="auto"/>
              </w:rPr>
            </w:pPr>
            <w:r>
              <w:rPr>
                <w:rFonts w:ascii="Arial" w:cs="Arial" w:eastAsia="Arial" w:hAnsi="Arial"/>
                <w:sz w:val="13"/>
                <w:szCs w:val="13"/>
                <w:color w:val="262626"/>
              </w:rPr>
              <w:t>Dawn M. Becker, Executive Vice President-General Counsel and</w:t>
            </w:r>
          </w:p>
        </w:tc>
        <w:tc>
          <w:tcPr>
            <w:tcW w:w="58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2020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475,000</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line="141" w:lineRule="exact"/>
              <w:rPr>
                <w:sz w:val="20"/>
                <w:szCs w:val="20"/>
                <w:color w:val="auto"/>
              </w:rPr>
            </w:pPr>
            <w:r>
              <w:rPr>
                <w:rFonts w:ascii="Arial" w:cs="Arial" w:eastAsia="Arial" w:hAnsi="Arial"/>
                <w:sz w:val="13"/>
                <w:szCs w:val="13"/>
                <w:color w:val="262626"/>
              </w:rPr>
              <w:t>-</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758,275</w:t>
            </w:r>
          </w:p>
        </w:tc>
        <w:tc>
          <w:tcPr>
            <w:tcW w:w="18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200,391</w:t>
            </w:r>
          </w:p>
        </w:tc>
        <w:tc>
          <w:tcPr>
            <w:tcW w:w="160" w:type="dxa"/>
            <w:vAlign w:val="bottom"/>
          </w:tcPr>
          <w:p>
            <w:pPr>
              <w:jc w:val="right"/>
              <w:spacing w:after="0" w:line="141" w:lineRule="exact"/>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line="141" w:lineRule="exact"/>
              <w:rPr>
                <w:sz w:val="20"/>
                <w:szCs w:val="20"/>
                <w:color w:val="auto"/>
              </w:rPr>
            </w:pPr>
            <w:r>
              <w:rPr>
                <w:rFonts w:ascii="Arial" w:cs="Arial" w:eastAsia="Arial" w:hAnsi="Arial"/>
                <w:sz w:val="13"/>
                <w:szCs w:val="13"/>
                <w:color w:val="262626"/>
              </w:rPr>
              <w:t>86,359</w:t>
            </w:r>
          </w:p>
        </w:tc>
        <w:tc>
          <w:tcPr>
            <w:tcW w:w="260" w:type="dxa"/>
            <w:vAlign w:val="bottom"/>
          </w:tcPr>
          <w:p>
            <w:pPr>
              <w:jc w:val="right"/>
              <w:ind w:right="53"/>
              <w:spacing w:after="0" w:line="141" w:lineRule="exact"/>
              <w:rPr>
                <w:sz w:val="20"/>
                <w:szCs w:val="20"/>
                <w:color w:val="auto"/>
              </w:rPr>
            </w:pPr>
            <w:r>
              <w:rPr>
                <w:rFonts w:ascii="Arial" w:cs="Arial" w:eastAsia="Arial" w:hAnsi="Arial"/>
                <w:sz w:val="13"/>
                <w:szCs w:val="13"/>
                <w:color w:val="262626"/>
              </w:rPr>
              <w:t>$</w:t>
            </w:r>
          </w:p>
        </w:tc>
        <w:tc>
          <w:tcPr>
            <w:tcW w:w="780" w:type="dxa"/>
            <w:vAlign w:val="bottom"/>
          </w:tcPr>
          <w:p>
            <w:pPr>
              <w:ind w:left="120"/>
              <w:spacing w:after="0" w:line="141" w:lineRule="exact"/>
              <w:rPr>
                <w:sz w:val="20"/>
                <w:szCs w:val="20"/>
                <w:color w:val="auto"/>
              </w:rPr>
            </w:pPr>
            <w:r>
              <w:rPr>
                <w:rFonts w:ascii="Arial" w:cs="Arial" w:eastAsia="Arial" w:hAnsi="Arial"/>
                <w:sz w:val="13"/>
                <w:szCs w:val="13"/>
                <w:color w:val="262626"/>
              </w:rPr>
              <w:t>1,520,025</w:t>
            </w: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262626"/>
              </w:rPr>
              <w:t>Secretary</w:t>
            </w:r>
          </w:p>
        </w:tc>
        <w:tc>
          <w:tcPr>
            <w:tcW w:w="580" w:type="dxa"/>
            <w:vAlign w:val="bottom"/>
          </w:tcPr>
          <w:p>
            <w:pPr>
              <w:jc w:val="right"/>
              <w:ind w:right="13"/>
              <w:spacing w:after="0"/>
              <w:rPr>
                <w:sz w:val="20"/>
                <w:szCs w:val="20"/>
                <w:color w:val="auto"/>
              </w:rPr>
            </w:pPr>
            <w:r>
              <w:rPr>
                <w:rFonts w:ascii="Arial" w:cs="Arial" w:eastAsia="Arial" w:hAnsi="Arial"/>
                <w:sz w:val="13"/>
                <w:szCs w:val="13"/>
                <w:color w:val="262626"/>
              </w:rPr>
              <w:t>2019</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262626"/>
              </w:rPr>
              <w:t>475,000</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262626"/>
              </w:rPr>
              <w:t>-</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262626"/>
              </w:rPr>
              <w:t>726,587</w:t>
            </w:r>
          </w:p>
        </w:tc>
        <w:tc>
          <w:tcPr>
            <w:tcW w:w="180" w:type="dxa"/>
            <w:vAlign w:val="bottom"/>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Pr>
          <w:p>
            <w:pPr>
              <w:jc w:val="right"/>
              <w:ind w:right="13"/>
              <w:spacing w:after="0"/>
              <w:rPr>
                <w:sz w:val="20"/>
                <w:szCs w:val="20"/>
                <w:color w:val="auto"/>
              </w:rPr>
            </w:pPr>
            <w:r>
              <w:rPr>
                <w:rFonts w:ascii="Arial" w:cs="Arial" w:eastAsia="Arial" w:hAnsi="Arial"/>
                <w:sz w:val="13"/>
                <w:szCs w:val="13"/>
                <w:color w:val="262626"/>
              </w:rPr>
              <w:t>282,031</w:t>
            </w:r>
          </w:p>
        </w:tc>
        <w:tc>
          <w:tcPr>
            <w:tcW w:w="160" w:type="dxa"/>
            <w:vAlign w:val="bottom"/>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262626"/>
              </w:rPr>
              <w:t>13,265</w:t>
            </w:r>
          </w:p>
        </w:tc>
        <w:tc>
          <w:tcPr>
            <w:tcW w:w="260" w:type="dxa"/>
            <w:vAlign w:val="bottom"/>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Pr>
          <w:p>
            <w:pPr>
              <w:ind w:left="120"/>
              <w:spacing w:after="0"/>
              <w:rPr>
                <w:sz w:val="20"/>
                <w:szCs w:val="20"/>
                <w:color w:val="auto"/>
              </w:rPr>
            </w:pPr>
            <w:r>
              <w:rPr>
                <w:rFonts w:ascii="Arial" w:cs="Arial" w:eastAsia="Arial" w:hAnsi="Arial"/>
                <w:sz w:val="13"/>
                <w:szCs w:val="13"/>
                <w:color w:val="262626"/>
              </w:rPr>
              <w:t>1,496,883</w:t>
            </w:r>
          </w:p>
        </w:tc>
      </w:tr>
      <w:tr>
        <w:trPr>
          <w:trHeight w:val="149"/>
        </w:trPr>
        <w:tc>
          <w:tcPr>
            <w:tcW w:w="4040" w:type="dxa"/>
            <w:vAlign w:val="bottom"/>
            <w:tcBorders>
              <w:bottom w:val="single" w:sz="8" w:color="262626"/>
            </w:tcBorders>
          </w:tcPr>
          <w:p>
            <w:pPr>
              <w:spacing w:after="0"/>
              <w:rPr>
                <w:sz w:val="12"/>
                <w:szCs w:val="12"/>
                <w:color w:val="auto"/>
              </w:rPr>
            </w:pPr>
          </w:p>
        </w:tc>
        <w:tc>
          <w:tcPr>
            <w:tcW w:w="58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2018</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450,000</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70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50,000</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84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562,490</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2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316,406</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3"/>
                <w:szCs w:val="13"/>
                <w:color w:val="262626"/>
              </w:rPr>
              <w:t>$</w:t>
            </w:r>
          </w:p>
        </w:tc>
        <w:tc>
          <w:tcPr>
            <w:tcW w:w="1160" w:type="dxa"/>
            <w:vAlign w:val="bottom"/>
            <w:tcBorders>
              <w:bottom w:val="single" w:sz="8" w:color="262626"/>
            </w:tcBorders>
          </w:tcPr>
          <w:p>
            <w:pPr>
              <w:jc w:val="right"/>
              <w:ind w:right="13"/>
              <w:spacing w:after="0"/>
              <w:rPr>
                <w:sz w:val="20"/>
                <w:szCs w:val="20"/>
                <w:color w:val="auto"/>
              </w:rPr>
            </w:pPr>
            <w:r>
              <w:rPr>
                <w:rFonts w:ascii="Arial" w:cs="Arial" w:eastAsia="Arial" w:hAnsi="Arial"/>
                <w:sz w:val="13"/>
                <w:szCs w:val="13"/>
                <w:color w:val="262626"/>
              </w:rPr>
              <w:t>12,406</w:t>
            </w:r>
          </w:p>
        </w:tc>
        <w:tc>
          <w:tcPr>
            <w:tcW w:w="260" w:type="dxa"/>
            <w:vAlign w:val="bottom"/>
            <w:tcBorders>
              <w:bottom w:val="single" w:sz="8" w:color="262626"/>
            </w:tcBorders>
          </w:tcPr>
          <w:p>
            <w:pPr>
              <w:jc w:val="right"/>
              <w:ind w:right="53"/>
              <w:spacing w:after="0"/>
              <w:rPr>
                <w:sz w:val="20"/>
                <w:szCs w:val="20"/>
                <w:color w:val="auto"/>
              </w:rPr>
            </w:pPr>
            <w:r>
              <w:rPr>
                <w:rFonts w:ascii="Arial" w:cs="Arial" w:eastAsia="Arial" w:hAnsi="Arial"/>
                <w:sz w:val="13"/>
                <w:szCs w:val="13"/>
                <w:color w:val="262626"/>
              </w:rPr>
              <w:t>$</w:t>
            </w:r>
          </w:p>
        </w:tc>
        <w:tc>
          <w:tcPr>
            <w:tcW w:w="780" w:type="dxa"/>
            <w:vAlign w:val="bottom"/>
            <w:tcBorders>
              <w:bottom w:val="single" w:sz="8" w:color="262626"/>
            </w:tcBorders>
          </w:tcPr>
          <w:p>
            <w:pPr>
              <w:ind w:left="120"/>
              <w:spacing w:after="0"/>
              <w:rPr>
                <w:sz w:val="20"/>
                <w:szCs w:val="20"/>
                <w:color w:val="auto"/>
              </w:rPr>
            </w:pPr>
            <w:r>
              <w:rPr>
                <w:rFonts w:ascii="Arial" w:cs="Arial" w:eastAsia="Arial" w:hAnsi="Arial"/>
                <w:sz w:val="13"/>
                <w:szCs w:val="13"/>
                <w:color w:val="262626"/>
              </w:rPr>
              <w:t>1,391,302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34" w:lineRule="auto"/>
        <w:tabs>
          <w:tab w:leader="none" w:pos="540" w:val="left"/>
        </w:tabs>
        <w:numPr>
          <w:ilvl w:val="0"/>
          <w:numId w:val="22"/>
        </w:numPr>
        <w:rPr>
          <w:rFonts w:ascii="Arial" w:cs="Arial" w:eastAsia="Arial" w:hAnsi="Arial"/>
          <w:sz w:val="15"/>
          <w:szCs w:val="15"/>
          <w:color w:val="262626"/>
        </w:rPr>
      </w:pPr>
      <w:r>
        <w:rPr>
          <w:rFonts w:ascii="Arial" w:cs="Arial" w:eastAsia="Arial" w:hAnsi="Arial"/>
          <w:sz w:val="18"/>
          <w:szCs w:val="18"/>
          <w:color w:val="262626"/>
        </w:rPr>
        <w:t>Amounts shown in the Salary column include all amounts deferred at the election of the NEOs into our non-qualified deferred compensation plan.</w:t>
      </w:r>
    </w:p>
    <w:p>
      <w:pPr>
        <w:spacing w:after="0" w:line="1" w:lineRule="exact"/>
        <w:rPr>
          <w:rFonts w:ascii="Arial" w:cs="Arial" w:eastAsia="Arial" w:hAnsi="Arial"/>
          <w:sz w:val="15"/>
          <w:szCs w:val="15"/>
          <w:color w:val="262626"/>
        </w:rPr>
      </w:pPr>
    </w:p>
    <w:p>
      <w:pPr>
        <w:ind w:left="540" w:right="20" w:hanging="424"/>
        <w:spacing w:after="0" w:line="234" w:lineRule="auto"/>
        <w:tabs>
          <w:tab w:leader="none" w:pos="540" w:val="left"/>
        </w:tabs>
        <w:numPr>
          <w:ilvl w:val="0"/>
          <w:numId w:val="22"/>
        </w:numPr>
        <w:rPr>
          <w:rFonts w:ascii="Arial" w:cs="Arial" w:eastAsia="Arial" w:hAnsi="Arial"/>
          <w:sz w:val="15"/>
          <w:szCs w:val="15"/>
          <w:color w:val="262626"/>
        </w:rPr>
      </w:pPr>
      <w:r>
        <w:rPr>
          <w:rFonts w:ascii="Arial" w:cs="Arial" w:eastAsia="Arial" w:hAnsi="Arial"/>
          <w:sz w:val="18"/>
          <w:szCs w:val="18"/>
          <w:color w:val="262626"/>
        </w:rPr>
        <w:t>In 2018, Mr. Guglielmone and Ms. Becker each received a $50,000 cash supplemental bonus and Mr. Guglielmone received a $250,000 cash bonus that was agreed to as part of his initial hiring compensation package.</w:t>
      </w:r>
    </w:p>
    <w:p>
      <w:pPr>
        <w:spacing w:after="0" w:line="1" w:lineRule="exact"/>
        <w:rPr>
          <w:rFonts w:ascii="Arial" w:cs="Arial" w:eastAsia="Arial" w:hAnsi="Arial"/>
          <w:sz w:val="15"/>
          <w:szCs w:val="15"/>
          <w:color w:val="262626"/>
        </w:rPr>
      </w:pPr>
    </w:p>
    <w:p>
      <w:pPr>
        <w:jc w:val="both"/>
        <w:ind w:left="540" w:right="20" w:hanging="424"/>
        <w:spacing w:after="0" w:line="234" w:lineRule="auto"/>
        <w:tabs>
          <w:tab w:leader="none" w:pos="540" w:val="left"/>
        </w:tabs>
        <w:numPr>
          <w:ilvl w:val="0"/>
          <w:numId w:val="22"/>
        </w:numPr>
        <w:rPr>
          <w:rFonts w:ascii="Arial" w:cs="Arial" w:eastAsia="Arial" w:hAnsi="Arial"/>
          <w:sz w:val="15"/>
          <w:szCs w:val="15"/>
          <w:color w:val="262626"/>
        </w:rPr>
      </w:pPr>
      <w:r>
        <w:rPr>
          <w:rFonts w:ascii="Arial" w:cs="Arial" w:eastAsia="Arial" w:hAnsi="Arial"/>
          <w:sz w:val="18"/>
          <w:szCs w:val="18"/>
          <w:color w:val="262626"/>
        </w:rPr>
        <w:t>Amounts shown in the Stock Awards column reflect the aggregate grant date fair value of the awards calculated in accordance with FASB ASC Topic 718 that were issued (as opposed to earned) in the fiscal years ended December 31, 2020, 2019 and 2018. For a discussion of the valuation of these awards, please refer to Note 12 in the notes to our consolidated financial statements in our Annual Report on Form 10-K filed on February 11, 2021.</w:t>
      </w:r>
    </w:p>
    <w:p>
      <w:pPr>
        <w:spacing w:after="0" w:line="2" w:lineRule="exact"/>
        <w:rPr>
          <w:rFonts w:ascii="Arial" w:cs="Arial" w:eastAsia="Arial" w:hAnsi="Arial"/>
          <w:sz w:val="15"/>
          <w:szCs w:val="15"/>
          <w:color w:val="262626"/>
        </w:rPr>
      </w:pPr>
    </w:p>
    <w:p>
      <w:pPr>
        <w:jc w:val="both"/>
        <w:ind w:left="540" w:hanging="424"/>
        <w:spacing w:after="0" w:line="234" w:lineRule="auto"/>
        <w:tabs>
          <w:tab w:leader="none" w:pos="540" w:val="left"/>
        </w:tabs>
        <w:numPr>
          <w:ilvl w:val="0"/>
          <w:numId w:val="22"/>
        </w:numPr>
        <w:rPr>
          <w:rFonts w:ascii="Arial" w:cs="Arial" w:eastAsia="Arial" w:hAnsi="Arial"/>
          <w:sz w:val="15"/>
          <w:szCs w:val="15"/>
          <w:color w:val="262626"/>
        </w:rPr>
      </w:pPr>
      <w:r>
        <w:rPr>
          <w:rFonts w:ascii="Arial" w:cs="Arial" w:eastAsia="Arial" w:hAnsi="Arial"/>
          <w:sz w:val="18"/>
          <w:szCs w:val="18"/>
          <w:color w:val="262626"/>
        </w:rPr>
        <w:t>Amounts shown in this column represent only the cash portion paid under our annual bonus plan and include amounts deferred by our NEOs into our non-qualified deferred compensation plan. Each of Mr. Wood and Ms. Becker received 75% of the annual bonus in cash for each of 2018 through 2020 with the remaining amounts earned for those years paid in Shares in an amount equal to 120% of the cash value in consideration of an additional 3-year vesting schedule. Mr. Guglielmone received 100% of his annual bonus in cash for each of 2018 through 2020.</w:t>
      </w:r>
    </w:p>
    <w:p>
      <w:pPr>
        <w:spacing w:after="0" w:line="3" w:lineRule="exact"/>
        <w:rPr>
          <w:rFonts w:ascii="Arial" w:cs="Arial" w:eastAsia="Arial" w:hAnsi="Arial"/>
          <w:sz w:val="15"/>
          <w:szCs w:val="15"/>
          <w:color w:val="262626"/>
        </w:rPr>
      </w:pPr>
    </w:p>
    <w:p>
      <w:pPr>
        <w:jc w:val="both"/>
        <w:ind w:left="540" w:hanging="424"/>
        <w:spacing w:after="0" w:line="234" w:lineRule="auto"/>
        <w:tabs>
          <w:tab w:leader="none" w:pos="540" w:val="left"/>
        </w:tabs>
        <w:numPr>
          <w:ilvl w:val="0"/>
          <w:numId w:val="22"/>
        </w:numPr>
        <w:rPr>
          <w:rFonts w:ascii="Arial" w:cs="Arial" w:eastAsia="Arial" w:hAnsi="Arial"/>
          <w:sz w:val="15"/>
          <w:szCs w:val="15"/>
          <w:color w:val="262626"/>
        </w:rPr>
      </w:pPr>
      <w:r>
        <w:rPr>
          <w:rFonts w:ascii="Arial" w:cs="Arial" w:eastAsia="Arial" w:hAnsi="Arial"/>
          <w:sz w:val="18"/>
          <w:szCs w:val="18"/>
          <w:color w:val="262626"/>
        </w:rPr>
        <w:t>The amounts shown in this column for the last fiscal year include: (a) payments for group term life insurance, long-term disability insurance and supplement life insurance of $13,649 for Mr. Wood, $2,844 for Mr. Guglielmone and $6,157 for Ms. Becker;</w:t>
      </w:r>
    </w:p>
    <w:p>
      <w:pPr>
        <w:spacing w:after="0" w:line="1" w:lineRule="exact"/>
        <w:rPr>
          <w:rFonts w:ascii="Arial" w:cs="Arial" w:eastAsia="Arial" w:hAnsi="Arial"/>
          <w:sz w:val="15"/>
          <w:szCs w:val="15"/>
          <w:color w:val="262626"/>
        </w:rPr>
      </w:pPr>
    </w:p>
    <w:p>
      <w:pPr>
        <w:jc w:val="both"/>
        <w:ind w:left="540" w:right="20" w:firstLine="8"/>
        <w:spacing w:after="0" w:line="238" w:lineRule="auto"/>
        <w:tabs>
          <w:tab w:leader="none" w:pos="821" w:val="left"/>
        </w:tabs>
        <w:numPr>
          <w:ilvl w:val="1"/>
          <w:numId w:val="22"/>
        </w:numPr>
        <w:rPr>
          <w:rFonts w:ascii="Arial" w:cs="Arial" w:eastAsia="Arial" w:hAnsi="Arial"/>
          <w:sz w:val="18"/>
          <w:szCs w:val="18"/>
          <w:color w:val="262626"/>
        </w:rPr>
      </w:pPr>
      <w:r>
        <w:rPr>
          <w:rFonts w:ascii="Arial" w:cs="Arial" w:eastAsia="Arial" w:hAnsi="Arial"/>
          <w:sz w:val="18"/>
          <w:szCs w:val="18"/>
          <w:color w:val="262626"/>
        </w:rPr>
        <w:t>contributions to our 401(k) plan of $7,125 for each of our NEOs; (c) $149,925 for Mr. Guglielmone for moving related expenses that were agreed to as part of his initial hiring package; and (d) accrued vacation payouts of $146,154 for Mr. Wood, $76,923 for Mr. Guglielmone and $73,077 for Ms. Becker. These payouts were made concurrently with our adopting a policy that Vice Presidents and above would no longer be eligible to accrue and carry over unused vacation time from year to year and eliminated a continuing liability of the Company.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Grants of Plan Based Awards Table</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following Share awards were made in 2020, all of which were earned based on the 1-year or 3-year performance period ending December 31, 2019. Awards made in 2021 to the NEOs under our annual bonus plan and long-term incentive plan for the 1-year and 3-year performance periods ending December 31, 2020 will be reported in the Grants of Plan-Based Awards Table in next year’s proxy statement.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tcPr>
          <w:p>
            <w:pPr>
              <w:jc w:val="right"/>
              <w:ind w:right="209"/>
              <w:spacing w:after="0"/>
              <w:rPr>
                <w:sz w:val="20"/>
                <w:szCs w:val="20"/>
                <w:color w:val="auto"/>
              </w:rPr>
            </w:pPr>
            <w:r>
              <w:rPr>
                <w:rFonts w:ascii="Arial" w:cs="Arial" w:eastAsia="Arial" w:hAnsi="Arial"/>
                <w:sz w:val="14"/>
                <w:szCs w:val="14"/>
                <w:b w:val="1"/>
                <w:bCs w:val="1"/>
                <w:color w:val="F73A25"/>
              </w:rPr>
              <w:t>All Other</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40" w:type="dxa"/>
            <w:vAlign w:val="bottom"/>
          </w:tcPr>
          <w:p>
            <w:pPr>
              <w:jc w:val="right"/>
              <w:ind w:right="209"/>
              <w:spacing w:after="0"/>
              <w:rPr>
                <w:sz w:val="20"/>
                <w:szCs w:val="20"/>
                <w:color w:val="auto"/>
              </w:rPr>
            </w:pPr>
            <w:r>
              <w:rPr>
                <w:rFonts w:ascii="Arial" w:cs="Arial" w:eastAsia="Arial" w:hAnsi="Arial"/>
                <w:sz w:val="14"/>
                <w:szCs w:val="14"/>
                <w:b w:val="1"/>
                <w:bCs w:val="1"/>
                <w:color w:val="F73A25"/>
              </w:rPr>
              <w:t>Stock Awards: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59"/>
        </w:trPr>
        <w:tc>
          <w:tcPr>
            <w:tcW w:w="4660" w:type="dxa"/>
            <w:vAlign w:val="bottom"/>
          </w:tcPr>
          <w:p>
            <w:pPr>
              <w:spacing w:after="0"/>
              <w:rPr>
                <w:sz w:val="13"/>
                <w:szCs w:val="13"/>
                <w:color w:val="auto"/>
              </w:rPr>
            </w:pPr>
          </w:p>
        </w:tc>
        <w:tc>
          <w:tcPr>
            <w:tcW w:w="1560" w:type="dxa"/>
            <w:vAlign w:val="bottom"/>
          </w:tcPr>
          <w:p>
            <w:pPr>
              <w:jc w:val="center"/>
              <w:ind w:left="259"/>
              <w:spacing w:after="0" w:line="159" w:lineRule="exact"/>
              <w:rPr>
                <w:sz w:val="20"/>
                <w:szCs w:val="20"/>
                <w:color w:val="auto"/>
              </w:rPr>
            </w:pPr>
            <w:r>
              <w:rPr>
                <w:rFonts w:ascii="Arial" w:cs="Arial" w:eastAsia="Arial" w:hAnsi="Arial"/>
                <w:sz w:val="14"/>
                <w:szCs w:val="14"/>
                <w:b w:val="1"/>
                <w:bCs w:val="1"/>
                <w:color w:val="F73A25"/>
              </w:rPr>
              <w:t>Grant</w:t>
            </w:r>
          </w:p>
        </w:tc>
        <w:tc>
          <w:tcPr>
            <w:tcW w:w="1840" w:type="dxa"/>
            <w:vAlign w:val="bottom"/>
          </w:tcPr>
          <w:p>
            <w:pPr>
              <w:jc w:val="right"/>
              <w:ind w:right="209"/>
              <w:spacing w:after="0" w:line="159" w:lineRule="exact"/>
              <w:rPr>
                <w:sz w:val="20"/>
                <w:szCs w:val="20"/>
                <w:color w:val="auto"/>
              </w:rPr>
            </w:pPr>
            <w:r>
              <w:rPr>
                <w:rFonts w:ascii="Arial" w:cs="Arial" w:eastAsia="Arial" w:hAnsi="Arial"/>
                <w:sz w:val="14"/>
                <w:szCs w:val="14"/>
                <w:b w:val="1"/>
                <w:bCs w:val="1"/>
                <w:color w:val="F73A25"/>
              </w:rPr>
              <w:t>Number of Shares</w:t>
            </w:r>
          </w:p>
        </w:tc>
        <w:tc>
          <w:tcPr>
            <w:tcW w:w="40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b w:val="1"/>
                <w:bCs w:val="1"/>
                <w:color w:val="F73A25"/>
              </w:rPr>
              <w:t>Grant Date</w:t>
            </w:r>
          </w:p>
        </w:tc>
      </w:tr>
      <w:tr>
        <w:trPr>
          <w:trHeight w:val="179"/>
        </w:trPr>
        <w:tc>
          <w:tcPr>
            <w:tcW w:w="4660" w:type="dxa"/>
            <w:vAlign w:val="bottom"/>
            <w:tcBorders>
              <w:bottom w:val="single" w:sz="8" w:color="262626"/>
            </w:tcBorders>
          </w:tcPr>
          <w:p>
            <w:pPr>
              <w:spacing w:after="0"/>
              <w:rPr>
                <w:sz w:val="20"/>
                <w:szCs w:val="20"/>
                <w:color w:val="auto"/>
              </w:rPr>
            </w:pPr>
            <w:r>
              <w:rPr>
                <w:rFonts w:ascii="Arial" w:cs="Arial" w:eastAsia="Arial" w:hAnsi="Arial"/>
                <w:sz w:val="14"/>
                <w:szCs w:val="14"/>
                <w:b w:val="1"/>
                <w:bCs w:val="1"/>
                <w:color w:val="F73A25"/>
              </w:rPr>
              <w:t>Name</w:t>
            </w:r>
          </w:p>
        </w:tc>
        <w:tc>
          <w:tcPr>
            <w:tcW w:w="1560" w:type="dxa"/>
            <w:vAlign w:val="bottom"/>
            <w:tcBorders>
              <w:bottom w:val="single" w:sz="8" w:color="262626"/>
            </w:tcBorders>
          </w:tcPr>
          <w:p>
            <w:pPr>
              <w:jc w:val="center"/>
              <w:ind w:left="259"/>
              <w:spacing w:after="0"/>
              <w:rPr>
                <w:sz w:val="20"/>
                <w:szCs w:val="20"/>
                <w:color w:val="auto"/>
              </w:rPr>
            </w:pPr>
            <w:r>
              <w:rPr>
                <w:rFonts w:ascii="Arial" w:cs="Arial" w:eastAsia="Arial" w:hAnsi="Arial"/>
                <w:sz w:val="14"/>
                <w:szCs w:val="14"/>
                <w:b w:val="1"/>
                <w:bCs w:val="1"/>
                <w:color w:val="F73A25"/>
              </w:rPr>
              <w:t>Date</w:t>
            </w:r>
          </w:p>
        </w:tc>
        <w:tc>
          <w:tcPr>
            <w:tcW w:w="1840" w:type="dxa"/>
            <w:vAlign w:val="bottom"/>
            <w:tcBorders>
              <w:bottom w:val="single" w:sz="8" w:color="262626"/>
            </w:tcBorders>
          </w:tcPr>
          <w:p>
            <w:pPr>
              <w:jc w:val="right"/>
              <w:ind w:right="209"/>
              <w:spacing w:after="0" w:line="179" w:lineRule="exact"/>
              <w:rPr>
                <w:sz w:val="20"/>
                <w:szCs w:val="20"/>
                <w:color w:val="auto"/>
              </w:rPr>
            </w:pPr>
            <w:r>
              <w:rPr>
                <w:rFonts w:ascii="Arial" w:cs="Arial" w:eastAsia="Arial" w:hAnsi="Arial"/>
                <w:sz w:val="12"/>
                <w:szCs w:val="12"/>
                <w:b w:val="1"/>
                <w:bCs w:val="1"/>
                <w:color w:val="F73A25"/>
              </w:rPr>
              <w:t>of Stock or Units</w:t>
            </w:r>
            <w:r>
              <w:rPr>
                <w:rFonts w:ascii="Arial" w:cs="Arial" w:eastAsia="Arial" w:hAnsi="Arial"/>
                <w:sz w:val="20"/>
                <w:szCs w:val="20"/>
                <w:b w:val="1"/>
                <w:bCs w:val="1"/>
                <w:color w:val="F73A25"/>
                <w:vertAlign w:val="superscript"/>
              </w:rPr>
              <w:t>(3)</w:t>
            </w:r>
          </w:p>
        </w:tc>
        <w:tc>
          <w:tcPr>
            <w:tcW w:w="1180" w:type="dxa"/>
            <w:vAlign w:val="bottom"/>
            <w:tcBorders>
              <w:bottom w:val="single" w:sz="8" w:color="262626"/>
            </w:tcBorders>
            <w:gridSpan w:val="2"/>
          </w:tcPr>
          <w:p>
            <w:pPr>
              <w:jc w:val="right"/>
              <w:spacing w:after="0" w:line="179" w:lineRule="exact"/>
              <w:rPr>
                <w:sz w:val="20"/>
                <w:szCs w:val="20"/>
                <w:color w:val="auto"/>
              </w:rPr>
            </w:pPr>
            <w:r>
              <w:rPr>
                <w:rFonts w:ascii="Arial" w:cs="Arial" w:eastAsia="Arial" w:hAnsi="Arial"/>
                <w:sz w:val="12"/>
                <w:szCs w:val="12"/>
                <w:b w:val="1"/>
                <w:bCs w:val="1"/>
                <w:color w:val="F73A25"/>
              </w:rPr>
              <w:t>Fair Value</w:t>
            </w:r>
            <w:r>
              <w:rPr>
                <w:rFonts w:ascii="Arial" w:cs="Arial" w:eastAsia="Arial" w:hAnsi="Arial"/>
                <w:sz w:val="20"/>
                <w:szCs w:val="20"/>
                <w:b w:val="1"/>
                <w:bCs w:val="1"/>
                <w:color w:val="F73A25"/>
                <w:vertAlign w:val="superscript"/>
              </w:rPr>
              <w:t>(4)</w:t>
            </w:r>
          </w:p>
        </w:tc>
      </w:tr>
      <w:tr>
        <w:trPr>
          <w:trHeight w:val="153"/>
        </w:trPr>
        <w:tc>
          <w:tcPr>
            <w:tcW w:w="4660" w:type="dxa"/>
            <w:vAlign w:val="bottom"/>
            <w:shd w:val="clear" w:color="auto" w:fill="EAEFED"/>
          </w:tcPr>
          <w:p>
            <w:pPr>
              <w:spacing w:after="0" w:line="153" w:lineRule="exact"/>
              <w:rPr>
                <w:sz w:val="20"/>
                <w:szCs w:val="20"/>
                <w:color w:val="auto"/>
              </w:rPr>
            </w:pPr>
            <w:r>
              <w:rPr>
                <w:rFonts w:ascii="Arial" w:cs="Arial" w:eastAsia="Arial" w:hAnsi="Arial"/>
                <w:sz w:val="14"/>
                <w:szCs w:val="14"/>
                <w:color w:val="262626"/>
              </w:rPr>
              <w:t>Donald C. Wood</w:t>
            </w:r>
          </w:p>
        </w:tc>
        <w:tc>
          <w:tcPr>
            <w:tcW w:w="1560" w:type="dxa"/>
            <w:vAlign w:val="bottom"/>
          </w:tcPr>
          <w:p>
            <w:pPr>
              <w:jc w:val="center"/>
              <w:ind w:left="259"/>
              <w:spacing w:after="0" w:line="153" w:lineRule="exact"/>
              <w:rPr>
                <w:sz w:val="20"/>
                <w:szCs w:val="20"/>
                <w:color w:val="auto"/>
              </w:rPr>
            </w:pPr>
            <w:r>
              <w:rPr>
                <w:rFonts w:ascii="Arial" w:cs="Arial" w:eastAsia="Arial" w:hAnsi="Arial"/>
                <w:sz w:val="11"/>
                <w:szCs w:val="11"/>
                <w:color w:val="262626"/>
              </w:rPr>
              <w:t xml:space="preserve">2/4/2020 </w:t>
            </w:r>
            <w:r>
              <w:rPr>
                <w:rFonts w:ascii="Arial" w:cs="Arial" w:eastAsia="Arial" w:hAnsi="Arial"/>
                <w:sz w:val="17"/>
                <w:szCs w:val="17"/>
                <w:color w:val="262626"/>
                <w:vertAlign w:val="superscript"/>
              </w:rPr>
              <w:t>(1)</w:t>
            </w:r>
          </w:p>
        </w:tc>
        <w:tc>
          <w:tcPr>
            <w:tcW w:w="1840" w:type="dxa"/>
            <w:vAlign w:val="bottom"/>
          </w:tcPr>
          <w:p>
            <w:pPr>
              <w:jc w:val="right"/>
              <w:ind w:right="209"/>
              <w:spacing w:after="0" w:line="153" w:lineRule="exact"/>
              <w:rPr>
                <w:sz w:val="20"/>
                <w:szCs w:val="20"/>
                <w:color w:val="auto"/>
              </w:rPr>
            </w:pPr>
            <w:r>
              <w:rPr>
                <w:rFonts w:ascii="Arial" w:cs="Arial" w:eastAsia="Arial" w:hAnsi="Arial"/>
                <w:sz w:val="14"/>
                <w:szCs w:val="14"/>
                <w:color w:val="262626"/>
              </w:rPr>
              <w:t>3,546</w:t>
            </w: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262626"/>
              </w:rPr>
              <w:t>$</w:t>
            </w:r>
          </w:p>
        </w:tc>
        <w:tc>
          <w:tcPr>
            <w:tcW w:w="780" w:type="dxa"/>
            <w:vAlign w:val="bottom"/>
          </w:tcPr>
          <w:p>
            <w:pPr>
              <w:jc w:val="right"/>
              <w:ind w:right="8"/>
              <w:spacing w:after="0" w:line="153" w:lineRule="exact"/>
              <w:rPr>
                <w:sz w:val="20"/>
                <w:szCs w:val="20"/>
                <w:color w:val="auto"/>
              </w:rPr>
            </w:pPr>
            <w:r>
              <w:rPr>
                <w:rFonts w:ascii="Arial" w:cs="Arial" w:eastAsia="Arial" w:hAnsi="Arial"/>
                <w:sz w:val="14"/>
                <w:szCs w:val="14"/>
                <w:color w:val="262626"/>
              </w:rPr>
              <w:t>451,299</w:t>
            </w:r>
          </w:p>
        </w:tc>
      </w:tr>
      <w:tr>
        <w:trPr>
          <w:trHeight w:val="165"/>
        </w:trPr>
        <w:tc>
          <w:tcPr>
            <w:tcW w:w="4660" w:type="dxa"/>
            <w:vAlign w:val="bottom"/>
            <w:tcBorders>
              <w:bottom w:val="single" w:sz="8" w:color="262626"/>
            </w:tcBorders>
            <w:shd w:val="clear" w:color="auto" w:fill="EAEFED"/>
          </w:tcPr>
          <w:p>
            <w:pPr>
              <w:spacing w:after="0"/>
              <w:rPr>
                <w:sz w:val="14"/>
                <w:szCs w:val="14"/>
                <w:color w:val="auto"/>
              </w:rPr>
            </w:pPr>
          </w:p>
        </w:tc>
        <w:tc>
          <w:tcPr>
            <w:tcW w:w="1560" w:type="dxa"/>
            <w:vAlign w:val="bottom"/>
            <w:tcBorders>
              <w:bottom w:val="single" w:sz="8" w:color="262626"/>
            </w:tcBorders>
          </w:tcPr>
          <w:p>
            <w:pPr>
              <w:jc w:val="center"/>
              <w:ind w:left="259"/>
              <w:spacing w:after="0" w:line="164" w:lineRule="exact"/>
              <w:rPr>
                <w:sz w:val="20"/>
                <w:szCs w:val="20"/>
                <w:color w:val="auto"/>
              </w:rPr>
            </w:pPr>
            <w:r>
              <w:rPr>
                <w:rFonts w:ascii="Arial" w:cs="Arial" w:eastAsia="Arial" w:hAnsi="Arial"/>
                <w:sz w:val="12"/>
                <w:szCs w:val="12"/>
                <w:color w:val="262626"/>
              </w:rPr>
              <w:t xml:space="preserve">2/4/2020 </w:t>
            </w:r>
            <w:r>
              <w:rPr>
                <w:rFonts w:ascii="Arial" w:cs="Arial" w:eastAsia="Arial" w:hAnsi="Arial"/>
                <w:sz w:val="19"/>
                <w:szCs w:val="19"/>
                <w:color w:val="262626"/>
                <w:vertAlign w:val="superscript"/>
              </w:rPr>
              <w:t>(2)</w:t>
            </w:r>
          </w:p>
        </w:tc>
        <w:tc>
          <w:tcPr>
            <w:tcW w:w="1840" w:type="dxa"/>
            <w:vAlign w:val="bottom"/>
            <w:tcBorders>
              <w:bottom w:val="single" w:sz="8" w:color="262626"/>
            </w:tcBorders>
          </w:tcPr>
          <w:p>
            <w:pPr>
              <w:jc w:val="right"/>
              <w:ind w:right="209"/>
              <w:spacing w:after="0"/>
              <w:rPr>
                <w:sz w:val="20"/>
                <w:szCs w:val="20"/>
                <w:color w:val="auto"/>
              </w:rPr>
            </w:pPr>
            <w:r>
              <w:rPr>
                <w:rFonts w:ascii="Arial" w:cs="Arial" w:eastAsia="Arial" w:hAnsi="Arial"/>
                <w:sz w:val="14"/>
                <w:szCs w:val="14"/>
                <w:color w:val="262626"/>
              </w:rPr>
              <w:t>42,266</w:t>
            </w:r>
          </w:p>
        </w:tc>
        <w:tc>
          <w:tcPr>
            <w:tcW w:w="40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78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color w:val="262626"/>
              </w:rPr>
              <w:t>5,379,194</w:t>
            </w:r>
          </w:p>
        </w:tc>
      </w:tr>
      <w:tr>
        <w:trPr>
          <w:trHeight w:val="155"/>
        </w:trPr>
        <w:tc>
          <w:tcPr>
            <w:tcW w:w="4660" w:type="dxa"/>
            <w:vAlign w:val="bottom"/>
            <w:tcBorders>
              <w:bottom w:val="single" w:sz="8" w:color="262626"/>
            </w:tcBorders>
            <w:shd w:val="clear" w:color="auto" w:fill="EAEFED"/>
          </w:tcPr>
          <w:p>
            <w:pPr>
              <w:spacing w:after="0" w:line="155" w:lineRule="exact"/>
              <w:rPr>
                <w:sz w:val="20"/>
                <w:szCs w:val="20"/>
                <w:color w:val="auto"/>
              </w:rPr>
            </w:pPr>
            <w:r>
              <w:rPr>
                <w:rFonts w:ascii="Arial" w:cs="Arial" w:eastAsia="Arial" w:hAnsi="Arial"/>
                <w:sz w:val="14"/>
                <w:szCs w:val="14"/>
                <w:color w:val="262626"/>
              </w:rPr>
              <w:t>Daniel Guglielmone</w:t>
            </w:r>
          </w:p>
        </w:tc>
        <w:tc>
          <w:tcPr>
            <w:tcW w:w="1560" w:type="dxa"/>
            <w:vAlign w:val="bottom"/>
            <w:tcBorders>
              <w:bottom w:val="single" w:sz="8" w:color="262626"/>
            </w:tcBorders>
          </w:tcPr>
          <w:p>
            <w:pPr>
              <w:jc w:val="center"/>
              <w:ind w:left="259"/>
              <w:spacing w:after="0" w:line="156" w:lineRule="exact"/>
              <w:rPr>
                <w:sz w:val="20"/>
                <w:szCs w:val="20"/>
                <w:color w:val="auto"/>
              </w:rPr>
            </w:pPr>
            <w:r>
              <w:rPr>
                <w:rFonts w:ascii="Arial" w:cs="Arial" w:eastAsia="Arial" w:hAnsi="Arial"/>
                <w:sz w:val="11"/>
                <w:szCs w:val="11"/>
                <w:color w:val="262626"/>
              </w:rPr>
              <w:t xml:space="preserve">2/4/2020 </w:t>
            </w:r>
            <w:r>
              <w:rPr>
                <w:rFonts w:ascii="Arial" w:cs="Arial" w:eastAsia="Arial" w:hAnsi="Arial"/>
                <w:sz w:val="18"/>
                <w:szCs w:val="18"/>
                <w:color w:val="262626"/>
                <w:vertAlign w:val="superscript"/>
              </w:rPr>
              <w:t>(2)</w:t>
            </w:r>
          </w:p>
        </w:tc>
        <w:tc>
          <w:tcPr>
            <w:tcW w:w="1840" w:type="dxa"/>
            <w:vAlign w:val="bottom"/>
            <w:tcBorders>
              <w:bottom w:val="single" w:sz="8" w:color="262626"/>
            </w:tcBorders>
          </w:tcPr>
          <w:p>
            <w:pPr>
              <w:jc w:val="right"/>
              <w:ind w:right="209"/>
              <w:spacing w:after="0" w:line="155" w:lineRule="exact"/>
              <w:rPr>
                <w:sz w:val="20"/>
                <w:szCs w:val="20"/>
                <w:color w:val="auto"/>
              </w:rPr>
            </w:pPr>
            <w:r>
              <w:rPr>
                <w:rFonts w:ascii="Arial" w:cs="Arial" w:eastAsia="Arial" w:hAnsi="Arial"/>
                <w:sz w:val="14"/>
                <w:szCs w:val="14"/>
                <w:color w:val="262626"/>
              </w:rPr>
              <w:t>7,608</w:t>
            </w:r>
          </w:p>
        </w:tc>
        <w:tc>
          <w:tcPr>
            <w:tcW w:w="400" w:type="dxa"/>
            <w:vAlign w:val="bottom"/>
            <w:tcBorders>
              <w:bottom w:val="single" w:sz="8" w:color="262626"/>
            </w:tcBorders>
          </w:tcPr>
          <w:p>
            <w:pPr>
              <w:jc w:val="right"/>
              <w:spacing w:after="0" w:line="155" w:lineRule="exact"/>
              <w:rPr>
                <w:sz w:val="20"/>
                <w:szCs w:val="20"/>
                <w:color w:val="auto"/>
              </w:rPr>
            </w:pPr>
            <w:r>
              <w:rPr>
                <w:rFonts w:ascii="Arial" w:cs="Arial" w:eastAsia="Arial" w:hAnsi="Arial"/>
                <w:sz w:val="14"/>
                <w:szCs w:val="14"/>
                <w:color w:val="262626"/>
              </w:rPr>
              <w:t>$</w:t>
            </w:r>
          </w:p>
        </w:tc>
        <w:tc>
          <w:tcPr>
            <w:tcW w:w="780" w:type="dxa"/>
            <w:vAlign w:val="bottom"/>
            <w:tcBorders>
              <w:bottom w:val="single" w:sz="8" w:color="262626"/>
            </w:tcBorders>
          </w:tcPr>
          <w:p>
            <w:pPr>
              <w:jc w:val="right"/>
              <w:ind w:right="8"/>
              <w:spacing w:after="0" w:line="155" w:lineRule="exact"/>
              <w:rPr>
                <w:sz w:val="20"/>
                <w:szCs w:val="20"/>
                <w:color w:val="auto"/>
              </w:rPr>
            </w:pPr>
            <w:r>
              <w:rPr>
                <w:rFonts w:ascii="Arial" w:cs="Arial" w:eastAsia="Arial" w:hAnsi="Arial"/>
                <w:sz w:val="14"/>
                <w:szCs w:val="14"/>
                <w:color w:val="262626"/>
              </w:rPr>
              <w:t>968,270</w:t>
            </w:r>
          </w:p>
        </w:tc>
      </w:tr>
      <w:tr>
        <w:trPr>
          <w:trHeight w:val="153"/>
        </w:trPr>
        <w:tc>
          <w:tcPr>
            <w:tcW w:w="4660" w:type="dxa"/>
            <w:vAlign w:val="bottom"/>
            <w:shd w:val="clear" w:color="auto" w:fill="EAEFED"/>
          </w:tcPr>
          <w:p>
            <w:pPr>
              <w:spacing w:after="0" w:line="153" w:lineRule="exact"/>
              <w:rPr>
                <w:sz w:val="20"/>
                <w:szCs w:val="20"/>
                <w:color w:val="auto"/>
              </w:rPr>
            </w:pPr>
            <w:r>
              <w:rPr>
                <w:rFonts w:ascii="Arial" w:cs="Arial" w:eastAsia="Arial" w:hAnsi="Arial"/>
                <w:sz w:val="14"/>
                <w:szCs w:val="14"/>
                <w:color w:val="262626"/>
              </w:rPr>
              <w:t>Dawn M. Becker</w:t>
            </w:r>
          </w:p>
        </w:tc>
        <w:tc>
          <w:tcPr>
            <w:tcW w:w="1560" w:type="dxa"/>
            <w:vAlign w:val="bottom"/>
          </w:tcPr>
          <w:p>
            <w:pPr>
              <w:jc w:val="center"/>
              <w:ind w:left="259"/>
              <w:spacing w:after="0" w:line="153" w:lineRule="exact"/>
              <w:rPr>
                <w:sz w:val="20"/>
                <w:szCs w:val="20"/>
                <w:color w:val="auto"/>
              </w:rPr>
            </w:pPr>
            <w:r>
              <w:rPr>
                <w:rFonts w:ascii="Arial" w:cs="Arial" w:eastAsia="Arial" w:hAnsi="Arial"/>
                <w:sz w:val="11"/>
                <w:szCs w:val="11"/>
                <w:color w:val="262626"/>
              </w:rPr>
              <w:t xml:space="preserve">2/4/2020 </w:t>
            </w:r>
            <w:r>
              <w:rPr>
                <w:rFonts w:ascii="Arial" w:cs="Arial" w:eastAsia="Arial" w:hAnsi="Arial"/>
                <w:sz w:val="17"/>
                <w:szCs w:val="17"/>
                <w:color w:val="262626"/>
                <w:vertAlign w:val="superscript"/>
              </w:rPr>
              <w:t>(1)</w:t>
            </w:r>
          </w:p>
        </w:tc>
        <w:tc>
          <w:tcPr>
            <w:tcW w:w="1840" w:type="dxa"/>
            <w:vAlign w:val="bottom"/>
          </w:tcPr>
          <w:p>
            <w:pPr>
              <w:jc w:val="right"/>
              <w:ind w:right="209"/>
              <w:spacing w:after="0" w:line="153" w:lineRule="exact"/>
              <w:rPr>
                <w:sz w:val="20"/>
                <w:szCs w:val="20"/>
                <w:color w:val="auto"/>
              </w:rPr>
            </w:pPr>
            <w:r>
              <w:rPr>
                <w:rFonts w:ascii="Arial" w:cs="Arial" w:eastAsia="Arial" w:hAnsi="Arial"/>
                <w:sz w:val="14"/>
                <w:szCs w:val="14"/>
                <w:color w:val="262626"/>
              </w:rPr>
              <w:t>886</w:t>
            </w: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262626"/>
              </w:rPr>
              <w:t>$</w:t>
            </w:r>
          </w:p>
        </w:tc>
        <w:tc>
          <w:tcPr>
            <w:tcW w:w="780" w:type="dxa"/>
            <w:vAlign w:val="bottom"/>
          </w:tcPr>
          <w:p>
            <w:pPr>
              <w:jc w:val="right"/>
              <w:ind w:right="8"/>
              <w:spacing w:after="0" w:line="153" w:lineRule="exact"/>
              <w:rPr>
                <w:sz w:val="20"/>
                <w:szCs w:val="20"/>
                <w:color w:val="auto"/>
              </w:rPr>
            </w:pPr>
            <w:r>
              <w:rPr>
                <w:rFonts w:ascii="Arial" w:cs="Arial" w:eastAsia="Arial" w:hAnsi="Arial"/>
                <w:sz w:val="14"/>
                <w:szCs w:val="14"/>
                <w:color w:val="262626"/>
              </w:rPr>
              <w:t>112,761</w:t>
            </w:r>
          </w:p>
        </w:tc>
      </w:tr>
      <w:tr>
        <w:trPr>
          <w:trHeight w:val="165"/>
        </w:trPr>
        <w:tc>
          <w:tcPr>
            <w:tcW w:w="4660" w:type="dxa"/>
            <w:vAlign w:val="bottom"/>
            <w:tcBorders>
              <w:bottom w:val="single" w:sz="8" w:color="262626"/>
            </w:tcBorders>
            <w:shd w:val="clear" w:color="auto" w:fill="EAEFED"/>
          </w:tcPr>
          <w:p>
            <w:pPr>
              <w:spacing w:after="0"/>
              <w:rPr>
                <w:sz w:val="14"/>
                <w:szCs w:val="14"/>
                <w:color w:val="auto"/>
              </w:rPr>
            </w:pPr>
          </w:p>
        </w:tc>
        <w:tc>
          <w:tcPr>
            <w:tcW w:w="1560" w:type="dxa"/>
            <w:vAlign w:val="bottom"/>
            <w:tcBorders>
              <w:bottom w:val="single" w:sz="8" w:color="262626"/>
            </w:tcBorders>
          </w:tcPr>
          <w:p>
            <w:pPr>
              <w:jc w:val="center"/>
              <w:ind w:left="259"/>
              <w:spacing w:after="0" w:line="164" w:lineRule="exact"/>
              <w:rPr>
                <w:sz w:val="20"/>
                <w:szCs w:val="20"/>
                <w:color w:val="auto"/>
              </w:rPr>
            </w:pPr>
            <w:r>
              <w:rPr>
                <w:rFonts w:ascii="Arial" w:cs="Arial" w:eastAsia="Arial" w:hAnsi="Arial"/>
                <w:sz w:val="12"/>
                <w:szCs w:val="12"/>
                <w:color w:val="262626"/>
              </w:rPr>
              <w:t xml:space="preserve">2/4/2020 </w:t>
            </w:r>
            <w:r>
              <w:rPr>
                <w:rFonts w:ascii="Arial" w:cs="Arial" w:eastAsia="Arial" w:hAnsi="Arial"/>
                <w:sz w:val="19"/>
                <w:szCs w:val="19"/>
                <w:color w:val="262626"/>
                <w:vertAlign w:val="superscript"/>
              </w:rPr>
              <w:t>(2)</w:t>
            </w:r>
          </w:p>
        </w:tc>
        <w:tc>
          <w:tcPr>
            <w:tcW w:w="1840" w:type="dxa"/>
            <w:vAlign w:val="bottom"/>
            <w:tcBorders>
              <w:bottom w:val="single" w:sz="8" w:color="262626"/>
            </w:tcBorders>
          </w:tcPr>
          <w:p>
            <w:pPr>
              <w:jc w:val="right"/>
              <w:ind w:right="209"/>
              <w:spacing w:after="0"/>
              <w:rPr>
                <w:sz w:val="20"/>
                <w:szCs w:val="20"/>
                <w:color w:val="auto"/>
              </w:rPr>
            </w:pPr>
            <w:r>
              <w:rPr>
                <w:rFonts w:ascii="Arial" w:cs="Arial" w:eastAsia="Arial" w:hAnsi="Arial"/>
                <w:sz w:val="14"/>
                <w:szCs w:val="14"/>
                <w:color w:val="262626"/>
              </w:rPr>
              <w:t>5,072</w:t>
            </w:r>
          </w:p>
        </w:tc>
        <w:tc>
          <w:tcPr>
            <w:tcW w:w="40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78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color w:val="262626"/>
              </w:rPr>
              <w:t>645,513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6"/>
          <w:szCs w:val="16"/>
          <w:color w:val="262626"/>
        </w:rPr>
      </w:pPr>
      <w:r>
        <w:rPr>
          <w:rFonts w:ascii="Arial" w:cs="Arial" w:eastAsia="Arial" w:hAnsi="Arial"/>
          <w:sz w:val="16"/>
          <w:szCs w:val="16"/>
          <w:color w:val="262626"/>
        </w:rPr>
        <w:t>Issued under our annual bonus plan. These Shares vest equally over 3 years.</w:t>
      </w:r>
    </w:p>
    <w:p>
      <w:pPr>
        <w:spacing w:after="0" w:line="5" w:lineRule="exact"/>
        <w:rPr>
          <w:rFonts w:ascii="Arial" w:cs="Arial" w:eastAsia="Arial" w:hAnsi="Arial"/>
          <w:sz w:val="16"/>
          <w:szCs w:val="16"/>
          <w:color w:val="262626"/>
        </w:rPr>
      </w:pPr>
    </w:p>
    <w:p>
      <w:pPr>
        <w:ind w:left="540" w:hanging="424"/>
        <w:spacing w:after="0"/>
        <w:tabs>
          <w:tab w:leader="none" w:pos="540" w:val="left"/>
        </w:tabs>
        <w:numPr>
          <w:ilvl w:val="0"/>
          <w:numId w:val="23"/>
        </w:numPr>
        <w:rPr>
          <w:rFonts w:ascii="Arial" w:cs="Arial" w:eastAsia="Arial" w:hAnsi="Arial"/>
          <w:sz w:val="16"/>
          <w:szCs w:val="16"/>
          <w:color w:val="262626"/>
        </w:rPr>
      </w:pPr>
      <w:r>
        <w:rPr>
          <w:rFonts w:ascii="Arial" w:cs="Arial" w:eastAsia="Arial" w:hAnsi="Arial"/>
          <w:sz w:val="16"/>
          <w:szCs w:val="16"/>
          <w:color w:val="262626"/>
        </w:rPr>
        <w:t>Issued under our long-term incentive plan. These Shares vest equally over 3 years.</w:t>
      </w:r>
    </w:p>
    <w:p>
      <w:pPr>
        <w:spacing w:after="0" w:line="5" w:lineRule="exact"/>
        <w:rPr>
          <w:rFonts w:ascii="Arial" w:cs="Arial" w:eastAsia="Arial" w:hAnsi="Arial"/>
          <w:sz w:val="16"/>
          <w:szCs w:val="16"/>
          <w:color w:val="262626"/>
        </w:rPr>
      </w:pPr>
    </w:p>
    <w:p>
      <w:pPr>
        <w:ind w:left="540" w:right="20" w:hanging="424"/>
        <w:spacing w:after="0" w:line="246" w:lineRule="auto"/>
        <w:tabs>
          <w:tab w:leader="none" w:pos="540" w:val="left"/>
        </w:tabs>
        <w:numPr>
          <w:ilvl w:val="0"/>
          <w:numId w:val="23"/>
        </w:numPr>
        <w:rPr>
          <w:rFonts w:ascii="Arial" w:cs="Arial" w:eastAsia="Arial" w:hAnsi="Arial"/>
          <w:sz w:val="16"/>
          <w:szCs w:val="16"/>
          <w:color w:val="262626"/>
        </w:rPr>
      </w:pPr>
      <w:r>
        <w:rPr>
          <w:rFonts w:ascii="Arial" w:cs="Arial" w:eastAsia="Arial" w:hAnsi="Arial"/>
          <w:sz w:val="16"/>
          <w:szCs w:val="16"/>
          <w:color w:val="262626"/>
        </w:rPr>
        <w:t>Dividends are paid on all Shares issued at the same rate and time as paid to all other holders of our Shares as declared by our Board from time to time.</w:t>
      </w:r>
    </w:p>
    <w:p>
      <w:pPr>
        <w:ind w:left="540" w:right="20" w:hanging="424"/>
        <w:spacing w:after="0" w:line="260" w:lineRule="auto"/>
        <w:tabs>
          <w:tab w:leader="none" w:pos="540" w:val="left"/>
        </w:tabs>
        <w:numPr>
          <w:ilvl w:val="0"/>
          <w:numId w:val="23"/>
        </w:numPr>
        <w:rPr>
          <w:rFonts w:ascii="Arial" w:cs="Arial" w:eastAsia="Arial" w:hAnsi="Arial"/>
          <w:sz w:val="16"/>
          <w:szCs w:val="16"/>
          <w:color w:val="262626"/>
        </w:rPr>
      </w:pPr>
      <w:r>
        <w:rPr>
          <w:rFonts w:ascii="Arial" w:cs="Arial" w:eastAsia="Arial" w:hAnsi="Arial"/>
          <w:sz w:val="16"/>
          <w:szCs w:val="16"/>
          <w:color w:val="262626"/>
        </w:rPr>
        <w:t>Represents the grant date fair value of Share awards as computed in accordance with FASB ASC Topic 718. The grant date fair value for these Share awards was based on the closing price of our Shares on the grant date.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Outstanding Equity Awards at Fiscal Year-End Table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following table sets forth information about outstanding equity awards held by our 2020 NEOs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3280" w:type="dxa"/>
            <w:vAlign w:val="bottom"/>
            <w:tcBorders>
              <w:bottom w:val="single" w:sz="8" w:color="262626"/>
            </w:tcBorders>
            <w:gridSpan w:val="4"/>
          </w:tcPr>
          <w:p>
            <w:pPr>
              <w:jc w:val="right"/>
              <w:ind w:right="989"/>
              <w:spacing w:after="0"/>
              <w:rPr>
                <w:sz w:val="20"/>
                <w:szCs w:val="20"/>
                <w:color w:val="auto"/>
              </w:rPr>
            </w:pPr>
            <w:r>
              <w:rPr>
                <w:rFonts w:ascii="Arial" w:cs="Arial" w:eastAsia="Arial" w:hAnsi="Arial"/>
                <w:sz w:val="14"/>
                <w:szCs w:val="14"/>
                <w:b w:val="1"/>
                <w:bCs w:val="1"/>
                <w:color w:val="F73A25"/>
              </w:rPr>
              <w:t>Stock Awards</w:t>
            </w:r>
          </w:p>
        </w:tc>
      </w:tr>
      <w:tr>
        <w:trPr>
          <w:trHeight w:val="142"/>
        </w:trPr>
        <w:tc>
          <w:tcPr>
            <w:tcW w:w="5080" w:type="dxa"/>
            <w:vAlign w:val="bottom"/>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4"/>
                <w:szCs w:val="14"/>
                <w:b w:val="1"/>
                <w:bCs w:val="1"/>
                <w:color w:val="F73A25"/>
              </w:rPr>
              <w:t>Number 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Arial" w:cs="Arial" w:eastAsia="Arial" w:hAnsi="Arial"/>
                <w:sz w:val="14"/>
                <w:szCs w:val="14"/>
                <w:b w:val="1"/>
                <w:bCs w:val="1"/>
                <w:color w:val="F73A25"/>
              </w:rPr>
              <w:t>Market Value of</w:t>
            </w:r>
          </w:p>
        </w:tc>
      </w:tr>
      <w:tr>
        <w:trPr>
          <w:trHeight w:val="162"/>
        </w:trPr>
        <w:tc>
          <w:tcPr>
            <w:tcW w:w="50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F73A25"/>
              </w:rPr>
              <w:t>Shares or Units of</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F73A25"/>
              </w:rPr>
              <w:t>Shares or Units of</w:t>
            </w:r>
          </w:p>
        </w:tc>
      </w:tr>
      <w:tr>
        <w:trPr>
          <w:trHeight w:val="159"/>
        </w:trPr>
        <w:tc>
          <w:tcPr>
            <w:tcW w:w="5080" w:type="dxa"/>
            <w:vAlign w:val="bottom"/>
          </w:tcPr>
          <w:p>
            <w:pPr>
              <w:spacing w:after="0"/>
              <w:rPr>
                <w:sz w:val="13"/>
                <w:szCs w:val="13"/>
                <w:color w:val="auto"/>
              </w:rPr>
            </w:pPr>
          </w:p>
        </w:tc>
        <w:tc>
          <w:tcPr>
            <w:tcW w:w="1520" w:type="dxa"/>
            <w:vAlign w:val="bottom"/>
          </w:tcPr>
          <w:p>
            <w:pPr>
              <w:jc w:val="right"/>
              <w:spacing w:after="0" w:line="159" w:lineRule="exact"/>
              <w:rPr>
                <w:sz w:val="20"/>
                <w:szCs w:val="20"/>
                <w:color w:val="auto"/>
              </w:rPr>
            </w:pPr>
            <w:r>
              <w:rPr>
                <w:rFonts w:ascii="Arial" w:cs="Arial" w:eastAsia="Arial" w:hAnsi="Arial"/>
                <w:sz w:val="14"/>
                <w:szCs w:val="14"/>
                <w:b w:val="1"/>
                <w:bCs w:val="1"/>
                <w:color w:val="F73A25"/>
              </w:rPr>
              <w:t>Stock That Have</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spacing w:after="0" w:line="159" w:lineRule="exact"/>
              <w:rPr>
                <w:sz w:val="20"/>
                <w:szCs w:val="20"/>
                <w:color w:val="auto"/>
              </w:rPr>
            </w:pPr>
            <w:r>
              <w:rPr>
                <w:rFonts w:ascii="Arial" w:cs="Arial" w:eastAsia="Arial" w:hAnsi="Arial"/>
                <w:sz w:val="14"/>
                <w:szCs w:val="14"/>
                <w:b w:val="1"/>
                <w:bCs w:val="1"/>
                <w:color w:val="F73A25"/>
              </w:rPr>
              <w:t>Stock That Have</w:t>
            </w:r>
          </w:p>
        </w:tc>
      </w:tr>
      <w:tr>
        <w:trPr>
          <w:trHeight w:val="179"/>
        </w:trPr>
        <w:tc>
          <w:tcPr>
            <w:tcW w:w="5080" w:type="dxa"/>
            <w:vAlign w:val="bottom"/>
            <w:tcBorders>
              <w:bottom w:val="single" w:sz="8" w:color="262626"/>
            </w:tcBorders>
          </w:tcPr>
          <w:p>
            <w:pPr>
              <w:ind w:left="40"/>
              <w:spacing w:after="0"/>
              <w:rPr>
                <w:sz w:val="20"/>
                <w:szCs w:val="20"/>
                <w:color w:val="auto"/>
              </w:rPr>
            </w:pPr>
            <w:r>
              <w:rPr>
                <w:rFonts w:ascii="Arial" w:cs="Arial" w:eastAsia="Arial" w:hAnsi="Arial"/>
                <w:sz w:val="14"/>
                <w:szCs w:val="14"/>
                <w:b w:val="1"/>
                <w:bCs w:val="1"/>
                <w:color w:val="F73A25"/>
              </w:rPr>
              <w:t>Name</w:t>
            </w:r>
          </w:p>
        </w:tc>
        <w:tc>
          <w:tcPr>
            <w:tcW w:w="1520" w:type="dxa"/>
            <w:vAlign w:val="bottom"/>
            <w:tcBorders>
              <w:bottom w:val="single" w:sz="8" w:color="262626"/>
            </w:tcBorders>
          </w:tcPr>
          <w:p>
            <w:pPr>
              <w:jc w:val="right"/>
              <w:spacing w:after="0"/>
              <w:rPr>
                <w:sz w:val="20"/>
                <w:szCs w:val="20"/>
                <w:color w:val="auto"/>
              </w:rPr>
            </w:pPr>
            <w:r>
              <w:rPr>
                <w:rFonts w:ascii="Arial" w:cs="Arial" w:eastAsia="Arial" w:hAnsi="Arial"/>
                <w:sz w:val="14"/>
                <w:szCs w:val="14"/>
                <w:b w:val="1"/>
                <w:bCs w:val="1"/>
                <w:color w:val="F73A25"/>
              </w:rPr>
              <w:t>Not Vested</w:t>
            </w:r>
          </w:p>
        </w:tc>
        <w:tc>
          <w:tcPr>
            <w:tcW w:w="300" w:type="dxa"/>
            <w:vAlign w:val="bottom"/>
            <w:tcBorders>
              <w:bottom w:val="single" w:sz="8" w:color="262626"/>
            </w:tcBorders>
          </w:tcPr>
          <w:p>
            <w:pPr>
              <w:spacing w:after="0"/>
              <w:rPr>
                <w:sz w:val="15"/>
                <w:szCs w:val="15"/>
                <w:color w:val="auto"/>
              </w:rPr>
            </w:pPr>
          </w:p>
        </w:tc>
        <w:tc>
          <w:tcPr>
            <w:tcW w:w="180" w:type="dxa"/>
            <w:vAlign w:val="bottom"/>
            <w:tcBorders>
              <w:bottom w:val="single" w:sz="8" w:color="262626"/>
            </w:tcBorders>
          </w:tcPr>
          <w:p>
            <w:pPr>
              <w:spacing w:after="0"/>
              <w:rPr>
                <w:sz w:val="15"/>
                <w:szCs w:val="15"/>
                <w:color w:val="auto"/>
              </w:rPr>
            </w:pPr>
          </w:p>
        </w:tc>
        <w:tc>
          <w:tcPr>
            <w:tcW w:w="1280" w:type="dxa"/>
            <w:vAlign w:val="bottom"/>
            <w:tcBorders>
              <w:bottom w:val="single" w:sz="8" w:color="262626"/>
            </w:tcBorders>
          </w:tcPr>
          <w:p>
            <w:pPr>
              <w:jc w:val="right"/>
              <w:spacing w:after="0" w:line="179" w:lineRule="exact"/>
              <w:rPr>
                <w:sz w:val="20"/>
                <w:szCs w:val="20"/>
                <w:color w:val="auto"/>
              </w:rPr>
            </w:pPr>
            <w:r>
              <w:rPr>
                <w:rFonts w:ascii="Arial" w:cs="Arial" w:eastAsia="Arial" w:hAnsi="Arial"/>
                <w:sz w:val="12"/>
                <w:szCs w:val="12"/>
                <w:b w:val="1"/>
                <w:bCs w:val="1"/>
                <w:color w:val="F73A25"/>
              </w:rPr>
              <w:t>Not Vested</w:t>
            </w:r>
            <w:r>
              <w:rPr>
                <w:rFonts w:ascii="Arial" w:cs="Arial" w:eastAsia="Arial" w:hAnsi="Arial"/>
                <w:sz w:val="20"/>
                <w:szCs w:val="20"/>
                <w:b w:val="1"/>
                <w:bCs w:val="1"/>
                <w:color w:val="F73A25"/>
                <w:vertAlign w:val="superscript"/>
              </w:rPr>
              <w:t>(5)</w:t>
            </w:r>
          </w:p>
        </w:tc>
      </w:tr>
      <w:tr>
        <w:trPr>
          <w:trHeight w:val="306"/>
        </w:trPr>
        <w:tc>
          <w:tcPr>
            <w:tcW w:w="5080" w:type="dxa"/>
            <w:vAlign w:val="bottom"/>
            <w:shd w:val="clear" w:color="auto" w:fill="EAEFED"/>
          </w:tcPr>
          <w:p>
            <w:pPr>
              <w:ind w:left="40"/>
              <w:spacing w:after="0"/>
              <w:rPr>
                <w:sz w:val="20"/>
                <w:szCs w:val="20"/>
                <w:color w:val="auto"/>
              </w:rPr>
            </w:pPr>
            <w:r>
              <w:rPr>
                <w:rFonts w:ascii="Arial" w:cs="Arial" w:eastAsia="Arial" w:hAnsi="Arial"/>
                <w:sz w:val="14"/>
                <w:szCs w:val="14"/>
                <w:color w:val="262626"/>
              </w:rPr>
              <w:t>Donald C. Wood</w:t>
            </w:r>
          </w:p>
        </w:tc>
        <w:tc>
          <w:tcPr>
            <w:tcW w:w="1820" w:type="dxa"/>
            <w:vAlign w:val="bottom"/>
            <w:gridSpan w:val="2"/>
          </w:tcPr>
          <w:p>
            <w:pPr>
              <w:jc w:val="right"/>
              <w:ind w:right="59"/>
              <w:spacing w:after="0"/>
              <w:rPr>
                <w:sz w:val="20"/>
                <w:szCs w:val="20"/>
                <w:color w:val="auto"/>
              </w:rPr>
            </w:pPr>
            <w:r>
              <w:rPr>
                <w:rFonts w:ascii="Arial" w:cs="Arial" w:eastAsia="Arial" w:hAnsi="Arial"/>
                <w:sz w:val="14"/>
                <w:szCs w:val="14"/>
                <w:color w:val="262626"/>
              </w:rPr>
              <w:t xml:space="preserve">3,546 </w:t>
            </w:r>
            <w:r>
              <w:rPr>
                <w:rFonts w:ascii="Arial" w:cs="Arial" w:eastAsia="Arial" w:hAnsi="Arial"/>
                <w:sz w:val="24"/>
                <w:szCs w:val="24"/>
                <w:color w:val="262626"/>
                <w:vertAlign w:val="superscript"/>
              </w:rPr>
              <w:t>(1)</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301,836</w:t>
            </w:r>
          </w:p>
        </w:tc>
      </w:tr>
      <w:tr>
        <w:trPr>
          <w:trHeight w:val="171"/>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42,266</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(1)</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3,597,682</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2,654</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(2)</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225,908</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24,833</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(2)</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2,113,785</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1,417</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(3)</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120,615</w:t>
            </w:r>
          </w:p>
        </w:tc>
      </w:tr>
      <w:tr>
        <w:trPr>
          <w:trHeight w:val="165"/>
        </w:trPr>
        <w:tc>
          <w:tcPr>
            <w:tcW w:w="5080" w:type="dxa"/>
            <w:vAlign w:val="bottom"/>
            <w:tcBorders>
              <w:bottom w:val="single" w:sz="8" w:color="262626"/>
            </w:tcBorders>
            <w:shd w:val="clear" w:color="auto" w:fill="EAEFED"/>
          </w:tcPr>
          <w:p>
            <w:pPr>
              <w:spacing w:after="0"/>
              <w:rPr>
                <w:sz w:val="14"/>
                <w:szCs w:val="14"/>
                <w:color w:val="auto"/>
              </w:rPr>
            </w:pPr>
          </w:p>
        </w:tc>
        <w:tc>
          <w:tcPr>
            <w:tcW w:w="152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14,034</w:t>
            </w:r>
          </w:p>
        </w:tc>
        <w:tc>
          <w:tcPr>
            <w:tcW w:w="300" w:type="dxa"/>
            <w:vAlign w:val="bottom"/>
            <w:tcBorders>
              <w:bottom w:val="single" w:sz="8" w:color="262626"/>
            </w:tcBorders>
          </w:tcPr>
          <w:p>
            <w:pPr>
              <w:jc w:val="right"/>
              <w:ind w:right="59"/>
              <w:spacing w:after="0"/>
              <w:rPr>
                <w:sz w:val="20"/>
                <w:szCs w:val="20"/>
                <w:color w:val="auto"/>
              </w:rPr>
            </w:pPr>
            <w:r>
              <w:rPr>
                <w:rFonts w:ascii="Arial" w:cs="Arial" w:eastAsia="Arial" w:hAnsi="Arial"/>
                <w:sz w:val="12"/>
                <w:szCs w:val="12"/>
                <w:color w:val="262626"/>
              </w:rPr>
              <w:t>(3)</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Borders>
              <w:bottom w:val="single" w:sz="8" w:color="262626"/>
            </w:tcBorders>
          </w:tcPr>
          <w:p>
            <w:pPr>
              <w:jc w:val="right"/>
              <w:ind w:right="49"/>
              <w:spacing w:after="0"/>
              <w:rPr>
                <w:sz w:val="20"/>
                <w:szCs w:val="20"/>
                <w:color w:val="auto"/>
              </w:rPr>
            </w:pPr>
            <w:r>
              <w:rPr>
                <w:rFonts w:ascii="Arial" w:cs="Arial" w:eastAsia="Arial" w:hAnsi="Arial"/>
                <w:sz w:val="14"/>
                <w:szCs w:val="14"/>
                <w:color w:val="262626"/>
              </w:rPr>
              <w:t>1,194,574</w:t>
            </w:r>
          </w:p>
        </w:tc>
      </w:tr>
      <w:tr>
        <w:trPr>
          <w:trHeight w:val="153"/>
        </w:trPr>
        <w:tc>
          <w:tcPr>
            <w:tcW w:w="5080" w:type="dxa"/>
            <w:vAlign w:val="bottom"/>
            <w:shd w:val="clear" w:color="auto" w:fill="EAEFED"/>
          </w:tcPr>
          <w:p>
            <w:pPr>
              <w:ind w:left="40"/>
              <w:spacing w:after="0" w:line="153" w:lineRule="exact"/>
              <w:rPr>
                <w:sz w:val="20"/>
                <w:szCs w:val="20"/>
                <w:color w:val="auto"/>
              </w:rPr>
            </w:pPr>
            <w:r>
              <w:rPr>
                <w:rFonts w:ascii="Arial" w:cs="Arial" w:eastAsia="Arial" w:hAnsi="Arial"/>
                <w:sz w:val="14"/>
                <w:szCs w:val="14"/>
                <w:color w:val="262626"/>
              </w:rPr>
              <w:t>Daniel Guglielmone</w:t>
            </w:r>
          </w:p>
        </w:tc>
        <w:tc>
          <w:tcPr>
            <w:tcW w:w="1820" w:type="dxa"/>
            <w:vAlign w:val="bottom"/>
            <w:gridSpan w:val="2"/>
          </w:tcPr>
          <w:p>
            <w:pPr>
              <w:jc w:val="right"/>
              <w:ind w:right="59"/>
              <w:spacing w:after="0" w:line="153" w:lineRule="exact"/>
              <w:rPr>
                <w:sz w:val="20"/>
                <w:szCs w:val="20"/>
                <w:color w:val="auto"/>
              </w:rPr>
            </w:pPr>
            <w:r>
              <w:rPr>
                <w:rFonts w:ascii="Arial" w:cs="Arial" w:eastAsia="Arial" w:hAnsi="Arial"/>
                <w:sz w:val="11"/>
                <w:szCs w:val="11"/>
                <w:color w:val="262626"/>
              </w:rPr>
              <w:t xml:space="preserve">7,608 </w:t>
            </w:r>
            <w:r>
              <w:rPr>
                <w:rFonts w:ascii="Arial" w:cs="Arial" w:eastAsia="Arial" w:hAnsi="Arial"/>
                <w:sz w:val="17"/>
                <w:szCs w:val="17"/>
                <w:color w:val="262626"/>
                <w:vertAlign w:val="superscript"/>
              </w:rPr>
              <w:t>(1)</w:t>
            </w: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line="153" w:lineRule="exact"/>
              <w:rPr>
                <w:sz w:val="20"/>
                <w:szCs w:val="20"/>
                <w:color w:val="auto"/>
              </w:rPr>
            </w:pPr>
            <w:r>
              <w:rPr>
                <w:rFonts w:ascii="Arial" w:cs="Arial" w:eastAsia="Arial" w:hAnsi="Arial"/>
                <w:sz w:val="14"/>
                <w:szCs w:val="14"/>
                <w:color w:val="262626"/>
              </w:rPr>
              <w:t>647,593</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4,470</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(2)</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380,486</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2,358</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(3)</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200,713</w:t>
            </w:r>
          </w:p>
        </w:tc>
      </w:tr>
      <w:tr>
        <w:trPr>
          <w:trHeight w:val="165"/>
        </w:trPr>
        <w:tc>
          <w:tcPr>
            <w:tcW w:w="5080" w:type="dxa"/>
            <w:vAlign w:val="bottom"/>
            <w:tcBorders>
              <w:bottom w:val="single" w:sz="8" w:color="262626"/>
            </w:tcBorders>
            <w:shd w:val="clear" w:color="auto" w:fill="EAEFED"/>
          </w:tcPr>
          <w:p>
            <w:pPr>
              <w:spacing w:after="0"/>
              <w:rPr>
                <w:sz w:val="14"/>
                <w:szCs w:val="14"/>
                <w:color w:val="auto"/>
              </w:rPr>
            </w:pPr>
          </w:p>
        </w:tc>
        <w:tc>
          <w:tcPr>
            <w:tcW w:w="152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2,685</w:t>
            </w:r>
          </w:p>
        </w:tc>
        <w:tc>
          <w:tcPr>
            <w:tcW w:w="300" w:type="dxa"/>
            <w:vAlign w:val="bottom"/>
            <w:tcBorders>
              <w:bottom w:val="single" w:sz="8" w:color="262626"/>
            </w:tcBorders>
          </w:tcPr>
          <w:p>
            <w:pPr>
              <w:jc w:val="right"/>
              <w:ind w:right="59"/>
              <w:spacing w:after="0"/>
              <w:rPr>
                <w:sz w:val="20"/>
                <w:szCs w:val="20"/>
                <w:color w:val="auto"/>
              </w:rPr>
            </w:pPr>
            <w:r>
              <w:rPr>
                <w:rFonts w:ascii="Arial" w:cs="Arial" w:eastAsia="Arial" w:hAnsi="Arial"/>
                <w:sz w:val="12"/>
                <w:szCs w:val="12"/>
                <w:color w:val="262626"/>
              </w:rPr>
              <w:t>(4)</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Borders>
              <w:bottom w:val="single" w:sz="8" w:color="262626"/>
            </w:tcBorders>
          </w:tcPr>
          <w:p>
            <w:pPr>
              <w:jc w:val="right"/>
              <w:ind w:right="49"/>
              <w:spacing w:after="0"/>
              <w:rPr>
                <w:sz w:val="20"/>
                <w:szCs w:val="20"/>
                <w:color w:val="auto"/>
              </w:rPr>
            </w:pPr>
            <w:r>
              <w:rPr>
                <w:rFonts w:ascii="Arial" w:cs="Arial" w:eastAsia="Arial" w:hAnsi="Arial"/>
                <w:sz w:val="14"/>
                <w:szCs w:val="14"/>
                <w:color w:val="262626"/>
              </w:rPr>
              <w:t>228,547</w:t>
            </w:r>
          </w:p>
        </w:tc>
      </w:tr>
      <w:tr>
        <w:trPr>
          <w:trHeight w:val="153"/>
        </w:trPr>
        <w:tc>
          <w:tcPr>
            <w:tcW w:w="5080" w:type="dxa"/>
            <w:vAlign w:val="bottom"/>
            <w:shd w:val="clear" w:color="auto" w:fill="EAEFED"/>
          </w:tcPr>
          <w:p>
            <w:pPr>
              <w:ind w:left="40"/>
              <w:spacing w:after="0" w:line="153" w:lineRule="exact"/>
              <w:rPr>
                <w:sz w:val="20"/>
                <w:szCs w:val="20"/>
                <w:color w:val="auto"/>
              </w:rPr>
            </w:pPr>
            <w:r>
              <w:rPr>
                <w:rFonts w:ascii="Arial" w:cs="Arial" w:eastAsia="Arial" w:hAnsi="Arial"/>
                <w:sz w:val="14"/>
                <w:szCs w:val="14"/>
                <w:color w:val="262626"/>
              </w:rPr>
              <w:t>Dawn M. Becker</w:t>
            </w:r>
          </w:p>
        </w:tc>
        <w:tc>
          <w:tcPr>
            <w:tcW w:w="1820" w:type="dxa"/>
            <w:vAlign w:val="bottom"/>
            <w:gridSpan w:val="2"/>
          </w:tcPr>
          <w:p>
            <w:pPr>
              <w:jc w:val="right"/>
              <w:ind w:right="59"/>
              <w:spacing w:after="0" w:line="153" w:lineRule="exact"/>
              <w:rPr>
                <w:sz w:val="20"/>
                <w:szCs w:val="20"/>
                <w:color w:val="auto"/>
              </w:rPr>
            </w:pPr>
            <w:r>
              <w:rPr>
                <w:rFonts w:ascii="Arial" w:cs="Arial" w:eastAsia="Arial" w:hAnsi="Arial"/>
                <w:sz w:val="17"/>
                <w:szCs w:val="17"/>
                <w:color w:val="262626"/>
                <w:vertAlign w:val="subscript"/>
              </w:rPr>
              <w:t>886</w:t>
            </w:r>
            <w:r>
              <w:rPr>
                <w:rFonts w:ascii="Arial" w:cs="Arial" w:eastAsia="Arial" w:hAnsi="Arial"/>
                <w:sz w:val="9"/>
                <w:szCs w:val="9"/>
                <w:color w:val="262626"/>
              </w:rPr>
              <w:t xml:space="preserve"> (1)</w:t>
            </w:r>
          </w:p>
        </w:tc>
        <w:tc>
          <w:tcPr>
            <w:tcW w:w="180" w:type="dxa"/>
            <w:vAlign w:val="bottom"/>
          </w:tcPr>
          <w:p>
            <w:pPr>
              <w:jc w:val="right"/>
              <w:spacing w:after="0" w:line="153" w:lineRule="exact"/>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line="153" w:lineRule="exact"/>
              <w:rPr>
                <w:sz w:val="20"/>
                <w:szCs w:val="20"/>
                <w:color w:val="auto"/>
              </w:rPr>
            </w:pPr>
            <w:r>
              <w:rPr>
                <w:rFonts w:ascii="Arial" w:cs="Arial" w:eastAsia="Arial" w:hAnsi="Arial"/>
                <w:sz w:val="14"/>
                <w:szCs w:val="14"/>
                <w:color w:val="262626"/>
              </w:rPr>
              <w:t>75,416</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5,072</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(1)</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431,729</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629</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(2)</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53,540</w:t>
            </w:r>
          </w:p>
        </w:tc>
      </w:tr>
      <w:tr>
        <w:trPr>
          <w:trHeight w:val="162"/>
        </w:trPr>
        <w:tc>
          <w:tcPr>
            <w:tcW w:w="5080" w:type="dxa"/>
            <w:vAlign w:val="bottom"/>
            <w:shd w:val="clear" w:color="auto" w:fill="EAEFED"/>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262626"/>
              </w:rPr>
              <w:t>2,980</w:t>
            </w:r>
          </w:p>
        </w:tc>
        <w:tc>
          <w:tcPr>
            <w:tcW w:w="300" w:type="dxa"/>
            <w:vAlign w:val="bottom"/>
          </w:tcPr>
          <w:p>
            <w:pPr>
              <w:jc w:val="right"/>
              <w:ind w:right="59"/>
              <w:spacing w:after="0"/>
              <w:rPr>
                <w:sz w:val="20"/>
                <w:szCs w:val="20"/>
                <w:color w:val="auto"/>
              </w:rPr>
            </w:pPr>
            <w:r>
              <w:rPr>
                <w:rFonts w:ascii="Arial" w:cs="Arial" w:eastAsia="Arial" w:hAnsi="Arial"/>
                <w:sz w:val="12"/>
                <w:szCs w:val="12"/>
                <w:color w:val="262626"/>
              </w:rPr>
              <w:t>(2)</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Pr>
          <w:p>
            <w:pPr>
              <w:jc w:val="right"/>
              <w:ind w:right="49"/>
              <w:spacing w:after="0"/>
              <w:rPr>
                <w:sz w:val="20"/>
                <w:szCs w:val="20"/>
                <w:color w:val="auto"/>
              </w:rPr>
            </w:pPr>
            <w:r>
              <w:rPr>
                <w:rFonts w:ascii="Arial" w:cs="Arial" w:eastAsia="Arial" w:hAnsi="Arial"/>
                <w:sz w:val="14"/>
                <w:szCs w:val="14"/>
                <w:color w:val="262626"/>
              </w:rPr>
              <w:t>253,658</w:t>
            </w:r>
          </w:p>
        </w:tc>
      </w:tr>
      <w:tr>
        <w:trPr>
          <w:trHeight w:val="165"/>
        </w:trPr>
        <w:tc>
          <w:tcPr>
            <w:tcW w:w="5080" w:type="dxa"/>
            <w:vAlign w:val="bottom"/>
            <w:tcBorders>
              <w:bottom w:val="single" w:sz="8" w:color="262626"/>
            </w:tcBorders>
            <w:shd w:val="clear" w:color="auto" w:fill="EAEFED"/>
          </w:tcPr>
          <w:p>
            <w:pPr>
              <w:spacing w:after="0"/>
              <w:rPr>
                <w:sz w:val="14"/>
                <w:szCs w:val="14"/>
                <w:color w:val="auto"/>
              </w:rPr>
            </w:pPr>
          </w:p>
        </w:tc>
        <w:tc>
          <w:tcPr>
            <w:tcW w:w="152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1,684</w:t>
            </w:r>
          </w:p>
        </w:tc>
        <w:tc>
          <w:tcPr>
            <w:tcW w:w="300" w:type="dxa"/>
            <w:vAlign w:val="bottom"/>
            <w:tcBorders>
              <w:bottom w:val="single" w:sz="8" w:color="262626"/>
            </w:tcBorders>
          </w:tcPr>
          <w:p>
            <w:pPr>
              <w:jc w:val="right"/>
              <w:ind w:right="59"/>
              <w:spacing w:after="0"/>
              <w:rPr>
                <w:sz w:val="20"/>
                <w:szCs w:val="20"/>
                <w:color w:val="auto"/>
              </w:rPr>
            </w:pPr>
            <w:r>
              <w:rPr>
                <w:rFonts w:ascii="Arial" w:cs="Arial" w:eastAsia="Arial" w:hAnsi="Arial"/>
                <w:sz w:val="12"/>
                <w:szCs w:val="12"/>
                <w:color w:val="262626"/>
              </w:rPr>
              <w:t>(3)</w:t>
            </w:r>
          </w:p>
        </w:tc>
        <w:tc>
          <w:tcPr>
            <w:tcW w:w="18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1280" w:type="dxa"/>
            <w:vAlign w:val="bottom"/>
            <w:tcBorders>
              <w:bottom w:val="single" w:sz="8" w:color="262626"/>
            </w:tcBorders>
          </w:tcPr>
          <w:p>
            <w:pPr>
              <w:jc w:val="right"/>
              <w:ind w:right="49"/>
              <w:spacing w:after="0"/>
              <w:rPr>
                <w:sz w:val="20"/>
                <w:szCs w:val="20"/>
                <w:color w:val="auto"/>
              </w:rPr>
            </w:pPr>
            <w:r>
              <w:rPr>
                <w:rFonts w:ascii="Arial" w:cs="Arial" w:eastAsia="Arial" w:hAnsi="Arial"/>
                <w:sz w:val="14"/>
                <w:szCs w:val="14"/>
                <w:color w:val="262626"/>
              </w:rPr>
              <w:t>143,342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28"/>
          <w:szCs w:val="28"/>
          <w:color w:val="262626"/>
          <w:vertAlign w:val="superscript"/>
        </w:rPr>
      </w:pPr>
      <w:r>
        <w:rPr>
          <w:rFonts w:ascii="Arial" w:cs="Arial" w:eastAsia="Arial" w:hAnsi="Arial"/>
          <w:sz w:val="16"/>
          <w:szCs w:val="16"/>
          <w:color w:val="262626"/>
        </w:rPr>
        <w:t>One-third of these Shares vested on February 12, 2021 and the remaining Shares will vest on February 12, 2022 and 2023.</w:t>
      </w:r>
    </w:p>
    <w:p>
      <w:pPr>
        <w:ind w:left="540" w:hanging="424"/>
        <w:spacing w:after="0" w:line="184" w:lineRule="auto"/>
        <w:tabs>
          <w:tab w:leader="none" w:pos="540" w:val="left"/>
        </w:tabs>
        <w:numPr>
          <w:ilvl w:val="0"/>
          <w:numId w:val="24"/>
        </w:numPr>
        <w:rPr>
          <w:rFonts w:ascii="Arial" w:cs="Arial" w:eastAsia="Arial" w:hAnsi="Arial"/>
          <w:sz w:val="22"/>
          <w:szCs w:val="22"/>
          <w:color w:val="262626"/>
          <w:vertAlign w:val="superscript"/>
        </w:rPr>
      </w:pPr>
      <w:r>
        <w:rPr>
          <w:rFonts w:ascii="Arial" w:cs="Arial" w:eastAsia="Arial" w:hAnsi="Arial"/>
          <w:sz w:val="14"/>
          <w:szCs w:val="14"/>
          <w:color w:val="262626"/>
        </w:rPr>
        <w:t>One-half of these Shares vested on February 12, 2021 and the remaining Shares will vest on February 12, 2022.</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93"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28"/>
          <w:szCs w:val="28"/>
          <w:color w:val="262626"/>
          <w:vertAlign w:val="superscript"/>
        </w:rPr>
      </w:pPr>
      <w:r>
        <w:rPr>
          <w:rFonts w:ascii="Arial" w:cs="Arial" w:eastAsia="Arial" w:hAnsi="Arial"/>
          <w:sz w:val="16"/>
          <w:szCs w:val="16"/>
          <w:color w:val="262626"/>
        </w:rPr>
        <w:t>These shares vested on February 12, 2021.</w:t>
      </w:r>
    </w:p>
    <w:p>
      <w:pPr>
        <w:ind w:left="540" w:hanging="424"/>
        <w:spacing w:after="0" w:line="187" w:lineRule="auto"/>
        <w:tabs>
          <w:tab w:leader="none" w:pos="540" w:val="left"/>
        </w:tabs>
        <w:numPr>
          <w:ilvl w:val="0"/>
          <w:numId w:val="25"/>
        </w:numPr>
        <w:rPr>
          <w:rFonts w:ascii="Arial" w:cs="Arial" w:eastAsia="Arial" w:hAnsi="Arial"/>
          <w:sz w:val="21"/>
          <w:szCs w:val="21"/>
          <w:color w:val="262626"/>
          <w:vertAlign w:val="superscript"/>
        </w:rPr>
      </w:pPr>
      <w:r>
        <w:rPr>
          <w:rFonts w:ascii="Arial" w:cs="Arial" w:eastAsia="Arial" w:hAnsi="Arial"/>
          <w:sz w:val="13"/>
          <w:szCs w:val="13"/>
          <w:color w:val="262626"/>
        </w:rPr>
        <w:t>These Shares will vest equally on August 15 of each of 2021 through 2023.</w:t>
      </w:r>
    </w:p>
    <w:p>
      <w:pPr>
        <w:jc w:val="both"/>
        <w:ind w:left="540" w:right="20" w:hanging="424"/>
        <w:spacing w:after="0" w:line="215" w:lineRule="auto"/>
        <w:tabs>
          <w:tab w:leader="none" w:pos="540" w:val="left"/>
        </w:tabs>
        <w:numPr>
          <w:ilvl w:val="0"/>
          <w:numId w:val="25"/>
        </w:numPr>
        <w:rPr>
          <w:rFonts w:ascii="Arial" w:cs="Arial" w:eastAsia="Arial" w:hAnsi="Arial"/>
          <w:sz w:val="28"/>
          <w:szCs w:val="28"/>
          <w:color w:val="262626"/>
          <w:vertAlign w:val="superscript"/>
        </w:rPr>
      </w:pPr>
      <w:r>
        <w:rPr>
          <w:rFonts w:ascii="Arial" w:cs="Arial" w:eastAsia="Arial" w:hAnsi="Arial"/>
          <w:sz w:val="16"/>
          <w:szCs w:val="16"/>
          <w:color w:val="262626"/>
        </w:rPr>
        <w:t>The market value of outstanding unvested Shares is based on $85.12, the closing price of our Shares on the NYSE on December 31, 2020. The value of the outstanding unvested Shares at the time they were issued was previously included in the Summary Compensation Table for the applicable year in which the Shares were issued. The difference between the market value of the outstanding unvested Shares as of December 31, 2020 as compared to the value of those Shares reported in a Summary Compensation Table is ($3,685,988) for Mr. Wood, ($802,004) for Mr. Guglielmone and ($472,522) for Ms. Becker.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Option Exercises and Stock Vested Table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following table includes information with respect to options exercised and Shares that vested in 2020 for each of our NEOs.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260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F73A25"/>
              </w:rPr>
              <w:t>Option Awards</w:t>
            </w:r>
          </w:p>
        </w:tc>
        <w:tc>
          <w:tcPr>
            <w:tcW w:w="2800" w:type="dxa"/>
            <w:vAlign w:val="bottom"/>
            <w:gridSpan w:val="4"/>
          </w:tcPr>
          <w:p>
            <w:pPr>
              <w:ind w:left="800"/>
              <w:spacing w:after="0"/>
              <w:rPr>
                <w:sz w:val="20"/>
                <w:szCs w:val="20"/>
                <w:color w:val="auto"/>
              </w:rPr>
            </w:pPr>
            <w:r>
              <w:rPr>
                <w:rFonts w:ascii="Arial" w:cs="Arial" w:eastAsia="Arial" w:hAnsi="Arial"/>
                <w:sz w:val="14"/>
                <w:szCs w:val="14"/>
                <w:b w:val="1"/>
                <w:bCs w:val="1"/>
                <w:color w:val="F73A25"/>
              </w:rPr>
              <w:t>Stock Awards</w:t>
            </w:r>
          </w:p>
        </w:tc>
      </w:tr>
      <w:tr>
        <w:trPr>
          <w:trHeight w:val="142"/>
        </w:trPr>
        <w:tc>
          <w:tcPr>
            <w:tcW w:w="5620" w:type="dxa"/>
            <w:vAlign w:val="bottom"/>
          </w:tcPr>
          <w:p>
            <w:pPr>
              <w:spacing w:after="0"/>
              <w:rPr>
                <w:sz w:val="12"/>
                <w:szCs w:val="12"/>
                <w:color w:val="auto"/>
              </w:rPr>
            </w:pPr>
          </w:p>
        </w:tc>
        <w:tc>
          <w:tcPr>
            <w:tcW w:w="1380" w:type="dxa"/>
            <w:vAlign w:val="bottom"/>
            <w:tcBorders>
              <w:top w:val="single" w:sz="8" w:color="262626"/>
            </w:tcBorders>
          </w:tcPr>
          <w:p>
            <w:pPr>
              <w:jc w:val="right"/>
              <w:ind w:right="8"/>
              <w:spacing w:after="0" w:line="143" w:lineRule="exact"/>
              <w:rPr>
                <w:sz w:val="20"/>
                <w:szCs w:val="20"/>
                <w:color w:val="auto"/>
              </w:rPr>
            </w:pPr>
            <w:r>
              <w:rPr>
                <w:rFonts w:ascii="Arial" w:cs="Arial" w:eastAsia="Arial" w:hAnsi="Arial"/>
                <w:sz w:val="14"/>
                <w:szCs w:val="14"/>
                <w:b w:val="1"/>
                <w:bCs w:val="1"/>
                <w:color w:val="F73A25"/>
              </w:rPr>
              <w:t>Number of</w:t>
            </w:r>
          </w:p>
        </w:tc>
        <w:tc>
          <w:tcPr>
            <w:tcW w:w="240" w:type="dxa"/>
            <w:vAlign w:val="bottom"/>
            <w:tcBorders>
              <w:top w:val="single" w:sz="8" w:color="262626"/>
            </w:tcBorders>
          </w:tcPr>
          <w:p>
            <w:pPr>
              <w:spacing w:after="0"/>
              <w:rPr>
                <w:sz w:val="12"/>
                <w:szCs w:val="12"/>
                <w:color w:val="auto"/>
              </w:rPr>
            </w:pPr>
          </w:p>
        </w:tc>
        <w:tc>
          <w:tcPr>
            <w:tcW w:w="980" w:type="dxa"/>
            <w:vAlign w:val="bottom"/>
            <w:tcBorders>
              <w:top w:val="single" w:sz="8" w:color="262626"/>
            </w:tcBorders>
          </w:tcPr>
          <w:p>
            <w:pPr>
              <w:spacing w:after="0"/>
              <w:rPr>
                <w:sz w:val="12"/>
                <w:szCs w:val="12"/>
                <w:color w:val="auto"/>
              </w:rPr>
            </w:pPr>
          </w:p>
        </w:tc>
        <w:tc>
          <w:tcPr>
            <w:tcW w:w="1320" w:type="dxa"/>
            <w:vAlign w:val="bottom"/>
            <w:tcBorders>
              <w:top w:val="single" w:sz="8" w:color="262626"/>
            </w:tcBorders>
          </w:tcPr>
          <w:p>
            <w:pPr>
              <w:jc w:val="right"/>
              <w:spacing w:after="0" w:line="143" w:lineRule="exact"/>
              <w:rPr>
                <w:sz w:val="20"/>
                <w:szCs w:val="20"/>
                <w:color w:val="auto"/>
              </w:rPr>
            </w:pPr>
            <w:r>
              <w:rPr>
                <w:rFonts w:ascii="Arial" w:cs="Arial" w:eastAsia="Arial" w:hAnsi="Arial"/>
                <w:sz w:val="14"/>
                <w:szCs w:val="14"/>
                <w:b w:val="1"/>
                <w:bCs w:val="1"/>
                <w:color w:val="F73A25"/>
              </w:rPr>
              <w:t>Number of</w:t>
            </w:r>
          </w:p>
        </w:tc>
        <w:tc>
          <w:tcPr>
            <w:tcW w:w="180" w:type="dxa"/>
            <w:vAlign w:val="bottom"/>
            <w:tcBorders>
              <w:top w:val="single" w:sz="8" w:color="262626"/>
            </w:tcBorders>
          </w:tcPr>
          <w:p>
            <w:pPr>
              <w:spacing w:after="0"/>
              <w:rPr>
                <w:sz w:val="12"/>
                <w:szCs w:val="12"/>
                <w:color w:val="auto"/>
              </w:rPr>
            </w:pPr>
          </w:p>
        </w:tc>
        <w:tc>
          <w:tcPr>
            <w:tcW w:w="1040" w:type="dxa"/>
            <w:vAlign w:val="bottom"/>
            <w:tcBorders>
              <w:top w:val="single" w:sz="8" w:color="262626"/>
            </w:tcBorders>
          </w:tcPr>
          <w:p>
            <w:pPr>
              <w:spacing w:after="0"/>
              <w:rPr>
                <w:sz w:val="12"/>
                <w:szCs w:val="12"/>
                <w:color w:val="auto"/>
              </w:rPr>
            </w:pPr>
          </w:p>
        </w:tc>
        <w:tc>
          <w:tcPr>
            <w:tcW w:w="260" w:type="dxa"/>
            <w:vAlign w:val="bottom"/>
          </w:tcPr>
          <w:p>
            <w:pPr>
              <w:spacing w:after="0"/>
              <w:rPr>
                <w:sz w:val="12"/>
                <w:szCs w:val="12"/>
                <w:color w:val="auto"/>
              </w:rPr>
            </w:pPr>
          </w:p>
        </w:tc>
      </w:tr>
      <w:tr>
        <w:trPr>
          <w:trHeight w:val="159"/>
        </w:trPr>
        <w:tc>
          <w:tcPr>
            <w:tcW w:w="5620" w:type="dxa"/>
            <w:vAlign w:val="bottom"/>
          </w:tcPr>
          <w:p>
            <w:pPr>
              <w:spacing w:after="0"/>
              <w:rPr>
                <w:sz w:val="13"/>
                <w:szCs w:val="13"/>
                <w:color w:val="auto"/>
              </w:rPr>
            </w:pPr>
          </w:p>
        </w:tc>
        <w:tc>
          <w:tcPr>
            <w:tcW w:w="1380" w:type="dxa"/>
            <w:vAlign w:val="bottom"/>
          </w:tcPr>
          <w:p>
            <w:pPr>
              <w:jc w:val="right"/>
              <w:ind w:right="8"/>
              <w:spacing w:after="0" w:line="159" w:lineRule="exact"/>
              <w:rPr>
                <w:sz w:val="20"/>
                <w:szCs w:val="20"/>
                <w:color w:val="auto"/>
              </w:rPr>
            </w:pPr>
            <w:r>
              <w:rPr>
                <w:rFonts w:ascii="Arial" w:cs="Arial" w:eastAsia="Arial" w:hAnsi="Arial"/>
                <w:sz w:val="14"/>
                <w:szCs w:val="14"/>
                <w:b w:val="1"/>
                <w:bCs w:val="1"/>
                <w:color w:val="F73A25"/>
              </w:rPr>
              <w:t>Shares Acquired</w:t>
            </w:r>
          </w:p>
        </w:tc>
        <w:tc>
          <w:tcPr>
            <w:tcW w:w="1220" w:type="dxa"/>
            <w:vAlign w:val="bottom"/>
            <w:gridSpan w:val="2"/>
          </w:tcPr>
          <w:p>
            <w:pPr>
              <w:jc w:val="right"/>
              <w:ind w:right="28"/>
              <w:spacing w:after="0" w:line="159" w:lineRule="exact"/>
              <w:rPr>
                <w:sz w:val="20"/>
                <w:szCs w:val="20"/>
                <w:color w:val="auto"/>
              </w:rPr>
            </w:pPr>
            <w:r>
              <w:rPr>
                <w:rFonts w:ascii="Arial" w:cs="Arial" w:eastAsia="Arial" w:hAnsi="Arial"/>
                <w:sz w:val="14"/>
                <w:szCs w:val="14"/>
                <w:b w:val="1"/>
                <w:bCs w:val="1"/>
                <w:color w:val="F73A25"/>
              </w:rPr>
              <w:t>Value Realized</w:t>
            </w:r>
          </w:p>
        </w:tc>
        <w:tc>
          <w:tcPr>
            <w:tcW w:w="1320" w:type="dxa"/>
            <w:vAlign w:val="bottom"/>
          </w:tcPr>
          <w:p>
            <w:pPr>
              <w:jc w:val="right"/>
              <w:spacing w:after="0" w:line="159" w:lineRule="exact"/>
              <w:rPr>
                <w:sz w:val="20"/>
                <w:szCs w:val="20"/>
                <w:color w:val="auto"/>
              </w:rPr>
            </w:pPr>
            <w:r>
              <w:rPr>
                <w:rFonts w:ascii="Arial" w:cs="Arial" w:eastAsia="Arial" w:hAnsi="Arial"/>
                <w:sz w:val="14"/>
                <w:szCs w:val="14"/>
                <w:b w:val="1"/>
                <w:bCs w:val="1"/>
                <w:color w:val="F73A25"/>
              </w:rPr>
              <w:t>Shares Acquired</w:t>
            </w:r>
          </w:p>
        </w:tc>
        <w:tc>
          <w:tcPr>
            <w:tcW w:w="180" w:type="dxa"/>
            <w:vAlign w:val="bottom"/>
          </w:tcPr>
          <w:p>
            <w:pPr>
              <w:spacing w:after="0"/>
              <w:rPr>
                <w:sz w:val="13"/>
                <w:szCs w:val="13"/>
                <w:color w:val="auto"/>
              </w:rPr>
            </w:pPr>
          </w:p>
        </w:tc>
        <w:tc>
          <w:tcPr>
            <w:tcW w:w="130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F73A25"/>
                <w:w w:val="99"/>
              </w:rPr>
              <w:t>Value Realized</w:t>
            </w:r>
          </w:p>
        </w:tc>
      </w:tr>
      <w:tr>
        <w:trPr>
          <w:trHeight w:val="179"/>
        </w:trPr>
        <w:tc>
          <w:tcPr>
            <w:tcW w:w="5620" w:type="dxa"/>
            <w:vAlign w:val="bottom"/>
            <w:tcBorders>
              <w:bottom w:val="single" w:sz="8" w:color="262626"/>
            </w:tcBorders>
          </w:tcPr>
          <w:p>
            <w:pPr>
              <w:ind w:left="40"/>
              <w:spacing w:after="0"/>
              <w:rPr>
                <w:sz w:val="20"/>
                <w:szCs w:val="20"/>
                <w:color w:val="auto"/>
              </w:rPr>
            </w:pPr>
            <w:r>
              <w:rPr>
                <w:rFonts w:ascii="Arial" w:cs="Arial" w:eastAsia="Arial" w:hAnsi="Arial"/>
                <w:sz w:val="14"/>
                <w:szCs w:val="14"/>
                <w:b w:val="1"/>
                <w:bCs w:val="1"/>
                <w:color w:val="F73A25"/>
              </w:rPr>
              <w:t>Name</w:t>
            </w:r>
          </w:p>
        </w:tc>
        <w:tc>
          <w:tcPr>
            <w:tcW w:w="138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b w:val="1"/>
                <w:bCs w:val="1"/>
                <w:color w:val="F73A25"/>
              </w:rPr>
              <w:t>on Exercise</w:t>
            </w:r>
          </w:p>
        </w:tc>
        <w:tc>
          <w:tcPr>
            <w:tcW w:w="240" w:type="dxa"/>
            <w:vAlign w:val="bottom"/>
            <w:tcBorders>
              <w:bottom w:val="single" w:sz="8" w:color="262626"/>
            </w:tcBorders>
          </w:tcPr>
          <w:p>
            <w:pPr>
              <w:spacing w:after="0"/>
              <w:rPr>
                <w:sz w:val="15"/>
                <w:szCs w:val="15"/>
                <w:color w:val="auto"/>
              </w:rPr>
            </w:pPr>
          </w:p>
        </w:tc>
        <w:tc>
          <w:tcPr>
            <w:tcW w:w="980" w:type="dxa"/>
            <w:vAlign w:val="bottom"/>
            <w:tcBorders>
              <w:bottom w:val="single" w:sz="8" w:color="262626"/>
            </w:tcBorders>
          </w:tcPr>
          <w:p>
            <w:pPr>
              <w:jc w:val="right"/>
              <w:ind w:right="28"/>
              <w:spacing w:after="0"/>
              <w:rPr>
                <w:sz w:val="20"/>
                <w:szCs w:val="20"/>
                <w:color w:val="auto"/>
              </w:rPr>
            </w:pPr>
            <w:r>
              <w:rPr>
                <w:rFonts w:ascii="Arial" w:cs="Arial" w:eastAsia="Arial" w:hAnsi="Arial"/>
                <w:sz w:val="14"/>
                <w:szCs w:val="14"/>
                <w:b w:val="1"/>
                <w:bCs w:val="1"/>
                <w:color w:val="F73A25"/>
              </w:rPr>
              <w:t>on Exercise</w:t>
            </w:r>
          </w:p>
        </w:tc>
        <w:tc>
          <w:tcPr>
            <w:tcW w:w="1320" w:type="dxa"/>
            <w:vAlign w:val="bottom"/>
            <w:tcBorders>
              <w:bottom w:val="single" w:sz="8" w:color="262626"/>
            </w:tcBorders>
          </w:tcPr>
          <w:p>
            <w:pPr>
              <w:jc w:val="right"/>
              <w:spacing w:after="0"/>
              <w:rPr>
                <w:sz w:val="20"/>
                <w:szCs w:val="20"/>
                <w:color w:val="auto"/>
              </w:rPr>
            </w:pPr>
            <w:r>
              <w:rPr>
                <w:rFonts w:ascii="Arial" w:cs="Arial" w:eastAsia="Arial" w:hAnsi="Arial"/>
                <w:sz w:val="14"/>
                <w:szCs w:val="14"/>
                <w:b w:val="1"/>
                <w:bCs w:val="1"/>
                <w:color w:val="F73A25"/>
              </w:rPr>
              <w:t>on Vesting</w:t>
            </w:r>
          </w:p>
        </w:tc>
        <w:tc>
          <w:tcPr>
            <w:tcW w:w="180" w:type="dxa"/>
            <w:vAlign w:val="bottom"/>
            <w:tcBorders>
              <w:bottom w:val="single" w:sz="8" w:color="262626"/>
            </w:tcBorders>
          </w:tcPr>
          <w:p>
            <w:pPr>
              <w:spacing w:after="0"/>
              <w:rPr>
                <w:sz w:val="15"/>
                <w:szCs w:val="15"/>
                <w:color w:val="auto"/>
              </w:rPr>
            </w:pPr>
          </w:p>
        </w:tc>
        <w:tc>
          <w:tcPr>
            <w:tcW w:w="1300" w:type="dxa"/>
            <w:vAlign w:val="bottom"/>
            <w:tcBorders>
              <w:bottom w:val="single" w:sz="8" w:color="262626"/>
            </w:tcBorders>
            <w:gridSpan w:val="2"/>
          </w:tcPr>
          <w:p>
            <w:pPr>
              <w:jc w:val="right"/>
              <w:ind w:right="300"/>
              <w:spacing w:after="0" w:line="179" w:lineRule="exact"/>
              <w:rPr>
                <w:sz w:val="20"/>
                <w:szCs w:val="20"/>
                <w:color w:val="auto"/>
              </w:rPr>
            </w:pPr>
            <w:r>
              <w:rPr>
                <w:rFonts w:ascii="Arial" w:cs="Arial" w:eastAsia="Arial" w:hAnsi="Arial"/>
                <w:sz w:val="12"/>
                <w:szCs w:val="12"/>
                <w:b w:val="1"/>
                <w:bCs w:val="1"/>
                <w:color w:val="F73A25"/>
              </w:rPr>
              <w:t>on Vesting</w:t>
            </w:r>
            <w:r>
              <w:rPr>
                <w:rFonts w:ascii="Arial" w:cs="Arial" w:eastAsia="Arial" w:hAnsi="Arial"/>
                <w:sz w:val="20"/>
                <w:szCs w:val="20"/>
                <w:b w:val="1"/>
                <w:bCs w:val="1"/>
                <w:color w:val="F73A25"/>
                <w:vertAlign w:val="superscript"/>
              </w:rPr>
              <w:t>(1)</w:t>
            </w:r>
          </w:p>
        </w:tc>
      </w:tr>
      <w:tr>
        <w:trPr>
          <w:trHeight w:val="160"/>
        </w:trPr>
        <w:tc>
          <w:tcPr>
            <w:tcW w:w="5620" w:type="dxa"/>
            <w:vAlign w:val="bottom"/>
            <w:shd w:val="clear" w:color="auto" w:fill="EAEFED"/>
          </w:tcPr>
          <w:p>
            <w:pPr>
              <w:ind w:left="40"/>
              <w:spacing w:after="0"/>
              <w:rPr>
                <w:sz w:val="20"/>
                <w:szCs w:val="20"/>
                <w:color w:val="auto"/>
              </w:rPr>
            </w:pPr>
            <w:r>
              <w:rPr>
                <w:rFonts w:ascii="Arial" w:cs="Arial" w:eastAsia="Arial" w:hAnsi="Arial"/>
                <w:sz w:val="14"/>
                <w:szCs w:val="14"/>
                <w:color w:val="262626"/>
              </w:rPr>
              <w:t>Donald C. Wood</w:t>
            </w:r>
          </w:p>
        </w:tc>
        <w:tc>
          <w:tcPr>
            <w:tcW w:w="1380" w:type="dxa"/>
            <w:vAlign w:val="bottom"/>
          </w:tcPr>
          <w:p>
            <w:pPr>
              <w:jc w:val="right"/>
              <w:ind w:right="8"/>
              <w:spacing w:after="0"/>
              <w:rPr>
                <w:sz w:val="20"/>
                <w:szCs w:val="20"/>
                <w:color w:val="auto"/>
              </w:rPr>
            </w:pPr>
            <w:r>
              <w:rPr>
                <w:rFonts w:ascii="Arial" w:cs="Arial" w:eastAsia="Arial" w:hAnsi="Arial"/>
                <w:sz w:val="14"/>
                <w:szCs w:val="14"/>
                <w:color w:val="262626"/>
              </w:rPr>
              <w:t>0</w:t>
            </w:r>
          </w:p>
        </w:tc>
        <w:tc>
          <w:tcPr>
            <w:tcW w:w="240" w:type="dxa"/>
            <w:vAlign w:val="bottom"/>
          </w:tcPr>
          <w:p>
            <w:pPr>
              <w:jc w:val="right"/>
              <w:ind w:right="8"/>
              <w:spacing w:after="0"/>
              <w:rPr>
                <w:sz w:val="20"/>
                <w:szCs w:val="20"/>
                <w:color w:val="auto"/>
              </w:rPr>
            </w:pPr>
            <w:r>
              <w:rPr>
                <w:rFonts w:ascii="Arial" w:cs="Arial" w:eastAsia="Arial" w:hAnsi="Arial"/>
                <w:sz w:val="14"/>
                <w:szCs w:val="14"/>
                <w:color w:val="26262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1320" w:type="dxa"/>
            <w:vAlign w:val="bottom"/>
          </w:tcPr>
          <w:p>
            <w:pPr>
              <w:jc w:val="right"/>
              <w:spacing w:after="0"/>
              <w:rPr>
                <w:sz w:val="20"/>
                <w:szCs w:val="20"/>
                <w:color w:val="auto"/>
              </w:rPr>
            </w:pPr>
            <w:r>
              <w:rPr>
                <w:rFonts w:ascii="Arial" w:cs="Arial" w:eastAsia="Arial" w:hAnsi="Arial"/>
                <w:sz w:val="14"/>
                <w:szCs w:val="14"/>
                <w:color w:val="262626"/>
              </w:rPr>
              <w:t>45,726</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040" w:type="dxa"/>
            <w:vAlign w:val="bottom"/>
          </w:tcPr>
          <w:p>
            <w:pPr>
              <w:jc w:val="right"/>
              <w:spacing w:after="0"/>
              <w:rPr>
                <w:sz w:val="20"/>
                <w:szCs w:val="20"/>
                <w:color w:val="auto"/>
              </w:rPr>
            </w:pPr>
            <w:r>
              <w:rPr>
                <w:rFonts w:ascii="Arial" w:cs="Arial" w:eastAsia="Arial" w:hAnsi="Arial"/>
                <w:sz w:val="14"/>
                <w:szCs w:val="14"/>
                <w:color w:val="262626"/>
              </w:rPr>
              <w:t>5,662,708</w:t>
            </w:r>
          </w:p>
        </w:tc>
        <w:tc>
          <w:tcPr>
            <w:tcW w:w="260" w:type="dxa"/>
            <w:vAlign w:val="bottom"/>
          </w:tcPr>
          <w:p>
            <w:pPr>
              <w:spacing w:after="0"/>
              <w:rPr>
                <w:sz w:val="13"/>
                <w:szCs w:val="13"/>
                <w:color w:val="auto"/>
              </w:rPr>
            </w:pPr>
          </w:p>
        </w:tc>
      </w:tr>
      <w:tr>
        <w:trPr>
          <w:trHeight w:val="162"/>
        </w:trPr>
        <w:tc>
          <w:tcPr>
            <w:tcW w:w="5620" w:type="dxa"/>
            <w:vAlign w:val="bottom"/>
            <w:shd w:val="clear" w:color="auto" w:fill="EAEFED"/>
          </w:tcPr>
          <w:p>
            <w:pPr>
              <w:ind w:left="40"/>
              <w:spacing w:after="0"/>
              <w:rPr>
                <w:sz w:val="20"/>
                <w:szCs w:val="20"/>
                <w:color w:val="auto"/>
              </w:rPr>
            </w:pPr>
            <w:r>
              <w:rPr>
                <w:rFonts w:ascii="Arial" w:cs="Arial" w:eastAsia="Arial" w:hAnsi="Arial"/>
                <w:sz w:val="14"/>
                <w:szCs w:val="14"/>
                <w:color w:val="262626"/>
              </w:rPr>
              <w:t>Daniel Guglielmone</w:t>
            </w:r>
          </w:p>
        </w:tc>
        <w:tc>
          <w:tcPr>
            <w:tcW w:w="1380" w:type="dxa"/>
            <w:vAlign w:val="bottom"/>
          </w:tcPr>
          <w:p>
            <w:pPr>
              <w:jc w:val="right"/>
              <w:ind w:right="8"/>
              <w:spacing w:after="0"/>
              <w:rPr>
                <w:sz w:val="20"/>
                <w:szCs w:val="20"/>
                <w:color w:val="auto"/>
              </w:rPr>
            </w:pPr>
            <w:r>
              <w:rPr>
                <w:rFonts w:ascii="Arial" w:cs="Arial" w:eastAsia="Arial" w:hAnsi="Arial"/>
                <w:sz w:val="14"/>
                <w:szCs w:val="14"/>
                <w:color w:val="262626"/>
              </w:rPr>
              <w:t>0</w:t>
            </w:r>
          </w:p>
        </w:tc>
        <w:tc>
          <w:tcPr>
            <w:tcW w:w="240" w:type="dxa"/>
            <w:vAlign w:val="bottom"/>
          </w:tcPr>
          <w:p>
            <w:pPr>
              <w:jc w:val="right"/>
              <w:ind w:right="8"/>
              <w:spacing w:after="0"/>
              <w:rPr>
                <w:sz w:val="20"/>
                <w:szCs w:val="20"/>
                <w:color w:val="auto"/>
              </w:rPr>
            </w:pPr>
            <w:r>
              <w:rPr>
                <w:rFonts w:ascii="Arial" w:cs="Arial" w:eastAsia="Arial" w:hAnsi="Arial"/>
                <w:sz w:val="14"/>
                <w:szCs w:val="14"/>
                <w:color w:val="26262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1320" w:type="dxa"/>
            <w:vAlign w:val="bottom"/>
          </w:tcPr>
          <w:p>
            <w:pPr>
              <w:jc w:val="right"/>
              <w:spacing w:after="0"/>
              <w:rPr>
                <w:sz w:val="20"/>
                <w:szCs w:val="20"/>
                <w:color w:val="auto"/>
              </w:rPr>
            </w:pPr>
            <w:r>
              <w:rPr>
                <w:rFonts w:ascii="Arial" w:cs="Arial" w:eastAsia="Arial" w:hAnsi="Arial"/>
                <w:sz w:val="14"/>
                <w:szCs w:val="14"/>
                <w:color w:val="262626"/>
              </w:rPr>
              <w:t>7,636</w:t>
            </w:r>
          </w:p>
        </w:tc>
        <w:tc>
          <w:tcPr>
            <w:tcW w:w="180" w:type="dxa"/>
            <w:vAlign w:val="bottom"/>
          </w:tcPr>
          <w:p>
            <w:pPr>
              <w:jc w:val="right"/>
              <w:spacing w:after="0"/>
              <w:rPr>
                <w:sz w:val="20"/>
                <w:szCs w:val="20"/>
                <w:color w:val="auto"/>
              </w:rPr>
            </w:pPr>
            <w:r>
              <w:rPr>
                <w:rFonts w:ascii="Arial" w:cs="Arial" w:eastAsia="Arial" w:hAnsi="Arial"/>
                <w:sz w:val="14"/>
                <w:szCs w:val="14"/>
                <w:color w:val="262626"/>
              </w:rPr>
              <w:t>$</w:t>
            </w:r>
          </w:p>
        </w:tc>
        <w:tc>
          <w:tcPr>
            <w:tcW w:w="1040" w:type="dxa"/>
            <w:vAlign w:val="bottom"/>
          </w:tcPr>
          <w:p>
            <w:pPr>
              <w:jc w:val="right"/>
              <w:spacing w:after="0"/>
              <w:rPr>
                <w:sz w:val="20"/>
                <w:szCs w:val="20"/>
                <w:color w:val="auto"/>
              </w:rPr>
            </w:pPr>
            <w:r>
              <w:rPr>
                <w:rFonts w:ascii="Arial" w:cs="Arial" w:eastAsia="Arial" w:hAnsi="Arial"/>
                <w:sz w:val="14"/>
                <w:szCs w:val="14"/>
                <w:color w:val="262626"/>
              </w:rPr>
              <w:t>908,046</w:t>
            </w:r>
          </w:p>
        </w:tc>
        <w:tc>
          <w:tcPr>
            <w:tcW w:w="260" w:type="dxa"/>
            <w:vAlign w:val="bottom"/>
          </w:tcPr>
          <w:p>
            <w:pPr>
              <w:spacing w:after="0"/>
              <w:rPr>
                <w:sz w:val="14"/>
                <w:szCs w:val="14"/>
                <w:color w:val="auto"/>
              </w:rPr>
            </w:pPr>
          </w:p>
        </w:tc>
      </w:tr>
      <w:tr>
        <w:trPr>
          <w:trHeight w:val="157"/>
        </w:trPr>
        <w:tc>
          <w:tcPr>
            <w:tcW w:w="5620" w:type="dxa"/>
            <w:vAlign w:val="bottom"/>
            <w:shd w:val="clear" w:color="auto" w:fill="EAEFED"/>
          </w:tcPr>
          <w:p>
            <w:pPr>
              <w:ind w:left="40"/>
              <w:spacing w:after="0" w:line="157" w:lineRule="exact"/>
              <w:rPr>
                <w:sz w:val="20"/>
                <w:szCs w:val="20"/>
                <w:color w:val="auto"/>
              </w:rPr>
            </w:pPr>
            <w:r>
              <w:rPr>
                <w:rFonts w:ascii="Arial" w:cs="Arial" w:eastAsia="Arial" w:hAnsi="Arial"/>
                <w:sz w:val="14"/>
                <w:szCs w:val="14"/>
                <w:color w:val="262626"/>
              </w:rPr>
              <w:t>Dawn M. Becker</w:t>
            </w:r>
          </w:p>
        </w:tc>
        <w:tc>
          <w:tcPr>
            <w:tcW w:w="138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0</w:t>
            </w:r>
          </w:p>
        </w:tc>
        <w:tc>
          <w:tcPr>
            <w:tcW w:w="24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w:t>
            </w:r>
          </w:p>
        </w:tc>
        <w:tc>
          <w:tcPr>
            <w:tcW w:w="980" w:type="dxa"/>
            <w:vAlign w:val="bottom"/>
          </w:tcPr>
          <w:p>
            <w:pPr>
              <w:jc w:val="right"/>
              <w:ind w:right="28"/>
              <w:spacing w:after="0" w:line="157" w:lineRule="exact"/>
              <w:rPr>
                <w:sz w:val="20"/>
                <w:szCs w:val="20"/>
                <w:color w:val="auto"/>
              </w:rPr>
            </w:pPr>
            <w:r>
              <w:rPr>
                <w:rFonts w:ascii="Arial" w:cs="Arial" w:eastAsia="Arial" w:hAnsi="Arial"/>
                <w:sz w:val="14"/>
                <w:szCs w:val="14"/>
                <w:color w:val="262626"/>
              </w:rPr>
              <w:t>-</w:t>
            </w:r>
          </w:p>
        </w:tc>
        <w:tc>
          <w:tcPr>
            <w:tcW w:w="1320" w:type="dxa"/>
            <w:vAlign w:val="bottom"/>
          </w:tcPr>
          <w:p>
            <w:pPr>
              <w:jc w:val="right"/>
              <w:spacing w:after="0" w:line="157" w:lineRule="exact"/>
              <w:rPr>
                <w:sz w:val="20"/>
                <w:szCs w:val="20"/>
                <w:color w:val="auto"/>
              </w:rPr>
            </w:pPr>
            <w:r>
              <w:rPr>
                <w:rFonts w:ascii="Arial" w:cs="Arial" w:eastAsia="Arial" w:hAnsi="Arial"/>
                <w:sz w:val="14"/>
                <w:szCs w:val="14"/>
                <w:color w:val="262626"/>
              </w:rPr>
              <w:t>5,825</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262626"/>
              </w:rPr>
              <w:t>721,368</w:t>
            </w:r>
          </w:p>
        </w:tc>
        <w:tc>
          <w:tcPr>
            <w:tcW w:w="2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jc w:val="both"/>
        <w:ind w:left="540" w:right="20" w:hanging="424"/>
        <w:spacing w:after="0" w:line="209" w:lineRule="auto"/>
        <w:tabs>
          <w:tab w:leader="none" w:pos="540" w:val="left"/>
        </w:tabs>
        <w:numPr>
          <w:ilvl w:val="0"/>
          <w:numId w:val="26"/>
        </w:numPr>
        <w:rPr>
          <w:rFonts w:ascii="Arial" w:cs="Arial" w:eastAsia="Arial" w:hAnsi="Arial"/>
          <w:sz w:val="28"/>
          <w:szCs w:val="28"/>
          <w:color w:val="262626"/>
          <w:vertAlign w:val="superscript"/>
        </w:rPr>
      </w:pPr>
      <w:r>
        <w:rPr>
          <w:rFonts w:ascii="Arial" w:cs="Arial" w:eastAsia="Arial" w:hAnsi="Arial"/>
          <w:sz w:val="16"/>
          <w:szCs w:val="16"/>
          <w:color w:val="262626"/>
        </w:rPr>
        <w:t>The value realized is based on the closing price of a Share on the date of the Share vesting. The value of these Shares at issuance was reported in the Stock Award column of the Summary Compensation Table for the year in which the Shares were issued. The difference between the value realized on the vesting of the Shares reflected above and the value of the Shares when they were issued and reported as compensation in a Summary Compensation Table is ($211,542) for Mr. Wood, ($97,421) for Mr. Guglielmone and ($34,7812) for Ms. Becker.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Non-Qualified Deferred Compensation</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We maintain a non-qualified deferred compensation plan that is open to participation by 49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Mr. Wood and Ms. Becker participate in our deferred compensation plan with 2020 activity described below. Mr. Guglielmone does not participate in our deferred compensation plan.</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b w:val="1"/>
                <w:bCs w:val="1"/>
                <w:color w:val="F73A25"/>
              </w:rPr>
              <w:t>Executive</w:t>
            </w:r>
          </w:p>
        </w:tc>
        <w:tc>
          <w:tcPr>
            <w:tcW w:w="2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F73A25"/>
              </w:rPr>
              <w:t>Registrant</w:t>
            </w:r>
          </w:p>
        </w:tc>
        <w:tc>
          <w:tcPr>
            <w:tcW w:w="20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F73A25"/>
              </w:rPr>
              <w:t>Aggregate</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F73A25"/>
              </w:rPr>
              <w:t>Aggregate</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F73A25"/>
              </w:rPr>
              <w:t>Aggregate</w:t>
            </w:r>
          </w:p>
        </w:tc>
      </w:tr>
      <w:tr>
        <w:trPr>
          <w:trHeight w:val="162"/>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10"/>
              <w:spacing w:after="0"/>
              <w:rPr>
                <w:sz w:val="20"/>
                <w:szCs w:val="20"/>
                <w:color w:val="auto"/>
              </w:rPr>
            </w:pPr>
            <w:r>
              <w:rPr>
                <w:rFonts w:ascii="Arial" w:cs="Arial" w:eastAsia="Arial" w:hAnsi="Arial"/>
                <w:sz w:val="14"/>
                <w:szCs w:val="14"/>
                <w:b w:val="1"/>
                <w:bCs w:val="1"/>
                <w:color w:val="F73A25"/>
              </w:rPr>
              <w:t>Contributions in</w:t>
            </w:r>
          </w:p>
        </w:tc>
        <w:tc>
          <w:tcPr>
            <w:tcW w:w="2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F73A25"/>
              </w:rPr>
              <w:t>Contributions in</w:t>
            </w:r>
          </w:p>
        </w:tc>
        <w:tc>
          <w:tcPr>
            <w:tcW w:w="20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F73A25"/>
              </w:rPr>
              <w:t>Earnings in</w:t>
            </w: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F73A25"/>
              </w:rPr>
              <w:t>Withdrawals/</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F73A25"/>
              </w:rPr>
              <w:t>Balance at Last</w:t>
            </w:r>
          </w:p>
        </w:tc>
      </w:tr>
      <w:tr>
        <w:trPr>
          <w:trHeight w:val="189"/>
        </w:trPr>
        <w:tc>
          <w:tcPr>
            <w:tcW w:w="3840" w:type="dxa"/>
            <w:vAlign w:val="bottom"/>
            <w:tcBorders>
              <w:bottom w:val="single" w:sz="8" w:color="262626"/>
            </w:tcBorders>
          </w:tcPr>
          <w:p>
            <w:pPr>
              <w:spacing w:after="0"/>
              <w:rPr>
                <w:sz w:val="20"/>
                <w:szCs w:val="20"/>
                <w:color w:val="auto"/>
              </w:rPr>
            </w:pPr>
            <w:r>
              <w:rPr>
                <w:rFonts w:ascii="Arial" w:cs="Arial" w:eastAsia="Arial" w:hAnsi="Arial"/>
                <w:sz w:val="14"/>
                <w:szCs w:val="14"/>
                <w:b w:val="1"/>
                <w:bCs w:val="1"/>
                <w:color w:val="F73A25"/>
              </w:rPr>
              <w:t>Name</w:t>
            </w:r>
          </w:p>
        </w:tc>
        <w:tc>
          <w:tcPr>
            <w:tcW w:w="260" w:type="dxa"/>
            <w:vAlign w:val="bottom"/>
            <w:tcBorders>
              <w:bottom w:val="single" w:sz="8" w:color="262626"/>
            </w:tcBorders>
          </w:tcPr>
          <w:p>
            <w:pPr>
              <w:spacing w:after="0"/>
              <w:rPr>
                <w:sz w:val="16"/>
                <w:szCs w:val="16"/>
                <w:color w:val="auto"/>
              </w:rPr>
            </w:pPr>
          </w:p>
        </w:tc>
        <w:tc>
          <w:tcPr>
            <w:tcW w:w="1360" w:type="dxa"/>
            <w:vAlign w:val="bottom"/>
            <w:tcBorders>
              <w:bottom w:val="single" w:sz="8" w:color="262626"/>
            </w:tcBorders>
          </w:tcPr>
          <w:p>
            <w:pPr>
              <w:jc w:val="right"/>
              <w:ind w:right="10"/>
              <w:spacing w:after="0" w:line="189" w:lineRule="exact"/>
              <w:rPr>
                <w:sz w:val="20"/>
                <w:szCs w:val="20"/>
                <w:color w:val="auto"/>
              </w:rPr>
            </w:pPr>
            <w:r>
              <w:rPr>
                <w:rFonts w:ascii="Arial" w:cs="Arial" w:eastAsia="Arial" w:hAnsi="Arial"/>
                <w:sz w:val="13"/>
                <w:szCs w:val="13"/>
                <w:b w:val="1"/>
                <w:bCs w:val="1"/>
                <w:color w:val="F73A25"/>
              </w:rPr>
              <w:t>Last Fiscal Year</w:t>
            </w:r>
            <w:r>
              <w:rPr>
                <w:rFonts w:ascii="Arial" w:cs="Arial" w:eastAsia="Arial" w:hAnsi="Arial"/>
                <w:sz w:val="21"/>
                <w:szCs w:val="21"/>
                <w:b w:val="1"/>
                <w:bCs w:val="1"/>
                <w:color w:val="F73A25"/>
                <w:vertAlign w:val="superscript"/>
              </w:rPr>
              <w:t>(1)</w:t>
            </w:r>
          </w:p>
        </w:tc>
        <w:tc>
          <w:tcPr>
            <w:tcW w:w="220" w:type="dxa"/>
            <w:vAlign w:val="bottom"/>
            <w:tcBorders>
              <w:bottom w:val="single" w:sz="8" w:color="262626"/>
            </w:tcBorders>
          </w:tcPr>
          <w:p>
            <w:pPr>
              <w:spacing w:after="0"/>
              <w:rPr>
                <w:sz w:val="16"/>
                <w:szCs w:val="16"/>
                <w:color w:val="auto"/>
              </w:rPr>
            </w:pPr>
          </w:p>
        </w:tc>
        <w:tc>
          <w:tcPr>
            <w:tcW w:w="124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b w:val="1"/>
                <w:bCs w:val="1"/>
                <w:color w:val="F73A25"/>
              </w:rPr>
              <w:t>Last Fiscal Year</w:t>
            </w:r>
          </w:p>
        </w:tc>
        <w:tc>
          <w:tcPr>
            <w:tcW w:w="200" w:type="dxa"/>
            <w:vAlign w:val="bottom"/>
            <w:tcBorders>
              <w:bottom w:val="single" w:sz="8" w:color="262626"/>
            </w:tcBorders>
          </w:tcPr>
          <w:p>
            <w:pPr>
              <w:spacing w:after="0"/>
              <w:rPr>
                <w:sz w:val="16"/>
                <w:szCs w:val="16"/>
                <w:color w:val="auto"/>
              </w:rPr>
            </w:pPr>
          </w:p>
        </w:tc>
        <w:tc>
          <w:tcPr>
            <w:tcW w:w="122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b w:val="1"/>
                <w:bCs w:val="1"/>
                <w:color w:val="F73A25"/>
              </w:rPr>
              <w:t>Last Fiscal Year</w:t>
            </w:r>
          </w:p>
        </w:tc>
        <w:tc>
          <w:tcPr>
            <w:tcW w:w="200" w:type="dxa"/>
            <w:vAlign w:val="bottom"/>
            <w:tcBorders>
              <w:bottom w:val="single" w:sz="8" w:color="262626"/>
            </w:tcBorders>
          </w:tcPr>
          <w:p>
            <w:pPr>
              <w:spacing w:after="0"/>
              <w:rPr>
                <w:sz w:val="16"/>
                <w:szCs w:val="16"/>
                <w:color w:val="auto"/>
              </w:rPr>
            </w:pPr>
          </w:p>
        </w:tc>
        <w:tc>
          <w:tcPr>
            <w:tcW w:w="1040" w:type="dxa"/>
            <w:vAlign w:val="bottom"/>
            <w:tcBorders>
              <w:bottom w:val="single" w:sz="8" w:color="262626"/>
            </w:tcBorders>
          </w:tcPr>
          <w:p>
            <w:pPr>
              <w:jc w:val="right"/>
              <w:ind w:right="8"/>
              <w:spacing w:after="0"/>
              <w:rPr>
                <w:sz w:val="20"/>
                <w:szCs w:val="20"/>
                <w:color w:val="auto"/>
              </w:rPr>
            </w:pPr>
            <w:r>
              <w:rPr>
                <w:rFonts w:ascii="Arial" w:cs="Arial" w:eastAsia="Arial" w:hAnsi="Arial"/>
                <w:sz w:val="14"/>
                <w:szCs w:val="14"/>
                <w:b w:val="1"/>
                <w:bCs w:val="1"/>
                <w:color w:val="F73A25"/>
              </w:rPr>
              <w:t>Distributions</w:t>
            </w:r>
          </w:p>
        </w:tc>
        <w:tc>
          <w:tcPr>
            <w:tcW w:w="220" w:type="dxa"/>
            <w:vAlign w:val="bottom"/>
            <w:tcBorders>
              <w:bottom w:val="single" w:sz="8" w:color="262626"/>
            </w:tcBorders>
          </w:tcPr>
          <w:p>
            <w:pPr>
              <w:spacing w:after="0"/>
              <w:rPr>
                <w:sz w:val="16"/>
                <w:szCs w:val="16"/>
                <w:color w:val="auto"/>
              </w:rPr>
            </w:pPr>
          </w:p>
        </w:tc>
        <w:tc>
          <w:tcPr>
            <w:tcW w:w="1220" w:type="dxa"/>
            <w:vAlign w:val="bottom"/>
            <w:tcBorders>
              <w:bottom w:val="single" w:sz="8" w:color="262626"/>
            </w:tcBorders>
          </w:tcPr>
          <w:p>
            <w:pPr>
              <w:jc w:val="right"/>
              <w:spacing w:after="0"/>
              <w:rPr>
                <w:sz w:val="20"/>
                <w:szCs w:val="20"/>
                <w:color w:val="auto"/>
              </w:rPr>
            </w:pPr>
            <w:r>
              <w:rPr>
                <w:rFonts w:ascii="Arial" w:cs="Arial" w:eastAsia="Arial" w:hAnsi="Arial"/>
                <w:sz w:val="14"/>
                <w:szCs w:val="14"/>
                <w:b w:val="1"/>
                <w:bCs w:val="1"/>
                <w:color w:val="F73A25"/>
              </w:rPr>
              <w:t>Fiscal Year-End</w:t>
            </w:r>
          </w:p>
        </w:tc>
      </w:tr>
      <w:tr>
        <w:trPr>
          <w:trHeight w:val="160"/>
        </w:trPr>
        <w:tc>
          <w:tcPr>
            <w:tcW w:w="3840" w:type="dxa"/>
            <w:vAlign w:val="bottom"/>
            <w:shd w:val="clear" w:color="auto" w:fill="EAEFED"/>
          </w:tcPr>
          <w:p>
            <w:pPr>
              <w:spacing w:after="0"/>
              <w:rPr>
                <w:sz w:val="20"/>
                <w:szCs w:val="20"/>
                <w:color w:val="auto"/>
              </w:rPr>
            </w:pPr>
            <w:r>
              <w:rPr>
                <w:rFonts w:ascii="Arial" w:cs="Arial" w:eastAsia="Arial" w:hAnsi="Arial"/>
                <w:sz w:val="14"/>
                <w:szCs w:val="14"/>
                <w:color w:val="262626"/>
              </w:rPr>
              <w:t>Donald C. Wood</w:t>
            </w:r>
          </w:p>
        </w:tc>
        <w:tc>
          <w:tcPr>
            <w:tcW w:w="260" w:type="dxa"/>
            <w:vAlign w:val="bottom"/>
          </w:tcPr>
          <w:p>
            <w:pPr>
              <w:jc w:val="right"/>
              <w:spacing w:after="0"/>
              <w:rPr>
                <w:sz w:val="20"/>
                <w:szCs w:val="20"/>
                <w:color w:val="auto"/>
              </w:rPr>
            </w:pPr>
            <w:r>
              <w:rPr>
                <w:rFonts w:ascii="Arial" w:cs="Arial" w:eastAsia="Arial" w:hAnsi="Arial"/>
                <w:sz w:val="14"/>
                <w:szCs w:val="14"/>
                <w:color w:val="262626"/>
              </w:rPr>
              <w:t>$</w:t>
            </w:r>
          </w:p>
        </w:tc>
        <w:tc>
          <w:tcPr>
            <w:tcW w:w="1360" w:type="dxa"/>
            <w:vAlign w:val="bottom"/>
          </w:tcPr>
          <w:p>
            <w:pPr>
              <w:jc w:val="right"/>
              <w:ind w:right="10"/>
              <w:spacing w:after="0"/>
              <w:rPr>
                <w:sz w:val="20"/>
                <w:szCs w:val="20"/>
                <w:color w:val="auto"/>
              </w:rPr>
            </w:pPr>
            <w:r>
              <w:rPr>
                <w:rFonts w:ascii="Arial" w:cs="Arial" w:eastAsia="Arial" w:hAnsi="Arial"/>
                <w:sz w:val="14"/>
                <w:szCs w:val="14"/>
                <w:color w:val="262626"/>
              </w:rPr>
              <w:t>250,000</w:t>
            </w:r>
          </w:p>
        </w:tc>
        <w:tc>
          <w:tcPr>
            <w:tcW w:w="220" w:type="dxa"/>
            <w:vAlign w:val="bottom"/>
          </w:tcPr>
          <w:p>
            <w:pPr>
              <w:jc w:val="right"/>
              <w:spacing w:after="0"/>
              <w:rPr>
                <w:sz w:val="20"/>
                <w:szCs w:val="20"/>
                <w:color w:val="auto"/>
              </w:rPr>
            </w:pPr>
            <w:r>
              <w:rPr>
                <w:rFonts w:ascii="Arial" w:cs="Arial" w:eastAsia="Arial" w:hAnsi="Arial"/>
                <w:sz w:val="14"/>
                <w:szCs w:val="14"/>
                <w:color w:val="262626"/>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262626"/>
              </w:rPr>
              <w:t>-</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262626"/>
              </w:rPr>
              <w:t>1,428,920</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262626"/>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262626"/>
              </w:rPr>
              <w:t>$</w:t>
            </w:r>
          </w:p>
        </w:tc>
        <w:tc>
          <w:tcPr>
            <w:tcW w:w="1220" w:type="dxa"/>
            <w:vAlign w:val="bottom"/>
          </w:tcPr>
          <w:p>
            <w:pPr>
              <w:jc w:val="right"/>
              <w:spacing w:after="0"/>
              <w:rPr>
                <w:sz w:val="20"/>
                <w:szCs w:val="20"/>
                <w:color w:val="auto"/>
              </w:rPr>
            </w:pPr>
            <w:r>
              <w:rPr>
                <w:rFonts w:ascii="Arial" w:cs="Arial" w:eastAsia="Arial" w:hAnsi="Arial"/>
                <w:sz w:val="14"/>
                <w:szCs w:val="14"/>
                <w:color w:val="262626"/>
              </w:rPr>
              <w:t>9,129,217</w:t>
            </w:r>
          </w:p>
        </w:tc>
      </w:tr>
      <w:tr>
        <w:trPr>
          <w:trHeight w:val="157"/>
        </w:trPr>
        <w:tc>
          <w:tcPr>
            <w:tcW w:w="3840" w:type="dxa"/>
            <w:vAlign w:val="bottom"/>
            <w:shd w:val="clear" w:color="auto" w:fill="EAEFED"/>
          </w:tcPr>
          <w:p>
            <w:pPr>
              <w:spacing w:after="0" w:line="157" w:lineRule="exact"/>
              <w:rPr>
                <w:sz w:val="20"/>
                <w:szCs w:val="20"/>
                <w:color w:val="auto"/>
              </w:rPr>
            </w:pPr>
            <w:r>
              <w:rPr>
                <w:rFonts w:ascii="Arial" w:cs="Arial" w:eastAsia="Arial" w:hAnsi="Arial"/>
                <w:sz w:val="14"/>
                <w:szCs w:val="14"/>
                <w:color w:val="262626"/>
              </w:rPr>
              <w:t>Dawn M. Becker</w:t>
            </w:r>
          </w:p>
        </w:tc>
        <w:tc>
          <w:tcPr>
            <w:tcW w:w="26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1360" w:type="dxa"/>
            <w:vAlign w:val="bottom"/>
          </w:tcPr>
          <w:p>
            <w:pPr>
              <w:jc w:val="right"/>
              <w:ind w:right="10"/>
              <w:spacing w:after="0" w:line="157" w:lineRule="exact"/>
              <w:rPr>
                <w:sz w:val="20"/>
                <w:szCs w:val="20"/>
                <w:color w:val="auto"/>
              </w:rPr>
            </w:pPr>
            <w:r>
              <w:rPr>
                <w:rFonts w:ascii="Arial" w:cs="Arial" w:eastAsia="Arial" w:hAnsi="Arial"/>
                <w:sz w:val="14"/>
                <w:szCs w:val="14"/>
                <w:color w:val="262626"/>
              </w:rPr>
              <w:t>49,327</w:t>
            </w: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124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122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313,169</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262626"/>
              </w:rPr>
              <w:t>$</w:t>
            </w: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w:t>
            </w:r>
          </w:p>
        </w:tc>
        <w:tc>
          <w:tcPr>
            <w:tcW w:w="220" w:type="dxa"/>
            <w:vAlign w:val="bottom"/>
          </w:tcPr>
          <w:p>
            <w:pPr>
              <w:jc w:val="right"/>
              <w:ind w:right="8"/>
              <w:spacing w:after="0" w:line="157" w:lineRule="exact"/>
              <w:rPr>
                <w:sz w:val="20"/>
                <w:szCs w:val="20"/>
                <w:color w:val="auto"/>
              </w:rPr>
            </w:pPr>
            <w:r>
              <w:rPr>
                <w:rFonts w:ascii="Arial" w:cs="Arial" w:eastAsia="Arial" w:hAnsi="Arial"/>
                <w:sz w:val="14"/>
                <w:szCs w:val="14"/>
                <w:color w:val="262626"/>
              </w:rPr>
              <w:t>$</w:t>
            </w:r>
          </w:p>
        </w:tc>
        <w:tc>
          <w:tcPr>
            <w:tcW w:w="1220" w:type="dxa"/>
            <w:vAlign w:val="bottom"/>
          </w:tcPr>
          <w:p>
            <w:pPr>
              <w:jc w:val="right"/>
              <w:spacing w:after="0" w:line="157" w:lineRule="exact"/>
              <w:rPr>
                <w:sz w:val="20"/>
                <w:szCs w:val="20"/>
                <w:color w:val="auto"/>
              </w:rPr>
            </w:pPr>
            <w:r>
              <w:rPr>
                <w:rFonts w:ascii="Arial" w:cs="Arial" w:eastAsia="Arial" w:hAnsi="Arial"/>
                <w:sz w:val="14"/>
                <w:szCs w:val="14"/>
                <w:color w:val="262626"/>
              </w:rPr>
              <w:t>2,178,863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1" w:lineRule="exact"/>
        <w:rPr>
          <w:sz w:val="20"/>
          <w:szCs w:val="20"/>
          <w:color w:val="auto"/>
        </w:rPr>
      </w:pPr>
    </w:p>
    <w:p>
      <w:pPr>
        <w:ind w:left="540" w:right="20" w:hanging="424"/>
        <w:spacing w:after="0" w:line="181" w:lineRule="auto"/>
        <w:tabs>
          <w:tab w:leader="none" w:pos="540" w:val="left"/>
        </w:tabs>
        <w:numPr>
          <w:ilvl w:val="0"/>
          <w:numId w:val="27"/>
        </w:numPr>
        <w:rPr>
          <w:rFonts w:ascii="Arial" w:cs="Arial" w:eastAsia="Arial" w:hAnsi="Arial"/>
          <w:sz w:val="28"/>
          <w:szCs w:val="28"/>
          <w:color w:val="262626"/>
          <w:vertAlign w:val="superscript"/>
        </w:rPr>
      </w:pPr>
      <w:r>
        <w:rPr>
          <w:rFonts w:ascii="Arial" w:cs="Arial" w:eastAsia="Arial" w:hAnsi="Arial"/>
          <w:sz w:val="16"/>
          <w:szCs w:val="16"/>
          <w:color w:val="262626"/>
        </w:rPr>
        <w:t>All amounts in this column are included in either the “Salary” or “Non-Equity Incentive Plan Compensation” column of the Summary Compensation Table for 2020.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Potential Payments on Termination of Employment and Change in Control</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20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The amount of compensation payable to each of our 2020 NEOs under various termination scenarios is reflected below assuming that the separation of service was effective on December 31, 2020:</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F73A25"/>
              </w:rPr>
              <w:t>Cash</w:t>
            </w:r>
          </w:p>
        </w:tc>
        <w:tc>
          <w:tcPr>
            <w:tcW w:w="140" w:type="dxa"/>
            <w:vAlign w:val="bottom"/>
          </w:tcPr>
          <w:p>
            <w:pPr>
              <w:spacing w:after="0"/>
              <w:rPr>
                <w:sz w:val="14"/>
                <w:szCs w:val="14"/>
                <w:color w:val="auto"/>
              </w:rPr>
            </w:pPr>
          </w:p>
        </w:tc>
        <w:tc>
          <w:tcPr>
            <w:tcW w:w="860" w:type="dxa"/>
            <w:vAlign w:val="bottom"/>
          </w:tcPr>
          <w:p>
            <w:pPr>
              <w:jc w:val="right"/>
              <w:ind w:right="169"/>
              <w:spacing w:after="0"/>
              <w:rPr>
                <w:sz w:val="20"/>
                <w:szCs w:val="20"/>
                <w:color w:val="auto"/>
              </w:rPr>
            </w:pPr>
            <w:r>
              <w:rPr>
                <w:rFonts w:ascii="Arial" w:cs="Arial" w:eastAsia="Arial" w:hAnsi="Arial"/>
                <w:sz w:val="14"/>
                <w:szCs w:val="14"/>
                <w:b w:val="1"/>
                <w:bCs w:val="1"/>
                <w:color w:val="F73A25"/>
              </w:rPr>
              <w:t>Medical</w:t>
            </w:r>
          </w:p>
        </w:tc>
        <w:tc>
          <w:tcPr>
            <w:tcW w:w="1000" w:type="dxa"/>
            <w:vAlign w:val="bottom"/>
            <w:gridSpan w:val="2"/>
          </w:tcPr>
          <w:p>
            <w:pPr>
              <w:jc w:val="right"/>
              <w:ind w:right="69"/>
              <w:spacing w:after="0"/>
              <w:rPr>
                <w:sz w:val="20"/>
                <w:szCs w:val="20"/>
                <w:color w:val="auto"/>
              </w:rPr>
            </w:pPr>
            <w:r>
              <w:rPr>
                <w:rFonts w:ascii="Arial" w:cs="Arial" w:eastAsia="Arial" w:hAnsi="Arial"/>
                <w:sz w:val="14"/>
                <w:szCs w:val="14"/>
                <w:b w:val="1"/>
                <w:bCs w:val="1"/>
                <w:color w:val="F73A25"/>
              </w:rPr>
              <w:t>Acclerated</w:t>
            </w:r>
          </w:p>
        </w:tc>
        <w:tc>
          <w:tcPr>
            <w:tcW w:w="1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b w:val="1"/>
                <w:bCs w:val="1"/>
                <w:color w:val="F73A25"/>
              </w:rPr>
              <w:t>Other</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F73A25"/>
              </w:rPr>
              <w:t>Excise Tax</w:t>
            </w:r>
          </w:p>
        </w:tc>
        <w:tc>
          <w:tcPr>
            <w:tcW w:w="860" w:type="dxa"/>
            <w:vAlign w:val="bottom"/>
          </w:tcPr>
          <w:p>
            <w:pPr>
              <w:spacing w:after="0"/>
              <w:rPr>
                <w:sz w:val="14"/>
                <w:szCs w:val="14"/>
                <w:color w:val="auto"/>
              </w:rPr>
            </w:pPr>
          </w:p>
        </w:tc>
      </w:tr>
      <w:tr>
        <w:trPr>
          <w:trHeight w:val="179"/>
        </w:trPr>
        <w:tc>
          <w:tcPr>
            <w:tcW w:w="2680" w:type="dxa"/>
            <w:vAlign w:val="bottom"/>
            <w:tcBorders>
              <w:bottom w:val="single" w:sz="8" w:color="262626"/>
            </w:tcBorders>
          </w:tcPr>
          <w:p>
            <w:pPr>
              <w:spacing w:after="0"/>
              <w:rPr>
                <w:sz w:val="15"/>
                <w:szCs w:val="15"/>
                <w:color w:val="auto"/>
              </w:rPr>
            </w:pPr>
          </w:p>
        </w:tc>
        <w:tc>
          <w:tcPr>
            <w:tcW w:w="940" w:type="dxa"/>
            <w:vAlign w:val="bottom"/>
            <w:tcBorders>
              <w:bottom w:val="single" w:sz="8" w:color="262626"/>
            </w:tcBorders>
            <w:gridSpan w:val="2"/>
          </w:tcPr>
          <w:p>
            <w:pPr>
              <w:jc w:val="right"/>
              <w:ind w:right="28"/>
              <w:spacing w:after="0" w:line="179" w:lineRule="exact"/>
              <w:rPr>
                <w:sz w:val="20"/>
                <w:szCs w:val="20"/>
                <w:color w:val="auto"/>
              </w:rPr>
            </w:pPr>
            <w:r>
              <w:rPr>
                <w:rFonts w:ascii="Arial" w:cs="Arial" w:eastAsia="Arial" w:hAnsi="Arial"/>
                <w:sz w:val="12"/>
                <w:szCs w:val="12"/>
                <w:b w:val="1"/>
                <w:bCs w:val="1"/>
                <w:color w:val="F73A25"/>
              </w:rPr>
              <w:t>Payment</w:t>
            </w:r>
            <w:r>
              <w:rPr>
                <w:rFonts w:ascii="Arial" w:cs="Arial" w:eastAsia="Arial" w:hAnsi="Arial"/>
                <w:sz w:val="20"/>
                <w:szCs w:val="20"/>
                <w:b w:val="1"/>
                <w:bCs w:val="1"/>
                <w:color w:val="F73A25"/>
                <w:vertAlign w:val="superscript"/>
              </w:rPr>
              <w:t>(1)</w:t>
            </w:r>
          </w:p>
        </w:tc>
        <w:tc>
          <w:tcPr>
            <w:tcW w:w="140" w:type="dxa"/>
            <w:vAlign w:val="bottom"/>
            <w:tcBorders>
              <w:bottom w:val="single" w:sz="8" w:color="262626"/>
            </w:tcBorders>
          </w:tcPr>
          <w:p>
            <w:pPr>
              <w:spacing w:after="0"/>
              <w:rPr>
                <w:sz w:val="15"/>
                <w:szCs w:val="15"/>
                <w:color w:val="auto"/>
              </w:rPr>
            </w:pPr>
          </w:p>
        </w:tc>
        <w:tc>
          <w:tcPr>
            <w:tcW w:w="860" w:type="dxa"/>
            <w:vAlign w:val="bottom"/>
            <w:tcBorders>
              <w:bottom w:val="single" w:sz="8" w:color="262626"/>
            </w:tcBorders>
          </w:tcPr>
          <w:p>
            <w:pPr>
              <w:jc w:val="right"/>
              <w:ind w:right="69"/>
              <w:spacing w:after="0" w:line="179" w:lineRule="exact"/>
              <w:rPr>
                <w:sz w:val="20"/>
                <w:szCs w:val="20"/>
                <w:color w:val="auto"/>
              </w:rPr>
            </w:pPr>
            <w:r>
              <w:rPr>
                <w:rFonts w:ascii="Arial" w:cs="Arial" w:eastAsia="Arial" w:hAnsi="Arial"/>
                <w:sz w:val="12"/>
                <w:szCs w:val="12"/>
                <w:b w:val="1"/>
                <w:bCs w:val="1"/>
                <w:color w:val="F73A25"/>
              </w:rPr>
              <w:t>Benefits</w:t>
            </w:r>
            <w:r>
              <w:rPr>
                <w:rFonts w:ascii="Arial" w:cs="Arial" w:eastAsia="Arial" w:hAnsi="Arial"/>
                <w:sz w:val="20"/>
                <w:szCs w:val="20"/>
                <w:b w:val="1"/>
                <w:bCs w:val="1"/>
                <w:color w:val="F73A25"/>
                <w:vertAlign w:val="superscript"/>
              </w:rPr>
              <w:t>(2)</w:t>
            </w:r>
          </w:p>
        </w:tc>
        <w:tc>
          <w:tcPr>
            <w:tcW w:w="160" w:type="dxa"/>
            <w:vAlign w:val="bottom"/>
            <w:tcBorders>
              <w:bottom w:val="single" w:sz="8" w:color="262626"/>
            </w:tcBorders>
          </w:tcPr>
          <w:p>
            <w:pPr>
              <w:spacing w:after="0"/>
              <w:rPr>
                <w:sz w:val="15"/>
                <w:szCs w:val="15"/>
                <w:color w:val="auto"/>
              </w:rPr>
            </w:pPr>
          </w:p>
        </w:tc>
        <w:tc>
          <w:tcPr>
            <w:tcW w:w="840" w:type="dxa"/>
            <w:vAlign w:val="bottom"/>
            <w:tcBorders>
              <w:bottom w:val="single" w:sz="8" w:color="262626"/>
            </w:tcBorders>
          </w:tcPr>
          <w:p>
            <w:pPr>
              <w:jc w:val="right"/>
              <w:ind w:right="149"/>
              <w:spacing w:after="0" w:line="179" w:lineRule="exact"/>
              <w:rPr>
                <w:sz w:val="20"/>
                <w:szCs w:val="20"/>
                <w:color w:val="auto"/>
              </w:rPr>
            </w:pPr>
            <w:r>
              <w:rPr>
                <w:rFonts w:ascii="Arial" w:cs="Arial" w:eastAsia="Arial" w:hAnsi="Arial"/>
                <w:sz w:val="12"/>
                <w:szCs w:val="12"/>
                <w:b w:val="1"/>
                <w:bCs w:val="1"/>
                <w:color w:val="F73A25"/>
              </w:rPr>
              <w:t>Equity</w:t>
            </w:r>
            <w:r>
              <w:rPr>
                <w:rFonts w:ascii="Arial" w:cs="Arial" w:eastAsia="Arial" w:hAnsi="Arial"/>
                <w:sz w:val="20"/>
                <w:szCs w:val="20"/>
                <w:b w:val="1"/>
                <w:bCs w:val="1"/>
                <w:color w:val="F73A25"/>
                <w:vertAlign w:val="superscript"/>
              </w:rPr>
              <w:t>(3)</w:t>
            </w:r>
          </w:p>
        </w:tc>
        <w:tc>
          <w:tcPr>
            <w:tcW w:w="820" w:type="dxa"/>
            <w:vAlign w:val="bottom"/>
            <w:tcBorders>
              <w:bottom w:val="single" w:sz="8" w:color="262626"/>
            </w:tcBorders>
            <w:gridSpan w:val="2"/>
          </w:tcPr>
          <w:p>
            <w:pPr>
              <w:ind w:left="60"/>
              <w:spacing w:after="0" w:line="179" w:lineRule="exact"/>
              <w:rPr>
                <w:sz w:val="20"/>
                <w:szCs w:val="20"/>
                <w:color w:val="auto"/>
              </w:rPr>
            </w:pPr>
            <w:r>
              <w:rPr>
                <w:rFonts w:ascii="Arial" w:cs="Arial" w:eastAsia="Arial" w:hAnsi="Arial"/>
                <w:sz w:val="12"/>
                <w:szCs w:val="12"/>
                <w:b w:val="1"/>
                <w:bCs w:val="1"/>
                <w:color w:val="F73A25"/>
              </w:rPr>
              <w:t>Benefits</w:t>
            </w:r>
            <w:r>
              <w:rPr>
                <w:rFonts w:ascii="Arial" w:cs="Arial" w:eastAsia="Arial" w:hAnsi="Arial"/>
                <w:sz w:val="20"/>
                <w:szCs w:val="20"/>
                <w:b w:val="1"/>
                <w:bCs w:val="1"/>
                <w:color w:val="F73A25"/>
                <w:vertAlign w:val="superscript"/>
              </w:rPr>
              <w:t>(4)</w:t>
            </w:r>
          </w:p>
        </w:tc>
        <w:tc>
          <w:tcPr>
            <w:tcW w:w="1060" w:type="dxa"/>
            <w:vAlign w:val="bottom"/>
            <w:tcBorders>
              <w:bottom w:val="single" w:sz="8" w:color="262626"/>
            </w:tcBorders>
            <w:gridSpan w:val="2"/>
          </w:tcPr>
          <w:p>
            <w:pPr>
              <w:ind w:left="100"/>
              <w:spacing w:after="0"/>
              <w:rPr>
                <w:sz w:val="20"/>
                <w:szCs w:val="20"/>
                <w:color w:val="auto"/>
              </w:rPr>
            </w:pPr>
            <w:r>
              <w:rPr>
                <w:rFonts w:ascii="Arial" w:cs="Arial" w:eastAsia="Arial" w:hAnsi="Arial"/>
                <w:sz w:val="14"/>
                <w:szCs w:val="14"/>
                <w:b w:val="1"/>
                <w:bCs w:val="1"/>
                <w:color w:val="F73A25"/>
              </w:rPr>
              <w:t>Gross-Up</w:t>
            </w:r>
          </w:p>
        </w:tc>
        <w:tc>
          <w:tcPr>
            <w:tcW w:w="860" w:type="dxa"/>
            <w:vAlign w:val="bottom"/>
            <w:tcBorders>
              <w:bottom w:val="single" w:sz="8" w:color="262626"/>
            </w:tcBorders>
          </w:tcPr>
          <w:p>
            <w:pPr>
              <w:jc w:val="right"/>
              <w:ind w:right="308"/>
              <w:spacing w:after="0"/>
              <w:rPr>
                <w:sz w:val="20"/>
                <w:szCs w:val="20"/>
                <w:color w:val="auto"/>
              </w:rPr>
            </w:pPr>
            <w:r>
              <w:rPr>
                <w:rFonts w:ascii="Arial" w:cs="Arial" w:eastAsia="Arial" w:hAnsi="Arial"/>
                <w:sz w:val="14"/>
                <w:szCs w:val="14"/>
                <w:b w:val="1"/>
                <w:bCs w:val="1"/>
                <w:color w:val="F73A25"/>
              </w:rPr>
              <w:t>Total</w:t>
            </w:r>
          </w:p>
        </w:tc>
      </w:tr>
      <w:tr>
        <w:trPr>
          <w:trHeight w:val="160"/>
        </w:trPr>
        <w:tc>
          <w:tcPr>
            <w:tcW w:w="2680" w:type="dxa"/>
            <w:vAlign w:val="bottom"/>
            <w:shd w:val="clear" w:color="auto" w:fill="EAEFED"/>
          </w:tcPr>
          <w:p>
            <w:pPr>
              <w:spacing w:after="0"/>
              <w:rPr>
                <w:sz w:val="20"/>
                <w:szCs w:val="20"/>
                <w:color w:val="auto"/>
              </w:rPr>
            </w:pPr>
            <w:r>
              <w:rPr>
                <w:rFonts w:ascii="Arial" w:cs="Arial" w:eastAsia="Arial" w:hAnsi="Arial"/>
                <w:sz w:val="14"/>
                <w:szCs w:val="14"/>
                <w:color w:val="F73A25"/>
              </w:rPr>
              <w:t>Donald C. Wood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Death</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262626"/>
              </w:rPr>
              <w:t>-</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2,020,000</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7,554,400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9,574,400</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Disability</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spacing w:after="0"/>
              <w:rPr>
                <w:sz w:val="20"/>
                <w:szCs w:val="20"/>
                <w:color w:val="auto"/>
              </w:rPr>
            </w:pPr>
            <w:r>
              <w:rPr>
                <w:rFonts w:ascii="Arial" w:cs="Arial" w:eastAsia="Arial" w:hAnsi="Arial"/>
                <w:sz w:val="14"/>
                <w:szCs w:val="14"/>
                <w:color w:val="262626"/>
              </w:rPr>
              <w:t>1,286,525</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2,354,325</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7,554,400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11,195,250</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TWOC</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spacing w:after="0"/>
              <w:rPr>
                <w:sz w:val="20"/>
                <w:szCs w:val="20"/>
                <w:color w:val="auto"/>
              </w:rPr>
            </w:pPr>
            <w:r>
              <w:rPr>
                <w:rFonts w:ascii="Arial" w:cs="Arial" w:eastAsia="Arial" w:hAnsi="Arial"/>
                <w:sz w:val="14"/>
                <w:szCs w:val="14"/>
                <w:color w:val="262626"/>
              </w:rPr>
              <w:t>4,096,875</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2,430,744</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7,554,400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spacing w:after="0"/>
              <w:rPr>
                <w:sz w:val="20"/>
                <w:szCs w:val="20"/>
                <w:color w:val="auto"/>
              </w:rPr>
            </w:pPr>
            <w:r>
              <w:rPr>
                <w:rFonts w:ascii="Arial" w:cs="Arial" w:eastAsia="Arial" w:hAnsi="Arial"/>
                <w:sz w:val="14"/>
                <w:szCs w:val="14"/>
                <w:color w:val="262626"/>
              </w:rPr>
              <w:t>60,250</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14,142,269</w:t>
            </w:r>
          </w:p>
        </w:tc>
      </w:tr>
      <w:tr>
        <w:trPr>
          <w:trHeight w:val="155"/>
        </w:trPr>
        <w:tc>
          <w:tcPr>
            <w:tcW w:w="2680" w:type="dxa"/>
            <w:vAlign w:val="bottom"/>
            <w:shd w:val="clear" w:color="auto" w:fill="EAEFED"/>
          </w:tcPr>
          <w:p>
            <w:pPr>
              <w:ind w:left="320"/>
              <w:spacing w:after="0" w:line="155" w:lineRule="exact"/>
              <w:rPr>
                <w:sz w:val="20"/>
                <w:szCs w:val="20"/>
                <w:color w:val="auto"/>
              </w:rPr>
            </w:pPr>
            <w:r>
              <w:rPr>
                <w:rFonts w:ascii="Arial" w:cs="Arial" w:eastAsia="Arial" w:hAnsi="Arial"/>
                <w:sz w:val="14"/>
                <w:szCs w:val="14"/>
                <w:color w:val="262626"/>
              </w:rPr>
              <w:t>Termination for Cause</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262626"/>
              </w:rPr>
              <w:t>475,000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262626"/>
              </w:rPr>
              <w:t>21,162</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40" w:type="dxa"/>
            <w:vAlign w:val="bottom"/>
          </w:tcPr>
          <w:p>
            <w:pPr>
              <w:jc w:val="right"/>
              <w:ind w:right="69"/>
              <w:spacing w:after="0" w:line="155" w:lineRule="exact"/>
              <w:rPr>
                <w:sz w:val="20"/>
                <w:szCs w:val="20"/>
                <w:color w:val="auto"/>
              </w:rPr>
            </w:pPr>
            <w:r>
              <w:rPr>
                <w:rFonts w:ascii="Arial" w:cs="Arial" w:eastAsia="Arial" w:hAnsi="Arial"/>
                <w:sz w:val="14"/>
                <w:szCs w:val="14"/>
                <w:color w:val="262626"/>
              </w:rPr>
              <w:t>-</w:t>
            </w:r>
          </w:p>
        </w:tc>
        <w:tc>
          <w:tcPr>
            <w:tcW w:w="180" w:type="dxa"/>
            <w:vAlign w:val="bottom"/>
          </w:tcPr>
          <w:p>
            <w:pPr>
              <w:ind w:left="40"/>
              <w:spacing w:after="0" w:line="155" w:lineRule="exact"/>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262626"/>
              </w:rPr>
              <w:t>-</w:t>
            </w:r>
          </w:p>
        </w:tc>
        <w:tc>
          <w:tcPr>
            <w:tcW w:w="680" w:type="dxa"/>
            <w:vAlign w:val="bottom"/>
          </w:tcPr>
          <w:p>
            <w:pPr>
              <w:ind w:left="360"/>
              <w:spacing w:after="0" w:line="155" w:lineRule="exact"/>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262626"/>
              </w:rPr>
              <w:t>496,162</w:t>
            </w:r>
          </w:p>
        </w:tc>
      </w:tr>
      <w:tr>
        <w:trPr>
          <w:trHeight w:val="165"/>
        </w:trPr>
        <w:tc>
          <w:tcPr>
            <w:tcW w:w="2680" w:type="dxa"/>
            <w:vAlign w:val="bottom"/>
            <w:tcBorders>
              <w:bottom w:val="single" w:sz="8" w:color="262626"/>
            </w:tcBorders>
            <w:shd w:val="clear" w:color="auto" w:fill="EAEFED"/>
          </w:tcPr>
          <w:p>
            <w:pPr>
              <w:ind w:left="320"/>
              <w:spacing w:after="0" w:line="164" w:lineRule="exact"/>
              <w:rPr>
                <w:sz w:val="20"/>
                <w:szCs w:val="20"/>
                <w:color w:val="auto"/>
              </w:rPr>
            </w:pPr>
            <w:r>
              <w:rPr>
                <w:rFonts w:ascii="Arial" w:cs="Arial" w:eastAsia="Arial" w:hAnsi="Arial"/>
                <w:sz w:val="12"/>
                <w:szCs w:val="12"/>
                <w:color w:val="262626"/>
              </w:rPr>
              <w:t>CIC</w:t>
            </w:r>
            <w:r>
              <w:rPr>
                <w:rFonts w:ascii="Arial" w:cs="Arial" w:eastAsia="Arial" w:hAnsi="Arial"/>
                <w:sz w:val="19"/>
                <w:szCs w:val="19"/>
                <w:color w:val="262626"/>
                <w:vertAlign w:val="superscript"/>
              </w:rPr>
              <w:t>(5)</w:t>
            </w:r>
          </w:p>
        </w:tc>
        <w:tc>
          <w:tcPr>
            <w:tcW w:w="20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7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8,193,750</w:t>
            </w:r>
          </w:p>
        </w:tc>
        <w:tc>
          <w:tcPr>
            <w:tcW w:w="1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2,525,975</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7,554,400</w:t>
            </w:r>
          </w:p>
        </w:tc>
        <w:tc>
          <w:tcPr>
            <w:tcW w:w="180" w:type="dxa"/>
            <w:vAlign w:val="bottom"/>
            <w:tcBorders>
              <w:bottom w:val="single" w:sz="8" w:color="262626"/>
            </w:tcBorders>
          </w:tcPr>
          <w:p>
            <w:pPr>
              <w:ind w:left="40"/>
              <w:spacing w:after="0"/>
              <w:rPr>
                <w:sz w:val="20"/>
                <w:szCs w:val="20"/>
                <w:color w:val="auto"/>
              </w:rPr>
            </w:pPr>
            <w:r>
              <w:rPr>
                <w:rFonts w:ascii="Arial" w:cs="Arial" w:eastAsia="Arial" w:hAnsi="Arial"/>
                <w:sz w:val="14"/>
                <w:szCs w:val="14"/>
                <w:color w:val="262626"/>
              </w:rPr>
              <w:t>$</w:t>
            </w:r>
          </w:p>
        </w:tc>
        <w:tc>
          <w:tcPr>
            <w:tcW w:w="6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167,165</w:t>
            </w:r>
          </w:p>
        </w:tc>
        <w:tc>
          <w:tcPr>
            <w:tcW w:w="680" w:type="dxa"/>
            <w:vAlign w:val="bottom"/>
            <w:tcBorders>
              <w:bottom w:val="single" w:sz="8" w:color="262626"/>
            </w:tcBorders>
          </w:tcPr>
          <w:p>
            <w:pPr>
              <w:ind w:left="60"/>
              <w:spacing w:after="0"/>
              <w:rPr>
                <w:sz w:val="20"/>
                <w:szCs w:val="20"/>
                <w:color w:val="auto"/>
              </w:rPr>
            </w:pPr>
            <w:r>
              <w:rPr>
                <w:rFonts w:ascii="Arial" w:cs="Arial" w:eastAsia="Arial" w:hAnsi="Arial"/>
                <w:sz w:val="14"/>
                <w:szCs w:val="14"/>
                <w:color w:val="262626"/>
              </w:rPr>
              <w:t>$</w:t>
            </w:r>
          </w:p>
        </w:tc>
        <w:tc>
          <w:tcPr>
            <w:tcW w:w="380" w:type="dxa"/>
            <w:vAlign w:val="bottom"/>
            <w:tcBorders>
              <w:bottom w:val="single" w:sz="8" w:color="262626"/>
            </w:tcBorders>
          </w:tcPr>
          <w:p>
            <w:pPr>
              <w:jc w:val="right"/>
              <w:ind w:right="28"/>
              <w:spacing w:after="0"/>
              <w:rPr>
                <w:sz w:val="20"/>
                <w:szCs w:val="20"/>
                <w:color w:val="auto"/>
              </w:rPr>
            </w:pPr>
            <w:r>
              <w:rPr>
                <w:rFonts w:ascii="Arial" w:cs="Arial" w:eastAsia="Arial" w:hAnsi="Arial"/>
                <w:sz w:val="14"/>
                <w:szCs w:val="14"/>
                <w:color w:val="262626"/>
              </w:rPr>
              <w:t>- $</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18,441,290</w:t>
            </w:r>
          </w:p>
        </w:tc>
      </w:tr>
      <w:tr>
        <w:trPr>
          <w:trHeight w:val="160"/>
        </w:trPr>
        <w:tc>
          <w:tcPr>
            <w:tcW w:w="2680" w:type="dxa"/>
            <w:vAlign w:val="bottom"/>
            <w:shd w:val="clear" w:color="auto" w:fill="EAEFED"/>
          </w:tcPr>
          <w:p>
            <w:pPr>
              <w:spacing w:after="0"/>
              <w:rPr>
                <w:sz w:val="20"/>
                <w:szCs w:val="20"/>
                <w:color w:val="auto"/>
              </w:rPr>
            </w:pPr>
            <w:r>
              <w:rPr>
                <w:rFonts w:ascii="Arial" w:cs="Arial" w:eastAsia="Arial" w:hAnsi="Arial"/>
                <w:sz w:val="14"/>
                <w:szCs w:val="14"/>
                <w:color w:val="F73A25"/>
              </w:rPr>
              <w:t>Daniel Guglielmone</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Death</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262626"/>
              </w:rPr>
              <w:t>-</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62626"/>
              </w:rPr>
              <w:t>-</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1,457,340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1,457,340</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Disability</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spacing w:after="0"/>
              <w:rPr>
                <w:sz w:val="20"/>
                <w:szCs w:val="20"/>
                <w:color w:val="auto"/>
              </w:rPr>
            </w:pPr>
            <w:r>
              <w:rPr>
                <w:rFonts w:ascii="Arial" w:cs="Arial" w:eastAsia="Arial" w:hAnsi="Arial"/>
                <w:sz w:val="14"/>
                <w:szCs w:val="14"/>
                <w:color w:val="262626"/>
              </w:rPr>
              <w:t>430,080</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36,797</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1,457,340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1,924,217</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TWOC</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262626"/>
              </w:rPr>
              <w:t>-</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62626"/>
              </w:rPr>
              <w:t>-</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1,457,340</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1,457,340</w:t>
            </w:r>
          </w:p>
        </w:tc>
      </w:tr>
      <w:tr>
        <w:trPr>
          <w:trHeight w:val="155"/>
        </w:trPr>
        <w:tc>
          <w:tcPr>
            <w:tcW w:w="2680" w:type="dxa"/>
            <w:vAlign w:val="bottom"/>
            <w:shd w:val="clear" w:color="auto" w:fill="EAEFED"/>
          </w:tcPr>
          <w:p>
            <w:pPr>
              <w:ind w:left="320"/>
              <w:spacing w:after="0" w:line="155" w:lineRule="exact"/>
              <w:rPr>
                <w:sz w:val="20"/>
                <w:szCs w:val="20"/>
                <w:color w:val="auto"/>
              </w:rPr>
            </w:pPr>
            <w:r>
              <w:rPr>
                <w:rFonts w:ascii="Arial" w:cs="Arial" w:eastAsia="Arial" w:hAnsi="Arial"/>
                <w:sz w:val="14"/>
                <w:szCs w:val="14"/>
                <w:color w:val="262626"/>
              </w:rPr>
              <w:t>Termination for Cause</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740" w:type="dxa"/>
            <w:vAlign w:val="bottom"/>
          </w:tcPr>
          <w:p>
            <w:pPr>
              <w:jc w:val="right"/>
              <w:ind w:right="68"/>
              <w:spacing w:after="0" w:line="155" w:lineRule="exact"/>
              <w:rPr>
                <w:sz w:val="20"/>
                <w:szCs w:val="20"/>
                <w:color w:val="auto"/>
              </w:rPr>
            </w:pPr>
            <w:r>
              <w:rPr>
                <w:rFonts w:ascii="Arial" w:cs="Arial" w:eastAsia="Arial" w:hAnsi="Arial"/>
                <w:sz w:val="14"/>
                <w:szCs w:val="14"/>
                <w:color w:val="262626"/>
              </w:rPr>
              <w:t>-</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ind w:right="69"/>
              <w:spacing w:after="0" w:line="155" w:lineRule="exact"/>
              <w:rPr>
                <w:sz w:val="20"/>
                <w:szCs w:val="20"/>
                <w:color w:val="auto"/>
              </w:rPr>
            </w:pPr>
            <w:r>
              <w:rPr>
                <w:rFonts w:ascii="Arial" w:cs="Arial" w:eastAsia="Arial" w:hAnsi="Arial"/>
                <w:sz w:val="14"/>
                <w:szCs w:val="14"/>
                <w:color w:val="262626"/>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40" w:type="dxa"/>
            <w:vAlign w:val="bottom"/>
          </w:tcPr>
          <w:p>
            <w:pPr>
              <w:jc w:val="right"/>
              <w:ind w:right="69"/>
              <w:spacing w:after="0" w:line="155" w:lineRule="exact"/>
              <w:rPr>
                <w:sz w:val="20"/>
                <w:szCs w:val="20"/>
                <w:color w:val="auto"/>
              </w:rPr>
            </w:pPr>
            <w:r>
              <w:rPr>
                <w:rFonts w:ascii="Arial" w:cs="Arial" w:eastAsia="Arial" w:hAnsi="Arial"/>
                <w:sz w:val="14"/>
                <w:szCs w:val="14"/>
                <w:color w:val="262626"/>
              </w:rPr>
              <w:t>-</w:t>
            </w:r>
          </w:p>
        </w:tc>
        <w:tc>
          <w:tcPr>
            <w:tcW w:w="180" w:type="dxa"/>
            <w:vAlign w:val="bottom"/>
          </w:tcPr>
          <w:p>
            <w:pPr>
              <w:ind w:left="40"/>
              <w:spacing w:after="0" w:line="155" w:lineRule="exact"/>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262626"/>
              </w:rPr>
              <w:t>-</w:t>
            </w:r>
          </w:p>
        </w:tc>
        <w:tc>
          <w:tcPr>
            <w:tcW w:w="680" w:type="dxa"/>
            <w:vAlign w:val="bottom"/>
          </w:tcPr>
          <w:p>
            <w:pPr>
              <w:ind w:left="360"/>
              <w:spacing w:after="0" w:line="155" w:lineRule="exact"/>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ind w:right="68"/>
              <w:spacing w:after="0" w:line="155" w:lineRule="exact"/>
              <w:rPr>
                <w:sz w:val="20"/>
                <w:szCs w:val="20"/>
                <w:color w:val="auto"/>
              </w:rPr>
            </w:pPr>
            <w:r>
              <w:rPr>
                <w:rFonts w:ascii="Arial" w:cs="Arial" w:eastAsia="Arial" w:hAnsi="Arial"/>
                <w:sz w:val="14"/>
                <w:szCs w:val="14"/>
                <w:color w:val="262626"/>
              </w:rPr>
              <w:t>-</w:t>
            </w:r>
          </w:p>
        </w:tc>
      </w:tr>
      <w:tr>
        <w:trPr>
          <w:trHeight w:val="165"/>
        </w:trPr>
        <w:tc>
          <w:tcPr>
            <w:tcW w:w="2680" w:type="dxa"/>
            <w:vAlign w:val="bottom"/>
            <w:tcBorders>
              <w:bottom w:val="single" w:sz="8" w:color="262626"/>
            </w:tcBorders>
            <w:shd w:val="clear" w:color="auto" w:fill="EAEFED"/>
          </w:tcPr>
          <w:p>
            <w:pPr>
              <w:ind w:left="320"/>
              <w:spacing w:after="0" w:line="164" w:lineRule="exact"/>
              <w:rPr>
                <w:sz w:val="20"/>
                <w:szCs w:val="20"/>
                <w:color w:val="auto"/>
              </w:rPr>
            </w:pPr>
            <w:r>
              <w:rPr>
                <w:rFonts w:ascii="Arial" w:cs="Arial" w:eastAsia="Arial" w:hAnsi="Arial"/>
                <w:sz w:val="12"/>
                <w:szCs w:val="12"/>
                <w:color w:val="262626"/>
              </w:rPr>
              <w:t>CIC</w:t>
            </w:r>
            <w:r>
              <w:rPr>
                <w:rFonts w:ascii="Arial" w:cs="Arial" w:eastAsia="Arial" w:hAnsi="Arial"/>
                <w:sz w:val="19"/>
                <w:szCs w:val="19"/>
                <w:color w:val="262626"/>
                <w:vertAlign w:val="superscript"/>
              </w:rPr>
              <w:t>(5)</w:t>
            </w:r>
          </w:p>
        </w:tc>
        <w:tc>
          <w:tcPr>
            <w:tcW w:w="20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7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1,890,626</w:t>
            </w:r>
          </w:p>
        </w:tc>
        <w:tc>
          <w:tcPr>
            <w:tcW w:w="1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73,594</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1,457,340</w:t>
            </w:r>
          </w:p>
        </w:tc>
        <w:tc>
          <w:tcPr>
            <w:tcW w:w="180" w:type="dxa"/>
            <w:vAlign w:val="bottom"/>
            <w:tcBorders>
              <w:bottom w:val="single" w:sz="8" w:color="262626"/>
            </w:tcBorders>
          </w:tcPr>
          <w:p>
            <w:pPr>
              <w:ind w:left="40"/>
              <w:spacing w:after="0"/>
              <w:rPr>
                <w:sz w:val="20"/>
                <w:szCs w:val="20"/>
                <w:color w:val="auto"/>
              </w:rPr>
            </w:pPr>
            <w:r>
              <w:rPr>
                <w:rFonts w:ascii="Arial" w:cs="Arial" w:eastAsia="Arial" w:hAnsi="Arial"/>
                <w:sz w:val="14"/>
                <w:szCs w:val="14"/>
                <w:color w:val="262626"/>
              </w:rPr>
              <w:t>$</w:t>
            </w:r>
          </w:p>
        </w:tc>
        <w:tc>
          <w:tcPr>
            <w:tcW w:w="6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90,375</w:t>
            </w:r>
          </w:p>
        </w:tc>
        <w:tc>
          <w:tcPr>
            <w:tcW w:w="680" w:type="dxa"/>
            <w:vAlign w:val="bottom"/>
            <w:tcBorders>
              <w:bottom w:val="single" w:sz="8" w:color="262626"/>
            </w:tcBorders>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Borders>
              <w:bottom w:val="single" w:sz="8" w:color="262626"/>
            </w:tcBorders>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3,511,935</w:t>
            </w:r>
          </w:p>
        </w:tc>
      </w:tr>
      <w:tr>
        <w:trPr>
          <w:trHeight w:val="160"/>
        </w:trPr>
        <w:tc>
          <w:tcPr>
            <w:tcW w:w="2680" w:type="dxa"/>
            <w:vAlign w:val="bottom"/>
            <w:shd w:val="clear" w:color="auto" w:fill="EAEFED"/>
          </w:tcPr>
          <w:p>
            <w:pPr>
              <w:spacing w:after="0"/>
              <w:rPr>
                <w:sz w:val="20"/>
                <w:szCs w:val="20"/>
                <w:color w:val="auto"/>
              </w:rPr>
            </w:pPr>
            <w:r>
              <w:rPr>
                <w:rFonts w:ascii="Arial" w:cs="Arial" w:eastAsia="Arial" w:hAnsi="Arial"/>
                <w:sz w:val="14"/>
                <w:szCs w:val="14"/>
                <w:color w:val="F73A25"/>
              </w:rPr>
              <w:t>Dawn M. Becker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Death</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262626"/>
              </w:rPr>
              <w:t>-</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262626"/>
              </w:rPr>
              <w:t>-</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957,685</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957,685</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Disability</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spacing w:after="0"/>
              <w:rPr>
                <w:sz w:val="20"/>
                <w:szCs w:val="20"/>
                <w:color w:val="auto"/>
              </w:rPr>
            </w:pPr>
            <w:r>
              <w:rPr>
                <w:rFonts w:ascii="Arial" w:cs="Arial" w:eastAsia="Arial" w:hAnsi="Arial"/>
                <w:sz w:val="14"/>
                <w:szCs w:val="14"/>
                <w:color w:val="262626"/>
              </w:rPr>
              <w:t>361,777</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15,579</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957,685</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262626"/>
              </w:rPr>
              <w:t>-</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1,335,041</w:t>
            </w:r>
          </w:p>
        </w:tc>
      </w:tr>
      <w:tr>
        <w:trPr>
          <w:trHeight w:val="162"/>
        </w:trPr>
        <w:tc>
          <w:tcPr>
            <w:tcW w:w="2680" w:type="dxa"/>
            <w:vAlign w:val="bottom"/>
            <w:shd w:val="clear" w:color="auto" w:fill="EAEFED"/>
          </w:tcPr>
          <w:p>
            <w:pPr>
              <w:ind w:left="320"/>
              <w:spacing w:after="0"/>
              <w:rPr>
                <w:sz w:val="20"/>
                <w:szCs w:val="20"/>
                <w:color w:val="auto"/>
              </w:rPr>
            </w:pPr>
            <w:r>
              <w:rPr>
                <w:rFonts w:ascii="Arial" w:cs="Arial" w:eastAsia="Arial" w:hAnsi="Arial"/>
                <w:sz w:val="14"/>
                <w:szCs w:val="14"/>
                <w:color w:val="262626"/>
              </w:rPr>
              <w:t>TWOC</w:t>
            </w:r>
          </w:p>
        </w:tc>
        <w:tc>
          <w:tcPr>
            <w:tcW w:w="200" w:type="dxa"/>
            <w:vAlign w:val="bottom"/>
          </w:tcPr>
          <w:p>
            <w:pPr>
              <w:jc w:val="right"/>
              <w:spacing w:after="0"/>
              <w:rPr>
                <w:sz w:val="20"/>
                <w:szCs w:val="20"/>
                <w:color w:val="auto"/>
              </w:rPr>
            </w:pPr>
            <w:r>
              <w:rPr>
                <w:rFonts w:ascii="Arial" w:cs="Arial" w:eastAsia="Arial" w:hAnsi="Arial"/>
                <w:sz w:val="14"/>
                <w:szCs w:val="14"/>
                <w:color w:val="262626"/>
              </w:rPr>
              <w:t>$</w:t>
            </w:r>
          </w:p>
        </w:tc>
        <w:tc>
          <w:tcPr>
            <w:tcW w:w="740" w:type="dxa"/>
            <w:vAlign w:val="bottom"/>
          </w:tcPr>
          <w:p>
            <w:pPr>
              <w:jc w:val="right"/>
              <w:spacing w:after="0"/>
              <w:rPr>
                <w:sz w:val="20"/>
                <w:szCs w:val="20"/>
                <w:color w:val="auto"/>
              </w:rPr>
            </w:pPr>
            <w:r>
              <w:rPr>
                <w:rFonts w:ascii="Arial" w:cs="Arial" w:eastAsia="Arial" w:hAnsi="Arial"/>
                <w:sz w:val="14"/>
                <w:szCs w:val="14"/>
                <w:color w:val="262626"/>
              </w:rPr>
              <w:t>896,875</w:t>
            </w:r>
          </w:p>
        </w:tc>
        <w:tc>
          <w:tcPr>
            <w:tcW w:w="140" w:type="dxa"/>
            <w:vAlign w:val="bottom"/>
          </w:tcPr>
          <w:p>
            <w:pPr>
              <w:jc w:val="right"/>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11,684</w:t>
            </w:r>
          </w:p>
        </w:tc>
        <w:tc>
          <w:tcPr>
            <w:tcW w:w="160" w:type="dxa"/>
            <w:vAlign w:val="bottom"/>
          </w:tcPr>
          <w:p>
            <w:pPr>
              <w:jc w:val="right"/>
              <w:spacing w:after="0"/>
              <w:rPr>
                <w:sz w:val="20"/>
                <w:szCs w:val="20"/>
                <w:color w:val="auto"/>
              </w:rPr>
            </w:pPr>
            <w:r>
              <w:rPr>
                <w:rFonts w:ascii="Arial" w:cs="Arial" w:eastAsia="Arial" w:hAnsi="Arial"/>
                <w:sz w:val="14"/>
                <w:szCs w:val="14"/>
                <w:color w:val="262626"/>
              </w:rPr>
              <w:t>$</w:t>
            </w:r>
          </w:p>
        </w:tc>
        <w:tc>
          <w:tcPr>
            <w:tcW w:w="840" w:type="dxa"/>
            <w:vAlign w:val="bottom"/>
          </w:tcPr>
          <w:p>
            <w:pPr>
              <w:jc w:val="right"/>
              <w:spacing w:after="0"/>
              <w:rPr>
                <w:sz w:val="20"/>
                <w:szCs w:val="20"/>
                <w:color w:val="auto"/>
              </w:rPr>
            </w:pPr>
            <w:r>
              <w:rPr>
                <w:rFonts w:ascii="Arial" w:cs="Arial" w:eastAsia="Arial" w:hAnsi="Arial"/>
                <w:sz w:val="14"/>
                <w:szCs w:val="14"/>
                <w:color w:val="262626"/>
              </w:rPr>
              <w:t>957,685</w:t>
            </w:r>
          </w:p>
        </w:tc>
        <w:tc>
          <w:tcPr>
            <w:tcW w:w="180" w:type="dxa"/>
            <w:vAlign w:val="bottom"/>
          </w:tcPr>
          <w:p>
            <w:pPr>
              <w:ind w:left="40"/>
              <w:spacing w:after="0"/>
              <w:rPr>
                <w:sz w:val="20"/>
                <w:szCs w:val="20"/>
                <w:color w:val="auto"/>
              </w:rPr>
            </w:pPr>
            <w:r>
              <w:rPr>
                <w:rFonts w:ascii="Arial" w:cs="Arial" w:eastAsia="Arial" w:hAnsi="Arial"/>
                <w:sz w:val="14"/>
                <w:szCs w:val="14"/>
                <w:color w:val="262626"/>
              </w:rPr>
              <w:t>$</w:t>
            </w:r>
          </w:p>
        </w:tc>
        <w:tc>
          <w:tcPr>
            <w:tcW w:w="640" w:type="dxa"/>
            <w:vAlign w:val="bottom"/>
          </w:tcPr>
          <w:p>
            <w:pPr>
              <w:jc w:val="right"/>
              <w:spacing w:after="0"/>
              <w:rPr>
                <w:sz w:val="20"/>
                <w:szCs w:val="20"/>
                <w:color w:val="auto"/>
              </w:rPr>
            </w:pPr>
            <w:r>
              <w:rPr>
                <w:rFonts w:ascii="Arial" w:cs="Arial" w:eastAsia="Arial" w:hAnsi="Arial"/>
                <w:sz w:val="14"/>
                <w:szCs w:val="14"/>
                <w:color w:val="262626"/>
              </w:rPr>
              <w:t>60,250</w:t>
            </w:r>
          </w:p>
        </w:tc>
        <w:tc>
          <w:tcPr>
            <w:tcW w:w="680" w:type="dxa"/>
            <w:vAlign w:val="bottom"/>
          </w:tcPr>
          <w:p>
            <w:pPr>
              <w:ind w:left="360"/>
              <w:spacing w:after="0"/>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rPr>
                <w:sz w:val="20"/>
                <w:szCs w:val="20"/>
                <w:color w:val="auto"/>
              </w:rPr>
            </w:pPr>
            <w:r>
              <w:rPr>
                <w:rFonts w:ascii="Arial" w:cs="Arial" w:eastAsia="Arial" w:hAnsi="Arial"/>
                <w:sz w:val="14"/>
                <w:szCs w:val="14"/>
                <w:color w:val="262626"/>
              </w:rPr>
              <w:t>$</w:t>
            </w:r>
          </w:p>
        </w:tc>
        <w:tc>
          <w:tcPr>
            <w:tcW w:w="860" w:type="dxa"/>
            <w:vAlign w:val="bottom"/>
          </w:tcPr>
          <w:p>
            <w:pPr>
              <w:jc w:val="right"/>
              <w:spacing w:after="0"/>
              <w:rPr>
                <w:sz w:val="20"/>
                <w:szCs w:val="20"/>
                <w:color w:val="auto"/>
              </w:rPr>
            </w:pPr>
            <w:r>
              <w:rPr>
                <w:rFonts w:ascii="Arial" w:cs="Arial" w:eastAsia="Arial" w:hAnsi="Arial"/>
                <w:sz w:val="14"/>
                <w:szCs w:val="14"/>
                <w:color w:val="262626"/>
              </w:rPr>
              <w:t>1,926,494</w:t>
            </w:r>
          </w:p>
        </w:tc>
      </w:tr>
      <w:tr>
        <w:trPr>
          <w:trHeight w:val="155"/>
        </w:trPr>
        <w:tc>
          <w:tcPr>
            <w:tcW w:w="2680" w:type="dxa"/>
            <w:vAlign w:val="bottom"/>
            <w:shd w:val="clear" w:color="auto" w:fill="EAEFED"/>
          </w:tcPr>
          <w:p>
            <w:pPr>
              <w:ind w:left="320"/>
              <w:spacing w:after="0" w:line="155" w:lineRule="exact"/>
              <w:rPr>
                <w:sz w:val="20"/>
                <w:szCs w:val="20"/>
                <w:color w:val="auto"/>
              </w:rPr>
            </w:pPr>
            <w:r>
              <w:rPr>
                <w:rFonts w:ascii="Arial" w:cs="Arial" w:eastAsia="Arial" w:hAnsi="Arial"/>
                <w:sz w:val="14"/>
                <w:szCs w:val="14"/>
                <w:color w:val="262626"/>
              </w:rPr>
              <w:t>Termination for Cause</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262626"/>
              </w:rPr>
              <w:t>237,500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262626"/>
              </w:rPr>
              <w:t>7,789</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262626"/>
              </w:rPr>
              <w:t>$</w:t>
            </w:r>
          </w:p>
        </w:tc>
        <w:tc>
          <w:tcPr>
            <w:tcW w:w="840" w:type="dxa"/>
            <w:vAlign w:val="bottom"/>
          </w:tcPr>
          <w:p>
            <w:pPr>
              <w:jc w:val="right"/>
              <w:ind w:right="69"/>
              <w:spacing w:after="0" w:line="155" w:lineRule="exact"/>
              <w:rPr>
                <w:sz w:val="20"/>
                <w:szCs w:val="20"/>
                <w:color w:val="auto"/>
              </w:rPr>
            </w:pPr>
            <w:r>
              <w:rPr>
                <w:rFonts w:ascii="Arial" w:cs="Arial" w:eastAsia="Arial" w:hAnsi="Arial"/>
                <w:sz w:val="14"/>
                <w:szCs w:val="14"/>
                <w:color w:val="262626"/>
              </w:rPr>
              <w:t>-</w:t>
            </w:r>
          </w:p>
        </w:tc>
        <w:tc>
          <w:tcPr>
            <w:tcW w:w="180" w:type="dxa"/>
            <w:vAlign w:val="bottom"/>
          </w:tcPr>
          <w:p>
            <w:pPr>
              <w:ind w:left="40"/>
              <w:spacing w:after="0" w:line="155" w:lineRule="exact"/>
              <w:rPr>
                <w:sz w:val="20"/>
                <w:szCs w:val="20"/>
                <w:color w:val="auto"/>
              </w:rPr>
            </w:pPr>
            <w:r>
              <w:rPr>
                <w:rFonts w:ascii="Arial" w:cs="Arial" w:eastAsia="Arial" w:hAnsi="Arial"/>
                <w:sz w:val="14"/>
                <w:szCs w:val="14"/>
                <w:color w:val="262626"/>
              </w:rPr>
              <w:t>$</w:t>
            </w: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color w:val="262626"/>
              </w:rPr>
              <w:t>-</w:t>
            </w:r>
          </w:p>
        </w:tc>
        <w:tc>
          <w:tcPr>
            <w:tcW w:w="680" w:type="dxa"/>
            <w:vAlign w:val="bottom"/>
          </w:tcPr>
          <w:p>
            <w:pPr>
              <w:ind w:left="360"/>
              <w:spacing w:after="0" w:line="155" w:lineRule="exact"/>
              <w:rPr>
                <w:sz w:val="20"/>
                <w:szCs w:val="20"/>
                <w:color w:val="auto"/>
              </w:rPr>
            </w:pPr>
            <w:r>
              <w:rPr>
                <w:rFonts w:ascii="Arial" w:cs="Arial" w:eastAsia="Arial" w:hAnsi="Arial"/>
                <w:sz w:val="14"/>
                <w:szCs w:val="14"/>
                <w:color w:val="262626"/>
              </w:rPr>
              <w:t>N/A</w:t>
            </w:r>
          </w:p>
        </w:tc>
        <w:tc>
          <w:tcPr>
            <w:tcW w:w="380" w:type="dxa"/>
            <w:vAlign w:val="bottom"/>
          </w:tcPr>
          <w:p>
            <w:pPr>
              <w:jc w:val="right"/>
              <w:ind w:right="28"/>
              <w:spacing w:after="0" w:line="155" w:lineRule="exact"/>
              <w:rPr>
                <w:sz w:val="20"/>
                <w:szCs w:val="20"/>
                <w:color w:val="auto"/>
              </w:rPr>
            </w:pPr>
            <w:r>
              <w:rPr>
                <w:rFonts w:ascii="Arial" w:cs="Arial" w:eastAsia="Arial" w:hAnsi="Arial"/>
                <w:sz w:val="14"/>
                <w:szCs w:val="14"/>
                <w:color w:val="26262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262626"/>
              </w:rPr>
              <w:t>245,289</w:t>
            </w:r>
          </w:p>
        </w:tc>
      </w:tr>
      <w:tr>
        <w:trPr>
          <w:trHeight w:val="165"/>
        </w:trPr>
        <w:tc>
          <w:tcPr>
            <w:tcW w:w="2680" w:type="dxa"/>
            <w:vAlign w:val="bottom"/>
            <w:tcBorders>
              <w:bottom w:val="single" w:sz="8" w:color="262626"/>
            </w:tcBorders>
            <w:shd w:val="clear" w:color="auto" w:fill="EAEFED"/>
          </w:tcPr>
          <w:p>
            <w:pPr>
              <w:ind w:left="320"/>
              <w:spacing w:after="0" w:line="164" w:lineRule="exact"/>
              <w:rPr>
                <w:sz w:val="20"/>
                <w:szCs w:val="20"/>
                <w:color w:val="auto"/>
              </w:rPr>
            </w:pPr>
            <w:r>
              <w:rPr>
                <w:rFonts w:ascii="Arial" w:cs="Arial" w:eastAsia="Arial" w:hAnsi="Arial"/>
                <w:sz w:val="19"/>
                <w:szCs w:val="19"/>
                <w:color w:val="262626"/>
                <w:vertAlign w:val="subscript"/>
              </w:rPr>
              <w:t>CIC</w:t>
            </w:r>
            <w:r>
              <w:rPr>
                <w:rFonts w:ascii="Arial" w:cs="Arial" w:eastAsia="Arial" w:hAnsi="Arial"/>
                <w:sz w:val="10"/>
                <w:szCs w:val="10"/>
                <w:color w:val="262626"/>
              </w:rPr>
              <w:t>(5)</w:t>
            </w:r>
          </w:p>
        </w:tc>
        <w:tc>
          <w:tcPr>
            <w:tcW w:w="20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7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1,793,750</w:t>
            </w:r>
          </w:p>
        </w:tc>
        <w:tc>
          <w:tcPr>
            <w:tcW w:w="1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31,157</w:t>
            </w:r>
          </w:p>
        </w:tc>
        <w:tc>
          <w:tcPr>
            <w:tcW w:w="1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w:t>
            </w:r>
          </w:p>
        </w:tc>
        <w:tc>
          <w:tcPr>
            <w:tcW w:w="8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957,685</w:t>
            </w:r>
          </w:p>
        </w:tc>
        <w:tc>
          <w:tcPr>
            <w:tcW w:w="180" w:type="dxa"/>
            <w:vAlign w:val="bottom"/>
            <w:tcBorders>
              <w:bottom w:val="single" w:sz="8" w:color="262626"/>
            </w:tcBorders>
          </w:tcPr>
          <w:p>
            <w:pPr>
              <w:ind w:left="40"/>
              <w:spacing w:after="0"/>
              <w:rPr>
                <w:sz w:val="20"/>
                <w:szCs w:val="20"/>
                <w:color w:val="auto"/>
              </w:rPr>
            </w:pPr>
            <w:r>
              <w:rPr>
                <w:rFonts w:ascii="Arial" w:cs="Arial" w:eastAsia="Arial" w:hAnsi="Arial"/>
                <w:sz w:val="14"/>
                <w:szCs w:val="14"/>
                <w:color w:val="262626"/>
              </w:rPr>
              <w:t>$</w:t>
            </w:r>
          </w:p>
        </w:tc>
        <w:tc>
          <w:tcPr>
            <w:tcW w:w="64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90,375</w:t>
            </w:r>
          </w:p>
        </w:tc>
        <w:tc>
          <w:tcPr>
            <w:tcW w:w="680" w:type="dxa"/>
            <w:vAlign w:val="bottom"/>
            <w:tcBorders>
              <w:bottom w:val="single" w:sz="8" w:color="262626"/>
            </w:tcBorders>
          </w:tcPr>
          <w:p>
            <w:pPr>
              <w:ind w:left="60"/>
              <w:spacing w:after="0"/>
              <w:rPr>
                <w:sz w:val="20"/>
                <w:szCs w:val="20"/>
                <w:color w:val="auto"/>
              </w:rPr>
            </w:pPr>
            <w:r>
              <w:rPr>
                <w:rFonts w:ascii="Arial" w:cs="Arial" w:eastAsia="Arial" w:hAnsi="Arial"/>
                <w:sz w:val="14"/>
                <w:szCs w:val="14"/>
                <w:color w:val="262626"/>
              </w:rPr>
              <w:t>$</w:t>
            </w:r>
          </w:p>
        </w:tc>
        <w:tc>
          <w:tcPr>
            <w:tcW w:w="380" w:type="dxa"/>
            <w:vAlign w:val="bottom"/>
            <w:tcBorders>
              <w:bottom w:val="single" w:sz="8" w:color="262626"/>
            </w:tcBorders>
          </w:tcPr>
          <w:p>
            <w:pPr>
              <w:jc w:val="right"/>
              <w:ind w:right="28"/>
              <w:spacing w:after="0"/>
              <w:rPr>
                <w:sz w:val="20"/>
                <w:szCs w:val="20"/>
                <w:color w:val="auto"/>
              </w:rPr>
            </w:pPr>
            <w:r>
              <w:rPr>
                <w:rFonts w:ascii="Arial" w:cs="Arial" w:eastAsia="Arial" w:hAnsi="Arial"/>
                <w:sz w:val="14"/>
                <w:szCs w:val="14"/>
                <w:color w:val="262626"/>
              </w:rPr>
              <w:t>- $</w:t>
            </w:r>
          </w:p>
        </w:tc>
        <w:tc>
          <w:tcPr>
            <w:tcW w:w="860" w:type="dxa"/>
            <w:vAlign w:val="bottom"/>
            <w:tcBorders>
              <w:bottom w:val="single" w:sz="8" w:color="262626"/>
            </w:tcBorders>
          </w:tcPr>
          <w:p>
            <w:pPr>
              <w:jc w:val="right"/>
              <w:spacing w:after="0"/>
              <w:rPr>
                <w:sz w:val="20"/>
                <w:szCs w:val="20"/>
                <w:color w:val="auto"/>
              </w:rPr>
            </w:pPr>
            <w:r>
              <w:rPr>
                <w:rFonts w:ascii="Arial" w:cs="Arial" w:eastAsia="Arial" w:hAnsi="Arial"/>
                <w:sz w:val="14"/>
                <w:szCs w:val="14"/>
                <w:color w:val="262626"/>
              </w:rPr>
              <w:t>2,872,967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jc w:val="both"/>
        <w:ind w:left="440" w:hanging="324"/>
        <w:spacing w:after="0" w:line="246" w:lineRule="auto"/>
        <w:tabs>
          <w:tab w:leader="none" w:pos="440" w:val="left"/>
        </w:tabs>
        <w:numPr>
          <w:ilvl w:val="0"/>
          <w:numId w:val="28"/>
        </w:numPr>
        <w:rPr>
          <w:rFonts w:ascii="Arial" w:cs="Arial" w:eastAsia="Arial" w:hAnsi="Arial"/>
          <w:sz w:val="16"/>
          <w:szCs w:val="16"/>
          <w:color w:val="262626"/>
        </w:rPr>
      </w:pPr>
      <w:r>
        <w:rPr>
          <w:rFonts w:ascii="Arial" w:cs="Arial" w:eastAsia="Arial" w:hAnsi="Arial"/>
          <w:sz w:val="16"/>
          <w:szCs w:val="16"/>
          <w:color w:val="262626"/>
        </w:rPr>
        <w:t>For disability, payments are for 1 year in an amount equal to the difference between then current salary and the amount of any payments received under any disability policy we maintained plus a tax gross-up on non-tax exempt payments. The estimated tax gross-ups included in these amounts are $564,525 for Mr. Wood, $158,080 for Mr. Guglielmone and $114,777 for Ms. Becker. For termination without cause (“TWOC”), payments are 1.5 times the highest annual base salary and annual bonus paid during the prior 3-year period for Mr. Wood and 1.0 times that amount for Ms. Becker. For termination for cause, the payments equal 1 month of base salary for each year of employment greater than 5 years, capped at a total of 6 months. For change in control (“CIC”), the payments equal 3.0 times the highest annual base salary and annual bonus paid during the prior 3-year period for Mr. Wood and 2.0 times that amount for Mr. Guglielmone and Ms. Becker.</w:t>
      </w:r>
    </w:p>
    <w:p>
      <w:pPr>
        <w:spacing w:after="0" w:line="2" w:lineRule="exact"/>
        <w:rPr>
          <w:rFonts w:ascii="Arial" w:cs="Arial" w:eastAsia="Arial" w:hAnsi="Arial"/>
          <w:sz w:val="16"/>
          <w:szCs w:val="16"/>
          <w:color w:val="262626"/>
        </w:rPr>
      </w:pPr>
    </w:p>
    <w:p>
      <w:pPr>
        <w:jc w:val="both"/>
        <w:ind w:left="440" w:right="20" w:hanging="324"/>
        <w:spacing w:after="0" w:line="248" w:lineRule="auto"/>
        <w:tabs>
          <w:tab w:leader="none" w:pos="440" w:val="left"/>
        </w:tabs>
        <w:numPr>
          <w:ilvl w:val="0"/>
          <w:numId w:val="28"/>
        </w:numPr>
        <w:rPr>
          <w:rFonts w:ascii="Arial" w:cs="Arial" w:eastAsia="Arial" w:hAnsi="Arial"/>
          <w:sz w:val="16"/>
          <w:szCs w:val="16"/>
          <w:color w:val="262626"/>
        </w:rPr>
      </w:pPr>
      <w:r>
        <w:rPr>
          <w:rFonts w:ascii="Arial" w:cs="Arial" w:eastAsia="Arial" w:hAnsi="Arial"/>
          <w:sz w:val="16"/>
          <w:szCs w:val="16"/>
          <w:color w:val="262626"/>
        </w:rPr>
        <w:t>Amounts in this column represent our estimate of the COBRA equivalent to provide the same benefits as being provided to each NEO at December 31, 2020 for a period of: (a) 1 year in the event of disability for each of our NEOs; (b) 6 months for Mr. Wood and Ms. Becker on a termination with cause; (c) 9 months for Mr. Wood and Ms. Becker on a TWOC; and (d) 3 years for Mr. Wood and 2 years for Mr. Guglielmone and Ms. Becker on a CIC. These estimates were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we use the COBRA equivalent as a reasonable estimate of the potential costs for these benefits. For Mr. Wood, this column also includes the following estimated costs (calculated in accordance with GAAP)</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440" w:right="20"/>
        <w:spacing w:after="0" w:line="246" w:lineRule="auto"/>
        <w:rPr>
          <w:sz w:val="20"/>
          <w:szCs w:val="20"/>
          <w:color w:val="auto"/>
        </w:rPr>
      </w:pPr>
      <w:r>
        <w:rPr>
          <w:rFonts w:ascii="Arial" w:cs="Arial" w:eastAsia="Arial" w:hAnsi="Arial"/>
          <w:sz w:val="16"/>
          <w:szCs w:val="16"/>
          <w:color w:val="262626"/>
        </w:rPr>
        <w:t>pursuant to the Health Continuation Coverage Agreement with Mr. Wood: $2,020,000 in the event of death; $2,312,000 in the event of disability; and $2,399,000 in the event of termination without cause and change in control.</w:t>
      </w:r>
    </w:p>
    <w:p>
      <w:pPr>
        <w:spacing w:after="0" w:line="1" w:lineRule="exact"/>
        <w:rPr>
          <w:sz w:val="20"/>
          <w:szCs w:val="20"/>
          <w:color w:val="auto"/>
        </w:rPr>
      </w:pPr>
    </w:p>
    <w:p>
      <w:pPr>
        <w:jc w:val="both"/>
        <w:ind w:left="440" w:hanging="324"/>
        <w:spacing w:after="0" w:line="246" w:lineRule="auto"/>
        <w:tabs>
          <w:tab w:leader="none" w:pos="440" w:val="left"/>
        </w:tabs>
        <w:numPr>
          <w:ilvl w:val="0"/>
          <w:numId w:val="29"/>
        </w:numPr>
        <w:rPr>
          <w:rFonts w:ascii="Arial" w:cs="Arial" w:eastAsia="Arial" w:hAnsi="Arial"/>
          <w:sz w:val="16"/>
          <w:szCs w:val="16"/>
          <w:color w:val="262626"/>
        </w:rPr>
      </w:pPr>
      <w:r>
        <w:rPr>
          <w:rFonts w:ascii="Arial" w:cs="Arial" w:eastAsia="Arial" w:hAnsi="Arial"/>
          <w:sz w:val="16"/>
          <w:szCs w:val="16"/>
          <w:color w:val="262626"/>
        </w:rPr>
        <w:t>All unvested Shares and options held by our NEOs will vest in the event of death, disability, TWOC or CIC. Amounts in this column were calculated by multiplying the number of unvested Shares and options that vest on the occurrence of the specified event as of December 31, 2020 by the value for each Share and option determined in accordance with the FASB ASC Topic 718.</w:t>
      </w:r>
    </w:p>
    <w:p>
      <w:pPr>
        <w:spacing w:after="0" w:line="1" w:lineRule="exact"/>
        <w:rPr>
          <w:rFonts w:ascii="Arial" w:cs="Arial" w:eastAsia="Arial" w:hAnsi="Arial"/>
          <w:sz w:val="16"/>
          <w:szCs w:val="16"/>
          <w:color w:val="262626"/>
        </w:rPr>
      </w:pPr>
    </w:p>
    <w:p>
      <w:pPr>
        <w:jc w:val="both"/>
        <w:ind w:left="440" w:hanging="324"/>
        <w:spacing w:after="0" w:line="249" w:lineRule="auto"/>
        <w:tabs>
          <w:tab w:leader="none" w:pos="440" w:val="left"/>
        </w:tabs>
        <w:numPr>
          <w:ilvl w:val="0"/>
          <w:numId w:val="29"/>
        </w:numPr>
        <w:rPr>
          <w:rFonts w:ascii="Arial" w:cs="Arial" w:eastAsia="Arial" w:hAnsi="Arial"/>
          <w:sz w:val="16"/>
          <w:szCs w:val="16"/>
          <w:color w:val="262626"/>
        </w:rPr>
      </w:pPr>
      <w:r>
        <w:rPr>
          <w:rFonts w:ascii="Arial" w:cs="Arial" w:eastAsia="Arial" w:hAnsi="Arial"/>
          <w:sz w:val="16"/>
          <w:szCs w:val="16"/>
          <w:color w:val="262626"/>
        </w:rPr>
        <w:t>Amounts in this column are estimated costs for the following: (a) a full-time administrative assistant and outplacement assistance for a period of 6 months in the event of a TWOC for Mr. Wood and Ms. Becker and for a period of 12 months for Mr. Wood and 9 months for Mr. Guglielmone and Ms. Becker in the event of a CIC; and (b) use of a company vehicle for three years for Mr. Wood in the event of a CIC should he choose to use that benefit.</w:t>
      </w:r>
    </w:p>
    <w:p>
      <w:pPr>
        <w:spacing w:after="0" w:line="183" w:lineRule="exact"/>
        <w:rPr>
          <w:rFonts w:ascii="Arial" w:cs="Arial" w:eastAsia="Arial" w:hAnsi="Arial"/>
          <w:sz w:val="16"/>
          <w:szCs w:val="16"/>
          <w:color w:val="262626"/>
        </w:rPr>
      </w:pPr>
    </w:p>
    <w:p>
      <w:pPr>
        <w:jc w:val="both"/>
        <w:ind w:left="440" w:hanging="324"/>
        <w:spacing w:after="0" w:line="250" w:lineRule="auto"/>
        <w:tabs>
          <w:tab w:leader="none" w:pos="440" w:val="left"/>
        </w:tabs>
        <w:numPr>
          <w:ilvl w:val="0"/>
          <w:numId w:val="29"/>
        </w:numPr>
        <w:rPr>
          <w:rFonts w:ascii="Arial" w:cs="Arial" w:eastAsia="Arial" w:hAnsi="Arial"/>
          <w:sz w:val="16"/>
          <w:szCs w:val="16"/>
          <w:color w:val="262626"/>
        </w:rPr>
      </w:pPr>
      <w:r>
        <w:rPr>
          <w:rFonts w:ascii="Arial" w:cs="Arial" w:eastAsia="Arial" w:hAnsi="Arial"/>
          <w:sz w:val="16"/>
          <w:szCs w:val="16"/>
          <w:color w:val="262626"/>
        </w:rPr>
        <w:t>Under our active equity plans, a CIC is deemed to have occurred when a person acquires a 20% interest in us, or our current Trustees, or those subsequently approved by our current Trustees, constitute less than 2/3 or less than 50% of our Board, depending on the plan. Upon a CIC, each NEO is entitled to receive payments and benefits so long as he or she (a) is terminated from employment by the company other than for cause or leaves for good reason within 2 years after the change of control or (b) as to Mr. Wood and Ms. Becker only, he or she voluntarily leaves employment within the 30 day window following the 1-year anniversary of the CIC.</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CEO Pay Ratio</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compensation of our median paid employee to the compensation paid to our CEO annually. The determination of our median employee was used taking our total employee population as of December 31, 2020, excluding our CEO, which included 308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22 employees who started with us in 2020. No other adjustments were made.</w:t>
      </w:r>
    </w:p>
    <w:p>
      <w:pPr>
        <w:spacing w:after="0" w:line="20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The actual total annual compensation of our Chief Executive Officer and median paid employee for 2020 was calculated in accordance with the requirements of the Summary Compensation Table included in this proxy statement. Based on this methodology, we have determined that the total annual compensation paid to our Chief Executive Officer in 2020 was $7,481,796 and the total annual compensation paid to our median paid employee in 2020 was $110,091 resulting in a ratio of 68:1.</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Equity Compensation Plan Information</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The following table provides information as of December 31, 2020 regarding our equity compensation plans, all of which were approved by our shareholders.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760" w:type="dxa"/>
            <w:vAlign w:val="bottom"/>
          </w:tcPr>
          <w:p>
            <w:pPr>
              <w:jc w:val="center"/>
              <w:ind w:left="368"/>
              <w:spacing w:after="0"/>
              <w:rPr>
                <w:sz w:val="20"/>
                <w:szCs w:val="20"/>
                <w:color w:val="auto"/>
              </w:rPr>
            </w:pPr>
            <w:r>
              <w:rPr>
                <w:rFonts w:ascii="Arial" w:cs="Arial" w:eastAsia="Arial" w:hAnsi="Arial"/>
                <w:sz w:val="14"/>
                <w:szCs w:val="14"/>
                <w:b w:val="1"/>
                <w:bCs w:val="1"/>
                <w:color w:val="F73A25"/>
              </w:rPr>
              <w:t>Number of securities</w:t>
            </w:r>
          </w:p>
        </w:tc>
        <w:tc>
          <w:tcPr>
            <w:tcW w:w="2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760" w:type="dxa"/>
            <w:vAlign w:val="bottom"/>
          </w:tcPr>
          <w:p>
            <w:pPr>
              <w:jc w:val="center"/>
              <w:ind w:left="368"/>
              <w:spacing w:after="0"/>
              <w:rPr>
                <w:sz w:val="20"/>
                <w:szCs w:val="20"/>
                <w:color w:val="auto"/>
              </w:rPr>
            </w:pPr>
            <w:r>
              <w:rPr>
                <w:rFonts w:ascii="Arial" w:cs="Arial" w:eastAsia="Arial" w:hAnsi="Arial"/>
                <w:sz w:val="14"/>
                <w:szCs w:val="14"/>
                <w:b w:val="1"/>
                <w:bCs w:val="1"/>
                <w:color w:val="F73A25"/>
              </w:rPr>
              <w:t>to be issued upon</w:t>
            </w:r>
          </w:p>
        </w:tc>
        <w:tc>
          <w:tcPr>
            <w:tcW w:w="2320" w:type="dxa"/>
            <w:vAlign w:val="bottom"/>
          </w:tcPr>
          <w:p>
            <w:pPr>
              <w:spacing w:after="0"/>
              <w:rPr>
                <w:sz w:val="14"/>
                <w:szCs w:val="14"/>
                <w:color w:val="auto"/>
              </w:rPr>
            </w:pPr>
          </w:p>
        </w:tc>
        <w:tc>
          <w:tcPr>
            <w:tcW w:w="2140" w:type="dxa"/>
            <w:vAlign w:val="bottom"/>
          </w:tcPr>
          <w:p>
            <w:pPr>
              <w:jc w:val="center"/>
              <w:ind w:left="368"/>
              <w:spacing w:after="0"/>
              <w:rPr>
                <w:sz w:val="20"/>
                <w:szCs w:val="20"/>
                <w:color w:val="auto"/>
              </w:rPr>
            </w:pPr>
            <w:r>
              <w:rPr>
                <w:rFonts w:ascii="Arial" w:cs="Arial" w:eastAsia="Arial" w:hAnsi="Arial"/>
                <w:sz w:val="14"/>
                <w:szCs w:val="14"/>
                <w:b w:val="1"/>
                <w:bCs w:val="1"/>
                <w:color w:val="F73A25"/>
              </w:rPr>
              <w:t>Number of securities</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760" w:type="dxa"/>
            <w:vAlign w:val="bottom"/>
          </w:tcPr>
          <w:p>
            <w:pPr>
              <w:jc w:val="center"/>
              <w:ind w:left="368"/>
              <w:spacing w:after="0"/>
              <w:rPr>
                <w:sz w:val="20"/>
                <w:szCs w:val="20"/>
                <w:color w:val="auto"/>
              </w:rPr>
            </w:pPr>
            <w:r>
              <w:rPr>
                <w:rFonts w:ascii="Arial" w:cs="Arial" w:eastAsia="Arial" w:hAnsi="Arial"/>
                <w:sz w:val="14"/>
                <w:szCs w:val="14"/>
                <w:b w:val="1"/>
                <w:bCs w:val="1"/>
                <w:color w:val="F73A25"/>
              </w:rPr>
              <w:t>exercise of</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F73A25"/>
              </w:rPr>
              <w:t>Weighted average</w:t>
            </w:r>
          </w:p>
        </w:tc>
        <w:tc>
          <w:tcPr>
            <w:tcW w:w="2140" w:type="dxa"/>
            <w:vAlign w:val="bottom"/>
          </w:tcPr>
          <w:p>
            <w:pPr>
              <w:jc w:val="center"/>
              <w:ind w:left="368"/>
              <w:spacing w:after="0"/>
              <w:rPr>
                <w:sz w:val="20"/>
                <w:szCs w:val="20"/>
                <w:color w:val="auto"/>
              </w:rPr>
            </w:pPr>
            <w:r>
              <w:rPr>
                <w:rFonts w:ascii="Arial" w:cs="Arial" w:eastAsia="Arial" w:hAnsi="Arial"/>
                <w:sz w:val="14"/>
                <w:szCs w:val="14"/>
                <w:b w:val="1"/>
                <w:bCs w:val="1"/>
                <w:color w:val="F73A25"/>
              </w:rPr>
              <w:t>remaining available for</w:t>
            </w: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2760" w:type="dxa"/>
            <w:vAlign w:val="bottom"/>
          </w:tcPr>
          <w:p>
            <w:pPr>
              <w:jc w:val="center"/>
              <w:ind w:left="388"/>
              <w:spacing w:after="0"/>
              <w:rPr>
                <w:sz w:val="20"/>
                <w:szCs w:val="20"/>
                <w:color w:val="auto"/>
              </w:rPr>
            </w:pPr>
            <w:r>
              <w:rPr>
                <w:rFonts w:ascii="Arial" w:cs="Arial" w:eastAsia="Arial" w:hAnsi="Arial"/>
                <w:sz w:val="14"/>
                <w:szCs w:val="14"/>
                <w:b w:val="1"/>
                <w:bCs w:val="1"/>
                <w:color w:val="F73A25"/>
              </w:rPr>
              <w:t>outstanding options,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F73A25"/>
              </w:rPr>
              <w:t>exercise price of</w:t>
            </w:r>
          </w:p>
        </w:tc>
        <w:tc>
          <w:tcPr>
            <w:tcW w:w="2140" w:type="dxa"/>
            <w:vAlign w:val="bottom"/>
          </w:tcPr>
          <w:p>
            <w:pPr>
              <w:jc w:val="center"/>
              <w:ind w:left="368"/>
              <w:spacing w:after="0"/>
              <w:rPr>
                <w:sz w:val="20"/>
                <w:szCs w:val="20"/>
                <w:color w:val="auto"/>
              </w:rPr>
            </w:pPr>
            <w:r>
              <w:rPr>
                <w:rFonts w:ascii="Arial" w:cs="Arial" w:eastAsia="Arial" w:hAnsi="Arial"/>
                <w:sz w:val="14"/>
                <w:szCs w:val="14"/>
                <w:b w:val="1"/>
                <w:bCs w:val="1"/>
                <w:color w:val="F73A25"/>
              </w:rPr>
              <w:t>future issuance</w:t>
            </w:r>
          </w:p>
        </w:tc>
        <w:tc>
          <w:tcPr>
            <w:tcW w:w="0" w:type="dxa"/>
            <w:vAlign w:val="bottom"/>
          </w:tcPr>
          <w:p>
            <w:pPr>
              <w:spacing w:after="0"/>
              <w:rPr>
                <w:sz w:val="1"/>
                <w:szCs w:val="1"/>
                <w:color w:val="auto"/>
              </w:rPr>
            </w:pPr>
          </w:p>
        </w:tc>
      </w:tr>
      <w:tr>
        <w:trPr>
          <w:trHeight w:val="159"/>
        </w:trPr>
        <w:tc>
          <w:tcPr>
            <w:tcW w:w="3800" w:type="dxa"/>
            <w:vAlign w:val="bottom"/>
          </w:tcPr>
          <w:p>
            <w:pPr>
              <w:spacing w:after="0"/>
              <w:rPr>
                <w:sz w:val="13"/>
                <w:szCs w:val="13"/>
                <w:color w:val="auto"/>
              </w:rPr>
            </w:pPr>
          </w:p>
        </w:tc>
        <w:tc>
          <w:tcPr>
            <w:tcW w:w="2760" w:type="dxa"/>
            <w:vAlign w:val="bottom"/>
          </w:tcPr>
          <w:p>
            <w:pPr>
              <w:jc w:val="center"/>
              <w:ind w:left="388"/>
              <w:spacing w:after="0" w:line="159" w:lineRule="exact"/>
              <w:rPr>
                <w:sz w:val="20"/>
                <w:szCs w:val="20"/>
                <w:color w:val="auto"/>
              </w:rPr>
            </w:pPr>
            <w:r>
              <w:rPr>
                <w:rFonts w:ascii="Arial" w:cs="Arial" w:eastAsia="Arial" w:hAnsi="Arial"/>
                <w:sz w:val="14"/>
                <w:szCs w:val="14"/>
                <w:b w:val="1"/>
                <w:bCs w:val="1"/>
                <w:color w:val="F73A25"/>
              </w:rPr>
              <w:t>warrants and rights</w:t>
            </w:r>
          </w:p>
        </w:tc>
        <w:tc>
          <w:tcPr>
            <w:tcW w:w="2320" w:type="dxa"/>
            <w:vAlign w:val="bottom"/>
          </w:tcPr>
          <w:p>
            <w:pPr>
              <w:jc w:val="center"/>
              <w:spacing w:after="0" w:line="159" w:lineRule="exact"/>
              <w:rPr>
                <w:sz w:val="20"/>
                <w:szCs w:val="20"/>
                <w:color w:val="auto"/>
              </w:rPr>
            </w:pPr>
            <w:r>
              <w:rPr>
                <w:rFonts w:ascii="Arial" w:cs="Arial" w:eastAsia="Arial" w:hAnsi="Arial"/>
                <w:sz w:val="14"/>
                <w:szCs w:val="14"/>
                <w:b w:val="1"/>
                <w:bCs w:val="1"/>
                <w:color w:val="F73A25"/>
              </w:rPr>
              <w:t>outstanding options,</w:t>
            </w:r>
          </w:p>
        </w:tc>
        <w:tc>
          <w:tcPr>
            <w:tcW w:w="2140" w:type="dxa"/>
            <w:vAlign w:val="bottom"/>
          </w:tcPr>
          <w:p>
            <w:pPr>
              <w:jc w:val="center"/>
              <w:ind w:left="368"/>
              <w:spacing w:after="0" w:line="159" w:lineRule="exact"/>
              <w:rPr>
                <w:sz w:val="20"/>
                <w:szCs w:val="20"/>
                <w:color w:val="auto"/>
              </w:rPr>
            </w:pPr>
            <w:r>
              <w:rPr>
                <w:rFonts w:ascii="Arial" w:cs="Arial" w:eastAsia="Arial" w:hAnsi="Arial"/>
                <w:sz w:val="14"/>
                <w:szCs w:val="14"/>
                <w:b w:val="1"/>
                <w:bCs w:val="1"/>
                <w:color w:val="F73A25"/>
              </w:rPr>
              <w:t>(excluding securities</w:t>
            </w:r>
          </w:p>
        </w:tc>
        <w:tc>
          <w:tcPr>
            <w:tcW w:w="0" w:type="dxa"/>
            <w:vAlign w:val="bottom"/>
          </w:tcPr>
          <w:p>
            <w:pPr>
              <w:spacing w:after="0"/>
              <w:rPr>
                <w:sz w:val="1"/>
                <w:szCs w:val="1"/>
                <w:color w:val="auto"/>
              </w:rPr>
            </w:pPr>
          </w:p>
        </w:tc>
      </w:tr>
      <w:tr>
        <w:trPr>
          <w:trHeight w:val="206"/>
        </w:trPr>
        <w:tc>
          <w:tcPr>
            <w:tcW w:w="3800" w:type="dxa"/>
            <w:vAlign w:val="bottom"/>
            <w:tcBorders>
              <w:bottom w:val="single" w:sz="8" w:color="262626"/>
            </w:tcBorders>
          </w:tcPr>
          <w:p>
            <w:pPr>
              <w:spacing w:after="0"/>
              <w:rPr>
                <w:sz w:val="20"/>
                <w:szCs w:val="20"/>
                <w:color w:val="auto"/>
              </w:rPr>
            </w:pPr>
            <w:r>
              <w:rPr>
                <w:rFonts w:ascii="Arial" w:cs="Arial" w:eastAsia="Arial" w:hAnsi="Arial"/>
                <w:sz w:val="14"/>
                <w:szCs w:val="14"/>
                <w:b w:val="1"/>
                <w:bCs w:val="1"/>
                <w:color w:val="F73A25"/>
              </w:rPr>
              <w:t>Plan Category</w:t>
            </w:r>
          </w:p>
        </w:tc>
        <w:tc>
          <w:tcPr>
            <w:tcW w:w="2760" w:type="dxa"/>
            <w:vAlign w:val="bottom"/>
            <w:tcBorders>
              <w:bottom w:val="single" w:sz="8" w:color="262626"/>
            </w:tcBorders>
          </w:tcPr>
          <w:p>
            <w:pPr>
              <w:jc w:val="center"/>
              <w:ind w:left="368"/>
              <w:spacing w:after="0" w:line="205" w:lineRule="exact"/>
              <w:rPr>
                <w:sz w:val="20"/>
                <w:szCs w:val="20"/>
                <w:color w:val="auto"/>
              </w:rPr>
            </w:pPr>
            <w:r>
              <w:rPr>
                <w:rFonts w:ascii="Arial" w:cs="Arial" w:eastAsia="Arial" w:hAnsi="Arial"/>
                <w:sz w:val="14"/>
                <w:szCs w:val="14"/>
                <w:b w:val="1"/>
                <w:bCs w:val="1"/>
                <w:color w:val="F73A25"/>
                <w:w w:val="97"/>
              </w:rPr>
              <w:t>(Column A)</w:t>
            </w:r>
            <w:r>
              <w:rPr>
                <w:rFonts w:ascii="Arial" w:cs="Arial" w:eastAsia="Arial" w:hAnsi="Arial"/>
                <w:sz w:val="23"/>
                <w:szCs w:val="23"/>
                <w:b w:val="1"/>
                <w:bCs w:val="1"/>
                <w:color w:val="F73A25"/>
                <w:w w:val="97"/>
                <w:vertAlign w:val="superscript"/>
              </w:rPr>
              <w:t>(1)</w:t>
            </w:r>
          </w:p>
        </w:tc>
        <w:tc>
          <w:tcPr>
            <w:tcW w:w="2320" w:type="dxa"/>
            <w:vAlign w:val="bottom"/>
            <w:tcBorders>
              <w:bottom w:val="single" w:sz="8" w:color="262626"/>
            </w:tcBorders>
          </w:tcPr>
          <w:p>
            <w:pPr>
              <w:jc w:val="center"/>
              <w:spacing w:after="0"/>
              <w:rPr>
                <w:sz w:val="20"/>
                <w:szCs w:val="20"/>
                <w:color w:val="auto"/>
              </w:rPr>
            </w:pPr>
            <w:r>
              <w:rPr>
                <w:rFonts w:ascii="Arial" w:cs="Arial" w:eastAsia="Arial" w:hAnsi="Arial"/>
                <w:sz w:val="14"/>
                <w:szCs w:val="14"/>
                <w:b w:val="1"/>
                <w:bCs w:val="1"/>
                <w:color w:val="F73A25"/>
              </w:rPr>
              <w:t>warrants and rights</w:t>
            </w:r>
          </w:p>
        </w:tc>
        <w:tc>
          <w:tcPr>
            <w:tcW w:w="2140" w:type="dxa"/>
            <w:vAlign w:val="bottom"/>
            <w:tcBorders>
              <w:bottom w:val="single" w:sz="8" w:color="262626"/>
            </w:tcBorders>
          </w:tcPr>
          <w:p>
            <w:pPr>
              <w:jc w:val="center"/>
              <w:ind w:left="348"/>
              <w:spacing w:after="0" w:line="205" w:lineRule="exact"/>
              <w:rPr>
                <w:sz w:val="20"/>
                <w:szCs w:val="20"/>
                <w:color w:val="auto"/>
              </w:rPr>
            </w:pPr>
            <w:r>
              <w:rPr>
                <w:rFonts w:ascii="Arial" w:cs="Arial" w:eastAsia="Arial" w:hAnsi="Arial"/>
                <w:sz w:val="14"/>
                <w:szCs w:val="14"/>
                <w:b w:val="1"/>
                <w:bCs w:val="1"/>
                <w:color w:val="F73A25"/>
                <w:w w:val="99"/>
              </w:rPr>
              <w:t>reflected in Column A)</w:t>
            </w:r>
            <w:r>
              <w:rPr>
                <w:rFonts w:ascii="Arial" w:cs="Arial" w:eastAsia="Arial" w:hAnsi="Arial"/>
                <w:sz w:val="23"/>
                <w:szCs w:val="23"/>
                <w:b w:val="1"/>
                <w:bCs w:val="1"/>
                <w:color w:val="F73A25"/>
                <w:w w:val="99"/>
                <w:vertAlign w:val="superscript"/>
              </w:rPr>
              <w:t>(2)</w:t>
            </w:r>
          </w:p>
        </w:tc>
        <w:tc>
          <w:tcPr>
            <w:tcW w:w="0" w:type="dxa"/>
            <w:vAlign w:val="bottom"/>
          </w:tcPr>
          <w:p>
            <w:pPr>
              <w:spacing w:after="0"/>
              <w:rPr>
                <w:sz w:val="1"/>
                <w:szCs w:val="1"/>
                <w:color w:val="auto"/>
              </w:rPr>
            </w:pPr>
          </w:p>
        </w:tc>
      </w:tr>
      <w:tr>
        <w:trPr>
          <w:trHeight w:val="160"/>
        </w:trPr>
        <w:tc>
          <w:tcPr>
            <w:tcW w:w="3800" w:type="dxa"/>
            <w:vAlign w:val="bottom"/>
            <w:shd w:val="clear" w:color="auto" w:fill="EAEFED"/>
          </w:tcPr>
          <w:p>
            <w:pPr>
              <w:spacing w:after="0"/>
              <w:rPr>
                <w:sz w:val="20"/>
                <w:szCs w:val="20"/>
                <w:color w:val="auto"/>
              </w:rPr>
            </w:pPr>
            <w:r>
              <w:rPr>
                <w:rFonts w:ascii="Arial" w:cs="Arial" w:eastAsia="Arial" w:hAnsi="Arial"/>
                <w:sz w:val="14"/>
                <w:szCs w:val="14"/>
                <w:color w:val="262626"/>
              </w:rPr>
              <w:t>Equity compensation plans approved by security holders</w:t>
            </w:r>
          </w:p>
        </w:tc>
        <w:tc>
          <w:tcPr>
            <w:tcW w:w="2760" w:type="dxa"/>
            <w:vAlign w:val="bottom"/>
          </w:tcPr>
          <w:p>
            <w:pPr>
              <w:jc w:val="center"/>
              <w:ind w:left="368"/>
              <w:spacing w:after="0"/>
              <w:rPr>
                <w:sz w:val="20"/>
                <w:szCs w:val="20"/>
                <w:color w:val="auto"/>
              </w:rPr>
            </w:pPr>
            <w:r>
              <w:rPr>
                <w:rFonts w:ascii="Arial" w:cs="Arial" w:eastAsia="Arial" w:hAnsi="Arial"/>
                <w:sz w:val="14"/>
                <w:szCs w:val="14"/>
                <w:color w:val="262626"/>
              </w:rPr>
              <w:t>682</w:t>
            </w:r>
          </w:p>
        </w:tc>
        <w:tc>
          <w:tcPr>
            <w:tcW w:w="2320" w:type="dxa"/>
            <w:vAlign w:val="bottom"/>
          </w:tcPr>
          <w:p>
            <w:pPr>
              <w:jc w:val="center"/>
              <w:spacing w:after="0"/>
              <w:rPr>
                <w:sz w:val="20"/>
                <w:szCs w:val="20"/>
                <w:color w:val="auto"/>
              </w:rPr>
            </w:pPr>
            <w:r>
              <w:rPr>
                <w:rFonts w:ascii="Arial" w:cs="Arial" w:eastAsia="Arial" w:hAnsi="Arial"/>
                <w:sz w:val="14"/>
                <w:szCs w:val="14"/>
                <w:color w:val="262626"/>
              </w:rPr>
              <w:t>$152.34</w:t>
            </w:r>
          </w:p>
        </w:tc>
        <w:tc>
          <w:tcPr>
            <w:tcW w:w="2140" w:type="dxa"/>
            <w:vAlign w:val="bottom"/>
          </w:tcPr>
          <w:p>
            <w:pPr>
              <w:jc w:val="center"/>
              <w:ind w:left="348"/>
              <w:spacing w:after="0"/>
              <w:rPr>
                <w:sz w:val="20"/>
                <w:szCs w:val="20"/>
                <w:color w:val="auto"/>
              </w:rPr>
            </w:pPr>
            <w:r>
              <w:rPr>
                <w:rFonts w:ascii="Arial" w:cs="Arial" w:eastAsia="Arial" w:hAnsi="Arial"/>
                <w:sz w:val="14"/>
                <w:szCs w:val="14"/>
                <w:color w:val="262626"/>
              </w:rPr>
              <w:t>1,748,482</w:t>
            </w:r>
          </w:p>
        </w:tc>
        <w:tc>
          <w:tcPr>
            <w:tcW w:w="0" w:type="dxa"/>
            <w:vAlign w:val="bottom"/>
          </w:tcPr>
          <w:p>
            <w:pPr>
              <w:spacing w:after="0"/>
              <w:rPr>
                <w:sz w:val="1"/>
                <w:szCs w:val="1"/>
                <w:color w:val="auto"/>
              </w:rPr>
            </w:pPr>
          </w:p>
        </w:tc>
      </w:tr>
      <w:tr>
        <w:trPr>
          <w:trHeight w:val="162"/>
        </w:trPr>
        <w:tc>
          <w:tcPr>
            <w:tcW w:w="3800" w:type="dxa"/>
            <w:vAlign w:val="bottom"/>
            <w:shd w:val="clear" w:color="auto" w:fill="EAEFED"/>
          </w:tcPr>
          <w:p>
            <w:pPr>
              <w:spacing w:after="0"/>
              <w:rPr>
                <w:sz w:val="20"/>
                <w:szCs w:val="20"/>
                <w:color w:val="auto"/>
              </w:rPr>
            </w:pPr>
            <w:r>
              <w:rPr>
                <w:rFonts w:ascii="Arial" w:cs="Arial" w:eastAsia="Arial" w:hAnsi="Arial"/>
                <w:sz w:val="14"/>
                <w:szCs w:val="14"/>
                <w:color w:val="262626"/>
              </w:rPr>
              <w:t>Equity compensation plans not approved by security</w:t>
            </w:r>
          </w:p>
        </w:tc>
        <w:tc>
          <w:tcPr>
            <w:tcW w:w="2760" w:type="dxa"/>
            <w:vAlign w:val="bottom"/>
            <w:vMerge w:val="restart"/>
          </w:tcPr>
          <w:p>
            <w:pPr>
              <w:jc w:val="center"/>
              <w:ind w:left="368"/>
              <w:spacing w:after="0"/>
              <w:rPr>
                <w:sz w:val="20"/>
                <w:szCs w:val="20"/>
                <w:color w:val="auto"/>
              </w:rPr>
            </w:pPr>
            <w:r>
              <w:rPr>
                <w:rFonts w:ascii="Arial" w:cs="Arial" w:eastAsia="Arial" w:hAnsi="Arial"/>
                <w:sz w:val="14"/>
                <w:szCs w:val="14"/>
                <w:color w:val="262626"/>
                <w:w w:val="84"/>
              </w:rPr>
              <w:t>-</w:t>
            </w:r>
          </w:p>
        </w:tc>
        <w:tc>
          <w:tcPr>
            <w:tcW w:w="2320" w:type="dxa"/>
            <w:vAlign w:val="bottom"/>
            <w:vMerge w:val="restart"/>
          </w:tcPr>
          <w:p>
            <w:pPr>
              <w:jc w:val="center"/>
              <w:spacing w:after="0"/>
              <w:rPr>
                <w:sz w:val="20"/>
                <w:szCs w:val="20"/>
                <w:color w:val="auto"/>
              </w:rPr>
            </w:pPr>
            <w:r>
              <w:rPr>
                <w:rFonts w:ascii="Arial" w:cs="Arial" w:eastAsia="Arial" w:hAnsi="Arial"/>
                <w:sz w:val="14"/>
                <w:szCs w:val="14"/>
                <w:color w:val="262626"/>
                <w:w w:val="84"/>
              </w:rPr>
              <w:t>-</w:t>
            </w:r>
          </w:p>
        </w:tc>
        <w:tc>
          <w:tcPr>
            <w:tcW w:w="2140" w:type="dxa"/>
            <w:vAlign w:val="bottom"/>
            <w:vMerge w:val="restart"/>
          </w:tcPr>
          <w:p>
            <w:pPr>
              <w:jc w:val="center"/>
              <w:ind w:left="368"/>
              <w:spacing w:after="0"/>
              <w:rPr>
                <w:sz w:val="20"/>
                <w:szCs w:val="20"/>
                <w:color w:val="auto"/>
              </w:rPr>
            </w:pPr>
            <w:r>
              <w:rPr>
                <w:rFonts w:ascii="Arial" w:cs="Arial" w:eastAsia="Arial" w:hAnsi="Arial"/>
                <w:sz w:val="14"/>
                <w:szCs w:val="14"/>
                <w:color w:val="262626"/>
              </w:rPr>
              <w:t>-</w:t>
            </w:r>
          </w:p>
        </w:tc>
        <w:tc>
          <w:tcPr>
            <w:tcW w:w="0" w:type="dxa"/>
            <w:vAlign w:val="bottom"/>
          </w:tcPr>
          <w:p>
            <w:pPr>
              <w:spacing w:after="0"/>
              <w:rPr>
                <w:sz w:val="1"/>
                <w:szCs w:val="1"/>
                <w:color w:val="auto"/>
              </w:rPr>
            </w:pPr>
          </w:p>
        </w:tc>
      </w:tr>
      <w:tr>
        <w:trPr>
          <w:trHeight w:val="91"/>
        </w:trPr>
        <w:tc>
          <w:tcPr>
            <w:tcW w:w="3800" w:type="dxa"/>
            <w:vAlign w:val="bottom"/>
            <w:vMerge w:val="restart"/>
            <w:shd w:val="clear" w:color="auto" w:fill="EAEFED"/>
          </w:tcPr>
          <w:p>
            <w:pPr>
              <w:spacing w:after="0" w:line="157" w:lineRule="exact"/>
              <w:rPr>
                <w:sz w:val="20"/>
                <w:szCs w:val="20"/>
                <w:color w:val="auto"/>
              </w:rPr>
            </w:pPr>
            <w:r>
              <w:rPr>
                <w:rFonts w:ascii="Arial" w:cs="Arial" w:eastAsia="Arial" w:hAnsi="Arial"/>
                <w:sz w:val="14"/>
                <w:szCs w:val="14"/>
                <w:color w:val="262626"/>
              </w:rPr>
              <w:t>holders</w:t>
            </w:r>
          </w:p>
        </w:tc>
        <w:tc>
          <w:tcPr>
            <w:tcW w:w="276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800" w:type="dxa"/>
            <w:vAlign w:val="bottom"/>
            <w:tcBorders>
              <w:bottom w:val="single" w:sz="8" w:color="262626"/>
            </w:tcBorders>
            <w:vMerge w:val="continue"/>
            <w:shd w:val="clear" w:color="auto" w:fill="EAEFED"/>
          </w:tcPr>
          <w:p>
            <w:pPr>
              <w:spacing w:after="0"/>
              <w:rPr>
                <w:sz w:val="5"/>
                <w:szCs w:val="5"/>
                <w:color w:val="auto"/>
              </w:rPr>
            </w:pPr>
          </w:p>
        </w:tc>
        <w:tc>
          <w:tcPr>
            <w:tcW w:w="2760" w:type="dxa"/>
            <w:vAlign w:val="bottom"/>
            <w:tcBorders>
              <w:bottom w:val="single" w:sz="8" w:color="262626"/>
            </w:tcBorders>
          </w:tcPr>
          <w:p>
            <w:pPr>
              <w:spacing w:after="0"/>
              <w:rPr>
                <w:sz w:val="5"/>
                <w:szCs w:val="5"/>
                <w:color w:val="auto"/>
              </w:rPr>
            </w:pPr>
          </w:p>
        </w:tc>
        <w:tc>
          <w:tcPr>
            <w:tcW w:w="2320" w:type="dxa"/>
            <w:vAlign w:val="bottom"/>
            <w:tcBorders>
              <w:bottom w:val="single" w:sz="8" w:color="262626"/>
            </w:tcBorders>
          </w:tcPr>
          <w:p>
            <w:pPr>
              <w:spacing w:after="0"/>
              <w:rPr>
                <w:sz w:val="5"/>
                <w:szCs w:val="5"/>
                <w:color w:val="auto"/>
              </w:rPr>
            </w:pPr>
          </w:p>
        </w:tc>
        <w:tc>
          <w:tcPr>
            <w:tcW w:w="2140" w:type="dxa"/>
            <w:vAlign w:val="bottom"/>
            <w:tcBorders>
              <w:bottom w:val="single" w:sz="8" w:color="262626"/>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800" w:type="dxa"/>
            <w:vAlign w:val="bottom"/>
            <w:shd w:val="clear" w:color="auto" w:fill="EAEFED"/>
          </w:tcPr>
          <w:p>
            <w:pPr>
              <w:spacing w:after="0" w:line="155" w:lineRule="exact"/>
              <w:rPr>
                <w:sz w:val="20"/>
                <w:szCs w:val="20"/>
                <w:color w:val="auto"/>
              </w:rPr>
            </w:pPr>
            <w:r>
              <w:rPr>
                <w:rFonts w:ascii="Arial" w:cs="Arial" w:eastAsia="Arial" w:hAnsi="Arial"/>
                <w:sz w:val="14"/>
                <w:szCs w:val="14"/>
                <w:b w:val="1"/>
                <w:bCs w:val="1"/>
                <w:color w:val="262626"/>
              </w:rPr>
              <w:t>Total</w:t>
            </w:r>
          </w:p>
        </w:tc>
        <w:tc>
          <w:tcPr>
            <w:tcW w:w="2760" w:type="dxa"/>
            <w:vAlign w:val="bottom"/>
          </w:tcPr>
          <w:p>
            <w:pPr>
              <w:jc w:val="center"/>
              <w:ind w:left="368"/>
              <w:spacing w:after="0" w:line="155" w:lineRule="exact"/>
              <w:rPr>
                <w:sz w:val="20"/>
                <w:szCs w:val="20"/>
                <w:color w:val="auto"/>
              </w:rPr>
            </w:pPr>
            <w:r>
              <w:rPr>
                <w:rFonts w:ascii="Arial" w:cs="Arial" w:eastAsia="Arial" w:hAnsi="Arial"/>
                <w:sz w:val="14"/>
                <w:szCs w:val="14"/>
                <w:b w:val="1"/>
                <w:bCs w:val="1"/>
                <w:color w:val="262626"/>
              </w:rPr>
              <w:t>682</w:t>
            </w:r>
          </w:p>
        </w:tc>
        <w:tc>
          <w:tcPr>
            <w:tcW w:w="2320" w:type="dxa"/>
            <w:vAlign w:val="bottom"/>
          </w:tcPr>
          <w:p>
            <w:pPr>
              <w:jc w:val="center"/>
              <w:spacing w:after="0" w:line="155" w:lineRule="exact"/>
              <w:rPr>
                <w:sz w:val="20"/>
                <w:szCs w:val="20"/>
                <w:color w:val="auto"/>
              </w:rPr>
            </w:pPr>
            <w:r>
              <w:rPr>
                <w:rFonts w:ascii="Arial" w:cs="Arial" w:eastAsia="Arial" w:hAnsi="Arial"/>
                <w:sz w:val="14"/>
                <w:szCs w:val="14"/>
                <w:b w:val="1"/>
                <w:bCs w:val="1"/>
                <w:color w:val="262626"/>
              </w:rPr>
              <w:t>$152.34</w:t>
            </w:r>
          </w:p>
        </w:tc>
        <w:tc>
          <w:tcPr>
            <w:tcW w:w="2140" w:type="dxa"/>
            <w:vAlign w:val="bottom"/>
          </w:tcPr>
          <w:p>
            <w:pPr>
              <w:jc w:val="center"/>
              <w:ind w:left="348"/>
              <w:spacing w:after="0" w:line="155" w:lineRule="exact"/>
              <w:rPr>
                <w:sz w:val="20"/>
                <w:szCs w:val="20"/>
                <w:color w:val="auto"/>
              </w:rPr>
            </w:pPr>
            <w:r>
              <w:rPr>
                <w:rFonts w:ascii="Arial" w:cs="Arial" w:eastAsia="Arial" w:hAnsi="Arial"/>
                <w:sz w:val="14"/>
                <w:szCs w:val="14"/>
                <w:b w:val="1"/>
                <w:bCs w:val="1"/>
                <w:color w:val="262626"/>
              </w:rPr>
              <w:t>1,748,482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4"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28"/>
          <w:szCs w:val="28"/>
          <w:color w:val="262626"/>
          <w:vertAlign w:val="superscript"/>
        </w:rPr>
      </w:pPr>
      <w:r>
        <w:rPr>
          <w:rFonts w:ascii="Arial" w:cs="Arial" w:eastAsia="Arial" w:hAnsi="Arial"/>
          <w:sz w:val="16"/>
          <w:szCs w:val="16"/>
          <w:color w:val="262626"/>
        </w:rPr>
        <w:t>Consists entirely of Shares authorized for issuance under our 2010 Performance Incentive Plan.</w:t>
      </w:r>
    </w:p>
    <w:p>
      <w:pPr>
        <w:spacing w:after="0" w:line="34" w:lineRule="exact"/>
        <w:rPr>
          <w:rFonts w:ascii="Arial" w:cs="Arial" w:eastAsia="Arial" w:hAnsi="Arial"/>
          <w:sz w:val="28"/>
          <w:szCs w:val="28"/>
          <w:color w:val="262626"/>
          <w:vertAlign w:val="superscript"/>
        </w:rPr>
      </w:pPr>
    </w:p>
    <w:p>
      <w:pPr>
        <w:ind w:left="440" w:hanging="324"/>
        <w:spacing w:after="0" w:line="184" w:lineRule="auto"/>
        <w:tabs>
          <w:tab w:leader="none" w:pos="440" w:val="left"/>
        </w:tabs>
        <w:numPr>
          <w:ilvl w:val="0"/>
          <w:numId w:val="30"/>
        </w:numPr>
        <w:rPr>
          <w:rFonts w:ascii="Arial" w:cs="Arial" w:eastAsia="Arial" w:hAnsi="Arial"/>
          <w:sz w:val="22"/>
          <w:szCs w:val="22"/>
          <w:color w:val="262626"/>
          <w:vertAlign w:val="superscript"/>
        </w:rPr>
      </w:pPr>
      <w:r>
        <w:rPr>
          <w:rFonts w:ascii="Arial" w:cs="Arial" w:eastAsia="Arial" w:hAnsi="Arial"/>
          <w:sz w:val="14"/>
          <w:szCs w:val="14"/>
          <w:color w:val="262626"/>
        </w:rPr>
        <w:t>Consists entirely of Shares authorized for issuance under our 2020 Performance Incentive Plan.</w:t>
      </w:r>
    </w:p>
    <w:p>
      <w:pPr>
        <w:spacing w:after="0" w:line="236" w:lineRule="exact"/>
        <w:rPr>
          <w:sz w:val="20"/>
          <w:szCs w:val="20"/>
          <w:color w:val="auto"/>
        </w:rPr>
      </w:pPr>
    </w:p>
    <w:p>
      <w:pPr>
        <w:ind w:left="380"/>
        <w:spacing w:after="0"/>
        <w:tabs>
          <w:tab w:leader="none" w:pos="2140" w:val="left"/>
        </w:tabs>
        <w:rPr>
          <w:sz w:val="20"/>
          <w:szCs w:val="20"/>
          <w:color w:val="auto"/>
        </w:rPr>
      </w:pPr>
      <w:r>
        <w:rPr>
          <w:rFonts w:ascii="Arial" w:cs="Arial" w:eastAsia="Arial" w:hAnsi="Arial"/>
          <w:sz w:val="20"/>
          <w:szCs w:val="20"/>
          <w:b w:val="1"/>
          <w:bCs w:val="1"/>
          <w:color w:val="F73A25"/>
        </w:rPr>
        <w:t>Proposal 3:</w:t>
      </w:r>
      <w:r>
        <w:rPr>
          <w:sz w:val="20"/>
          <w:szCs w:val="20"/>
          <w:color w:val="auto"/>
        </w:rPr>
        <w:tab/>
      </w:r>
      <w:r>
        <w:rPr>
          <w:rFonts w:ascii="Arial" w:cs="Arial" w:eastAsia="Arial" w:hAnsi="Arial"/>
          <w:sz w:val="19"/>
          <w:szCs w:val="19"/>
          <w:b w:val="1"/>
          <w:bCs w:val="1"/>
          <w:color w:val="262626"/>
        </w:rPr>
        <w:t>Ratification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-144780</wp:posOffset>
            </wp:positionV>
            <wp:extent cx="701230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Shareholders are being asked to ratify in a non-binding vote the selection of Grant Thornton, LLP (“GT”) as our independent registered public accounting firm for the fiscal year ending December 31, 2021. Although shareholder ratification of GT is not required by our governance documents, the Board is submitting the selection of GT to shareholders to solicit shareholder views on our selection of GT as our independent registered public accounting firm.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62626"/>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The following table sets forth the fees for services rendered by GT for the years ended December 31, 2020 and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520" w:type="dxa"/>
            <w:vAlign w:val="bottom"/>
            <w:tcBorders>
              <w:bottom w:val="single" w:sz="8" w:color="262626"/>
            </w:tcBorders>
          </w:tcPr>
          <w:p>
            <w:pPr>
              <w:spacing w:after="0"/>
              <w:rPr>
                <w:sz w:val="19"/>
                <w:szCs w:val="19"/>
                <w:color w:val="auto"/>
              </w:rPr>
            </w:pPr>
          </w:p>
        </w:tc>
        <w:tc>
          <w:tcPr>
            <w:tcW w:w="620" w:type="dxa"/>
            <w:vAlign w:val="bottom"/>
            <w:tcBorders>
              <w:bottom w:val="single" w:sz="8" w:color="262626"/>
            </w:tcBorders>
          </w:tcPr>
          <w:p>
            <w:pPr>
              <w:spacing w:after="0"/>
              <w:rPr>
                <w:sz w:val="19"/>
                <w:szCs w:val="19"/>
                <w:color w:val="auto"/>
              </w:rPr>
            </w:pPr>
          </w:p>
        </w:tc>
        <w:tc>
          <w:tcPr>
            <w:tcW w:w="118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b w:val="1"/>
                <w:bCs w:val="1"/>
                <w:color w:val="F73A25"/>
              </w:rPr>
              <w:t>2020</w:t>
            </w:r>
          </w:p>
        </w:tc>
        <w:tc>
          <w:tcPr>
            <w:tcW w:w="500" w:type="dxa"/>
            <w:vAlign w:val="bottom"/>
            <w:tcBorders>
              <w:bottom w:val="single" w:sz="8" w:color="262626"/>
            </w:tcBorders>
          </w:tcPr>
          <w:p>
            <w:pPr>
              <w:spacing w:after="0"/>
              <w:rPr>
                <w:sz w:val="19"/>
                <w:szCs w:val="19"/>
                <w:color w:val="auto"/>
              </w:rPr>
            </w:pPr>
          </w:p>
        </w:tc>
        <w:tc>
          <w:tcPr>
            <w:tcW w:w="1080" w:type="dxa"/>
            <w:vAlign w:val="bottom"/>
            <w:tcBorders>
              <w:bottom w:val="single" w:sz="8" w:color="262626"/>
            </w:tcBorders>
          </w:tcPr>
          <w:p>
            <w:pPr>
              <w:jc w:val="right"/>
              <w:spacing w:after="0"/>
              <w:rPr>
                <w:sz w:val="20"/>
                <w:szCs w:val="20"/>
                <w:color w:val="auto"/>
              </w:rPr>
            </w:pPr>
            <w:r>
              <w:rPr>
                <w:rFonts w:ascii="Arial" w:cs="Arial" w:eastAsia="Arial" w:hAnsi="Arial"/>
                <w:sz w:val="18"/>
                <w:szCs w:val="18"/>
                <w:b w:val="1"/>
                <w:bCs w:val="1"/>
                <w:color w:val="F73A25"/>
              </w:rPr>
              <w:t>2019</w:t>
            </w:r>
          </w:p>
        </w:tc>
      </w:tr>
      <w:tr>
        <w:trPr>
          <w:trHeight w:val="193"/>
        </w:trPr>
        <w:tc>
          <w:tcPr>
            <w:tcW w:w="6520" w:type="dxa"/>
            <w:vAlign w:val="bottom"/>
            <w:shd w:val="clear" w:color="auto" w:fill="EAEFED"/>
          </w:tcPr>
          <w:p>
            <w:pPr>
              <w:spacing w:after="0" w:line="193" w:lineRule="exact"/>
              <w:rPr>
                <w:sz w:val="20"/>
                <w:szCs w:val="20"/>
                <w:color w:val="auto"/>
              </w:rPr>
            </w:pPr>
            <w:r>
              <w:rPr>
                <w:rFonts w:ascii="Arial" w:cs="Arial" w:eastAsia="Arial" w:hAnsi="Arial"/>
                <w:sz w:val="18"/>
                <w:szCs w:val="18"/>
                <w:color w:val="262626"/>
              </w:rPr>
              <w:t>Audit Fees</w:t>
            </w:r>
            <w:r>
              <w:rPr>
                <w:rFonts w:ascii="Arial" w:cs="Arial" w:eastAsia="Arial" w:hAnsi="Arial"/>
                <w:sz w:val="15"/>
                <w:szCs w:val="15"/>
                <w:color w:val="262626"/>
              </w:rPr>
              <w:t>(1)</w:t>
            </w:r>
          </w:p>
        </w:tc>
        <w:tc>
          <w:tcPr>
            <w:tcW w:w="620" w:type="dxa"/>
            <w:vAlign w:val="bottom"/>
          </w:tcPr>
          <w:p>
            <w:pPr>
              <w:jc w:val="right"/>
              <w:ind w:right="130"/>
              <w:spacing w:after="0" w:line="193" w:lineRule="exact"/>
              <w:rPr>
                <w:sz w:val="20"/>
                <w:szCs w:val="20"/>
                <w:color w:val="auto"/>
              </w:rPr>
            </w:pPr>
            <w:r>
              <w:rPr>
                <w:rFonts w:ascii="Arial" w:cs="Arial" w:eastAsia="Arial" w:hAnsi="Arial"/>
                <w:sz w:val="18"/>
                <w:szCs w:val="18"/>
                <w:color w:val="262626"/>
              </w:rPr>
              <w:t>$</w:t>
            </w:r>
          </w:p>
        </w:tc>
        <w:tc>
          <w:tcPr>
            <w:tcW w:w="1180" w:type="dxa"/>
            <w:vAlign w:val="bottom"/>
          </w:tcPr>
          <w:p>
            <w:pPr>
              <w:jc w:val="right"/>
              <w:ind w:right="70"/>
              <w:spacing w:after="0" w:line="193" w:lineRule="exact"/>
              <w:rPr>
                <w:sz w:val="20"/>
                <w:szCs w:val="20"/>
                <w:color w:val="auto"/>
              </w:rPr>
            </w:pPr>
            <w:r>
              <w:rPr>
                <w:rFonts w:ascii="Arial" w:cs="Arial" w:eastAsia="Arial" w:hAnsi="Arial"/>
                <w:sz w:val="18"/>
                <w:szCs w:val="18"/>
                <w:color w:val="262626"/>
              </w:rPr>
              <w:t>821,892</w:t>
            </w:r>
          </w:p>
        </w:tc>
        <w:tc>
          <w:tcPr>
            <w:tcW w:w="500" w:type="dxa"/>
            <w:vAlign w:val="bottom"/>
          </w:tcPr>
          <w:p>
            <w:pPr>
              <w:jc w:val="right"/>
              <w:ind w:right="130"/>
              <w:spacing w:after="0" w:line="193" w:lineRule="exact"/>
              <w:rPr>
                <w:sz w:val="20"/>
                <w:szCs w:val="20"/>
                <w:color w:val="auto"/>
              </w:rPr>
            </w:pPr>
            <w:r>
              <w:rPr>
                <w:rFonts w:ascii="Arial" w:cs="Arial" w:eastAsia="Arial" w:hAnsi="Arial"/>
                <w:sz w:val="18"/>
                <w:szCs w:val="18"/>
                <w:color w:val="262626"/>
              </w:rPr>
              <w:t>$</w:t>
            </w:r>
          </w:p>
        </w:tc>
        <w:tc>
          <w:tcPr>
            <w:tcW w:w="1080" w:type="dxa"/>
            <w:vAlign w:val="bottom"/>
          </w:tcPr>
          <w:p>
            <w:pPr>
              <w:jc w:val="right"/>
              <w:spacing w:after="0" w:line="193" w:lineRule="exact"/>
              <w:rPr>
                <w:sz w:val="20"/>
                <w:szCs w:val="20"/>
                <w:color w:val="auto"/>
              </w:rPr>
            </w:pPr>
            <w:r>
              <w:rPr>
                <w:rFonts w:ascii="Arial" w:cs="Arial" w:eastAsia="Arial" w:hAnsi="Arial"/>
                <w:sz w:val="18"/>
                <w:szCs w:val="18"/>
                <w:color w:val="262626"/>
              </w:rPr>
              <w:t>1,011,565</w:t>
            </w:r>
          </w:p>
        </w:tc>
      </w:tr>
      <w:tr>
        <w:trPr>
          <w:trHeight w:val="203"/>
        </w:trPr>
        <w:tc>
          <w:tcPr>
            <w:tcW w:w="652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Audit-Related Fees</w:t>
            </w:r>
            <w:r>
              <w:rPr>
                <w:rFonts w:ascii="Arial" w:cs="Arial" w:eastAsia="Arial" w:hAnsi="Arial"/>
                <w:sz w:val="15"/>
                <w:szCs w:val="15"/>
                <w:color w:val="262626"/>
              </w:rPr>
              <w:t>(2)</w:t>
            </w:r>
          </w:p>
        </w:tc>
        <w:tc>
          <w:tcPr>
            <w:tcW w:w="620" w:type="dxa"/>
            <w:vAlign w:val="bottom"/>
          </w:tcPr>
          <w:p>
            <w:pPr>
              <w:jc w:val="right"/>
              <w:ind w:right="130"/>
              <w:spacing w:after="0" w:line="202" w:lineRule="exact"/>
              <w:rPr>
                <w:sz w:val="20"/>
                <w:szCs w:val="20"/>
                <w:color w:val="auto"/>
              </w:rPr>
            </w:pPr>
            <w:r>
              <w:rPr>
                <w:rFonts w:ascii="Arial" w:cs="Arial" w:eastAsia="Arial" w:hAnsi="Arial"/>
                <w:sz w:val="18"/>
                <w:szCs w:val="18"/>
                <w:color w:val="262626"/>
              </w:rPr>
              <w:t>$</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262626"/>
              </w:rPr>
              <w:t>48,825</w:t>
            </w:r>
          </w:p>
        </w:tc>
        <w:tc>
          <w:tcPr>
            <w:tcW w:w="500" w:type="dxa"/>
            <w:vAlign w:val="bottom"/>
          </w:tcPr>
          <w:p>
            <w:pPr>
              <w:jc w:val="right"/>
              <w:ind w:right="130"/>
              <w:spacing w:after="0" w:line="202" w:lineRule="exact"/>
              <w:rPr>
                <w:sz w:val="20"/>
                <w:szCs w:val="20"/>
                <w:color w:val="auto"/>
              </w:rPr>
            </w:pPr>
            <w:r>
              <w:rPr>
                <w:rFonts w:ascii="Arial" w:cs="Arial" w:eastAsia="Arial" w:hAnsi="Arial"/>
                <w:sz w:val="18"/>
                <w:szCs w:val="18"/>
                <w:color w:val="262626"/>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62626"/>
              </w:rPr>
              <w:t>134,685</w:t>
            </w:r>
          </w:p>
        </w:tc>
      </w:tr>
      <w:tr>
        <w:trPr>
          <w:trHeight w:val="205"/>
        </w:trPr>
        <w:tc>
          <w:tcPr>
            <w:tcW w:w="6520" w:type="dxa"/>
            <w:vAlign w:val="bottom"/>
            <w:shd w:val="clear" w:color="auto" w:fill="EAEFED"/>
          </w:tcPr>
          <w:p>
            <w:pPr>
              <w:spacing w:after="0" w:line="205" w:lineRule="exact"/>
              <w:rPr>
                <w:sz w:val="20"/>
                <w:szCs w:val="20"/>
                <w:color w:val="auto"/>
              </w:rPr>
            </w:pPr>
            <w:r>
              <w:rPr>
                <w:rFonts w:ascii="Arial" w:cs="Arial" w:eastAsia="Arial" w:hAnsi="Arial"/>
                <w:sz w:val="18"/>
                <w:szCs w:val="18"/>
                <w:color w:val="262626"/>
              </w:rPr>
              <w:t>Tax Fees</w:t>
            </w:r>
            <w:r>
              <w:rPr>
                <w:rFonts w:ascii="Arial" w:cs="Arial" w:eastAsia="Arial" w:hAnsi="Arial"/>
                <w:sz w:val="15"/>
                <w:szCs w:val="15"/>
                <w:color w:val="262626"/>
              </w:rPr>
              <w:t>(3)</w:t>
            </w:r>
          </w:p>
        </w:tc>
        <w:tc>
          <w:tcPr>
            <w:tcW w:w="620" w:type="dxa"/>
            <w:vAlign w:val="bottom"/>
          </w:tcPr>
          <w:p>
            <w:pPr>
              <w:jc w:val="right"/>
              <w:ind w:right="130"/>
              <w:spacing w:after="0" w:line="205" w:lineRule="exact"/>
              <w:rPr>
                <w:sz w:val="20"/>
                <w:szCs w:val="20"/>
                <w:color w:val="auto"/>
              </w:rPr>
            </w:pPr>
            <w:r>
              <w:rPr>
                <w:rFonts w:ascii="Arial" w:cs="Arial" w:eastAsia="Arial" w:hAnsi="Arial"/>
                <w:sz w:val="18"/>
                <w:szCs w:val="18"/>
                <w:color w:val="262626"/>
              </w:rPr>
              <w:t>$</w:t>
            </w:r>
          </w:p>
        </w:tc>
        <w:tc>
          <w:tcPr>
            <w:tcW w:w="1180" w:type="dxa"/>
            <w:vAlign w:val="bottom"/>
          </w:tcPr>
          <w:p>
            <w:pPr>
              <w:jc w:val="right"/>
              <w:ind w:right="70"/>
              <w:spacing w:after="0" w:line="205" w:lineRule="exact"/>
              <w:rPr>
                <w:sz w:val="20"/>
                <w:szCs w:val="20"/>
                <w:color w:val="auto"/>
              </w:rPr>
            </w:pPr>
            <w:r>
              <w:rPr>
                <w:rFonts w:ascii="Arial" w:cs="Arial" w:eastAsia="Arial" w:hAnsi="Arial"/>
                <w:sz w:val="18"/>
                <w:szCs w:val="18"/>
                <w:color w:val="262626"/>
              </w:rPr>
              <w:t>300,120</w:t>
            </w:r>
          </w:p>
        </w:tc>
        <w:tc>
          <w:tcPr>
            <w:tcW w:w="500" w:type="dxa"/>
            <w:vAlign w:val="bottom"/>
          </w:tcPr>
          <w:p>
            <w:pPr>
              <w:jc w:val="right"/>
              <w:ind w:right="130"/>
              <w:spacing w:after="0" w:line="205" w:lineRule="exact"/>
              <w:rPr>
                <w:sz w:val="20"/>
                <w:szCs w:val="20"/>
                <w:color w:val="auto"/>
              </w:rPr>
            </w:pPr>
            <w:r>
              <w:rPr>
                <w:rFonts w:ascii="Arial" w:cs="Arial" w:eastAsia="Arial" w:hAnsi="Arial"/>
                <w:sz w:val="18"/>
                <w:szCs w:val="18"/>
                <w:color w:val="262626"/>
              </w:rPr>
              <w:t>$</w:t>
            </w:r>
          </w:p>
        </w:tc>
        <w:tc>
          <w:tcPr>
            <w:tcW w:w="1080" w:type="dxa"/>
            <w:vAlign w:val="bottom"/>
          </w:tcPr>
          <w:p>
            <w:pPr>
              <w:jc w:val="right"/>
              <w:spacing w:after="0" w:line="205" w:lineRule="exact"/>
              <w:rPr>
                <w:sz w:val="20"/>
                <w:szCs w:val="20"/>
                <w:color w:val="auto"/>
              </w:rPr>
            </w:pPr>
            <w:r>
              <w:rPr>
                <w:rFonts w:ascii="Arial" w:cs="Arial" w:eastAsia="Arial" w:hAnsi="Arial"/>
                <w:sz w:val="18"/>
                <w:szCs w:val="18"/>
                <w:color w:val="262626"/>
              </w:rPr>
              <w:t>265,005</w:t>
            </w:r>
          </w:p>
        </w:tc>
      </w:tr>
      <w:tr>
        <w:trPr>
          <w:trHeight w:val="203"/>
        </w:trPr>
        <w:tc>
          <w:tcPr>
            <w:tcW w:w="6520" w:type="dxa"/>
            <w:vAlign w:val="bottom"/>
            <w:tcBorders>
              <w:bottom w:val="single" w:sz="8" w:color="262626"/>
            </w:tcBorders>
            <w:shd w:val="clear" w:color="auto" w:fill="EAEFED"/>
          </w:tcPr>
          <w:p>
            <w:pPr>
              <w:spacing w:after="0" w:line="203" w:lineRule="exact"/>
              <w:rPr>
                <w:sz w:val="20"/>
                <w:szCs w:val="20"/>
                <w:color w:val="auto"/>
              </w:rPr>
            </w:pPr>
            <w:r>
              <w:rPr>
                <w:rFonts w:ascii="Arial" w:cs="Arial" w:eastAsia="Arial" w:hAnsi="Arial"/>
                <w:sz w:val="18"/>
                <w:szCs w:val="18"/>
                <w:color w:val="262626"/>
              </w:rPr>
              <w:t>All Other Fees</w:t>
            </w:r>
          </w:p>
        </w:tc>
        <w:tc>
          <w:tcPr>
            <w:tcW w:w="620" w:type="dxa"/>
            <w:vAlign w:val="bottom"/>
            <w:tcBorders>
              <w:bottom w:val="single" w:sz="8" w:color="262626"/>
            </w:tcBorders>
          </w:tcPr>
          <w:p>
            <w:pPr>
              <w:jc w:val="right"/>
              <w:ind w:right="130"/>
              <w:spacing w:after="0" w:line="203" w:lineRule="exact"/>
              <w:rPr>
                <w:sz w:val="20"/>
                <w:szCs w:val="20"/>
                <w:color w:val="auto"/>
              </w:rPr>
            </w:pPr>
            <w:r>
              <w:rPr>
                <w:rFonts w:ascii="Arial" w:cs="Arial" w:eastAsia="Arial" w:hAnsi="Arial"/>
                <w:sz w:val="18"/>
                <w:szCs w:val="18"/>
                <w:color w:val="262626"/>
              </w:rPr>
              <w:t>$</w:t>
            </w:r>
          </w:p>
        </w:tc>
        <w:tc>
          <w:tcPr>
            <w:tcW w:w="1180" w:type="dxa"/>
            <w:vAlign w:val="bottom"/>
            <w:tcBorders>
              <w:bottom w:val="single" w:sz="8" w:color="262626"/>
            </w:tcBorders>
          </w:tcPr>
          <w:p>
            <w:pPr>
              <w:jc w:val="right"/>
              <w:ind w:right="270"/>
              <w:spacing w:after="0" w:line="203" w:lineRule="exact"/>
              <w:rPr>
                <w:sz w:val="20"/>
                <w:szCs w:val="20"/>
                <w:color w:val="auto"/>
              </w:rPr>
            </w:pPr>
            <w:r>
              <w:rPr>
                <w:rFonts w:ascii="Arial" w:cs="Arial" w:eastAsia="Arial" w:hAnsi="Arial"/>
                <w:sz w:val="18"/>
                <w:szCs w:val="18"/>
                <w:color w:val="262626"/>
              </w:rPr>
              <w:t>-</w:t>
            </w:r>
          </w:p>
        </w:tc>
        <w:tc>
          <w:tcPr>
            <w:tcW w:w="500" w:type="dxa"/>
            <w:vAlign w:val="bottom"/>
            <w:tcBorders>
              <w:bottom w:val="single" w:sz="8" w:color="262626"/>
            </w:tcBorders>
          </w:tcPr>
          <w:p>
            <w:pPr>
              <w:jc w:val="right"/>
              <w:ind w:right="130"/>
              <w:spacing w:after="0" w:line="203" w:lineRule="exact"/>
              <w:rPr>
                <w:sz w:val="20"/>
                <w:szCs w:val="20"/>
                <w:color w:val="auto"/>
              </w:rPr>
            </w:pPr>
            <w:r>
              <w:rPr>
                <w:rFonts w:ascii="Arial" w:cs="Arial" w:eastAsia="Arial" w:hAnsi="Arial"/>
                <w:sz w:val="18"/>
                <w:szCs w:val="18"/>
                <w:color w:val="262626"/>
              </w:rPr>
              <w:t>$</w:t>
            </w:r>
          </w:p>
        </w:tc>
        <w:tc>
          <w:tcPr>
            <w:tcW w:w="1080" w:type="dxa"/>
            <w:vAlign w:val="bottom"/>
            <w:tcBorders>
              <w:bottom w:val="single" w:sz="8" w:color="262626"/>
            </w:tcBorders>
          </w:tcPr>
          <w:p>
            <w:pPr>
              <w:jc w:val="right"/>
              <w:ind w:right="170"/>
              <w:spacing w:after="0" w:line="203" w:lineRule="exact"/>
              <w:rPr>
                <w:sz w:val="20"/>
                <w:szCs w:val="20"/>
                <w:color w:val="auto"/>
              </w:rPr>
            </w:pPr>
            <w:r>
              <w:rPr>
                <w:rFonts w:ascii="Arial" w:cs="Arial" w:eastAsia="Arial" w:hAnsi="Arial"/>
                <w:sz w:val="18"/>
                <w:szCs w:val="18"/>
                <w:color w:val="262626"/>
              </w:rPr>
              <w:t>-</w:t>
            </w:r>
          </w:p>
        </w:tc>
      </w:tr>
      <w:tr>
        <w:trPr>
          <w:trHeight w:val="196"/>
        </w:trPr>
        <w:tc>
          <w:tcPr>
            <w:tcW w:w="6520" w:type="dxa"/>
            <w:vAlign w:val="bottom"/>
            <w:shd w:val="clear" w:color="auto" w:fill="EAEFED"/>
          </w:tcPr>
          <w:p>
            <w:pPr>
              <w:spacing w:after="0" w:line="196" w:lineRule="exact"/>
              <w:rPr>
                <w:sz w:val="20"/>
                <w:szCs w:val="20"/>
                <w:color w:val="auto"/>
              </w:rPr>
            </w:pPr>
            <w:r>
              <w:rPr>
                <w:rFonts w:ascii="Arial" w:cs="Arial" w:eastAsia="Arial" w:hAnsi="Arial"/>
                <w:sz w:val="18"/>
                <w:szCs w:val="18"/>
                <w:b w:val="1"/>
                <w:bCs w:val="1"/>
                <w:color w:val="262626"/>
              </w:rPr>
              <w:t>Total Fees</w:t>
            </w:r>
          </w:p>
        </w:tc>
        <w:tc>
          <w:tcPr>
            <w:tcW w:w="6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262626"/>
              </w:rPr>
              <w:t>$</w:t>
            </w:r>
          </w:p>
        </w:tc>
        <w:tc>
          <w:tcPr>
            <w:tcW w:w="118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262626"/>
              </w:rPr>
              <w:t>1,170,837</w:t>
            </w:r>
          </w:p>
        </w:tc>
        <w:tc>
          <w:tcPr>
            <w:tcW w:w="50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262626"/>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262626"/>
              </w:rPr>
              <w:t>1,411,255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jc w:val="both"/>
        <w:ind w:left="540" w:right="20" w:hanging="424"/>
        <w:spacing w:after="0" w:line="197" w:lineRule="auto"/>
        <w:tabs>
          <w:tab w:leader="none" w:pos="540" w:val="left"/>
        </w:tabs>
        <w:numPr>
          <w:ilvl w:val="0"/>
          <w:numId w:val="31"/>
        </w:numPr>
        <w:rPr>
          <w:rFonts w:ascii="Arial" w:cs="Arial" w:eastAsia="Arial" w:hAnsi="Arial"/>
          <w:sz w:val="28"/>
          <w:szCs w:val="28"/>
          <w:color w:val="262626"/>
          <w:vertAlign w:val="superscript"/>
        </w:rPr>
      </w:pPr>
      <w:r>
        <w:rPr>
          <w:rFonts w:ascii="Arial" w:cs="Arial" w:eastAsia="Arial" w:hAnsi="Arial"/>
          <w:sz w:val="16"/>
          <w:szCs w:val="16"/>
          <w:color w:val="262626"/>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ind w:left="540" w:right="20" w:hanging="424"/>
        <w:spacing w:after="0" w:line="187" w:lineRule="auto"/>
        <w:tabs>
          <w:tab w:leader="none" w:pos="540" w:val="left"/>
        </w:tabs>
        <w:numPr>
          <w:ilvl w:val="0"/>
          <w:numId w:val="31"/>
        </w:numPr>
        <w:rPr>
          <w:rFonts w:ascii="Arial" w:cs="Arial" w:eastAsia="Arial" w:hAnsi="Arial"/>
          <w:sz w:val="26"/>
          <w:szCs w:val="26"/>
          <w:color w:val="262626"/>
          <w:vertAlign w:val="superscript"/>
        </w:rPr>
      </w:pPr>
      <w:r>
        <w:rPr>
          <w:rFonts w:ascii="Arial" w:cs="Arial" w:eastAsia="Arial" w:hAnsi="Arial"/>
          <w:sz w:val="16"/>
          <w:szCs w:val="16"/>
          <w:color w:val="262626"/>
        </w:rPr>
        <w:t>Audit-related fees primarily include the audit of our employee benefit plan, which are paid by the plan and not the company, and certain property level audits.</w:t>
      </w:r>
    </w:p>
    <w:p>
      <w:pPr>
        <w:spacing w:after="0" w:line="1" w:lineRule="exact"/>
        <w:rPr>
          <w:rFonts w:ascii="Arial" w:cs="Arial" w:eastAsia="Arial" w:hAnsi="Arial"/>
          <w:sz w:val="26"/>
          <w:szCs w:val="26"/>
          <w:color w:val="262626"/>
          <w:vertAlign w:val="superscript"/>
        </w:rPr>
      </w:pPr>
    </w:p>
    <w:p>
      <w:pPr>
        <w:ind w:left="540" w:right="20" w:hanging="424"/>
        <w:spacing w:after="0" w:line="181" w:lineRule="auto"/>
        <w:tabs>
          <w:tab w:leader="none" w:pos="540" w:val="left"/>
        </w:tabs>
        <w:numPr>
          <w:ilvl w:val="0"/>
          <w:numId w:val="31"/>
        </w:numPr>
        <w:rPr>
          <w:rFonts w:ascii="Arial" w:cs="Arial" w:eastAsia="Arial" w:hAnsi="Arial"/>
          <w:sz w:val="28"/>
          <w:szCs w:val="28"/>
          <w:color w:val="262626"/>
          <w:vertAlign w:val="superscript"/>
        </w:rPr>
      </w:pPr>
      <w:r>
        <w:rPr>
          <w:rFonts w:ascii="Arial" w:cs="Arial" w:eastAsia="Arial" w:hAnsi="Arial"/>
          <w:sz w:val="16"/>
          <w:szCs w:val="16"/>
          <w:color w:val="262626"/>
        </w:rPr>
        <w:t>$264,600 and $260,805 of the amounts shown for 2020 and 2019, respectively, relate solely to tax compliance and preparation, including the preparation of original and amended tax returns and refund claims and tax payment planning.</w:t>
      </w:r>
    </w:p>
    <w:p>
      <w:pPr>
        <w:spacing w:after="0" w:line="21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8" w:lineRule="exact"/>
        <w:rPr>
          <w:sz w:val="20"/>
          <w:szCs w:val="20"/>
          <w:color w:val="auto"/>
        </w:rPr>
      </w:pPr>
    </w:p>
    <w:p>
      <w:pPr>
        <w:ind w:left="340" w:hanging="224"/>
        <w:spacing w:after="0"/>
        <w:tabs>
          <w:tab w:leader="none" w:pos="340" w:val="left"/>
        </w:tabs>
        <w:numPr>
          <w:ilvl w:val="0"/>
          <w:numId w:val="32"/>
        </w:numPr>
        <w:rPr>
          <w:rFonts w:ascii="MS PGothic" w:cs="MS PGothic" w:eastAsia="MS PGothic" w:hAnsi="MS PGothic"/>
          <w:sz w:val="20"/>
          <w:szCs w:val="20"/>
          <w:color w:val="262626"/>
        </w:rPr>
      </w:pPr>
      <w:r>
        <w:rPr>
          <w:rFonts w:ascii="Arial" w:cs="Arial" w:eastAsia="Arial" w:hAnsi="Arial"/>
          <w:sz w:val="20"/>
          <w:szCs w:val="20"/>
          <w:color w:val="262626"/>
        </w:rPr>
        <w:t xml:space="preserve">Our Board recommends a vote </w:t>
      </w:r>
      <w:r>
        <w:rPr>
          <w:rFonts w:ascii="Arial" w:cs="Arial" w:eastAsia="Arial" w:hAnsi="Arial"/>
          <w:sz w:val="20"/>
          <w:szCs w:val="20"/>
          <w:b w:val="1"/>
          <w:bCs w:val="1"/>
          <w:color w:val="262626"/>
        </w:rPr>
        <w:t>FOR</w:t>
      </w:r>
      <w:r>
        <w:rPr>
          <w:rFonts w:ascii="Arial" w:cs="Arial" w:eastAsia="Arial" w:hAnsi="Arial"/>
          <w:sz w:val="20"/>
          <w:szCs w:val="20"/>
          <w:color w:val="262626"/>
        </w:rPr>
        <w:t xml:space="preserve"> the non-binding ratification of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Audit Committee Report</w:t>
      </w:r>
    </w:p>
    <w:p>
      <w:pPr>
        <w:spacing w:after="0" w:line="216"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262626"/>
        </w:rPr>
        <w:t>The following Report of the Audit Committee does not constitute soliciting material and should not be deemed filed or incorporated by reference into any other filing by us under the Securities Act of 1933 or the Exchange Act, except to the extent the Company specifically incorporates this Report by reference therein.</w:t>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 xml:space="preserve">The Audit Committee is made up entirely of trustees who meet all independence requirements under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color w:val="262626"/>
        </w:rPr>
        <w:t>www.federalrealty.com.</w:t>
      </w:r>
      <w:r>
        <w:rPr>
          <w:rFonts w:ascii="Arial" w:cs="Arial" w:eastAsia="Arial" w:hAnsi="Arial"/>
          <w:sz w:val="18"/>
          <w:szCs w:val="18"/>
          <w:color w:val="262626"/>
        </w:rPr>
        <w:t xml:space="preserve"> In 2020, the Audit Committee met four times and each meeting included an executive session with our independent registered public accounting firm and no members of management present.</w:t>
      </w:r>
    </w:p>
    <w:p>
      <w:pPr>
        <w:spacing w:after="0" w:line="20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The Audit Committee is directly responsible for the appointment, retention and oversight of GT, the independent registered public accounting firm retained to audit our financial statements, and also oversees management, including its internal audit firm, in their performance of its financial functions. Specifically, management is responsible for the financial reporting process, including the system of internal controls, for the preparation of consolidated financial statements in accordance with generally accepted accounting principles in the United States (“GAAP”)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and one meeting included an executive session with PwC with no members of GT or management present. GT is responsible for auditing the consolidated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262626"/>
        </w:rPr>
        <w:t>financial statements of the Company and expressing an opinion on the financial statements and the effectiveness of internal control over financial reporting.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During 2020, as part of its oversight function, the Audit Committee:</w:t>
      </w:r>
    </w:p>
    <w:p>
      <w:pPr>
        <w:spacing w:after="0" w:line="239" w:lineRule="exact"/>
        <w:rPr>
          <w:sz w:val="20"/>
          <w:szCs w:val="20"/>
          <w:color w:val="auto"/>
        </w:rPr>
      </w:pPr>
    </w:p>
    <w:p>
      <w:pPr>
        <w:ind w:left="1080" w:right="20" w:hanging="424"/>
        <w:spacing w:after="0" w:line="234" w:lineRule="auto"/>
        <w:tabs>
          <w:tab w:leader="none" w:pos="10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Reviewed and discussed with management and GT, individually and collectively, all annual and quarterly financial statements and operating results prior to their issuance;</w:t>
      </w:r>
    </w:p>
    <w:p>
      <w:pPr>
        <w:spacing w:after="0" w:line="1" w:lineRule="exact"/>
        <w:rPr>
          <w:rFonts w:ascii="Arial" w:cs="Arial" w:eastAsia="Arial" w:hAnsi="Arial"/>
          <w:sz w:val="18"/>
          <w:szCs w:val="18"/>
          <w:color w:val="262626"/>
        </w:rPr>
      </w:pPr>
    </w:p>
    <w:p>
      <w:pPr>
        <w:jc w:val="both"/>
        <w:ind w:left="1080" w:hanging="424"/>
        <w:spacing w:after="0" w:line="234" w:lineRule="auto"/>
        <w:tabs>
          <w:tab w:leader="none" w:pos="10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Discussed with GT matters relating to GT’s independence from Federal and received written confirmation from GT that GT is not aware of any relationships that, in their professional judgment may impair their independence as required by the Public Company Accounting Oversight Board;</w:t>
      </w:r>
    </w:p>
    <w:p>
      <w:pPr>
        <w:spacing w:after="0" w:line="2" w:lineRule="exact"/>
        <w:rPr>
          <w:rFonts w:ascii="Arial" w:cs="Arial" w:eastAsia="Arial" w:hAnsi="Arial"/>
          <w:sz w:val="18"/>
          <w:szCs w:val="18"/>
          <w:color w:val="262626"/>
        </w:rPr>
      </w:pPr>
    </w:p>
    <w:p>
      <w:pPr>
        <w:ind w:left="1080" w:hanging="424"/>
        <w:spacing w:after="0" w:line="234" w:lineRule="auto"/>
        <w:tabs>
          <w:tab w:leader="none" w:pos="10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Discussed with GT matters required to be discussed pursuant to applicable audit standards, including the reasonableness of judgments and the clarity and completeness of financial disclosures;</w:t>
      </w:r>
    </w:p>
    <w:p>
      <w:pPr>
        <w:spacing w:after="0" w:line="1" w:lineRule="exact"/>
        <w:rPr>
          <w:rFonts w:ascii="Arial" w:cs="Arial" w:eastAsia="Arial" w:hAnsi="Arial"/>
          <w:sz w:val="18"/>
          <w:szCs w:val="18"/>
          <w:color w:val="262626"/>
        </w:rPr>
      </w:pPr>
    </w:p>
    <w:p>
      <w:pPr>
        <w:ind w:left="1080" w:right="20" w:hanging="424"/>
        <w:spacing w:after="0" w:line="234" w:lineRule="auto"/>
        <w:tabs>
          <w:tab w:leader="none" w:pos="10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Monitored the non-audit services provided by GT to ensure that performance of such services did not adversely impact GT’s independence; and</w:t>
      </w:r>
    </w:p>
    <w:p>
      <w:pPr>
        <w:spacing w:after="0" w:line="1" w:lineRule="exact"/>
        <w:rPr>
          <w:rFonts w:ascii="Arial" w:cs="Arial" w:eastAsia="Arial" w:hAnsi="Arial"/>
          <w:sz w:val="18"/>
          <w:szCs w:val="18"/>
          <w:color w:val="262626"/>
        </w:rPr>
      </w:pPr>
    </w:p>
    <w:p>
      <w:pPr>
        <w:jc w:val="both"/>
        <w:ind w:left="1080" w:hanging="424"/>
        <w:spacing w:after="0" w:line="237" w:lineRule="auto"/>
        <w:tabs>
          <w:tab w:leader="none" w:pos="1080" w:val="left"/>
        </w:tabs>
        <w:numPr>
          <w:ilvl w:val="0"/>
          <w:numId w:val="33"/>
        </w:numPr>
        <w:rPr>
          <w:rFonts w:ascii="Arial" w:cs="Arial" w:eastAsia="Arial" w:hAnsi="Arial"/>
          <w:sz w:val="18"/>
          <w:szCs w:val="18"/>
          <w:color w:val="262626"/>
        </w:rPr>
      </w:pPr>
      <w:r>
        <w:rPr>
          <w:rFonts w:ascii="Arial" w:cs="Arial" w:eastAsia="Arial" w:hAnsi="Arial"/>
          <w:sz w:val="18"/>
          <w:szCs w:val="18"/>
          <w:color w:val="262626"/>
        </w:rPr>
        <w:t>As part of the Committee’s quarterly review of internal controls, the Committee discussed with management cybersecurity threats, cyber breaches, any responses to such breaches, and ongoing areas of focus of management in protecting against cyber breaches. During those quarterly reviews in 2020, the Committee was advised of one isolated and minor information security breach that resulted in a total cost for all investigative and remedial work of less than .01% of the Company’s 2020 total revenue. The Committee and management also discussed the additional training and security measures that were immediately implemented to mitigate the likelihood of a similar incident in the future. This was the only cyber incident experienced by the Company in the last three years.</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2020 for filing with the SEC.</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Submitted by the Audit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Gail P. Steinel, Chairperson</w:t>
      </w:r>
    </w:p>
    <w:p>
      <w:pPr>
        <w:ind w:left="120"/>
        <w:spacing w:after="0" w:line="234" w:lineRule="auto"/>
        <w:rPr>
          <w:sz w:val="20"/>
          <w:szCs w:val="20"/>
          <w:color w:val="auto"/>
        </w:rPr>
      </w:pPr>
      <w:r>
        <w:rPr>
          <w:rFonts w:ascii="Arial" w:cs="Arial" w:eastAsia="Arial" w:hAnsi="Arial"/>
          <w:sz w:val="18"/>
          <w:szCs w:val="18"/>
          <w:color w:val="262626"/>
        </w:rPr>
        <w:t>Jon E. Bortz</w:t>
      </w:r>
    </w:p>
    <w:p>
      <w:pPr>
        <w:ind w:left="120"/>
        <w:spacing w:after="0" w:line="235" w:lineRule="auto"/>
        <w:rPr>
          <w:sz w:val="20"/>
          <w:szCs w:val="20"/>
          <w:color w:val="auto"/>
        </w:rPr>
      </w:pPr>
      <w:r>
        <w:rPr>
          <w:rFonts w:ascii="Arial" w:cs="Arial" w:eastAsia="Arial" w:hAnsi="Arial"/>
          <w:sz w:val="18"/>
          <w:szCs w:val="18"/>
          <w:color w:val="262626"/>
        </w:rPr>
        <w:t>David W. Faeder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Anthony P. Nader, III (joined the Committee on November 4, 2020)</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Beneficial Ownership</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Ownership of Principal Shareholders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Based on our records and the information reported in filings with the SEC, the following were beneficial owners of more than 5% of our</w:t>
      </w:r>
    </w:p>
    <w:p>
      <w:pPr>
        <w:ind w:left="120"/>
        <w:spacing w:after="0"/>
        <w:rPr>
          <w:sz w:val="20"/>
          <w:szCs w:val="20"/>
          <w:color w:val="auto"/>
        </w:rPr>
      </w:pPr>
      <w:r>
        <w:rPr>
          <w:rFonts w:ascii="Arial" w:cs="Arial" w:eastAsia="Arial" w:hAnsi="Arial"/>
          <w:sz w:val="18"/>
          <w:szCs w:val="18"/>
          <w:color w:val="262626"/>
        </w:rPr>
        <w:t>Shares as of March 16, 2021:</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2180" w:type="dxa"/>
            <w:vAlign w:val="bottom"/>
          </w:tcPr>
          <w:p>
            <w:pPr>
              <w:jc w:val="center"/>
              <w:ind w:left="79"/>
              <w:spacing w:after="0"/>
              <w:rPr>
                <w:sz w:val="20"/>
                <w:szCs w:val="20"/>
                <w:color w:val="auto"/>
              </w:rPr>
            </w:pPr>
            <w:r>
              <w:rPr>
                <w:rFonts w:ascii="Arial" w:cs="Arial" w:eastAsia="Arial" w:hAnsi="Arial"/>
                <w:sz w:val="16"/>
                <w:szCs w:val="16"/>
                <w:b w:val="1"/>
                <w:bCs w:val="1"/>
                <w:color w:val="F73A25"/>
              </w:rPr>
              <w:t>Amount and Nature of</w:t>
            </w:r>
          </w:p>
        </w:tc>
        <w:tc>
          <w:tcPr>
            <w:tcW w:w="2360" w:type="dxa"/>
            <w:vAlign w:val="bottom"/>
          </w:tcPr>
          <w:p>
            <w:pPr>
              <w:ind w:left="160"/>
              <w:spacing w:after="0"/>
              <w:rPr>
                <w:sz w:val="20"/>
                <w:szCs w:val="20"/>
                <w:color w:val="auto"/>
              </w:rPr>
            </w:pPr>
            <w:r>
              <w:rPr>
                <w:rFonts w:ascii="Arial" w:cs="Arial" w:eastAsia="Arial" w:hAnsi="Arial"/>
                <w:sz w:val="16"/>
                <w:szCs w:val="16"/>
                <w:b w:val="1"/>
                <w:bCs w:val="1"/>
                <w:color w:val="F73A25"/>
              </w:rPr>
              <w:t>Percentage of Our</w:t>
            </w:r>
          </w:p>
        </w:tc>
      </w:tr>
      <w:tr>
        <w:trPr>
          <w:trHeight w:val="208"/>
        </w:trPr>
        <w:tc>
          <w:tcPr>
            <w:tcW w:w="4820" w:type="dxa"/>
            <w:vAlign w:val="bottom"/>
            <w:tcBorders>
              <w:bottom w:val="single" w:sz="8" w:color="262626"/>
            </w:tcBorders>
          </w:tcPr>
          <w:p>
            <w:pPr>
              <w:spacing w:after="0"/>
              <w:rPr>
                <w:sz w:val="20"/>
                <w:szCs w:val="20"/>
                <w:color w:val="auto"/>
              </w:rPr>
            </w:pPr>
            <w:r>
              <w:rPr>
                <w:rFonts w:ascii="Arial" w:cs="Arial" w:eastAsia="Arial" w:hAnsi="Arial"/>
                <w:sz w:val="16"/>
                <w:szCs w:val="16"/>
                <w:b w:val="1"/>
                <w:bCs w:val="1"/>
                <w:color w:val="F73A25"/>
              </w:rPr>
              <w:t>Name and Address of Beneficial Owner</w:t>
            </w:r>
          </w:p>
        </w:tc>
        <w:tc>
          <w:tcPr>
            <w:tcW w:w="2180" w:type="dxa"/>
            <w:vAlign w:val="bottom"/>
            <w:tcBorders>
              <w:bottom w:val="single" w:sz="8" w:color="262626"/>
            </w:tcBorders>
          </w:tcPr>
          <w:p>
            <w:pPr>
              <w:jc w:val="center"/>
              <w:ind w:left="99"/>
              <w:spacing w:after="0"/>
              <w:rPr>
                <w:sz w:val="20"/>
                <w:szCs w:val="20"/>
                <w:color w:val="auto"/>
              </w:rPr>
            </w:pPr>
            <w:r>
              <w:rPr>
                <w:rFonts w:ascii="Arial" w:cs="Arial" w:eastAsia="Arial" w:hAnsi="Arial"/>
                <w:sz w:val="16"/>
                <w:szCs w:val="16"/>
                <w:b w:val="1"/>
                <w:bCs w:val="1"/>
                <w:color w:val="F73A25"/>
              </w:rPr>
              <w:t>Beneficial Ownership</w:t>
            </w:r>
          </w:p>
        </w:tc>
        <w:tc>
          <w:tcPr>
            <w:tcW w:w="2360" w:type="dxa"/>
            <w:vAlign w:val="bottom"/>
            <w:tcBorders>
              <w:bottom w:val="single" w:sz="8" w:color="262626"/>
            </w:tcBorders>
          </w:tcPr>
          <w:p>
            <w:pPr>
              <w:ind w:left="160"/>
              <w:spacing w:after="0" w:line="207" w:lineRule="exact"/>
              <w:rPr>
                <w:sz w:val="20"/>
                <w:szCs w:val="20"/>
                <w:color w:val="auto"/>
              </w:rPr>
            </w:pPr>
            <w:r>
              <w:rPr>
                <w:rFonts w:ascii="Arial" w:cs="Arial" w:eastAsia="Arial" w:hAnsi="Arial"/>
                <w:sz w:val="15"/>
                <w:szCs w:val="15"/>
                <w:b w:val="1"/>
                <w:bCs w:val="1"/>
                <w:color w:val="F73A25"/>
              </w:rPr>
              <w:t>Outstanding Shares</w:t>
            </w:r>
            <w:r>
              <w:rPr>
                <w:rFonts w:ascii="Arial" w:cs="Arial" w:eastAsia="Arial" w:hAnsi="Arial"/>
                <w:sz w:val="24"/>
                <w:szCs w:val="24"/>
                <w:b w:val="1"/>
                <w:bCs w:val="1"/>
                <w:color w:val="F73A25"/>
                <w:vertAlign w:val="superscript"/>
              </w:rPr>
              <w:t>(1)</w:t>
            </w:r>
          </w:p>
        </w:tc>
      </w:tr>
      <w:tr>
        <w:trPr>
          <w:trHeight w:val="183"/>
        </w:trPr>
        <w:tc>
          <w:tcPr>
            <w:tcW w:w="4820" w:type="dxa"/>
            <w:vAlign w:val="bottom"/>
            <w:shd w:val="clear" w:color="auto" w:fill="EAEFED"/>
          </w:tcPr>
          <w:p>
            <w:pPr>
              <w:spacing w:after="0" w:line="183" w:lineRule="exact"/>
              <w:rPr>
                <w:sz w:val="20"/>
                <w:szCs w:val="20"/>
                <w:color w:val="auto"/>
              </w:rPr>
            </w:pPr>
            <w:r>
              <w:rPr>
                <w:rFonts w:ascii="Arial" w:cs="Arial" w:eastAsia="Arial" w:hAnsi="Arial"/>
                <w:sz w:val="13"/>
                <w:szCs w:val="13"/>
                <w:color w:val="262626"/>
              </w:rPr>
              <w:t>The Vanguard Group, Inc.</w:t>
            </w:r>
            <w:r>
              <w:rPr>
                <w:rFonts w:ascii="Arial" w:cs="Arial" w:eastAsia="Arial" w:hAnsi="Arial"/>
                <w:sz w:val="21"/>
                <w:szCs w:val="21"/>
                <w:color w:val="262626"/>
                <w:vertAlign w:val="superscript"/>
              </w:rPr>
              <w:t>(2)</w:t>
            </w:r>
          </w:p>
        </w:tc>
        <w:tc>
          <w:tcPr>
            <w:tcW w:w="2180" w:type="dxa"/>
            <w:vAlign w:val="bottom"/>
          </w:tcPr>
          <w:p>
            <w:pPr>
              <w:jc w:val="center"/>
              <w:ind w:left="99"/>
              <w:spacing w:after="0" w:line="183" w:lineRule="exact"/>
              <w:rPr>
                <w:sz w:val="20"/>
                <w:szCs w:val="20"/>
                <w:color w:val="auto"/>
              </w:rPr>
            </w:pPr>
            <w:r>
              <w:rPr>
                <w:rFonts w:ascii="Arial" w:cs="Arial" w:eastAsia="Arial" w:hAnsi="Arial"/>
                <w:sz w:val="16"/>
                <w:szCs w:val="16"/>
                <w:color w:val="262626"/>
                <w:w w:val="99"/>
              </w:rPr>
              <w:t>11,330,652</w:t>
            </w:r>
          </w:p>
        </w:tc>
        <w:tc>
          <w:tcPr>
            <w:tcW w:w="2360" w:type="dxa"/>
            <w:vAlign w:val="bottom"/>
          </w:tcPr>
          <w:p>
            <w:pPr>
              <w:jc w:val="center"/>
              <w:ind w:left="60"/>
              <w:spacing w:after="0" w:line="183" w:lineRule="exact"/>
              <w:rPr>
                <w:sz w:val="20"/>
                <w:szCs w:val="20"/>
                <w:color w:val="auto"/>
              </w:rPr>
            </w:pPr>
            <w:r>
              <w:rPr>
                <w:rFonts w:ascii="Arial" w:cs="Arial" w:eastAsia="Arial" w:hAnsi="Arial"/>
                <w:sz w:val="16"/>
                <w:szCs w:val="16"/>
                <w:color w:val="262626"/>
              </w:rPr>
              <w:t>14.6%</w:t>
            </w:r>
          </w:p>
        </w:tc>
      </w:tr>
      <w:tr>
        <w:trPr>
          <w:trHeight w:val="189"/>
        </w:trPr>
        <w:tc>
          <w:tcPr>
            <w:tcW w:w="4820" w:type="dxa"/>
            <w:vAlign w:val="bottom"/>
            <w:shd w:val="clear" w:color="auto" w:fill="EAEFED"/>
          </w:tcPr>
          <w:p>
            <w:pPr>
              <w:spacing w:after="0"/>
              <w:rPr>
                <w:sz w:val="20"/>
                <w:szCs w:val="20"/>
                <w:color w:val="auto"/>
              </w:rPr>
            </w:pPr>
            <w:r>
              <w:rPr>
                <w:rFonts w:ascii="Arial" w:cs="Arial" w:eastAsia="Arial" w:hAnsi="Arial"/>
                <w:sz w:val="16"/>
                <w:szCs w:val="16"/>
                <w:color w:val="262626"/>
              </w:rPr>
              <w:t>100 Vanguard Blvd.</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9"/>
        </w:trPr>
        <w:tc>
          <w:tcPr>
            <w:tcW w:w="4820" w:type="dxa"/>
            <w:vAlign w:val="bottom"/>
            <w:tcBorders>
              <w:bottom w:val="single" w:sz="8" w:color="262626"/>
            </w:tcBorders>
            <w:shd w:val="clear" w:color="auto" w:fill="EAEFED"/>
          </w:tcPr>
          <w:p>
            <w:pPr>
              <w:spacing w:after="0"/>
              <w:rPr>
                <w:sz w:val="20"/>
                <w:szCs w:val="20"/>
                <w:color w:val="auto"/>
              </w:rPr>
            </w:pPr>
            <w:r>
              <w:rPr>
                <w:rFonts w:ascii="Arial" w:cs="Arial" w:eastAsia="Arial" w:hAnsi="Arial"/>
                <w:sz w:val="16"/>
                <w:szCs w:val="16"/>
                <w:color w:val="262626"/>
              </w:rPr>
              <w:t>Malvern, PA 19355</w:t>
            </w:r>
          </w:p>
        </w:tc>
        <w:tc>
          <w:tcPr>
            <w:tcW w:w="2180" w:type="dxa"/>
            <w:vAlign w:val="bottom"/>
            <w:tcBorders>
              <w:bottom w:val="single" w:sz="8" w:color="262626"/>
            </w:tcBorders>
          </w:tcPr>
          <w:p>
            <w:pPr>
              <w:spacing w:after="0"/>
              <w:rPr>
                <w:sz w:val="16"/>
                <w:szCs w:val="16"/>
                <w:color w:val="auto"/>
              </w:rPr>
            </w:pPr>
          </w:p>
        </w:tc>
        <w:tc>
          <w:tcPr>
            <w:tcW w:w="2360" w:type="dxa"/>
            <w:vAlign w:val="bottom"/>
            <w:tcBorders>
              <w:bottom w:val="single" w:sz="8" w:color="262626"/>
            </w:tcBorders>
          </w:tcPr>
          <w:p>
            <w:pPr>
              <w:spacing w:after="0"/>
              <w:rPr>
                <w:sz w:val="16"/>
                <w:szCs w:val="16"/>
                <w:color w:val="auto"/>
              </w:rPr>
            </w:pPr>
          </w:p>
        </w:tc>
      </w:tr>
      <w:tr>
        <w:trPr>
          <w:trHeight w:val="184"/>
        </w:trPr>
        <w:tc>
          <w:tcPr>
            <w:tcW w:w="4820" w:type="dxa"/>
            <w:vAlign w:val="bottom"/>
            <w:shd w:val="clear" w:color="auto" w:fill="EAEFED"/>
          </w:tcPr>
          <w:p>
            <w:pPr>
              <w:spacing w:after="0" w:line="185" w:lineRule="exact"/>
              <w:rPr>
                <w:sz w:val="20"/>
                <w:szCs w:val="20"/>
                <w:color w:val="auto"/>
              </w:rPr>
            </w:pPr>
            <w:r>
              <w:rPr>
                <w:rFonts w:ascii="Arial" w:cs="Arial" w:eastAsia="Arial" w:hAnsi="Arial"/>
                <w:sz w:val="13"/>
                <w:szCs w:val="13"/>
                <w:color w:val="262626"/>
              </w:rPr>
              <w:t>State Street Corporation</w:t>
            </w:r>
            <w:r>
              <w:rPr>
                <w:rFonts w:ascii="Arial" w:cs="Arial" w:eastAsia="Arial" w:hAnsi="Arial"/>
                <w:sz w:val="21"/>
                <w:szCs w:val="21"/>
                <w:color w:val="262626"/>
                <w:vertAlign w:val="superscript"/>
              </w:rPr>
              <w:t>(3)</w:t>
            </w:r>
          </w:p>
        </w:tc>
        <w:tc>
          <w:tcPr>
            <w:tcW w:w="2180" w:type="dxa"/>
            <w:vAlign w:val="bottom"/>
          </w:tcPr>
          <w:p>
            <w:pPr>
              <w:jc w:val="center"/>
              <w:ind w:left="99"/>
              <w:spacing w:after="0"/>
              <w:rPr>
                <w:sz w:val="20"/>
                <w:szCs w:val="20"/>
                <w:color w:val="auto"/>
              </w:rPr>
            </w:pPr>
            <w:r>
              <w:rPr>
                <w:rFonts w:ascii="Arial" w:cs="Arial" w:eastAsia="Arial" w:hAnsi="Arial"/>
                <w:sz w:val="16"/>
                <w:szCs w:val="16"/>
                <w:color w:val="262626"/>
              </w:rPr>
              <w:t>8,452,342</w:t>
            </w:r>
          </w:p>
        </w:tc>
        <w:tc>
          <w:tcPr>
            <w:tcW w:w="2360" w:type="dxa"/>
            <w:vAlign w:val="bottom"/>
          </w:tcPr>
          <w:p>
            <w:pPr>
              <w:jc w:val="center"/>
              <w:ind w:left="60"/>
              <w:spacing w:after="0"/>
              <w:rPr>
                <w:sz w:val="20"/>
                <w:szCs w:val="20"/>
                <w:color w:val="auto"/>
              </w:rPr>
            </w:pPr>
            <w:r>
              <w:rPr>
                <w:rFonts w:ascii="Arial" w:cs="Arial" w:eastAsia="Arial" w:hAnsi="Arial"/>
                <w:sz w:val="16"/>
                <w:szCs w:val="16"/>
                <w:color w:val="262626"/>
              </w:rPr>
              <w:t>10.9%</w:t>
            </w:r>
          </w:p>
        </w:tc>
      </w:tr>
      <w:tr>
        <w:trPr>
          <w:trHeight w:val="189"/>
        </w:trPr>
        <w:tc>
          <w:tcPr>
            <w:tcW w:w="4820" w:type="dxa"/>
            <w:vAlign w:val="bottom"/>
            <w:shd w:val="clear" w:color="auto" w:fill="EAEFED"/>
          </w:tcPr>
          <w:p>
            <w:pPr>
              <w:spacing w:after="0"/>
              <w:rPr>
                <w:sz w:val="20"/>
                <w:szCs w:val="20"/>
                <w:color w:val="auto"/>
              </w:rPr>
            </w:pPr>
            <w:r>
              <w:rPr>
                <w:rFonts w:ascii="Arial" w:cs="Arial" w:eastAsia="Arial" w:hAnsi="Arial"/>
                <w:sz w:val="16"/>
                <w:szCs w:val="16"/>
                <w:color w:val="262626"/>
              </w:rPr>
              <w:t>State Street Financial Center, One Lincoln Street</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7"/>
        </w:trPr>
        <w:tc>
          <w:tcPr>
            <w:tcW w:w="4820" w:type="dxa"/>
            <w:vAlign w:val="bottom"/>
            <w:tcBorders>
              <w:bottom w:val="single" w:sz="8" w:color="262626"/>
            </w:tcBorders>
            <w:shd w:val="clear" w:color="auto" w:fill="EAEFED"/>
          </w:tcPr>
          <w:p>
            <w:pPr>
              <w:spacing w:after="0"/>
              <w:rPr>
                <w:sz w:val="20"/>
                <w:szCs w:val="20"/>
                <w:color w:val="auto"/>
              </w:rPr>
            </w:pPr>
            <w:r>
              <w:rPr>
                <w:rFonts w:ascii="Arial" w:cs="Arial" w:eastAsia="Arial" w:hAnsi="Arial"/>
                <w:sz w:val="16"/>
                <w:szCs w:val="16"/>
                <w:color w:val="262626"/>
              </w:rPr>
              <w:t>Boston, MA 02111</w:t>
            </w:r>
          </w:p>
        </w:tc>
        <w:tc>
          <w:tcPr>
            <w:tcW w:w="2180" w:type="dxa"/>
            <w:vAlign w:val="bottom"/>
            <w:tcBorders>
              <w:bottom w:val="single" w:sz="8" w:color="262626"/>
            </w:tcBorders>
          </w:tcPr>
          <w:p>
            <w:pPr>
              <w:spacing w:after="0"/>
              <w:rPr>
                <w:sz w:val="16"/>
                <w:szCs w:val="16"/>
                <w:color w:val="auto"/>
              </w:rPr>
            </w:pPr>
          </w:p>
        </w:tc>
        <w:tc>
          <w:tcPr>
            <w:tcW w:w="2360" w:type="dxa"/>
            <w:vAlign w:val="bottom"/>
            <w:tcBorders>
              <w:bottom w:val="single" w:sz="8" w:color="262626"/>
            </w:tcBorders>
          </w:tcPr>
          <w:p>
            <w:pPr>
              <w:spacing w:after="0"/>
              <w:rPr>
                <w:sz w:val="16"/>
                <w:szCs w:val="16"/>
                <w:color w:val="auto"/>
              </w:rPr>
            </w:pPr>
          </w:p>
        </w:tc>
      </w:tr>
      <w:tr>
        <w:trPr>
          <w:trHeight w:val="184"/>
        </w:trPr>
        <w:tc>
          <w:tcPr>
            <w:tcW w:w="4820" w:type="dxa"/>
            <w:vAlign w:val="bottom"/>
            <w:shd w:val="clear" w:color="auto" w:fill="EAEFED"/>
          </w:tcPr>
          <w:p>
            <w:pPr>
              <w:spacing w:after="0" w:line="185" w:lineRule="exact"/>
              <w:rPr>
                <w:sz w:val="20"/>
                <w:szCs w:val="20"/>
                <w:color w:val="auto"/>
              </w:rPr>
            </w:pPr>
            <w:r>
              <w:rPr>
                <w:rFonts w:ascii="Arial" w:cs="Arial" w:eastAsia="Arial" w:hAnsi="Arial"/>
                <w:sz w:val="13"/>
                <w:szCs w:val="13"/>
                <w:color w:val="262626"/>
              </w:rPr>
              <w:t>Norges Bank (The Central Bank of Norway)</w:t>
            </w:r>
            <w:r>
              <w:rPr>
                <w:rFonts w:ascii="Arial" w:cs="Arial" w:eastAsia="Arial" w:hAnsi="Arial"/>
                <w:sz w:val="21"/>
                <w:szCs w:val="21"/>
                <w:color w:val="262626"/>
                <w:vertAlign w:val="superscript"/>
              </w:rPr>
              <w:t>(4)</w:t>
            </w:r>
          </w:p>
        </w:tc>
        <w:tc>
          <w:tcPr>
            <w:tcW w:w="2180" w:type="dxa"/>
            <w:vAlign w:val="bottom"/>
          </w:tcPr>
          <w:p>
            <w:pPr>
              <w:jc w:val="center"/>
              <w:ind w:left="99"/>
              <w:spacing w:after="0"/>
              <w:rPr>
                <w:sz w:val="20"/>
                <w:szCs w:val="20"/>
                <w:color w:val="auto"/>
              </w:rPr>
            </w:pPr>
            <w:r>
              <w:rPr>
                <w:rFonts w:ascii="Arial" w:cs="Arial" w:eastAsia="Arial" w:hAnsi="Arial"/>
                <w:sz w:val="16"/>
                <w:szCs w:val="16"/>
                <w:color w:val="262626"/>
              </w:rPr>
              <w:t>7,212,626</w:t>
            </w:r>
          </w:p>
        </w:tc>
        <w:tc>
          <w:tcPr>
            <w:tcW w:w="2360" w:type="dxa"/>
            <w:vAlign w:val="bottom"/>
          </w:tcPr>
          <w:p>
            <w:pPr>
              <w:jc w:val="center"/>
              <w:ind w:left="60"/>
              <w:spacing w:after="0"/>
              <w:rPr>
                <w:sz w:val="20"/>
                <w:szCs w:val="20"/>
                <w:color w:val="auto"/>
              </w:rPr>
            </w:pPr>
            <w:r>
              <w:rPr>
                <w:rFonts w:ascii="Arial" w:cs="Arial" w:eastAsia="Arial" w:hAnsi="Arial"/>
                <w:sz w:val="16"/>
                <w:szCs w:val="16"/>
                <w:color w:val="262626"/>
              </w:rPr>
              <w:t>9.3%</w:t>
            </w:r>
          </w:p>
        </w:tc>
      </w:tr>
      <w:tr>
        <w:trPr>
          <w:trHeight w:val="189"/>
        </w:trPr>
        <w:tc>
          <w:tcPr>
            <w:tcW w:w="4820" w:type="dxa"/>
            <w:vAlign w:val="bottom"/>
            <w:shd w:val="clear" w:color="auto" w:fill="EAEFED"/>
          </w:tcPr>
          <w:p>
            <w:pPr>
              <w:spacing w:after="0"/>
              <w:rPr>
                <w:sz w:val="20"/>
                <w:szCs w:val="20"/>
                <w:color w:val="auto"/>
              </w:rPr>
            </w:pPr>
            <w:r>
              <w:rPr>
                <w:rFonts w:ascii="Arial" w:cs="Arial" w:eastAsia="Arial" w:hAnsi="Arial"/>
                <w:sz w:val="16"/>
                <w:szCs w:val="16"/>
                <w:color w:val="262626"/>
              </w:rPr>
              <w:t>Bankplassen 2, PO Box 1179 Sentrum</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7"/>
        </w:trPr>
        <w:tc>
          <w:tcPr>
            <w:tcW w:w="4820" w:type="dxa"/>
            <w:vAlign w:val="bottom"/>
            <w:tcBorders>
              <w:bottom w:val="single" w:sz="8" w:color="262626"/>
            </w:tcBorders>
            <w:shd w:val="clear" w:color="auto" w:fill="EAEFED"/>
          </w:tcPr>
          <w:p>
            <w:pPr>
              <w:spacing w:after="0"/>
              <w:rPr>
                <w:sz w:val="20"/>
                <w:szCs w:val="20"/>
                <w:color w:val="auto"/>
              </w:rPr>
            </w:pPr>
            <w:r>
              <w:rPr>
                <w:rFonts w:ascii="Arial" w:cs="Arial" w:eastAsia="Arial" w:hAnsi="Arial"/>
                <w:sz w:val="16"/>
                <w:szCs w:val="16"/>
                <w:color w:val="262626"/>
              </w:rPr>
              <w:t>NO 0107 Oslo Norway</w:t>
            </w:r>
          </w:p>
        </w:tc>
        <w:tc>
          <w:tcPr>
            <w:tcW w:w="2180" w:type="dxa"/>
            <w:vAlign w:val="bottom"/>
            <w:tcBorders>
              <w:bottom w:val="single" w:sz="8" w:color="262626"/>
            </w:tcBorders>
          </w:tcPr>
          <w:p>
            <w:pPr>
              <w:spacing w:after="0"/>
              <w:rPr>
                <w:sz w:val="16"/>
                <w:szCs w:val="16"/>
                <w:color w:val="auto"/>
              </w:rPr>
            </w:pPr>
          </w:p>
        </w:tc>
        <w:tc>
          <w:tcPr>
            <w:tcW w:w="2360" w:type="dxa"/>
            <w:vAlign w:val="bottom"/>
            <w:tcBorders>
              <w:bottom w:val="single" w:sz="8" w:color="262626"/>
            </w:tcBorders>
          </w:tcPr>
          <w:p>
            <w:pPr>
              <w:spacing w:after="0"/>
              <w:rPr>
                <w:sz w:val="16"/>
                <w:szCs w:val="16"/>
                <w:color w:val="auto"/>
              </w:rPr>
            </w:pPr>
          </w:p>
        </w:tc>
      </w:tr>
      <w:tr>
        <w:trPr>
          <w:trHeight w:val="179"/>
        </w:trPr>
        <w:tc>
          <w:tcPr>
            <w:tcW w:w="4820" w:type="dxa"/>
            <w:vAlign w:val="bottom"/>
            <w:shd w:val="clear" w:color="auto" w:fill="EAEFED"/>
          </w:tcPr>
          <w:p>
            <w:pPr>
              <w:spacing w:after="0" w:line="180" w:lineRule="exact"/>
              <w:rPr>
                <w:sz w:val="20"/>
                <w:szCs w:val="20"/>
                <w:color w:val="auto"/>
              </w:rPr>
            </w:pPr>
            <w:r>
              <w:rPr>
                <w:rFonts w:ascii="Arial" w:cs="Arial" w:eastAsia="Arial" w:hAnsi="Arial"/>
                <w:sz w:val="13"/>
                <w:szCs w:val="13"/>
                <w:color w:val="262626"/>
              </w:rPr>
              <w:t>BlackRock, Inc.</w:t>
            </w:r>
            <w:r>
              <w:rPr>
                <w:rFonts w:ascii="Arial" w:cs="Arial" w:eastAsia="Arial" w:hAnsi="Arial"/>
                <w:sz w:val="20"/>
                <w:szCs w:val="20"/>
                <w:color w:val="262626"/>
                <w:vertAlign w:val="superscript"/>
              </w:rPr>
              <w:t>(5)</w:t>
            </w:r>
          </w:p>
        </w:tc>
        <w:tc>
          <w:tcPr>
            <w:tcW w:w="2180" w:type="dxa"/>
            <w:vAlign w:val="bottom"/>
          </w:tcPr>
          <w:p>
            <w:pPr>
              <w:jc w:val="center"/>
              <w:ind w:left="99"/>
              <w:spacing w:after="0" w:line="179" w:lineRule="exact"/>
              <w:rPr>
                <w:sz w:val="20"/>
                <w:szCs w:val="20"/>
                <w:color w:val="auto"/>
              </w:rPr>
            </w:pPr>
            <w:r>
              <w:rPr>
                <w:rFonts w:ascii="Arial" w:cs="Arial" w:eastAsia="Arial" w:hAnsi="Arial"/>
                <w:sz w:val="16"/>
                <w:szCs w:val="16"/>
                <w:color w:val="262626"/>
              </w:rPr>
              <w:t>7,148,187</w:t>
            </w:r>
          </w:p>
        </w:tc>
        <w:tc>
          <w:tcPr>
            <w:tcW w:w="2360" w:type="dxa"/>
            <w:vAlign w:val="bottom"/>
          </w:tcPr>
          <w:p>
            <w:pPr>
              <w:jc w:val="center"/>
              <w:ind w:left="60"/>
              <w:spacing w:after="0" w:line="179" w:lineRule="exact"/>
              <w:rPr>
                <w:sz w:val="20"/>
                <w:szCs w:val="20"/>
                <w:color w:val="auto"/>
              </w:rPr>
            </w:pPr>
            <w:r>
              <w:rPr>
                <w:rFonts w:ascii="Arial" w:cs="Arial" w:eastAsia="Arial" w:hAnsi="Arial"/>
                <w:sz w:val="16"/>
                <w:szCs w:val="16"/>
                <w:color w:val="262626"/>
              </w:rPr>
              <w:t>9.2%</w:t>
            </w:r>
          </w:p>
        </w:tc>
      </w:tr>
      <w:tr>
        <w:trPr>
          <w:trHeight w:val="194"/>
        </w:trPr>
        <w:tc>
          <w:tcPr>
            <w:tcW w:w="4820" w:type="dxa"/>
            <w:vAlign w:val="bottom"/>
            <w:shd w:val="clear" w:color="auto" w:fill="EAEFED"/>
          </w:tcPr>
          <w:p>
            <w:pPr>
              <w:spacing w:after="0" w:line="194" w:lineRule="exact"/>
              <w:rPr>
                <w:sz w:val="20"/>
                <w:szCs w:val="20"/>
                <w:color w:val="auto"/>
              </w:rPr>
            </w:pPr>
            <w:r>
              <w:rPr>
                <w:rFonts w:ascii="Arial" w:cs="Arial" w:eastAsia="Arial" w:hAnsi="Arial"/>
                <w:sz w:val="14"/>
                <w:szCs w:val="14"/>
                <w:color w:val="262626"/>
              </w:rPr>
              <w:t>55 East 52</w:t>
            </w:r>
            <w:r>
              <w:rPr>
                <w:rFonts w:ascii="Arial" w:cs="Arial" w:eastAsia="Arial" w:hAnsi="Arial"/>
                <w:sz w:val="22"/>
                <w:szCs w:val="22"/>
                <w:color w:val="262626"/>
                <w:vertAlign w:val="superscript"/>
              </w:rPr>
              <w:t>nd</w:t>
            </w:r>
            <w:r>
              <w:rPr>
                <w:rFonts w:ascii="Arial" w:cs="Arial" w:eastAsia="Arial" w:hAnsi="Arial"/>
                <w:sz w:val="14"/>
                <w:szCs w:val="14"/>
                <w:color w:val="262626"/>
              </w:rPr>
              <w:t xml:space="preserve"> Street</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7"/>
        </w:trPr>
        <w:tc>
          <w:tcPr>
            <w:tcW w:w="4820" w:type="dxa"/>
            <w:vAlign w:val="bottom"/>
            <w:tcBorders>
              <w:bottom w:val="single" w:sz="8" w:color="262626"/>
            </w:tcBorders>
            <w:shd w:val="clear" w:color="auto" w:fill="EAEFED"/>
          </w:tcPr>
          <w:p>
            <w:pPr>
              <w:spacing w:after="0"/>
              <w:rPr>
                <w:sz w:val="20"/>
                <w:szCs w:val="20"/>
                <w:color w:val="auto"/>
              </w:rPr>
            </w:pPr>
            <w:r>
              <w:rPr>
                <w:rFonts w:ascii="Arial" w:cs="Arial" w:eastAsia="Arial" w:hAnsi="Arial"/>
                <w:sz w:val="16"/>
                <w:szCs w:val="16"/>
                <w:color w:val="262626"/>
              </w:rPr>
              <w:t>New York, NY 10055</w:t>
            </w:r>
          </w:p>
        </w:tc>
        <w:tc>
          <w:tcPr>
            <w:tcW w:w="2180" w:type="dxa"/>
            <w:vAlign w:val="bottom"/>
            <w:tcBorders>
              <w:bottom w:val="single" w:sz="8" w:color="262626"/>
            </w:tcBorders>
          </w:tcPr>
          <w:p>
            <w:pPr>
              <w:spacing w:after="0"/>
              <w:rPr>
                <w:sz w:val="16"/>
                <w:szCs w:val="16"/>
                <w:color w:val="auto"/>
              </w:rPr>
            </w:pPr>
          </w:p>
        </w:tc>
        <w:tc>
          <w:tcPr>
            <w:tcW w:w="2360" w:type="dxa"/>
            <w:vAlign w:val="bottom"/>
            <w:tcBorders>
              <w:bottom w:val="single" w:sz="8" w:color="262626"/>
            </w:tcBorders>
          </w:tcPr>
          <w:p>
            <w:pPr>
              <w:spacing w:after="0"/>
              <w:rPr>
                <w:sz w:val="16"/>
                <w:szCs w:val="16"/>
                <w:color w:val="auto"/>
              </w:rPr>
            </w:pPr>
          </w:p>
        </w:tc>
      </w:tr>
      <w:tr>
        <w:trPr>
          <w:trHeight w:val="184"/>
        </w:trPr>
        <w:tc>
          <w:tcPr>
            <w:tcW w:w="4820" w:type="dxa"/>
            <w:vAlign w:val="bottom"/>
            <w:shd w:val="clear" w:color="auto" w:fill="EAEFED"/>
          </w:tcPr>
          <w:p>
            <w:pPr>
              <w:spacing w:after="0" w:line="185" w:lineRule="exact"/>
              <w:rPr>
                <w:sz w:val="20"/>
                <w:szCs w:val="20"/>
                <w:color w:val="auto"/>
              </w:rPr>
            </w:pPr>
            <w:r>
              <w:rPr>
                <w:rFonts w:ascii="Arial" w:cs="Arial" w:eastAsia="Arial" w:hAnsi="Arial"/>
                <w:sz w:val="13"/>
                <w:szCs w:val="13"/>
                <w:color w:val="262626"/>
              </w:rPr>
              <w:t>Capital Research Global Investors</w:t>
            </w:r>
            <w:r>
              <w:rPr>
                <w:rFonts w:ascii="Arial" w:cs="Arial" w:eastAsia="Arial" w:hAnsi="Arial"/>
                <w:sz w:val="21"/>
                <w:szCs w:val="21"/>
                <w:color w:val="262626"/>
                <w:vertAlign w:val="superscript"/>
              </w:rPr>
              <w:t>(6)</w:t>
            </w:r>
          </w:p>
        </w:tc>
        <w:tc>
          <w:tcPr>
            <w:tcW w:w="2180" w:type="dxa"/>
            <w:vAlign w:val="bottom"/>
          </w:tcPr>
          <w:p>
            <w:pPr>
              <w:jc w:val="center"/>
              <w:ind w:left="99"/>
              <w:spacing w:after="0"/>
              <w:rPr>
                <w:sz w:val="20"/>
                <w:szCs w:val="20"/>
                <w:color w:val="auto"/>
              </w:rPr>
            </w:pPr>
            <w:r>
              <w:rPr>
                <w:rFonts w:ascii="Arial" w:cs="Arial" w:eastAsia="Arial" w:hAnsi="Arial"/>
                <w:sz w:val="16"/>
                <w:szCs w:val="16"/>
                <w:color w:val="262626"/>
              </w:rPr>
              <w:t>4,246,220</w:t>
            </w:r>
          </w:p>
        </w:tc>
        <w:tc>
          <w:tcPr>
            <w:tcW w:w="2360" w:type="dxa"/>
            <w:vAlign w:val="bottom"/>
          </w:tcPr>
          <w:p>
            <w:pPr>
              <w:jc w:val="center"/>
              <w:ind w:left="60"/>
              <w:spacing w:after="0"/>
              <w:rPr>
                <w:sz w:val="20"/>
                <w:szCs w:val="20"/>
                <w:color w:val="auto"/>
              </w:rPr>
            </w:pPr>
            <w:r>
              <w:rPr>
                <w:rFonts w:ascii="Arial" w:cs="Arial" w:eastAsia="Arial" w:hAnsi="Arial"/>
                <w:sz w:val="16"/>
                <w:szCs w:val="16"/>
                <w:color w:val="262626"/>
              </w:rPr>
              <w:t>5.5%</w:t>
            </w:r>
          </w:p>
        </w:tc>
      </w:tr>
      <w:tr>
        <w:trPr>
          <w:trHeight w:val="189"/>
        </w:trPr>
        <w:tc>
          <w:tcPr>
            <w:tcW w:w="4820" w:type="dxa"/>
            <w:vAlign w:val="bottom"/>
            <w:shd w:val="clear" w:color="auto" w:fill="EAEFED"/>
          </w:tcPr>
          <w:p>
            <w:pPr>
              <w:spacing w:after="0"/>
              <w:rPr>
                <w:sz w:val="20"/>
                <w:szCs w:val="20"/>
                <w:color w:val="auto"/>
              </w:rPr>
            </w:pPr>
            <w:r>
              <w:rPr>
                <w:rFonts w:ascii="Arial" w:cs="Arial" w:eastAsia="Arial" w:hAnsi="Arial"/>
                <w:sz w:val="16"/>
                <w:szCs w:val="16"/>
                <w:color w:val="262626"/>
              </w:rPr>
              <w:t>333 South Hope Street, 55th Floor</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7"/>
        </w:trPr>
        <w:tc>
          <w:tcPr>
            <w:tcW w:w="4820" w:type="dxa"/>
            <w:vAlign w:val="bottom"/>
            <w:tcBorders>
              <w:bottom w:val="single" w:sz="8" w:color="262626"/>
            </w:tcBorders>
            <w:shd w:val="clear" w:color="auto" w:fill="EAEFED"/>
          </w:tcPr>
          <w:p>
            <w:pPr>
              <w:spacing w:after="0"/>
              <w:rPr>
                <w:sz w:val="20"/>
                <w:szCs w:val="20"/>
                <w:color w:val="auto"/>
              </w:rPr>
            </w:pPr>
            <w:r>
              <w:rPr>
                <w:rFonts w:ascii="Arial" w:cs="Arial" w:eastAsia="Arial" w:hAnsi="Arial"/>
                <w:sz w:val="16"/>
                <w:szCs w:val="16"/>
                <w:color w:val="262626"/>
              </w:rPr>
              <w:t>Los Angeles, CA 90071</w:t>
            </w:r>
          </w:p>
        </w:tc>
        <w:tc>
          <w:tcPr>
            <w:tcW w:w="2180" w:type="dxa"/>
            <w:vAlign w:val="bottom"/>
            <w:tcBorders>
              <w:bottom w:val="single" w:sz="8" w:color="262626"/>
            </w:tcBorders>
          </w:tcPr>
          <w:p>
            <w:pPr>
              <w:spacing w:after="0"/>
              <w:rPr>
                <w:sz w:val="16"/>
                <w:szCs w:val="16"/>
                <w:color w:val="auto"/>
              </w:rPr>
            </w:pPr>
          </w:p>
        </w:tc>
        <w:tc>
          <w:tcPr>
            <w:tcW w:w="2360" w:type="dxa"/>
            <w:vAlign w:val="bottom"/>
            <w:tcBorders>
              <w:bottom w:val="single" w:sz="8" w:color="26262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ind w:left="540" w:hanging="424"/>
        <w:spacing w:after="0" w:line="187" w:lineRule="auto"/>
        <w:tabs>
          <w:tab w:leader="none" w:pos="540" w:val="left"/>
        </w:tabs>
        <w:numPr>
          <w:ilvl w:val="0"/>
          <w:numId w:val="34"/>
        </w:numPr>
        <w:rPr>
          <w:rFonts w:ascii="Arial" w:cs="Arial" w:eastAsia="Arial" w:hAnsi="Arial"/>
          <w:sz w:val="26"/>
          <w:szCs w:val="26"/>
          <w:color w:val="262626"/>
          <w:vertAlign w:val="superscript"/>
        </w:rPr>
      </w:pPr>
      <w:r>
        <w:rPr>
          <w:rFonts w:ascii="Arial" w:cs="Arial" w:eastAsia="Arial" w:hAnsi="Arial"/>
          <w:sz w:val="16"/>
          <w:szCs w:val="16"/>
          <w:color w:val="262626"/>
        </w:rPr>
        <w:t>The percentage of outstanding Shares is calculated by taking the number of Shares stated in the Schedule 13G or 13G/A, as applicable, filed with the SEC divided by 77,706,466, the total number of Shares outstanding on March 16, 2021.</w:t>
      </w:r>
    </w:p>
    <w:p>
      <w:pPr>
        <w:spacing w:after="0" w:line="1" w:lineRule="exact"/>
        <w:rPr>
          <w:rFonts w:ascii="Arial" w:cs="Arial" w:eastAsia="Arial" w:hAnsi="Arial"/>
          <w:sz w:val="26"/>
          <w:szCs w:val="26"/>
          <w:color w:val="262626"/>
          <w:vertAlign w:val="superscript"/>
        </w:rPr>
      </w:pPr>
    </w:p>
    <w:p>
      <w:pPr>
        <w:jc w:val="both"/>
        <w:ind w:left="540" w:hanging="424"/>
        <w:spacing w:after="0" w:line="197" w:lineRule="auto"/>
        <w:tabs>
          <w:tab w:leader="none" w:pos="540" w:val="left"/>
        </w:tabs>
        <w:numPr>
          <w:ilvl w:val="0"/>
          <w:numId w:val="34"/>
        </w:numPr>
        <w:rPr>
          <w:rFonts w:ascii="Arial" w:cs="Arial" w:eastAsia="Arial" w:hAnsi="Arial"/>
          <w:sz w:val="28"/>
          <w:szCs w:val="28"/>
          <w:color w:val="262626"/>
          <w:vertAlign w:val="superscript"/>
        </w:rPr>
      </w:pPr>
      <w:r>
        <w:rPr>
          <w:rFonts w:ascii="Arial" w:cs="Arial" w:eastAsia="Arial" w:hAnsi="Arial"/>
          <w:sz w:val="16"/>
          <w:szCs w:val="16"/>
          <w:color w:val="262626"/>
        </w:rPr>
        <w:t>Information based on a Schedule 13G/A filed with the SEC on February 10, 2021 by The Vanguard Group which states that The Vanguard Group, an investment advisor, has shared voting power over 268,291 Shares, sole dispositive power over 10,867,683 Shares and shared dispositive power over 462,969 Shares.</w:t>
      </w:r>
    </w:p>
    <w:p>
      <w:pPr>
        <w:jc w:val="both"/>
        <w:ind w:left="540" w:hanging="424"/>
        <w:spacing w:after="0" w:line="207" w:lineRule="auto"/>
        <w:tabs>
          <w:tab w:leader="none" w:pos="540" w:val="left"/>
        </w:tabs>
        <w:numPr>
          <w:ilvl w:val="0"/>
          <w:numId w:val="34"/>
        </w:numPr>
        <w:rPr>
          <w:rFonts w:ascii="Arial" w:cs="Arial" w:eastAsia="Arial" w:hAnsi="Arial"/>
          <w:sz w:val="28"/>
          <w:szCs w:val="28"/>
          <w:color w:val="262626"/>
          <w:vertAlign w:val="superscript"/>
        </w:rPr>
      </w:pPr>
      <w:r>
        <w:rPr>
          <w:rFonts w:ascii="Arial" w:cs="Arial" w:eastAsia="Arial" w:hAnsi="Arial"/>
          <w:sz w:val="16"/>
          <w:szCs w:val="16"/>
          <w:color w:val="262626"/>
        </w:rPr>
        <w:t>Information based on a Schedule 13G filed with the SEC on February 11, 2021 by State Street Corporation, which states that State Street Corporation, a parent holding company, has shared voting power over 7,962,860 Shares and shared dispositive power over 8,451,842 Shares and that SSGA Funds Management, Inc., a subsidiary of State Street Corporation, has shared voting power over 4,822,602 Shares and shared dispositive power over 4,851,750 Shares.</w:t>
      </w:r>
    </w:p>
    <w:p>
      <w:pPr>
        <w:spacing w:after="0" w:line="2" w:lineRule="exact"/>
        <w:rPr>
          <w:rFonts w:ascii="Arial" w:cs="Arial" w:eastAsia="Arial" w:hAnsi="Arial"/>
          <w:sz w:val="28"/>
          <w:szCs w:val="28"/>
          <w:color w:val="262626"/>
          <w:vertAlign w:val="superscript"/>
        </w:rPr>
      </w:pPr>
    </w:p>
    <w:p>
      <w:pPr>
        <w:ind w:left="540" w:hanging="424"/>
        <w:spacing w:after="0" w:line="187" w:lineRule="auto"/>
        <w:tabs>
          <w:tab w:leader="none" w:pos="540" w:val="left"/>
        </w:tabs>
        <w:numPr>
          <w:ilvl w:val="0"/>
          <w:numId w:val="34"/>
        </w:numPr>
        <w:rPr>
          <w:rFonts w:ascii="Arial" w:cs="Arial" w:eastAsia="Arial" w:hAnsi="Arial"/>
          <w:sz w:val="26"/>
          <w:szCs w:val="26"/>
          <w:color w:val="262626"/>
          <w:vertAlign w:val="superscript"/>
        </w:rPr>
      </w:pPr>
      <w:r>
        <w:rPr>
          <w:rFonts w:ascii="Arial" w:cs="Arial" w:eastAsia="Arial" w:hAnsi="Arial"/>
          <w:sz w:val="16"/>
          <w:szCs w:val="16"/>
          <w:color w:val="262626"/>
        </w:rPr>
        <w:t>Information based on a Schedule 13G/A filed with the SEC on January 28, 2021 by Norges Bank (The Central Bank of Norway) which states that Norges Bank (The Central Bank of Norway) has sole voting power and sole dispositive power over 7,212,626 Shares.</w:t>
      </w:r>
    </w:p>
    <w:p>
      <w:pPr>
        <w:spacing w:after="0" w:line="1" w:lineRule="exact"/>
        <w:rPr>
          <w:rFonts w:ascii="Arial" w:cs="Arial" w:eastAsia="Arial" w:hAnsi="Arial"/>
          <w:sz w:val="26"/>
          <w:szCs w:val="26"/>
          <w:color w:val="262626"/>
          <w:vertAlign w:val="superscript"/>
        </w:rPr>
      </w:pPr>
    </w:p>
    <w:p>
      <w:pPr>
        <w:ind w:left="540" w:hanging="424"/>
        <w:spacing w:after="0" w:line="187" w:lineRule="auto"/>
        <w:tabs>
          <w:tab w:leader="none" w:pos="540" w:val="left"/>
        </w:tabs>
        <w:numPr>
          <w:ilvl w:val="0"/>
          <w:numId w:val="34"/>
        </w:numPr>
        <w:rPr>
          <w:rFonts w:ascii="Arial" w:cs="Arial" w:eastAsia="Arial" w:hAnsi="Arial"/>
          <w:sz w:val="26"/>
          <w:szCs w:val="26"/>
          <w:color w:val="262626"/>
          <w:vertAlign w:val="superscript"/>
        </w:rPr>
      </w:pPr>
      <w:r>
        <w:rPr>
          <w:rFonts w:ascii="Arial" w:cs="Arial" w:eastAsia="Arial" w:hAnsi="Arial"/>
          <w:sz w:val="16"/>
          <w:szCs w:val="16"/>
          <w:color w:val="262626"/>
        </w:rPr>
        <w:t>Information based on a Schedule 13G/A filed with the SEC on January 29, 2021 by BlackRock, Inc., which states that BlackRock, Inc., a parent holding company, has sole voting power over 6,521,074 Shares and sole dispositive power over 7,148,187 Shares.</w:t>
      </w:r>
    </w:p>
    <w:p>
      <w:pPr>
        <w:spacing w:after="0" w:line="1" w:lineRule="exact"/>
        <w:rPr>
          <w:rFonts w:ascii="Arial" w:cs="Arial" w:eastAsia="Arial" w:hAnsi="Arial"/>
          <w:sz w:val="26"/>
          <w:szCs w:val="26"/>
          <w:color w:val="262626"/>
          <w:vertAlign w:val="superscript"/>
        </w:rPr>
      </w:pPr>
    </w:p>
    <w:p>
      <w:pPr>
        <w:ind w:left="540" w:hanging="424"/>
        <w:spacing w:after="0" w:line="181" w:lineRule="auto"/>
        <w:tabs>
          <w:tab w:leader="none" w:pos="540" w:val="left"/>
        </w:tabs>
        <w:numPr>
          <w:ilvl w:val="0"/>
          <w:numId w:val="34"/>
        </w:numPr>
        <w:rPr>
          <w:rFonts w:ascii="Arial" w:cs="Arial" w:eastAsia="Arial" w:hAnsi="Arial"/>
          <w:sz w:val="28"/>
          <w:szCs w:val="28"/>
          <w:color w:val="262626"/>
          <w:vertAlign w:val="superscript"/>
        </w:rPr>
      </w:pPr>
      <w:r>
        <w:rPr>
          <w:rFonts w:ascii="Arial" w:cs="Arial" w:eastAsia="Arial" w:hAnsi="Arial"/>
          <w:sz w:val="16"/>
          <w:szCs w:val="16"/>
          <w:color w:val="262626"/>
        </w:rPr>
        <w:t>Information based on a Schedule 13G filed with the SEC on February 16, 2021 by Capital Research Global Investors which states that Capital Research Global Investors, an investment advisor, has sole voting and sole dispositive power over 4,246,220 Shares.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Ownership of Trustees and Executive Officers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The table below reflects beneficial ownership of our Trustees and all current NEOs as of March 16, 2021 determined in accordance with Rule 13d-3 of the Securities Exchange Act of 1934, as amended (the “Exchange Act”). Unless noted in the footnotes following the table, each Trustee and NEO has sole voting and investment power as to all Shares listed.</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F73A25"/>
              </w:rPr>
              <w:t>Percentage of</w:t>
            </w: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F73A25"/>
              </w:rPr>
              <w:t>Unvested</w:t>
            </w:r>
          </w:p>
        </w:tc>
        <w:tc>
          <w:tcPr>
            <w:tcW w:w="1360" w:type="dxa"/>
            <w:vAlign w:val="bottom"/>
          </w:tcPr>
          <w:p>
            <w:pPr>
              <w:jc w:val="right"/>
              <w:ind w:right="72"/>
              <w:spacing w:after="0"/>
              <w:rPr>
                <w:sz w:val="20"/>
                <w:szCs w:val="20"/>
                <w:color w:val="auto"/>
              </w:rPr>
            </w:pPr>
            <w:r>
              <w:rPr>
                <w:rFonts w:ascii="Arial" w:cs="Arial" w:eastAsia="Arial" w:hAnsi="Arial"/>
                <w:sz w:val="16"/>
                <w:szCs w:val="16"/>
                <w:b w:val="1"/>
                <w:bCs w:val="1"/>
                <w:color w:val="F73A25"/>
              </w:rPr>
              <w:t>Total Shares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F73A25"/>
              </w:rPr>
              <w:t>Outstanding</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F73A25"/>
              </w:rPr>
              <w:t>Restricted</w:t>
            </w:r>
          </w:p>
        </w:tc>
        <w:tc>
          <w:tcPr>
            <w:tcW w:w="1360" w:type="dxa"/>
            <w:vAlign w:val="bottom"/>
          </w:tcPr>
          <w:p>
            <w:pPr>
              <w:jc w:val="right"/>
              <w:ind w:right="72"/>
              <w:spacing w:after="0"/>
              <w:rPr>
                <w:sz w:val="20"/>
                <w:szCs w:val="20"/>
                <w:color w:val="auto"/>
              </w:rPr>
            </w:pPr>
            <w:r>
              <w:rPr>
                <w:rFonts w:ascii="Arial" w:cs="Arial" w:eastAsia="Arial" w:hAnsi="Arial"/>
                <w:sz w:val="16"/>
                <w:szCs w:val="16"/>
                <w:b w:val="1"/>
                <w:bCs w:val="1"/>
                <w:color w:val="F73A25"/>
              </w:rPr>
              <w:t>Beneficially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F73A25"/>
              </w:rPr>
              <w:t>Shares</w:t>
            </w:r>
          </w:p>
        </w:tc>
        <w:tc>
          <w:tcPr>
            <w:tcW w:w="0" w:type="dxa"/>
            <w:vAlign w:val="bottom"/>
          </w:tcPr>
          <w:p>
            <w:pPr>
              <w:spacing w:after="0"/>
              <w:rPr>
                <w:sz w:val="1"/>
                <w:szCs w:val="1"/>
                <w:color w:val="auto"/>
              </w:rPr>
            </w:pPr>
          </w:p>
        </w:tc>
      </w:tr>
      <w:tr>
        <w:trPr>
          <w:trHeight w:val="208"/>
        </w:trPr>
        <w:tc>
          <w:tcPr>
            <w:tcW w:w="5380" w:type="dxa"/>
            <w:vAlign w:val="bottom"/>
            <w:tcBorders>
              <w:bottom w:val="single" w:sz="8" w:color="262626"/>
            </w:tcBorders>
          </w:tcPr>
          <w:p>
            <w:pPr>
              <w:spacing w:after="0" w:line="207" w:lineRule="exact"/>
              <w:rPr>
                <w:sz w:val="20"/>
                <w:szCs w:val="20"/>
                <w:color w:val="auto"/>
              </w:rPr>
            </w:pPr>
            <w:r>
              <w:rPr>
                <w:rFonts w:ascii="Arial" w:cs="Arial" w:eastAsia="Arial" w:hAnsi="Arial"/>
                <w:sz w:val="15"/>
                <w:szCs w:val="15"/>
                <w:b w:val="1"/>
                <w:bCs w:val="1"/>
                <w:color w:val="F73A25"/>
              </w:rPr>
              <w:t>Name and Address of Beneficial Owner</w:t>
            </w:r>
            <w:r>
              <w:rPr>
                <w:rFonts w:ascii="Arial" w:cs="Arial" w:eastAsia="Arial" w:hAnsi="Arial"/>
                <w:sz w:val="24"/>
                <w:szCs w:val="24"/>
                <w:b w:val="1"/>
                <w:bCs w:val="1"/>
                <w:color w:val="F73A25"/>
                <w:vertAlign w:val="superscript"/>
              </w:rPr>
              <w:t>(1)</w:t>
            </w:r>
          </w:p>
        </w:tc>
        <w:tc>
          <w:tcPr>
            <w:tcW w:w="1220" w:type="dxa"/>
            <w:vAlign w:val="bottom"/>
            <w:tcBorders>
              <w:bottom w:val="single" w:sz="8" w:color="262626"/>
            </w:tcBorders>
          </w:tcPr>
          <w:p>
            <w:pPr>
              <w:jc w:val="right"/>
              <w:ind w:right="111"/>
              <w:spacing w:after="0"/>
              <w:rPr>
                <w:sz w:val="20"/>
                <w:szCs w:val="20"/>
                <w:color w:val="auto"/>
              </w:rPr>
            </w:pPr>
            <w:r>
              <w:rPr>
                <w:rFonts w:ascii="Arial" w:cs="Arial" w:eastAsia="Arial" w:hAnsi="Arial"/>
                <w:sz w:val="16"/>
                <w:szCs w:val="16"/>
                <w:b w:val="1"/>
                <w:bCs w:val="1"/>
                <w:color w:val="F73A25"/>
              </w:rPr>
              <w:t>Common</w:t>
            </w:r>
          </w:p>
        </w:tc>
        <w:tc>
          <w:tcPr>
            <w:tcW w:w="1240" w:type="dxa"/>
            <w:vAlign w:val="bottom"/>
            <w:tcBorders>
              <w:bottom w:val="single" w:sz="8" w:color="262626"/>
            </w:tcBorders>
          </w:tcPr>
          <w:p>
            <w:pPr>
              <w:jc w:val="right"/>
              <w:ind w:right="152"/>
              <w:spacing w:after="0"/>
              <w:rPr>
                <w:sz w:val="20"/>
                <w:szCs w:val="20"/>
                <w:color w:val="auto"/>
              </w:rPr>
            </w:pPr>
            <w:r>
              <w:rPr>
                <w:rFonts w:ascii="Arial" w:cs="Arial" w:eastAsia="Arial" w:hAnsi="Arial"/>
                <w:sz w:val="16"/>
                <w:szCs w:val="16"/>
                <w:b w:val="1"/>
                <w:bCs w:val="1"/>
                <w:color w:val="F73A25"/>
              </w:rPr>
              <w:t>Shares</w:t>
            </w:r>
          </w:p>
        </w:tc>
        <w:tc>
          <w:tcPr>
            <w:tcW w:w="1360" w:type="dxa"/>
            <w:vAlign w:val="bottom"/>
            <w:tcBorders>
              <w:bottom w:val="single" w:sz="8" w:color="262626"/>
            </w:tcBorders>
          </w:tcPr>
          <w:p>
            <w:pPr>
              <w:jc w:val="right"/>
              <w:ind w:right="72"/>
              <w:spacing w:after="0"/>
              <w:rPr>
                <w:sz w:val="20"/>
                <w:szCs w:val="20"/>
                <w:color w:val="auto"/>
              </w:rPr>
            </w:pPr>
            <w:r>
              <w:rPr>
                <w:rFonts w:ascii="Arial" w:cs="Arial" w:eastAsia="Arial" w:hAnsi="Arial"/>
                <w:sz w:val="16"/>
                <w:szCs w:val="16"/>
                <w:b w:val="1"/>
                <w:bCs w:val="1"/>
                <w:color w:val="F73A25"/>
              </w:rPr>
              <w:t>Owned</w:t>
            </w:r>
          </w:p>
        </w:tc>
        <w:tc>
          <w:tcPr>
            <w:tcW w:w="1360" w:type="dxa"/>
            <w:vAlign w:val="bottom"/>
            <w:tcBorders>
              <w:bottom w:val="single" w:sz="8" w:color="262626"/>
            </w:tcBorders>
          </w:tcPr>
          <w:p>
            <w:pPr>
              <w:jc w:val="center"/>
              <w:spacing w:after="0" w:line="207" w:lineRule="exact"/>
              <w:rPr>
                <w:sz w:val="20"/>
                <w:szCs w:val="20"/>
                <w:color w:val="auto"/>
              </w:rPr>
            </w:pPr>
            <w:r>
              <w:rPr>
                <w:rFonts w:ascii="Arial" w:cs="Arial" w:eastAsia="Arial" w:hAnsi="Arial"/>
                <w:sz w:val="15"/>
                <w:szCs w:val="15"/>
                <w:b w:val="1"/>
                <w:bCs w:val="1"/>
                <w:color w:val="F73A25"/>
              </w:rPr>
              <w:t>Owned</w:t>
            </w:r>
            <w:r>
              <w:rPr>
                <w:rFonts w:ascii="Arial" w:cs="Arial" w:eastAsia="Arial" w:hAnsi="Arial"/>
                <w:sz w:val="24"/>
                <w:szCs w:val="24"/>
                <w:b w:val="1"/>
                <w:bCs w:val="1"/>
                <w:color w:val="F73A25"/>
                <w:vertAlign w:val="superscript"/>
              </w:rPr>
              <w:t>(2)</w:t>
            </w:r>
          </w:p>
        </w:tc>
        <w:tc>
          <w:tcPr>
            <w:tcW w:w="0" w:type="dxa"/>
            <w:vAlign w:val="bottom"/>
          </w:tcPr>
          <w:p>
            <w:pPr>
              <w:spacing w:after="0"/>
              <w:rPr>
                <w:sz w:val="1"/>
                <w:szCs w:val="1"/>
                <w:color w:val="auto"/>
              </w:rPr>
            </w:pPr>
          </w:p>
        </w:tc>
      </w:tr>
      <w:tr>
        <w:trPr>
          <w:trHeight w:val="195"/>
        </w:trPr>
        <w:tc>
          <w:tcPr>
            <w:tcW w:w="5380" w:type="dxa"/>
            <w:vAlign w:val="bottom"/>
            <w:shd w:val="clear" w:color="auto" w:fill="EAEFED"/>
          </w:tcPr>
          <w:p>
            <w:pPr>
              <w:spacing w:after="0" w:line="195" w:lineRule="exact"/>
              <w:rPr>
                <w:sz w:val="20"/>
                <w:szCs w:val="20"/>
                <w:color w:val="auto"/>
              </w:rPr>
            </w:pPr>
            <w:r>
              <w:rPr>
                <w:rFonts w:ascii="Arial" w:cs="Arial" w:eastAsia="Arial" w:hAnsi="Arial"/>
                <w:sz w:val="18"/>
                <w:szCs w:val="18"/>
                <w:color w:val="262626"/>
              </w:rPr>
              <w:t>Dawn M. Becker</w:t>
            </w:r>
          </w:p>
        </w:tc>
        <w:tc>
          <w:tcPr>
            <w:tcW w:w="1220" w:type="dxa"/>
            <w:vAlign w:val="bottom"/>
          </w:tcPr>
          <w:p>
            <w:pPr>
              <w:jc w:val="right"/>
              <w:ind w:right="111"/>
              <w:spacing w:after="0" w:line="195" w:lineRule="exact"/>
              <w:rPr>
                <w:sz w:val="20"/>
                <w:szCs w:val="20"/>
                <w:color w:val="auto"/>
              </w:rPr>
            </w:pPr>
            <w:r>
              <w:rPr>
                <w:rFonts w:ascii="Arial" w:cs="Arial" w:eastAsia="Arial" w:hAnsi="Arial"/>
                <w:sz w:val="18"/>
                <w:szCs w:val="18"/>
                <w:color w:val="262626"/>
              </w:rPr>
              <w:t>130,354</w:t>
            </w:r>
          </w:p>
        </w:tc>
        <w:tc>
          <w:tcPr>
            <w:tcW w:w="1240" w:type="dxa"/>
            <w:vAlign w:val="bottom"/>
          </w:tcPr>
          <w:p>
            <w:pPr>
              <w:jc w:val="right"/>
              <w:ind w:right="152"/>
              <w:spacing w:after="0" w:line="195" w:lineRule="exact"/>
              <w:rPr>
                <w:sz w:val="20"/>
                <w:szCs w:val="20"/>
                <w:color w:val="auto"/>
              </w:rPr>
            </w:pPr>
            <w:r>
              <w:rPr>
                <w:rFonts w:ascii="Arial" w:cs="Arial" w:eastAsia="Arial" w:hAnsi="Arial"/>
                <w:sz w:val="18"/>
                <w:szCs w:val="18"/>
                <w:color w:val="262626"/>
              </w:rPr>
              <w:t>12,878</w:t>
            </w:r>
          </w:p>
        </w:tc>
        <w:tc>
          <w:tcPr>
            <w:tcW w:w="1360" w:type="dxa"/>
            <w:vAlign w:val="bottom"/>
          </w:tcPr>
          <w:p>
            <w:pPr>
              <w:jc w:val="right"/>
              <w:ind w:right="72"/>
              <w:spacing w:after="0" w:line="195" w:lineRule="exact"/>
              <w:rPr>
                <w:sz w:val="20"/>
                <w:szCs w:val="20"/>
                <w:color w:val="auto"/>
              </w:rPr>
            </w:pPr>
            <w:r>
              <w:rPr>
                <w:rFonts w:ascii="Arial" w:cs="Arial" w:eastAsia="Arial" w:hAnsi="Arial"/>
                <w:sz w:val="18"/>
                <w:szCs w:val="18"/>
                <w:color w:val="262626"/>
              </w:rPr>
              <w:t>143,232</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0"/>
        </w:trPr>
        <w:tc>
          <w:tcPr>
            <w:tcW w:w="5380" w:type="dxa"/>
            <w:vAlign w:val="bottom"/>
            <w:shd w:val="clear" w:color="auto" w:fill="EAEFED"/>
          </w:tcPr>
          <w:p>
            <w:pPr>
              <w:spacing w:after="0" w:line="200" w:lineRule="exact"/>
              <w:rPr>
                <w:sz w:val="20"/>
                <w:szCs w:val="20"/>
                <w:color w:val="auto"/>
              </w:rPr>
            </w:pPr>
            <w:r>
              <w:rPr>
                <w:rFonts w:ascii="Arial" w:cs="Arial" w:eastAsia="Arial" w:hAnsi="Arial"/>
                <w:sz w:val="18"/>
                <w:szCs w:val="18"/>
                <w:color w:val="262626"/>
              </w:rPr>
              <w:t>Jeffrey S. Berkes</w:t>
            </w:r>
          </w:p>
        </w:tc>
        <w:tc>
          <w:tcPr>
            <w:tcW w:w="1220" w:type="dxa"/>
            <w:vAlign w:val="bottom"/>
          </w:tcPr>
          <w:p>
            <w:pPr>
              <w:jc w:val="right"/>
              <w:ind w:right="111"/>
              <w:spacing w:after="0" w:line="200" w:lineRule="exact"/>
              <w:rPr>
                <w:sz w:val="20"/>
                <w:szCs w:val="20"/>
                <w:color w:val="auto"/>
              </w:rPr>
            </w:pPr>
            <w:r>
              <w:rPr>
                <w:rFonts w:ascii="Arial" w:cs="Arial" w:eastAsia="Arial" w:hAnsi="Arial"/>
                <w:sz w:val="18"/>
                <w:szCs w:val="18"/>
                <w:color w:val="262626"/>
              </w:rPr>
              <w:t>20,540</w:t>
            </w:r>
          </w:p>
        </w:tc>
        <w:tc>
          <w:tcPr>
            <w:tcW w:w="1240" w:type="dxa"/>
            <w:vAlign w:val="bottom"/>
          </w:tcPr>
          <w:p>
            <w:pPr>
              <w:jc w:val="right"/>
              <w:ind w:right="152"/>
              <w:spacing w:after="0" w:line="200" w:lineRule="exact"/>
              <w:rPr>
                <w:sz w:val="20"/>
                <w:szCs w:val="20"/>
                <w:color w:val="auto"/>
              </w:rPr>
            </w:pPr>
            <w:r>
              <w:rPr>
                <w:rFonts w:ascii="Arial" w:cs="Arial" w:eastAsia="Arial" w:hAnsi="Arial"/>
                <w:sz w:val="18"/>
                <w:szCs w:val="18"/>
                <w:color w:val="262626"/>
              </w:rPr>
              <w:t>42,117</w:t>
            </w:r>
          </w:p>
        </w:tc>
        <w:tc>
          <w:tcPr>
            <w:tcW w:w="1360" w:type="dxa"/>
            <w:vAlign w:val="bottom"/>
          </w:tcPr>
          <w:p>
            <w:pPr>
              <w:jc w:val="right"/>
              <w:ind w:right="72"/>
              <w:spacing w:after="0" w:line="200" w:lineRule="exact"/>
              <w:rPr>
                <w:sz w:val="20"/>
                <w:szCs w:val="20"/>
                <w:color w:val="auto"/>
              </w:rPr>
            </w:pPr>
            <w:r>
              <w:rPr>
                <w:rFonts w:ascii="Arial" w:cs="Arial" w:eastAsia="Arial" w:hAnsi="Arial"/>
                <w:sz w:val="18"/>
                <w:szCs w:val="18"/>
                <w:color w:val="262626"/>
              </w:rPr>
              <w:t>62,657</w:t>
            </w:r>
          </w:p>
        </w:tc>
        <w:tc>
          <w:tcPr>
            <w:tcW w:w="1360" w:type="dxa"/>
            <w:vAlign w:val="bottom"/>
          </w:tcPr>
          <w:p>
            <w:pPr>
              <w:jc w:val="center"/>
              <w:spacing w:after="0" w:line="200"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5"/>
        </w:trPr>
        <w:tc>
          <w:tcPr>
            <w:tcW w:w="5380" w:type="dxa"/>
            <w:vAlign w:val="bottom"/>
            <w:shd w:val="clear" w:color="auto" w:fill="EAEFED"/>
          </w:tcPr>
          <w:p>
            <w:pPr>
              <w:spacing w:after="0" w:line="205" w:lineRule="exact"/>
              <w:rPr>
                <w:sz w:val="20"/>
                <w:szCs w:val="20"/>
                <w:color w:val="auto"/>
              </w:rPr>
            </w:pPr>
            <w:r>
              <w:rPr>
                <w:rFonts w:ascii="Arial" w:cs="Arial" w:eastAsia="Arial" w:hAnsi="Arial"/>
                <w:sz w:val="18"/>
                <w:szCs w:val="18"/>
                <w:color w:val="262626"/>
              </w:rPr>
              <w:t>Jon E. Bortz</w:t>
            </w:r>
            <w:r>
              <w:rPr>
                <w:rFonts w:ascii="Arial" w:cs="Arial" w:eastAsia="Arial" w:hAnsi="Arial"/>
                <w:sz w:val="15"/>
                <w:szCs w:val="15"/>
                <w:color w:val="262626"/>
              </w:rPr>
              <w:t>(3)</w:t>
            </w:r>
          </w:p>
        </w:tc>
        <w:tc>
          <w:tcPr>
            <w:tcW w:w="1220" w:type="dxa"/>
            <w:vAlign w:val="bottom"/>
          </w:tcPr>
          <w:p>
            <w:pPr>
              <w:jc w:val="right"/>
              <w:ind w:right="111"/>
              <w:spacing w:after="0" w:line="205" w:lineRule="exact"/>
              <w:rPr>
                <w:sz w:val="20"/>
                <w:szCs w:val="20"/>
                <w:color w:val="auto"/>
              </w:rPr>
            </w:pPr>
            <w:r>
              <w:rPr>
                <w:rFonts w:ascii="Arial" w:cs="Arial" w:eastAsia="Arial" w:hAnsi="Arial"/>
                <w:sz w:val="18"/>
                <w:szCs w:val="18"/>
                <w:color w:val="262626"/>
              </w:rPr>
              <w:t>12,921</w:t>
            </w:r>
          </w:p>
        </w:tc>
        <w:tc>
          <w:tcPr>
            <w:tcW w:w="1240" w:type="dxa"/>
            <w:vAlign w:val="bottom"/>
          </w:tcPr>
          <w:p>
            <w:pPr>
              <w:jc w:val="right"/>
              <w:ind w:right="152"/>
              <w:spacing w:after="0" w:line="205"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5" w:lineRule="exact"/>
              <w:rPr>
                <w:sz w:val="20"/>
                <w:szCs w:val="20"/>
                <w:color w:val="auto"/>
              </w:rPr>
            </w:pPr>
            <w:r>
              <w:rPr>
                <w:rFonts w:ascii="Arial" w:cs="Arial" w:eastAsia="Arial" w:hAnsi="Arial"/>
                <w:sz w:val="18"/>
                <w:szCs w:val="18"/>
                <w:color w:val="262626"/>
              </w:rPr>
              <w:t>12,921</w:t>
            </w:r>
          </w:p>
        </w:tc>
        <w:tc>
          <w:tcPr>
            <w:tcW w:w="1360" w:type="dxa"/>
            <w:vAlign w:val="bottom"/>
          </w:tcPr>
          <w:p>
            <w:pPr>
              <w:jc w:val="center"/>
              <w:spacing w:after="0" w:line="205"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David W. Faeder</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12,578</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12,578</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Daniel Guglielmone</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17,151</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19,390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36,541</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Elizabeth I. Holland</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4,084</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4,084</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Nicole Y. Lamb-Hale</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470</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470</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Anthony P. Nader, III</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470</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470</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Mark S. Ordan</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2,222</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2,222</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3"/>
        </w:trPr>
        <w:tc>
          <w:tcPr>
            <w:tcW w:w="5380" w:type="dxa"/>
            <w:vAlign w:val="bottom"/>
            <w:shd w:val="clear" w:color="auto" w:fill="EAEFED"/>
          </w:tcPr>
          <w:p>
            <w:pPr>
              <w:spacing w:after="0" w:line="202" w:lineRule="exact"/>
              <w:rPr>
                <w:sz w:val="20"/>
                <w:szCs w:val="20"/>
                <w:color w:val="auto"/>
              </w:rPr>
            </w:pPr>
            <w:r>
              <w:rPr>
                <w:rFonts w:ascii="Arial" w:cs="Arial" w:eastAsia="Arial" w:hAnsi="Arial"/>
                <w:sz w:val="18"/>
                <w:szCs w:val="18"/>
                <w:color w:val="262626"/>
              </w:rPr>
              <w:t>Gail P. Steinel</w:t>
            </w:r>
          </w:p>
        </w:tc>
        <w:tc>
          <w:tcPr>
            <w:tcW w:w="1220" w:type="dxa"/>
            <w:vAlign w:val="bottom"/>
          </w:tcPr>
          <w:p>
            <w:pPr>
              <w:jc w:val="right"/>
              <w:ind w:right="111"/>
              <w:spacing w:after="0" w:line="202" w:lineRule="exact"/>
              <w:rPr>
                <w:sz w:val="20"/>
                <w:szCs w:val="20"/>
                <w:color w:val="auto"/>
              </w:rPr>
            </w:pPr>
            <w:r>
              <w:rPr>
                <w:rFonts w:ascii="Arial" w:cs="Arial" w:eastAsia="Arial" w:hAnsi="Arial"/>
                <w:sz w:val="18"/>
                <w:szCs w:val="18"/>
                <w:color w:val="262626"/>
              </w:rPr>
              <w:t>12,374</w:t>
            </w: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2" w:lineRule="exact"/>
              <w:rPr>
                <w:sz w:val="20"/>
                <w:szCs w:val="20"/>
                <w:color w:val="auto"/>
              </w:rPr>
            </w:pPr>
            <w:r>
              <w:rPr>
                <w:rFonts w:ascii="Arial" w:cs="Arial" w:eastAsia="Arial" w:hAnsi="Arial"/>
                <w:sz w:val="18"/>
                <w:szCs w:val="18"/>
                <w:color w:val="262626"/>
              </w:rPr>
              <w:t>12,374</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0"/>
        </w:trPr>
        <w:tc>
          <w:tcPr>
            <w:tcW w:w="5380" w:type="dxa"/>
            <w:vAlign w:val="bottom"/>
            <w:shd w:val="clear" w:color="auto" w:fill="EAEFED"/>
          </w:tcPr>
          <w:p>
            <w:pPr>
              <w:spacing w:after="0" w:line="200" w:lineRule="exact"/>
              <w:rPr>
                <w:sz w:val="20"/>
                <w:szCs w:val="20"/>
                <w:color w:val="auto"/>
              </w:rPr>
            </w:pPr>
            <w:r>
              <w:rPr>
                <w:rFonts w:ascii="Arial" w:cs="Arial" w:eastAsia="Arial" w:hAnsi="Arial"/>
                <w:sz w:val="18"/>
                <w:szCs w:val="18"/>
                <w:color w:val="262626"/>
              </w:rPr>
              <w:t>Joseph S. Vassalluzzo</w:t>
            </w:r>
          </w:p>
        </w:tc>
        <w:tc>
          <w:tcPr>
            <w:tcW w:w="1220" w:type="dxa"/>
            <w:vAlign w:val="bottom"/>
          </w:tcPr>
          <w:p>
            <w:pPr>
              <w:jc w:val="right"/>
              <w:ind w:right="111"/>
              <w:spacing w:after="0" w:line="200" w:lineRule="exact"/>
              <w:rPr>
                <w:sz w:val="20"/>
                <w:szCs w:val="20"/>
                <w:color w:val="auto"/>
              </w:rPr>
            </w:pPr>
            <w:r>
              <w:rPr>
                <w:rFonts w:ascii="Arial" w:cs="Arial" w:eastAsia="Arial" w:hAnsi="Arial"/>
                <w:sz w:val="18"/>
                <w:szCs w:val="18"/>
                <w:color w:val="262626"/>
              </w:rPr>
              <w:t>25,718</w:t>
            </w:r>
          </w:p>
        </w:tc>
        <w:tc>
          <w:tcPr>
            <w:tcW w:w="1240" w:type="dxa"/>
            <w:vAlign w:val="bottom"/>
          </w:tcPr>
          <w:p>
            <w:pPr>
              <w:jc w:val="right"/>
              <w:ind w:right="152"/>
              <w:spacing w:after="0" w:line="200" w:lineRule="exact"/>
              <w:rPr>
                <w:sz w:val="20"/>
                <w:szCs w:val="20"/>
                <w:color w:val="auto"/>
              </w:rPr>
            </w:pPr>
            <w:r>
              <w:rPr>
                <w:rFonts w:ascii="Arial" w:cs="Arial" w:eastAsia="Arial" w:hAnsi="Arial"/>
                <w:sz w:val="18"/>
                <w:szCs w:val="18"/>
                <w:color w:val="262626"/>
              </w:rPr>
              <w:t>0</w:t>
            </w:r>
          </w:p>
        </w:tc>
        <w:tc>
          <w:tcPr>
            <w:tcW w:w="1360" w:type="dxa"/>
            <w:vAlign w:val="bottom"/>
          </w:tcPr>
          <w:p>
            <w:pPr>
              <w:jc w:val="right"/>
              <w:ind w:right="72"/>
              <w:spacing w:after="0" w:line="200" w:lineRule="exact"/>
              <w:rPr>
                <w:sz w:val="20"/>
                <w:szCs w:val="20"/>
                <w:color w:val="auto"/>
              </w:rPr>
            </w:pPr>
            <w:r>
              <w:rPr>
                <w:rFonts w:ascii="Arial" w:cs="Arial" w:eastAsia="Arial" w:hAnsi="Arial"/>
                <w:sz w:val="18"/>
                <w:szCs w:val="18"/>
                <w:color w:val="262626"/>
              </w:rPr>
              <w:t>25,718</w:t>
            </w:r>
          </w:p>
        </w:tc>
        <w:tc>
          <w:tcPr>
            <w:tcW w:w="1360" w:type="dxa"/>
            <w:vAlign w:val="bottom"/>
          </w:tcPr>
          <w:p>
            <w:pPr>
              <w:jc w:val="center"/>
              <w:spacing w:after="0" w:line="200"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206"/>
        </w:trPr>
        <w:tc>
          <w:tcPr>
            <w:tcW w:w="5380" w:type="dxa"/>
            <w:vAlign w:val="bottom"/>
            <w:shd w:val="clear" w:color="auto" w:fill="EAEFED"/>
          </w:tcPr>
          <w:p>
            <w:pPr>
              <w:spacing w:after="0" w:line="206" w:lineRule="exact"/>
              <w:rPr>
                <w:sz w:val="20"/>
                <w:szCs w:val="20"/>
                <w:color w:val="auto"/>
              </w:rPr>
            </w:pPr>
            <w:r>
              <w:rPr>
                <w:rFonts w:ascii="Arial" w:cs="Arial" w:eastAsia="Arial" w:hAnsi="Arial"/>
                <w:sz w:val="18"/>
                <w:szCs w:val="18"/>
                <w:color w:val="262626"/>
              </w:rPr>
              <w:t>Donald C. Wood</w:t>
            </w:r>
            <w:r>
              <w:rPr>
                <w:rFonts w:ascii="Arial" w:cs="Arial" w:eastAsia="Arial" w:hAnsi="Arial"/>
                <w:sz w:val="15"/>
                <w:szCs w:val="15"/>
                <w:color w:val="262626"/>
              </w:rPr>
              <w:t>(4)</w:t>
            </w:r>
          </w:p>
        </w:tc>
        <w:tc>
          <w:tcPr>
            <w:tcW w:w="1220" w:type="dxa"/>
            <w:vAlign w:val="bottom"/>
            <w:tcBorders>
              <w:bottom w:val="single" w:sz="8" w:color="262626"/>
            </w:tcBorders>
          </w:tcPr>
          <w:p>
            <w:pPr>
              <w:jc w:val="right"/>
              <w:ind w:right="111"/>
              <w:spacing w:after="0" w:line="206" w:lineRule="exact"/>
              <w:rPr>
                <w:sz w:val="20"/>
                <w:szCs w:val="20"/>
                <w:color w:val="auto"/>
              </w:rPr>
            </w:pPr>
            <w:r>
              <w:rPr>
                <w:rFonts w:ascii="Arial" w:cs="Arial" w:eastAsia="Arial" w:hAnsi="Arial"/>
                <w:sz w:val="18"/>
                <w:szCs w:val="18"/>
                <w:color w:val="262626"/>
              </w:rPr>
              <w:t>363,947</w:t>
            </w:r>
          </w:p>
        </w:tc>
        <w:tc>
          <w:tcPr>
            <w:tcW w:w="1240" w:type="dxa"/>
            <w:vAlign w:val="bottom"/>
            <w:tcBorders>
              <w:bottom w:val="single" w:sz="8" w:color="262626"/>
            </w:tcBorders>
          </w:tcPr>
          <w:p>
            <w:pPr>
              <w:jc w:val="right"/>
              <w:ind w:right="152"/>
              <w:spacing w:after="0" w:line="206" w:lineRule="exact"/>
              <w:rPr>
                <w:sz w:val="20"/>
                <w:szCs w:val="20"/>
                <w:color w:val="auto"/>
              </w:rPr>
            </w:pPr>
            <w:r>
              <w:rPr>
                <w:rFonts w:ascii="Arial" w:cs="Arial" w:eastAsia="Arial" w:hAnsi="Arial"/>
                <w:sz w:val="18"/>
                <w:szCs w:val="18"/>
                <w:color w:val="262626"/>
              </w:rPr>
              <w:t>98,725</w:t>
            </w:r>
          </w:p>
        </w:tc>
        <w:tc>
          <w:tcPr>
            <w:tcW w:w="1360" w:type="dxa"/>
            <w:vAlign w:val="bottom"/>
            <w:tcBorders>
              <w:bottom w:val="single" w:sz="8" w:color="262626"/>
            </w:tcBorders>
          </w:tcPr>
          <w:p>
            <w:pPr>
              <w:jc w:val="right"/>
              <w:ind w:right="72"/>
              <w:spacing w:after="0" w:line="206" w:lineRule="exact"/>
              <w:rPr>
                <w:sz w:val="20"/>
                <w:szCs w:val="20"/>
                <w:color w:val="auto"/>
              </w:rPr>
            </w:pPr>
            <w:r>
              <w:rPr>
                <w:rFonts w:ascii="Arial" w:cs="Arial" w:eastAsia="Arial" w:hAnsi="Arial"/>
                <w:sz w:val="18"/>
                <w:szCs w:val="18"/>
                <w:color w:val="262626"/>
              </w:rPr>
              <w:t>462,672</w:t>
            </w:r>
          </w:p>
        </w:tc>
        <w:tc>
          <w:tcPr>
            <w:tcW w:w="1360" w:type="dxa"/>
            <w:vAlign w:val="bottom"/>
            <w:tcBorders>
              <w:bottom w:val="single" w:sz="8" w:color="262626"/>
            </w:tcBorders>
          </w:tcPr>
          <w:p>
            <w:pPr>
              <w:jc w:val="center"/>
              <w:spacing w:after="0" w:line="206" w:lineRule="exact"/>
              <w:rPr>
                <w:sz w:val="20"/>
                <w:szCs w:val="20"/>
                <w:color w:val="auto"/>
              </w:rPr>
            </w:pPr>
            <w:r>
              <w:rPr>
                <w:rFonts w:ascii="Arial" w:cs="Arial" w:eastAsia="Arial" w:hAnsi="Arial"/>
                <w:sz w:val="18"/>
                <w:szCs w:val="18"/>
                <w:color w:val="262626"/>
              </w:rPr>
              <w:t>*</w:t>
            </w:r>
          </w:p>
        </w:tc>
        <w:tc>
          <w:tcPr>
            <w:tcW w:w="0" w:type="dxa"/>
            <w:vAlign w:val="bottom"/>
          </w:tcPr>
          <w:p>
            <w:pPr>
              <w:spacing w:after="0"/>
              <w:rPr>
                <w:sz w:val="1"/>
                <w:szCs w:val="1"/>
                <w:color w:val="auto"/>
              </w:rPr>
            </w:pPr>
          </w:p>
        </w:tc>
      </w:tr>
      <w:tr>
        <w:trPr>
          <w:trHeight w:val="182"/>
        </w:trPr>
        <w:tc>
          <w:tcPr>
            <w:tcW w:w="5380" w:type="dxa"/>
            <w:vAlign w:val="bottom"/>
          </w:tcPr>
          <w:p>
            <w:pPr>
              <w:spacing w:after="0" w:line="182" w:lineRule="exact"/>
              <w:rPr>
                <w:sz w:val="20"/>
                <w:szCs w:val="20"/>
                <w:color w:val="auto"/>
              </w:rPr>
            </w:pPr>
            <w:r>
              <w:rPr>
                <w:rFonts w:ascii="Arial" w:cs="Arial" w:eastAsia="Arial" w:hAnsi="Arial"/>
                <w:sz w:val="18"/>
                <w:szCs w:val="18"/>
                <w:color w:val="262626"/>
              </w:rPr>
              <w:t>Trustees, trustee nominees and executive officers as a group</w:t>
            </w:r>
          </w:p>
        </w:tc>
        <w:tc>
          <w:tcPr>
            <w:tcW w:w="122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262626"/>
              </w:rPr>
              <w:t>602,829</w:t>
            </w:r>
          </w:p>
        </w:tc>
        <w:tc>
          <w:tcPr>
            <w:tcW w:w="12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262626"/>
              </w:rPr>
              <w:t>173,110</w:t>
            </w:r>
          </w:p>
        </w:tc>
        <w:tc>
          <w:tcPr>
            <w:tcW w:w="136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262626"/>
              </w:rPr>
              <w:t>775,939</w:t>
            </w: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262626"/>
                <w:w w:val="99"/>
              </w:rPr>
              <w:t>1%</w:t>
            </w:r>
          </w:p>
        </w:tc>
        <w:tc>
          <w:tcPr>
            <w:tcW w:w="0" w:type="dxa"/>
            <w:vAlign w:val="bottom"/>
          </w:tcPr>
          <w:p>
            <w:pPr>
              <w:spacing w:after="0"/>
              <w:rPr>
                <w:sz w:val="1"/>
                <w:szCs w:val="1"/>
                <w:color w:val="auto"/>
              </w:rPr>
            </w:pPr>
          </w:p>
        </w:tc>
      </w:tr>
      <w:tr>
        <w:trPr>
          <w:trHeight w:val="208"/>
        </w:trPr>
        <w:tc>
          <w:tcPr>
            <w:tcW w:w="5380" w:type="dxa"/>
            <w:vAlign w:val="bottom"/>
          </w:tcPr>
          <w:p>
            <w:pPr>
              <w:ind w:left="180"/>
              <w:spacing w:after="0" w:line="203" w:lineRule="exact"/>
              <w:rPr>
                <w:sz w:val="20"/>
                <w:szCs w:val="20"/>
                <w:color w:val="auto"/>
              </w:rPr>
            </w:pPr>
            <w:r>
              <w:rPr>
                <w:rFonts w:ascii="Arial" w:cs="Arial" w:eastAsia="Arial" w:hAnsi="Arial"/>
                <w:sz w:val="18"/>
                <w:szCs w:val="18"/>
                <w:color w:val="262626"/>
              </w:rPr>
              <w:t>(12 individuals)</w:t>
            </w:r>
          </w:p>
        </w:tc>
        <w:tc>
          <w:tcPr>
            <w:tcW w:w="1220" w:type="dxa"/>
            <w:vAlign w:val="bottom"/>
            <w:tcBorders>
              <w:bottom w:val="single" w:sz="8" w:color="262626"/>
            </w:tcBorders>
            <w:vMerge w:val="continue"/>
          </w:tcPr>
          <w:p>
            <w:pPr>
              <w:spacing w:after="0"/>
              <w:rPr>
                <w:sz w:val="17"/>
                <w:szCs w:val="17"/>
                <w:color w:val="auto"/>
              </w:rPr>
            </w:pPr>
          </w:p>
        </w:tc>
        <w:tc>
          <w:tcPr>
            <w:tcW w:w="1240" w:type="dxa"/>
            <w:vAlign w:val="bottom"/>
            <w:tcBorders>
              <w:bottom w:val="single" w:sz="8" w:color="262626"/>
            </w:tcBorders>
            <w:vMerge w:val="continue"/>
          </w:tcPr>
          <w:p>
            <w:pPr>
              <w:spacing w:after="0"/>
              <w:rPr>
                <w:sz w:val="17"/>
                <w:szCs w:val="17"/>
                <w:color w:val="auto"/>
              </w:rPr>
            </w:pPr>
          </w:p>
        </w:tc>
        <w:tc>
          <w:tcPr>
            <w:tcW w:w="1360" w:type="dxa"/>
            <w:vAlign w:val="bottom"/>
            <w:tcBorders>
              <w:bottom w:val="single" w:sz="8" w:color="262626"/>
            </w:tcBorders>
            <w:vMerge w:val="continue"/>
          </w:tcPr>
          <w:p>
            <w:pPr>
              <w:spacing w:after="0"/>
              <w:rPr>
                <w:sz w:val="17"/>
                <w:szCs w:val="17"/>
                <w:color w:val="auto"/>
              </w:rPr>
            </w:pPr>
          </w:p>
        </w:tc>
        <w:tc>
          <w:tcPr>
            <w:tcW w:w="1360" w:type="dxa"/>
            <w:vAlign w:val="bottom"/>
            <w:tcBorders>
              <w:bottom w:val="single" w:sz="8" w:color="262626"/>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1"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6"/>
          <w:szCs w:val="16"/>
          <w:color w:val="262626"/>
        </w:rPr>
      </w:pPr>
      <w:r>
        <w:rPr>
          <w:rFonts w:ascii="Arial" w:cs="Arial" w:eastAsia="Arial" w:hAnsi="Arial"/>
          <w:sz w:val="16"/>
          <w:szCs w:val="16"/>
          <w:color w:val="262626"/>
        </w:rPr>
        <w:t>Less than 1%</w:t>
      </w:r>
    </w:p>
    <w:p>
      <w:pPr>
        <w:ind w:left="540" w:hanging="424"/>
        <w:spacing w:after="0" w:line="184" w:lineRule="auto"/>
        <w:tabs>
          <w:tab w:leader="none" w:pos="540" w:val="left"/>
        </w:tabs>
        <w:numPr>
          <w:ilvl w:val="0"/>
          <w:numId w:val="36"/>
        </w:numPr>
        <w:rPr>
          <w:rFonts w:ascii="Arial" w:cs="Arial" w:eastAsia="Arial" w:hAnsi="Arial"/>
          <w:sz w:val="22"/>
          <w:szCs w:val="22"/>
          <w:color w:val="262626"/>
          <w:vertAlign w:val="superscript"/>
        </w:rPr>
      </w:pPr>
      <w:r>
        <w:rPr>
          <w:rFonts w:ascii="Arial" w:cs="Arial" w:eastAsia="Arial" w:hAnsi="Arial"/>
          <w:sz w:val="14"/>
          <w:szCs w:val="14"/>
          <w:color w:val="262626"/>
        </w:rPr>
        <w:t>The address for each of the named individuals is 909 Rose Avenue, Suite 200, North Bethesda, Maryland 20852.</w:t>
      </w:r>
    </w:p>
    <w:p>
      <w:pPr>
        <w:ind w:left="540" w:right="20" w:hanging="424"/>
        <w:spacing w:after="0" w:line="187" w:lineRule="auto"/>
        <w:tabs>
          <w:tab w:leader="none" w:pos="540" w:val="left"/>
        </w:tabs>
        <w:numPr>
          <w:ilvl w:val="0"/>
          <w:numId w:val="36"/>
        </w:numPr>
        <w:rPr>
          <w:rFonts w:ascii="Arial" w:cs="Arial" w:eastAsia="Arial" w:hAnsi="Arial"/>
          <w:sz w:val="26"/>
          <w:szCs w:val="26"/>
          <w:color w:val="262626"/>
          <w:vertAlign w:val="superscript"/>
        </w:rPr>
      </w:pPr>
      <w:r>
        <w:rPr>
          <w:rFonts w:ascii="Arial" w:cs="Arial" w:eastAsia="Arial" w:hAnsi="Arial"/>
          <w:sz w:val="16"/>
          <w:szCs w:val="16"/>
          <w:color w:val="262626"/>
        </w:rPr>
        <w:t>The percentage of outstanding Shares owned is calculated by taking the number of Shares reflected in the column titled “Total Shares Beneficially Owned” divided by 77,706,466, the total number of Shares outstanding on March 16, 2021.</w:t>
      </w:r>
    </w:p>
    <w:p>
      <w:pPr>
        <w:spacing w:after="0" w:line="1" w:lineRule="exact"/>
        <w:rPr>
          <w:rFonts w:ascii="Arial" w:cs="Arial" w:eastAsia="Arial" w:hAnsi="Arial"/>
          <w:sz w:val="26"/>
          <w:szCs w:val="26"/>
          <w:color w:val="262626"/>
          <w:vertAlign w:val="superscript"/>
        </w:rPr>
      </w:pPr>
    </w:p>
    <w:p>
      <w:pPr>
        <w:ind w:left="540" w:hanging="424"/>
        <w:spacing w:after="0" w:line="187" w:lineRule="auto"/>
        <w:tabs>
          <w:tab w:leader="none" w:pos="540" w:val="left"/>
        </w:tabs>
        <w:numPr>
          <w:ilvl w:val="0"/>
          <w:numId w:val="36"/>
        </w:numPr>
        <w:rPr>
          <w:rFonts w:ascii="Arial" w:cs="Arial" w:eastAsia="Arial" w:hAnsi="Arial"/>
          <w:sz w:val="21"/>
          <w:szCs w:val="21"/>
          <w:color w:val="262626"/>
          <w:vertAlign w:val="superscript"/>
        </w:rPr>
      </w:pPr>
      <w:r>
        <w:rPr>
          <w:rFonts w:ascii="Arial" w:cs="Arial" w:eastAsia="Arial" w:hAnsi="Arial"/>
          <w:sz w:val="13"/>
          <w:szCs w:val="13"/>
          <w:color w:val="262626"/>
        </w:rPr>
        <w:t>Voting and investment power is shared with Mr. Bortz’ wife.</w:t>
      </w:r>
    </w:p>
    <w:p>
      <w:pPr>
        <w:ind w:left="540" w:right="20" w:hanging="424"/>
        <w:spacing w:after="0" w:line="181" w:lineRule="auto"/>
        <w:tabs>
          <w:tab w:leader="none" w:pos="540" w:val="left"/>
        </w:tabs>
        <w:numPr>
          <w:ilvl w:val="0"/>
          <w:numId w:val="36"/>
        </w:numPr>
        <w:rPr>
          <w:rFonts w:ascii="Arial" w:cs="Arial" w:eastAsia="Arial" w:hAnsi="Arial"/>
          <w:sz w:val="28"/>
          <w:szCs w:val="28"/>
          <w:color w:val="262626"/>
          <w:vertAlign w:val="superscript"/>
        </w:rPr>
      </w:pPr>
      <w:r>
        <w:rPr>
          <w:rFonts w:ascii="Arial" w:cs="Arial" w:eastAsia="Arial" w:hAnsi="Arial"/>
          <w:sz w:val="16"/>
          <w:szCs w:val="16"/>
          <w:color w:val="262626"/>
        </w:rPr>
        <w:t>Includes 53,879 Shares owned by Mr. Wood’s wife, 20,000 Shares owned by Great Falls Trust, 46,500 Shares owned by Wood Descendants Trust and 60,000 Shares owned by IJKR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151130</wp:posOffset>
            </wp:positionV>
            <wp:extent cx="701230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Other Information for Shareholders</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Anti-Hedging Policy</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All officers and non-employee Trustees are prohibited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Related Party Transactions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Our Code of Business Conduct requires that our Trustees and all of our employees deal with the Company on an arms-length basis in any related party transaction. All transactions between us and any of our Trustees, our NEOs or other vice presidents, or entity in which any of them has an ownership interest must be approved in advance by the Audit Committee. Audit Committee approval 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We have no related party transactions with any of our Trustees that are required to be disclosed. None of our NEOs has any indebtedness to the Company or any relationship with the Company other than as an employee and shareholder. Employment and change-in-control arrangements between the Company and the 2020 NEOs are described in the “Potential Payments on Termination of Employment and Change-in-Control” section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147955</wp:posOffset>
            </wp:positionV>
            <wp:extent cx="701230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Important Information about Voting at the 2021 Annual Meeting</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Notice of Electronic Availability of Proxy Materials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 xml:space="preserve">We are furnishing proxy materials including this proxy statement and our 2020 Annual Report to Shareholders, including our Annual Report on Form 10-K for the year ended December 31, 2020 (“Annual Report”), to each shareholder by providing access to such documents on the Internet. On or about March 25, 2021,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color w:val="262626"/>
        </w:rPr>
        <w:t>IR@federalrealty.com.</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Why You are Receiving These Materials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You are receiving these materials because you owned our Shares as of March 16, 2021, the record date established by our Board of Trustees for our Annual Meeting. Everyone who owned our Shares as of this date, whether directly as a registered shareholder or indirectly through a broker or other nominee, is entitled to vote at the Annual Meeting. We had 77,706,466 Shares outstanding on March 16, 2021. Each Share outstanding on the record date is entitled to one vote. A majority of the Shares entitled to vote at the Annual Meeting must be present in person or by proxy for us to proceed with the Annual Meeting.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Accessing Materials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 xml:space="preserve">Shareholders can access this Proxy Statement, our Annual Report and our other filings with the SEC on the Investors page of our website at </w:t>
      </w:r>
      <w:r>
        <w:rPr>
          <w:rFonts w:ascii="Arial" w:cs="Arial" w:eastAsia="Arial" w:hAnsi="Arial"/>
          <w:sz w:val="18"/>
          <w:szCs w:val="18"/>
          <w:i w:val="1"/>
          <w:iCs w:val="1"/>
          <w:color w:val="262626"/>
        </w:rPr>
        <w:t>www.federalrealty.com.</w:t>
      </w:r>
      <w:r>
        <w:rPr>
          <w:rFonts w:ascii="Arial" w:cs="Arial" w:eastAsia="Arial" w:hAnsi="Arial"/>
          <w:sz w:val="18"/>
          <w:szCs w:val="18"/>
          <w:color w:val="262626"/>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2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In the future, if you wish to receive paper copies of our proxy materials, without charge, and are a registered shareholder, you may do so by written request addressed to American Stock Transfer and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How to Vote</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4972050" cy="6083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720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your vote will NOT be counted for those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20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262626"/>
        </w:rPr>
        <w:t>You are urged to vote either by telephone (1-800-PROXIES or 1-800-776-9437) or on the Internet (www.voteproxy.com)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262626"/>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How to Participate in the Annual Meeting</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You will be able to join our Annual Meeting as either a shareholder or a guest. All registered shareholders and shareholders that own in “street name” will be able to ask questions and vote their Shares at the meeting by following the instructions below. Guests will be permitted to join the meeting but will not be permitted to ask questions.</w:t>
      </w:r>
    </w:p>
    <w:p>
      <w:pPr>
        <w:spacing w:after="0" w:line="185" w:lineRule="exact"/>
        <w:rPr>
          <w:sz w:val="20"/>
          <w:szCs w:val="20"/>
          <w:color w:val="auto"/>
        </w:rPr>
      </w:pPr>
    </w:p>
    <w:p>
      <w:pPr>
        <w:jc w:val="both"/>
        <w:ind w:left="120"/>
        <w:spacing w:after="0" w:line="267" w:lineRule="auto"/>
        <w:rPr>
          <w:sz w:val="20"/>
          <w:szCs w:val="20"/>
          <w:color w:val="auto"/>
        </w:rPr>
      </w:pPr>
      <w:r>
        <w:rPr>
          <w:rFonts w:ascii="Arial" w:cs="Arial" w:eastAsia="Arial" w:hAnsi="Arial"/>
          <w:sz w:val="18"/>
          <w:szCs w:val="18"/>
          <w:color w:val="262626"/>
        </w:rPr>
        <w:t xml:space="preserve">You can access the Annual Meeting by joining through this link: </w:t>
      </w:r>
      <w:r>
        <w:rPr>
          <w:rFonts w:ascii="Arial" w:cs="Arial" w:eastAsia="Arial" w:hAnsi="Arial"/>
          <w:sz w:val="18"/>
          <w:szCs w:val="18"/>
          <w:i w:val="1"/>
          <w:iCs w:val="1"/>
          <w:color w:val="262626"/>
        </w:rPr>
        <w:t>https://web.lumiagm.com/202329683.</w:t>
      </w:r>
      <w:r>
        <w:rPr>
          <w:rFonts w:ascii="Arial" w:cs="Arial" w:eastAsia="Arial" w:hAnsi="Arial"/>
          <w:sz w:val="18"/>
          <w:szCs w:val="18"/>
          <w:color w:val="262626"/>
        </w:rPr>
        <w:t xml:space="preserve"> If you are a registered shareholder owning Shares directly in your name and you would like to be 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to ask a question or vote at the Annual Meeting, you should click on “I have a control number”, enter the control number found on your proxy card or Notice you previously received, and enter the password “</w:t>
      </w:r>
      <w:r>
        <w:rPr>
          <w:rFonts w:ascii="Arial" w:cs="Arial" w:eastAsia="Arial" w:hAnsi="Arial"/>
          <w:sz w:val="18"/>
          <w:szCs w:val="18"/>
          <w:i w:val="1"/>
          <w:iCs w:val="1"/>
          <w:color w:val="262626"/>
        </w:rPr>
        <w:t>federal2021</w:t>
      </w:r>
      <w:r>
        <w:rPr>
          <w:rFonts w:ascii="Arial" w:cs="Arial" w:eastAsia="Arial" w:hAnsi="Arial"/>
          <w:sz w:val="18"/>
          <w:szCs w:val="18"/>
          <w:color w:val="262626"/>
        </w:rPr>
        <w:t>” (the password is case sensitive) to enter the meeting. If you hold your Shares in “street name” through a broker, brokerage firm, broker-dealer or nominee and you would like to be able to ask a question or vote at the Annual Meeting, you must first obtain a legal proxy from your broker, brokerage firm, broker-dealer or nominee and then submit a request for registration to American Stock Transfer &amp; Trust Company, LLC: (1) by email to proxy@astfinancial.com; (2) by facsimile to 718-765-8730 or (3) by mail to American Stock Transfer &amp; Trust Company, LLC, Attn: Proxy Tabulation Department, 6201 15th Avenue, Brooklyn, NY 11219. Requests for registration must be labeled as “Legal Proxy” and must be received by American Stock Transfer &amp; Trust Company, LLC no later than 5:00 p.m. local time on April 21, 2021. You will receive a confirmation of your registration by email from American Stock Transfer and &amp; Trust Company, LLC after they receive your registration materials. The email will also include a control number so that you can ask a question or vote at the Annual Meeting by clicking on “I have a control number”. Shareholders who hold Shares in “street name” will not be able to vote your Shares or ask questions without first completing this registration process. Once you are in the meeting, you can vote your Shares by clicking on the Shareholder Central link on the screen to submit your ballot. You may also continue to vote using the instructions provided in the Proxy Materials until the Annual Meeting concludes.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262626"/>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5, 2021,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8"/>
          <w:szCs w:val="18"/>
          <w:i w:val="1"/>
          <w:iCs w:val="1"/>
          <w:color w:val="262626"/>
        </w:rPr>
        <w:t>https://go.lumiglobal.com/faq</w:t>
      </w:r>
      <w:r>
        <w:rPr>
          <w:rFonts w:ascii="Arial" w:cs="Arial" w:eastAsia="Arial" w:hAnsi="Arial"/>
          <w:sz w:val="18"/>
          <w:szCs w:val="18"/>
          <w:color w:val="262626"/>
        </w:rPr>
        <w:t xml:space="preserve"> or call 718-931-8399, ext. 6449.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Eliminating Duplicative Proxy Materials</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262626"/>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color w:val="262626"/>
        </w:rPr>
        <w:t>IR@federalrealty.com.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262626"/>
        </w:rPr>
        <w:t>Solicitation of Proxies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262626"/>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20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262626"/>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62626"/>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205740</wp:posOffset>
            </wp:positionV>
            <wp:extent cx="701230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12305" cy="171450"/>
                    </a:xfrm>
                    <a:prstGeom prst="rect">
                      <a:avLst/>
                    </a:prstGeom>
                    <a:noFill/>
                  </pic:spPr>
                </pic:pic>
              </a:graphicData>
            </a:graphic>
          </wp:anchor>
        </w:drawing>
      </w:r>
    </w:p>
    <w:p>
      <w:pPr>
        <w:spacing w:after="0" w:line="327" w:lineRule="exact"/>
        <w:rPr>
          <w:sz w:val="20"/>
          <w:szCs w:val="20"/>
          <w:color w:val="auto"/>
        </w:rPr>
      </w:pPr>
    </w:p>
    <w:p>
      <w:pPr>
        <w:ind w:left="380"/>
        <w:spacing w:after="0"/>
        <w:rPr>
          <w:sz w:val="20"/>
          <w:szCs w:val="20"/>
          <w:color w:val="auto"/>
        </w:rPr>
      </w:pPr>
      <w:r>
        <w:rPr>
          <w:rFonts w:ascii="Arial" w:cs="Arial" w:eastAsia="Arial" w:hAnsi="Arial"/>
          <w:sz w:val="20"/>
          <w:szCs w:val="20"/>
          <w:color w:val="F73A25"/>
        </w:rPr>
        <w:t>Shareholder Proposals for 2022 Annual Meeting</w:t>
      </w:r>
    </w:p>
    <w:p>
      <w:pPr>
        <w:spacing w:after="0" w:line="23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262626"/>
        </w:rPr>
        <w:t>Proposals of shareholders intended to be presented at the 2022 Annual Meeting of Shareholders, including nominations for persons for election to the Board of Trustees, must be delivered to us at 909 Rose Avenue, Suite 200, North Bethesda, Maryland 20852, Attention: Corporate Secretary and received by us no later than November 25, 2021 to be considered for inclusion in our proxy statement and form of proxy relating to such meeting. All proposals must comply with the requirements set forth in our Bylaws and the federal securities laws, including Rule 14a-8, in order to be included in the Company’s proxy statement and proxy card for the 2022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General Counsel &amp; Secretary, 909 Rose Avenue, Suite 200, North Bethesda, Maryland 20852.</w:t>
      </w:r>
    </w:p>
    <w:p>
      <w:pPr>
        <w:spacing w:after="0" w:line="20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262626"/>
        </w:rPr>
        <w:t>If you want to present a proposal for the 2022 Annual Meeting but do not wish to have it included in the proxy statement and proxy card, you must provide written notice to us no later than November 25, 2021 at the same address as set forth above.</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262626"/>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40640</wp:posOffset>
            </wp:positionV>
            <wp:extent cx="968375" cy="2832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68375" cy="2832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740"/>
        <w:spacing w:after="0"/>
        <w:rPr>
          <w:sz w:val="20"/>
          <w:szCs w:val="20"/>
          <w:color w:val="auto"/>
        </w:rPr>
      </w:pPr>
      <w:r>
        <w:rPr>
          <w:rFonts w:ascii="Arial" w:cs="Arial" w:eastAsia="Arial" w:hAnsi="Arial"/>
          <w:sz w:val="18"/>
          <w:szCs w:val="18"/>
          <w:color w:val="262626"/>
        </w:rPr>
        <w:t>Dawn M. Becker</w:t>
      </w:r>
    </w:p>
    <w:p>
      <w:pPr>
        <w:ind w:left="6740"/>
        <w:spacing w:after="0" w:line="234" w:lineRule="auto"/>
        <w:rPr>
          <w:sz w:val="20"/>
          <w:szCs w:val="20"/>
          <w:color w:val="auto"/>
        </w:rPr>
      </w:pPr>
      <w:r>
        <w:rPr>
          <w:rFonts w:ascii="Arial" w:cs="Arial" w:eastAsia="Arial" w:hAnsi="Arial"/>
          <w:sz w:val="18"/>
          <w:szCs w:val="18"/>
          <w:i w:val="1"/>
          <w:iCs w:val="1"/>
          <w:color w:val="262626"/>
        </w:rPr>
        <w:t>Executive Vice President—General</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262626"/>
        </w:rPr>
        <w:t>Counsel and Secretary</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262626"/>
        </w:rPr>
        <w:t>Federal Realty Investment Trust</w:t>
      </w:r>
    </w:p>
    <w:p>
      <w:pPr>
        <w:ind w:left="6740"/>
        <w:spacing w:after="0" w:line="234" w:lineRule="auto"/>
        <w:rPr>
          <w:sz w:val="20"/>
          <w:szCs w:val="20"/>
          <w:color w:val="auto"/>
        </w:rPr>
      </w:pPr>
      <w:r>
        <w:rPr>
          <w:rFonts w:ascii="Arial" w:cs="Arial" w:eastAsia="Arial" w:hAnsi="Arial"/>
          <w:sz w:val="18"/>
          <w:szCs w:val="18"/>
          <w:color w:val="262626"/>
        </w:rPr>
        <w:t>909 Rose Avenue, Suite 200</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262626"/>
        </w:rPr>
        <w:t>North Bethesda, Maryland 20852</w:t>
      </w:r>
    </w:p>
    <w:p>
      <w:pPr>
        <w:spacing w:after="0" w:line="203" w:lineRule="exact"/>
        <w:rPr>
          <w:sz w:val="20"/>
          <w:szCs w:val="20"/>
          <w:color w:val="auto"/>
        </w:rPr>
      </w:pPr>
    </w:p>
    <w:p>
      <w:pPr>
        <w:jc w:val="center"/>
        <w:ind w:left="440" w:right="580"/>
        <w:spacing w:after="0" w:line="443" w:lineRule="auto"/>
        <w:rPr>
          <w:sz w:val="20"/>
          <w:szCs w:val="20"/>
          <w:color w:val="auto"/>
        </w:rPr>
      </w:pPr>
      <w:r>
        <w:rPr>
          <w:rFonts w:ascii="Arial" w:cs="Arial" w:eastAsia="Arial" w:hAnsi="Arial"/>
          <w:sz w:val="18"/>
          <w:szCs w:val="18"/>
          <w:b w:val="1"/>
          <w:bCs w:val="1"/>
          <w:color w:val="262626"/>
        </w:rPr>
        <w:t xml:space="preserve">YOUR PROXY IS IMPORTANT REGARDLESS OF THE NUMBER OF SHARES YOU OWN. PLEASE SUBMIT IT TODAY. </w:t>
      </w:r>
      <w:r>
        <w:rPr>
          <w:rFonts w:ascii="Arial" w:cs="Arial" w:eastAsia="Arial" w:hAnsi="Arial"/>
          <w:sz w:val="18"/>
          <w:szCs w:val="18"/>
          <w:color w:val="262626"/>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262626"/>
        </w:rPr>
        <w:t>Appendix 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262626"/>
        </w:rPr>
        <w:t>Reconciliation of Non-GAAP Financial Measures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Property Operating Income:</w:t>
      </w:r>
    </w:p>
    <w:p>
      <w:pPr>
        <w:spacing w:after="0" w:line="167" w:lineRule="exact"/>
        <w:rPr>
          <w:sz w:val="20"/>
          <w:szCs w:val="20"/>
          <w:color w:val="auto"/>
        </w:rPr>
      </w:pPr>
    </w:p>
    <w:p>
      <w:pPr>
        <w:jc w:val="both"/>
        <w:ind w:left="120" w:right="60"/>
        <w:spacing w:after="0" w:line="305" w:lineRule="auto"/>
        <w:rPr>
          <w:sz w:val="20"/>
          <w:szCs w:val="20"/>
          <w:color w:val="auto"/>
        </w:rPr>
      </w:pPr>
      <w:r>
        <w:rPr>
          <w:rFonts w:ascii="Arial" w:cs="Arial" w:eastAsia="Arial" w:hAnsi="Arial"/>
          <w:sz w:val="15"/>
          <w:szCs w:val="15"/>
          <w:color w:val="262626"/>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The reconciliation of operating income to property operating income for the years ended December 31, 2020 and 2019 is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6440" w:type="dxa"/>
            <w:vAlign w:val="bottom"/>
          </w:tcPr>
          <w:p>
            <w:pPr>
              <w:spacing w:after="0"/>
              <w:rPr>
                <w:sz w:val="18"/>
                <w:szCs w:val="18"/>
                <w:color w:val="auto"/>
              </w:rPr>
            </w:pPr>
          </w:p>
        </w:tc>
        <w:tc>
          <w:tcPr>
            <w:tcW w:w="380" w:type="dxa"/>
            <w:vAlign w:val="bottom"/>
            <w:tcBorders>
              <w:bottom w:val="single" w:sz="8" w:color="262626"/>
            </w:tcBorders>
          </w:tcPr>
          <w:p>
            <w:pPr>
              <w:spacing w:after="0"/>
              <w:rPr>
                <w:sz w:val="18"/>
                <w:szCs w:val="18"/>
                <w:color w:val="auto"/>
              </w:rPr>
            </w:pPr>
          </w:p>
        </w:tc>
        <w:tc>
          <w:tcPr>
            <w:tcW w:w="260" w:type="dxa"/>
            <w:vAlign w:val="bottom"/>
            <w:tcBorders>
              <w:bottom w:val="single" w:sz="8" w:color="262626"/>
            </w:tcBorders>
          </w:tcPr>
          <w:p>
            <w:pPr>
              <w:spacing w:after="0"/>
              <w:rPr>
                <w:sz w:val="18"/>
                <w:szCs w:val="18"/>
                <w:color w:val="auto"/>
              </w:rPr>
            </w:pPr>
          </w:p>
        </w:tc>
        <w:tc>
          <w:tcPr>
            <w:tcW w:w="900" w:type="dxa"/>
            <w:vAlign w:val="bottom"/>
            <w:tcBorders>
              <w:bottom w:val="single" w:sz="8" w:color="262626"/>
            </w:tcBorders>
          </w:tcPr>
          <w:p>
            <w:pPr>
              <w:jc w:val="right"/>
              <w:ind w:right="99"/>
              <w:spacing w:after="0"/>
              <w:rPr>
                <w:sz w:val="20"/>
                <w:szCs w:val="20"/>
                <w:color w:val="auto"/>
              </w:rPr>
            </w:pPr>
            <w:r>
              <w:rPr>
                <w:rFonts w:ascii="Arial" w:cs="Arial" w:eastAsia="Arial" w:hAnsi="Arial"/>
                <w:sz w:val="16"/>
                <w:szCs w:val="16"/>
                <w:color w:val="262626"/>
              </w:rPr>
              <w:t>2020</w:t>
            </w:r>
          </w:p>
        </w:tc>
        <w:tc>
          <w:tcPr>
            <w:tcW w:w="580" w:type="dxa"/>
            <w:vAlign w:val="bottom"/>
            <w:tcBorders>
              <w:bottom w:val="single" w:sz="8" w:color="262626"/>
            </w:tcBorders>
          </w:tcPr>
          <w:p>
            <w:pPr>
              <w:spacing w:after="0"/>
              <w:rPr>
                <w:sz w:val="18"/>
                <w:szCs w:val="18"/>
                <w:color w:val="auto"/>
              </w:rPr>
            </w:pPr>
          </w:p>
        </w:tc>
        <w:tc>
          <w:tcPr>
            <w:tcW w:w="62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2019</w:t>
            </w:r>
          </w:p>
        </w:tc>
        <w:tc>
          <w:tcPr>
            <w:tcW w:w="180" w:type="dxa"/>
            <w:vAlign w:val="bottom"/>
            <w:tcBorders>
              <w:bottom w:val="single" w:sz="8" w:color="262626"/>
            </w:tcBorders>
          </w:tcPr>
          <w:p>
            <w:pPr>
              <w:spacing w:after="0"/>
              <w:rPr>
                <w:sz w:val="18"/>
                <w:szCs w:val="18"/>
                <w:color w:val="auto"/>
              </w:rPr>
            </w:pPr>
          </w:p>
        </w:tc>
      </w:tr>
      <w:tr>
        <w:trPr>
          <w:trHeight w:val="199"/>
        </w:trPr>
        <w:tc>
          <w:tcPr>
            <w:tcW w:w="6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262626"/>
              </w:rPr>
              <w:t>(in thousands)</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82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Operating income</w:t>
            </w:r>
          </w:p>
        </w:tc>
        <w:tc>
          <w:tcPr>
            <w:tcW w:w="260" w:type="dxa"/>
            <w:vAlign w:val="bottom"/>
            <w:shd w:val="clear" w:color="auto" w:fill="EAEFED"/>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shd w:val="clear" w:color="auto" w:fill="EAEFED"/>
          </w:tcPr>
          <w:p>
            <w:pPr>
              <w:jc w:val="right"/>
              <w:ind w:right="99"/>
              <w:spacing w:after="0"/>
              <w:rPr>
                <w:sz w:val="20"/>
                <w:szCs w:val="20"/>
                <w:color w:val="auto"/>
              </w:rPr>
            </w:pPr>
            <w:r>
              <w:rPr>
                <w:rFonts w:ascii="Arial" w:cs="Arial" w:eastAsia="Arial" w:hAnsi="Arial"/>
                <w:sz w:val="16"/>
                <w:szCs w:val="16"/>
                <w:color w:val="262626"/>
              </w:rPr>
              <w:t>289,524</w:t>
            </w:r>
          </w:p>
        </w:tc>
        <w:tc>
          <w:tcPr>
            <w:tcW w:w="580" w:type="dxa"/>
            <w:vAlign w:val="bottom"/>
            <w:shd w:val="clear" w:color="auto" w:fill="EAEFED"/>
          </w:tcPr>
          <w:p>
            <w:pPr>
              <w:jc w:val="right"/>
              <w:ind w:right="299"/>
              <w:spacing w:after="0"/>
              <w:rPr>
                <w:sz w:val="20"/>
                <w:szCs w:val="20"/>
                <w:color w:val="auto"/>
              </w:rPr>
            </w:pPr>
            <w:r>
              <w:rPr>
                <w:rFonts w:ascii="Arial" w:cs="Arial" w:eastAsia="Arial" w:hAnsi="Arial"/>
                <w:sz w:val="16"/>
                <w:szCs w:val="16"/>
                <w:color w:val="262626"/>
              </w:rPr>
              <w:t>$</w:t>
            </w:r>
          </w:p>
        </w:tc>
        <w:tc>
          <w:tcPr>
            <w:tcW w:w="80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470,911</w:t>
            </w:r>
          </w:p>
        </w:tc>
      </w:tr>
      <w:tr>
        <w:trPr>
          <w:trHeight w:val="203"/>
        </w:trPr>
        <w:tc>
          <w:tcPr>
            <w:tcW w:w="6820" w:type="dxa"/>
            <w:vAlign w:val="bottom"/>
            <w:gridSpan w:val="2"/>
          </w:tcPr>
          <w:p>
            <w:pPr>
              <w:spacing w:after="0"/>
              <w:rPr>
                <w:sz w:val="20"/>
                <w:szCs w:val="20"/>
                <w:color w:val="auto"/>
              </w:rPr>
            </w:pPr>
            <w:r>
              <w:rPr>
                <w:rFonts w:ascii="Arial" w:cs="Arial" w:eastAsia="Arial" w:hAnsi="Arial"/>
                <w:sz w:val="16"/>
                <w:szCs w:val="16"/>
                <w:color w:val="262626"/>
              </w:rPr>
              <w:t>General and administrative expense</w:t>
            </w:r>
          </w:p>
        </w:tc>
        <w:tc>
          <w:tcPr>
            <w:tcW w:w="260" w:type="dxa"/>
            <w:vAlign w:val="bottom"/>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262626"/>
              </w:rPr>
              <w:t>41,680</w:t>
            </w:r>
          </w:p>
        </w:tc>
        <w:tc>
          <w:tcPr>
            <w:tcW w:w="580" w:type="dxa"/>
            <w:vAlign w:val="bottom"/>
          </w:tcPr>
          <w:p>
            <w:pPr>
              <w:jc w:val="right"/>
              <w:ind w:right="299"/>
              <w:spacing w:after="0"/>
              <w:rPr>
                <w:sz w:val="20"/>
                <w:szCs w:val="20"/>
                <w:color w:val="auto"/>
              </w:rPr>
            </w:pPr>
            <w:r>
              <w:rPr>
                <w:rFonts w:ascii="Arial" w:cs="Arial" w:eastAsia="Arial" w:hAnsi="Arial"/>
                <w:sz w:val="16"/>
                <w:szCs w:val="16"/>
                <w:color w:val="262626"/>
              </w:rPr>
              <w:t>$</w:t>
            </w:r>
          </w:p>
        </w:tc>
        <w:tc>
          <w:tcPr>
            <w:tcW w:w="620" w:type="dxa"/>
            <w:vAlign w:val="bottom"/>
          </w:tcPr>
          <w:p>
            <w:pPr>
              <w:jc w:val="right"/>
              <w:spacing w:after="0"/>
              <w:rPr>
                <w:sz w:val="20"/>
                <w:szCs w:val="20"/>
                <w:color w:val="auto"/>
              </w:rPr>
            </w:pPr>
            <w:r>
              <w:rPr>
                <w:rFonts w:ascii="Arial" w:cs="Arial" w:eastAsia="Arial" w:hAnsi="Arial"/>
                <w:sz w:val="16"/>
                <w:szCs w:val="16"/>
                <w:color w:val="262626"/>
              </w:rPr>
              <w:t>42,754</w:t>
            </w:r>
          </w:p>
        </w:tc>
        <w:tc>
          <w:tcPr>
            <w:tcW w:w="180" w:type="dxa"/>
            <w:vAlign w:val="bottom"/>
          </w:tcPr>
          <w:p>
            <w:pPr>
              <w:spacing w:after="0"/>
              <w:rPr>
                <w:sz w:val="17"/>
                <w:szCs w:val="17"/>
                <w:color w:val="auto"/>
              </w:rPr>
            </w:pPr>
          </w:p>
        </w:tc>
      </w:tr>
      <w:tr>
        <w:trPr>
          <w:trHeight w:val="203"/>
        </w:trPr>
        <w:tc>
          <w:tcPr>
            <w:tcW w:w="682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Depreciation and amortization</w:t>
            </w:r>
          </w:p>
        </w:tc>
        <w:tc>
          <w:tcPr>
            <w:tcW w:w="260" w:type="dxa"/>
            <w:vAlign w:val="bottom"/>
            <w:shd w:val="clear" w:color="auto" w:fill="EAEFED"/>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shd w:val="clear" w:color="auto" w:fill="EAEFED"/>
          </w:tcPr>
          <w:p>
            <w:pPr>
              <w:jc w:val="right"/>
              <w:ind w:right="99"/>
              <w:spacing w:after="0"/>
              <w:rPr>
                <w:sz w:val="20"/>
                <w:szCs w:val="20"/>
                <w:color w:val="auto"/>
              </w:rPr>
            </w:pPr>
            <w:r>
              <w:rPr>
                <w:rFonts w:ascii="Arial" w:cs="Arial" w:eastAsia="Arial" w:hAnsi="Arial"/>
                <w:sz w:val="16"/>
                <w:szCs w:val="16"/>
                <w:color w:val="262626"/>
              </w:rPr>
              <w:t>255,027</w:t>
            </w:r>
          </w:p>
        </w:tc>
        <w:tc>
          <w:tcPr>
            <w:tcW w:w="580" w:type="dxa"/>
            <w:vAlign w:val="bottom"/>
            <w:shd w:val="clear" w:color="auto" w:fill="EAEFED"/>
          </w:tcPr>
          <w:p>
            <w:pPr>
              <w:jc w:val="right"/>
              <w:ind w:right="299"/>
              <w:spacing w:after="0"/>
              <w:rPr>
                <w:sz w:val="20"/>
                <w:szCs w:val="20"/>
                <w:color w:val="auto"/>
              </w:rPr>
            </w:pPr>
            <w:r>
              <w:rPr>
                <w:rFonts w:ascii="Arial" w:cs="Arial" w:eastAsia="Arial" w:hAnsi="Arial"/>
                <w:sz w:val="16"/>
                <w:szCs w:val="16"/>
                <w:color w:val="262626"/>
              </w:rPr>
              <w:t>$</w:t>
            </w:r>
          </w:p>
        </w:tc>
        <w:tc>
          <w:tcPr>
            <w:tcW w:w="620" w:type="dxa"/>
            <w:vAlign w:val="bottom"/>
            <w:shd w:val="clear" w:color="auto" w:fill="EAEFED"/>
          </w:tcPr>
          <w:p>
            <w:pPr>
              <w:jc w:val="right"/>
              <w:spacing w:after="0"/>
              <w:rPr>
                <w:sz w:val="20"/>
                <w:szCs w:val="20"/>
                <w:color w:val="auto"/>
              </w:rPr>
            </w:pPr>
            <w:r>
              <w:rPr>
                <w:rFonts w:ascii="Arial" w:cs="Arial" w:eastAsia="Arial" w:hAnsi="Arial"/>
                <w:sz w:val="16"/>
                <w:szCs w:val="16"/>
                <w:color w:val="262626"/>
              </w:rPr>
              <w:t>239,758</w:t>
            </w:r>
          </w:p>
        </w:tc>
        <w:tc>
          <w:tcPr>
            <w:tcW w:w="180" w:type="dxa"/>
            <w:vAlign w:val="bottom"/>
            <w:shd w:val="clear" w:color="auto" w:fill="EAEFED"/>
          </w:tcPr>
          <w:p>
            <w:pPr>
              <w:spacing w:after="0"/>
              <w:rPr>
                <w:sz w:val="17"/>
                <w:szCs w:val="17"/>
                <w:color w:val="auto"/>
              </w:rPr>
            </w:pPr>
          </w:p>
        </w:tc>
      </w:tr>
      <w:tr>
        <w:trPr>
          <w:trHeight w:val="203"/>
        </w:trPr>
        <w:tc>
          <w:tcPr>
            <w:tcW w:w="6820" w:type="dxa"/>
            <w:vAlign w:val="bottom"/>
            <w:gridSpan w:val="2"/>
          </w:tcPr>
          <w:p>
            <w:pPr>
              <w:spacing w:after="0"/>
              <w:rPr>
                <w:sz w:val="20"/>
                <w:szCs w:val="20"/>
                <w:color w:val="auto"/>
              </w:rPr>
            </w:pPr>
            <w:r>
              <w:rPr>
                <w:rFonts w:ascii="Arial" w:cs="Arial" w:eastAsia="Arial" w:hAnsi="Arial"/>
                <w:sz w:val="16"/>
                <w:szCs w:val="16"/>
                <w:color w:val="262626"/>
              </w:rPr>
              <w:t>Impairment Charge</w:t>
            </w:r>
          </w:p>
        </w:tc>
        <w:tc>
          <w:tcPr>
            <w:tcW w:w="260" w:type="dxa"/>
            <w:vAlign w:val="bottom"/>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262626"/>
              </w:rPr>
              <w:t>57,218</w:t>
            </w:r>
          </w:p>
        </w:tc>
        <w:tc>
          <w:tcPr>
            <w:tcW w:w="580" w:type="dxa"/>
            <w:vAlign w:val="bottom"/>
          </w:tcPr>
          <w:p>
            <w:pPr>
              <w:jc w:val="right"/>
              <w:ind w:right="299"/>
              <w:spacing w:after="0"/>
              <w:rPr>
                <w:sz w:val="20"/>
                <w:szCs w:val="20"/>
                <w:color w:val="auto"/>
              </w:rPr>
            </w:pPr>
            <w:r>
              <w:rPr>
                <w:rFonts w:ascii="Arial" w:cs="Arial" w:eastAsia="Arial" w:hAnsi="Arial"/>
                <w:sz w:val="16"/>
                <w:szCs w:val="16"/>
                <w:color w:val="262626"/>
              </w:rPr>
              <w:t>$</w:t>
            </w:r>
          </w:p>
        </w:tc>
        <w:tc>
          <w:tcPr>
            <w:tcW w:w="620" w:type="dxa"/>
            <w:vAlign w:val="bottom"/>
          </w:tcPr>
          <w:p>
            <w:pPr>
              <w:jc w:val="right"/>
              <w:ind w:right="159"/>
              <w:spacing w:after="0"/>
              <w:rPr>
                <w:sz w:val="20"/>
                <w:szCs w:val="20"/>
                <w:color w:val="auto"/>
              </w:rPr>
            </w:pPr>
            <w:r>
              <w:rPr>
                <w:rFonts w:ascii="Arial" w:cs="Arial" w:eastAsia="Arial" w:hAnsi="Arial"/>
                <w:sz w:val="16"/>
                <w:szCs w:val="16"/>
                <w:color w:val="262626"/>
              </w:rPr>
              <w:t>-</w:t>
            </w:r>
          </w:p>
        </w:tc>
        <w:tc>
          <w:tcPr>
            <w:tcW w:w="180" w:type="dxa"/>
            <w:vAlign w:val="bottom"/>
          </w:tcPr>
          <w:p>
            <w:pPr>
              <w:spacing w:after="0"/>
              <w:rPr>
                <w:sz w:val="17"/>
                <w:szCs w:val="17"/>
                <w:color w:val="auto"/>
              </w:rPr>
            </w:pPr>
          </w:p>
        </w:tc>
      </w:tr>
      <w:tr>
        <w:trPr>
          <w:trHeight w:val="203"/>
        </w:trPr>
        <w:tc>
          <w:tcPr>
            <w:tcW w:w="682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Gain on sale of real estate, net of tax</w:t>
            </w:r>
          </w:p>
        </w:tc>
        <w:tc>
          <w:tcPr>
            <w:tcW w:w="260" w:type="dxa"/>
            <w:vAlign w:val="bottom"/>
            <w:shd w:val="clear" w:color="auto" w:fill="EAEFED"/>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shd w:val="clear" w:color="auto" w:fill="EAEFED"/>
          </w:tcPr>
          <w:p>
            <w:pPr>
              <w:jc w:val="right"/>
              <w:ind w:right="39"/>
              <w:spacing w:after="0"/>
              <w:rPr>
                <w:sz w:val="20"/>
                <w:szCs w:val="20"/>
                <w:color w:val="auto"/>
              </w:rPr>
            </w:pPr>
            <w:r>
              <w:rPr>
                <w:rFonts w:ascii="Arial" w:cs="Arial" w:eastAsia="Arial" w:hAnsi="Arial"/>
                <w:sz w:val="16"/>
                <w:szCs w:val="16"/>
                <w:color w:val="262626"/>
              </w:rPr>
              <w:t>(98,117)</w:t>
            </w:r>
          </w:p>
        </w:tc>
        <w:tc>
          <w:tcPr>
            <w:tcW w:w="580" w:type="dxa"/>
            <w:vAlign w:val="bottom"/>
            <w:shd w:val="clear" w:color="auto" w:fill="EAEFED"/>
          </w:tcPr>
          <w:p>
            <w:pPr>
              <w:jc w:val="right"/>
              <w:ind w:right="299"/>
              <w:spacing w:after="0"/>
              <w:rPr>
                <w:sz w:val="20"/>
                <w:szCs w:val="20"/>
                <w:color w:val="auto"/>
              </w:rPr>
            </w:pPr>
            <w:r>
              <w:rPr>
                <w:rFonts w:ascii="Arial" w:cs="Arial" w:eastAsia="Arial" w:hAnsi="Arial"/>
                <w:sz w:val="16"/>
                <w:szCs w:val="16"/>
                <w:color w:val="262626"/>
              </w:rPr>
              <w:t>$</w:t>
            </w:r>
          </w:p>
        </w:tc>
        <w:tc>
          <w:tcPr>
            <w:tcW w:w="800" w:type="dxa"/>
            <w:vAlign w:val="bottom"/>
            <w:gridSpan w:val="2"/>
            <w:shd w:val="clear" w:color="auto" w:fill="EAEFED"/>
          </w:tcPr>
          <w:p>
            <w:pPr>
              <w:jc w:val="right"/>
              <w:ind w:right="120"/>
              <w:spacing w:after="0"/>
              <w:rPr>
                <w:sz w:val="20"/>
                <w:szCs w:val="20"/>
                <w:color w:val="auto"/>
              </w:rPr>
            </w:pPr>
            <w:r>
              <w:rPr>
                <w:rFonts w:ascii="Arial" w:cs="Arial" w:eastAsia="Arial" w:hAnsi="Arial"/>
                <w:sz w:val="16"/>
                <w:szCs w:val="16"/>
                <w:color w:val="262626"/>
                <w:w w:val="96"/>
              </w:rPr>
              <w:t>(116,393)</w:t>
            </w:r>
          </w:p>
        </w:tc>
      </w:tr>
      <w:tr>
        <w:trPr>
          <w:trHeight w:val="207"/>
        </w:trPr>
        <w:tc>
          <w:tcPr>
            <w:tcW w:w="6820" w:type="dxa"/>
            <w:vAlign w:val="bottom"/>
            <w:gridSpan w:val="2"/>
          </w:tcPr>
          <w:p>
            <w:pPr>
              <w:spacing w:after="0"/>
              <w:rPr>
                <w:sz w:val="20"/>
                <w:szCs w:val="20"/>
                <w:color w:val="auto"/>
              </w:rPr>
            </w:pPr>
            <w:r>
              <w:rPr>
                <w:rFonts w:ascii="Arial" w:cs="Arial" w:eastAsia="Arial" w:hAnsi="Arial"/>
                <w:sz w:val="16"/>
                <w:szCs w:val="16"/>
                <w:color w:val="262626"/>
              </w:rPr>
              <w:t>Property operating income</w:t>
            </w:r>
          </w:p>
        </w:tc>
        <w:tc>
          <w:tcPr>
            <w:tcW w:w="260" w:type="dxa"/>
            <w:vAlign w:val="bottom"/>
            <w:tcBorders>
              <w:top w:val="single" w:sz="8" w:color="262626"/>
              <w:bottom w:val="single" w:sz="8" w:color="262626"/>
            </w:tcBorders>
          </w:tcPr>
          <w:p>
            <w:pPr>
              <w:jc w:val="right"/>
              <w:ind w:right="104"/>
              <w:spacing w:after="0"/>
              <w:rPr>
                <w:sz w:val="20"/>
                <w:szCs w:val="20"/>
                <w:color w:val="auto"/>
              </w:rPr>
            </w:pPr>
            <w:r>
              <w:rPr>
                <w:rFonts w:ascii="Arial" w:cs="Arial" w:eastAsia="Arial" w:hAnsi="Arial"/>
                <w:sz w:val="15"/>
                <w:szCs w:val="15"/>
                <w:color w:val="262626"/>
                <w:w w:val="71"/>
              </w:rPr>
              <w:t>$</w:t>
            </w:r>
          </w:p>
        </w:tc>
        <w:tc>
          <w:tcPr>
            <w:tcW w:w="900" w:type="dxa"/>
            <w:vAlign w:val="bottom"/>
            <w:tcBorders>
              <w:top w:val="single" w:sz="8" w:color="262626"/>
              <w:bottom w:val="single" w:sz="8" w:color="262626"/>
            </w:tcBorders>
          </w:tcPr>
          <w:p>
            <w:pPr>
              <w:jc w:val="right"/>
              <w:ind w:right="99"/>
              <w:spacing w:after="0"/>
              <w:rPr>
                <w:sz w:val="20"/>
                <w:szCs w:val="20"/>
                <w:color w:val="auto"/>
              </w:rPr>
            </w:pPr>
            <w:r>
              <w:rPr>
                <w:rFonts w:ascii="Arial" w:cs="Arial" w:eastAsia="Arial" w:hAnsi="Arial"/>
                <w:sz w:val="16"/>
                <w:szCs w:val="16"/>
                <w:color w:val="262626"/>
              </w:rPr>
              <w:t>545,332</w:t>
            </w:r>
          </w:p>
        </w:tc>
        <w:tc>
          <w:tcPr>
            <w:tcW w:w="580" w:type="dxa"/>
            <w:vAlign w:val="bottom"/>
            <w:tcBorders>
              <w:top w:val="single" w:sz="8" w:color="262626"/>
              <w:bottom w:val="single" w:sz="8" w:color="262626"/>
            </w:tcBorders>
          </w:tcPr>
          <w:p>
            <w:pPr>
              <w:jc w:val="right"/>
              <w:ind w:right="299"/>
              <w:spacing w:after="0"/>
              <w:rPr>
                <w:sz w:val="20"/>
                <w:szCs w:val="20"/>
                <w:color w:val="auto"/>
              </w:rPr>
            </w:pPr>
            <w:r>
              <w:rPr>
                <w:rFonts w:ascii="Arial" w:cs="Arial" w:eastAsia="Arial" w:hAnsi="Arial"/>
                <w:sz w:val="16"/>
                <w:szCs w:val="16"/>
                <w:color w:val="262626"/>
              </w:rPr>
              <w:t>$</w:t>
            </w:r>
          </w:p>
        </w:tc>
        <w:tc>
          <w:tcPr>
            <w:tcW w:w="620" w:type="dxa"/>
            <w:vAlign w:val="bottom"/>
            <w:tcBorders>
              <w:top w:val="single" w:sz="8" w:color="262626"/>
              <w:bottom w:val="single" w:sz="8" w:color="262626"/>
            </w:tcBorders>
          </w:tcPr>
          <w:p>
            <w:pPr>
              <w:jc w:val="right"/>
              <w:spacing w:after="0"/>
              <w:rPr>
                <w:sz w:val="20"/>
                <w:szCs w:val="20"/>
                <w:color w:val="auto"/>
              </w:rPr>
            </w:pPr>
            <w:r>
              <w:rPr>
                <w:rFonts w:ascii="Arial" w:cs="Arial" w:eastAsia="Arial" w:hAnsi="Arial"/>
                <w:sz w:val="16"/>
                <w:szCs w:val="16"/>
                <w:color w:val="262626"/>
              </w:rPr>
              <w:t>637,030</w:t>
            </w:r>
          </w:p>
        </w:tc>
        <w:tc>
          <w:tcPr>
            <w:tcW w:w="180" w:type="dxa"/>
            <w:vAlign w:val="bottom"/>
          </w:tcPr>
          <w:p>
            <w:pPr>
              <w:spacing w:after="0"/>
              <w:rPr>
                <w:sz w:val="17"/>
                <w:szCs w:val="17"/>
                <w:color w:val="auto"/>
              </w:rPr>
            </w:pPr>
          </w:p>
        </w:tc>
      </w:tr>
    </w:tbl>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262626"/>
        </w:rPr>
        <w:t>Funds from Operations:</w:t>
      </w:r>
    </w:p>
    <w:p>
      <w:pPr>
        <w:spacing w:after="0" w:line="162" w:lineRule="exact"/>
        <w:rPr>
          <w:sz w:val="20"/>
          <w:szCs w:val="20"/>
          <w:color w:val="auto"/>
        </w:rPr>
      </w:pPr>
    </w:p>
    <w:p>
      <w:pPr>
        <w:ind w:left="120"/>
        <w:spacing w:after="0" w:line="287" w:lineRule="auto"/>
        <w:rPr>
          <w:sz w:val="20"/>
          <w:szCs w:val="20"/>
          <w:color w:val="auto"/>
        </w:rPr>
      </w:pPr>
      <w:r>
        <w:rPr>
          <w:rFonts w:ascii="Arial" w:cs="Arial" w:eastAsia="Arial" w:hAnsi="Arial"/>
          <w:sz w:val="15"/>
          <w:szCs w:val="15"/>
          <w:color w:val="262626"/>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It should be noted that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fund cash needs, including the payment of dividends. We use FFO primarily as one of several means of assessing our operating performance in comparison with other REITs.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62626"/>
        </w:rPr>
        <w:t>The reconciliation of net income to FFO available for common shareholders for the years ended December 31, 2020 and 2019 is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6540" w:type="dxa"/>
            <w:vAlign w:val="bottom"/>
          </w:tcPr>
          <w:p>
            <w:pPr>
              <w:spacing w:after="0"/>
              <w:rPr>
                <w:sz w:val="18"/>
                <w:szCs w:val="18"/>
                <w:color w:val="auto"/>
              </w:rPr>
            </w:pPr>
          </w:p>
        </w:tc>
        <w:tc>
          <w:tcPr>
            <w:tcW w:w="360" w:type="dxa"/>
            <w:vAlign w:val="bottom"/>
            <w:tcBorders>
              <w:bottom w:val="single" w:sz="8" w:color="262626"/>
            </w:tcBorders>
          </w:tcPr>
          <w:p>
            <w:pPr>
              <w:spacing w:after="0"/>
              <w:rPr>
                <w:sz w:val="18"/>
                <w:szCs w:val="18"/>
                <w:color w:val="auto"/>
              </w:rPr>
            </w:pPr>
          </w:p>
        </w:tc>
        <w:tc>
          <w:tcPr>
            <w:tcW w:w="240" w:type="dxa"/>
            <w:vAlign w:val="bottom"/>
            <w:tcBorders>
              <w:bottom w:val="single" w:sz="8" w:color="262626"/>
            </w:tcBorders>
          </w:tcPr>
          <w:p>
            <w:pPr>
              <w:spacing w:after="0"/>
              <w:rPr>
                <w:sz w:val="18"/>
                <w:szCs w:val="18"/>
                <w:color w:val="auto"/>
              </w:rPr>
            </w:pPr>
          </w:p>
        </w:tc>
        <w:tc>
          <w:tcPr>
            <w:tcW w:w="880" w:type="dxa"/>
            <w:vAlign w:val="bottom"/>
            <w:tcBorders>
              <w:bottom w:val="single" w:sz="8" w:color="262626"/>
            </w:tcBorders>
          </w:tcPr>
          <w:p>
            <w:pPr>
              <w:jc w:val="right"/>
              <w:ind w:right="80"/>
              <w:spacing w:after="0"/>
              <w:rPr>
                <w:sz w:val="20"/>
                <w:szCs w:val="20"/>
                <w:color w:val="auto"/>
              </w:rPr>
            </w:pPr>
            <w:r>
              <w:rPr>
                <w:rFonts w:ascii="Arial" w:cs="Arial" w:eastAsia="Arial" w:hAnsi="Arial"/>
                <w:sz w:val="16"/>
                <w:szCs w:val="16"/>
                <w:color w:val="262626"/>
              </w:rPr>
              <w:t>2020</w:t>
            </w:r>
          </w:p>
        </w:tc>
        <w:tc>
          <w:tcPr>
            <w:tcW w:w="460" w:type="dxa"/>
            <w:vAlign w:val="bottom"/>
            <w:tcBorders>
              <w:bottom w:val="single" w:sz="8" w:color="262626"/>
            </w:tcBorders>
          </w:tcPr>
          <w:p>
            <w:pPr>
              <w:spacing w:after="0"/>
              <w:rPr>
                <w:sz w:val="18"/>
                <w:szCs w:val="18"/>
                <w:color w:val="auto"/>
              </w:rPr>
            </w:pPr>
          </w:p>
        </w:tc>
        <w:tc>
          <w:tcPr>
            <w:tcW w:w="880" w:type="dxa"/>
            <w:vAlign w:val="bottom"/>
            <w:tcBorders>
              <w:bottom w:val="single" w:sz="8" w:color="262626"/>
            </w:tcBorders>
            <w:gridSpan w:val="2"/>
          </w:tcPr>
          <w:p>
            <w:pPr>
              <w:jc w:val="right"/>
              <w:ind w:right="180"/>
              <w:spacing w:after="0"/>
              <w:rPr>
                <w:sz w:val="20"/>
                <w:szCs w:val="20"/>
                <w:color w:val="auto"/>
              </w:rPr>
            </w:pPr>
            <w:r>
              <w:rPr>
                <w:rFonts w:ascii="Arial" w:cs="Arial" w:eastAsia="Arial" w:hAnsi="Arial"/>
                <w:sz w:val="16"/>
                <w:szCs w:val="16"/>
                <w:color w:val="262626"/>
              </w:rPr>
              <w:t>2019</w:t>
            </w:r>
          </w:p>
        </w:tc>
        <w:tc>
          <w:tcPr>
            <w:tcW w:w="0" w:type="dxa"/>
            <w:vAlign w:val="bottom"/>
          </w:tcPr>
          <w:p>
            <w:pPr>
              <w:spacing w:after="0"/>
              <w:rPr>
                <w:sz w:val="1"/>
                <w:szCs w:val="1"/>
                <w:color w:val="auto"/>
              </w:rPr>
            </w:pPr>
          </w:p>
        </w:tc>
      </w:tr>
      <w:tr>
        <w:trPr>
          <w:trHeight w:val="145"/>
        </w:trPr>
        <w:tc>
          <w:tcPr>
            <w:tcW w:w="6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4"/>
          </w:tcPr>
          <w:p>
            <w:pPr>
              <w:jc w:val="right"/>
              <w:ind w:right="560"/>
              <w:spacing w:after="0" w:line="146" w:lineRule="exact"/>
              <w:rPr>
                <w:sz w:val="20"/>
                <w:szCs w:val="20"/>
                <w:color w:val="auto"/>
              </w:rPr>
            </w:pPr>
            <w:r>
              <w:rPr>
                <w:rFonts w:ascii="Arial" w:cs="Arial" w:eastAsia="Arial" w:hAnsi="Arial"/>
                <w:sz w:val="15"/>
                <w:szCs w:val="15"/>
                <w:color w:val="262626"/>
                <w:w w:val="97"/>
              </w:rPr>
              <w:t>(in thousands, except per</w:t>
            </w:r>
          </w:p>
        </w:tc>
        <w:tc>
          <w:tcPr>
            <w:tcW w:w="0" w:type="dxa"/>
            <w:vAlign w:val="bottom"/>
          </w:tcPr>
          <w:p>
            <w:pPr>
              <w:spacing w:after="0"/>
              <w:rPr>
                <w:sz w:val="1"/>
                <w:szCs w:val="1"/>
                <w:color w:val="auto"/>
              </w:rPr>
            </w:pPr>
          </w:p>
        </w:tc>
      </w:tr>
      <w:tr>
        <w:trPr>
          <w:trHeight w:val="175"/>
        </w:trPr>
        <w:tc>
          <w:tcPr>
            <w:tcW w:w="6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9"/>
              <w:spacing w:after="0"/>
              <w:rPr>
                <w:sz w:val="20"/>
                <w:szCs w:val="20"/>
                <w:color w:val="auto"/>
              </w:rPr>
            </w:pPr>
            <w:r>
              <w:rPr>
                <w:rFonts w:ascii="Arial" w:cs="Arial" w:eastAsia="Arial" w:hAnsi="Arial"/>
                <w:sz w:val="15"/>
                <w:szCs w:val="15"/>
                <w:color w:val="262626"/>
              </w:rPr>
              <w:t>share data)</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Net income</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80"/>
              <w:spacing w:after="0"/>
              <w:rPr>
                <w:sz w:val="20"/>
                <w:szCs w:val="20"/>
                <w:color w:val="auto"/>
              </w:rPr>
            </w:pPr>
            <w:r>
              <w:rPr>
                <w:rFonts w:ascii="Arial" w:cs="Arial" w:eastAsia="Arial" w:hAnsi="Arial"/>
                <w:sz w:val="16"/>
                <w:szCs w:val="16"/>
                <w:color w:val="262626"/>
              </w:rPr>
              <w:t>135,888</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360,542</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Arial" w:cs="Arial" w:eastAsia="Arial" w:hAnsi="Arial"/>
                <w:sz w:val="16"/>
                <w:szCs w:val="16"/>
                <w:color w:val="262626"/>
              </w:rPr>
              <w:t>Net income attributable to noncontrolling interests</w:t>
            </w:r>
          </w:p>
        </w:tc>
        <w:tc>
          <w:tcPr>
            <w:tcW w:w="240" w:type="dxa"/>
            <w:vAlign w:val="bottom"/>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262626"/>
              </w:rPr>
              <w:t>(4,182)</w:t>
            </w:r>
          </w:p>
        </w:tc>
        <w:tc>
          <w:tcPr>
            <w:tcW w:w="460" w:type="dxa"/>
            <w:vAlign w:val="bottom"/>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262626"/>
              </w:rPr>
              <w:t>(6,676)</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Gain on sale of real estate, net of tax</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262626"/>
              </w:rPr>
              <w:t>(91,922)</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20"/>
              <w:spacing w:after="0"/>
              <w:rPr>
                <w:sz w:val="20"/>
                <w:szCs w:val="20"/>
                <w:color w:val="auto"/>
              </w:rPr>
            </w:pPr>
            <w:r>
              <w:rPr>
                <w:rFonts w:ascii="Arial" w:cs="Arial" w:eastAsia="Arial" w:hAnsi="Arial"/>
                <w:sz w:val="16"/>
                <w:szCs w:val="16"/>
                <w:color w:val="262626"/>
              </w:rPr>
              <w:t>(116,393)</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Arial" w:cs="Arial" w:eastAsia="Arial" w:hAnsi="Arial"/>
                <w:sz w:val="16"/>
                <w:szCs w:val="16"/>
                <w:color w:val="262626"/>
              </w:rPr>
              <w:t>Impairment charge, net</w:t>
            </w:r>
          </w:p>
        </w:tc>
        <w:tc>
          <w:tcPr>
            <w:tcW w:w="240" w:type="dxa"/>
            <w:vAlign w:val="bottom"/>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Pr>
          <w:p>
            <w:pPr>
              <w:jc w:val="right"/>
              <w:ind w:right="80"/>
              <w:spacing w:after="0"/>
              <w:rPr>
                <w:sz w:val="20"/>
                <w:szCs w:val="20"/>
                <w:color w:val="auto"/>
              </w:rPr>
            </w:pPr>
            <w:r>
              <w:rPr>
                <w:rFonts w:ascii="Arial" w:cs="Arial" w:eastAsia="Arial" w:hAnsi="Arial"/>
                <w:sz w:val="16"/>
                <w:szCs w:val="16"/>
                <w:color w:val="262626"/>
              </w:rPr>
              <w:t>50,728</w:t>
            </w:r>
          </w:p>
        </w:tc>
        <w:tc>
          <w:tcPr>
            <w:tcW w:w="460" w:type="dxa"/>
            <w:vAlign w:val="bottom"/>
          </w:tcPr>
          <w:p>
            <w:pPr>
              <w:jc w:val="right"/>
              <w:ind w:right="179"/>
              <w:spacing w:after="0"/>
              <w:rPr>
                <w:sz w:val="20"/>
                <w:szCs w:val="20"/>
                <w:color w:val="auto"/>
              </w:rPr>
            </w:pPr>
            <w:r>
              <w:rPr>
                <w:rFonts w:ascii="Arial" w:cs="Arial" w:eastAsia="Arial" w:hAnsi="Arial"/>
                <w:sz w:val="16"/>
                <w:szCs w:val="16"/>
                <w:color w:val="262626"/>
              </w:rPr>
              <w:t>$</w:t>
            </w:r>
          </w:p>
        </w:tc>
        <w:tc>
          <w:tcPr>
            <w:tcW w:w="700" w:type="dxa"/>
            <w:vAlign w:val="bottom"/>
          </w:tcPr>
          <w:p>
            <w:pPr>
              <w:jc w:val="right"/>
              <w:ind w:right="159"/>
              <w:spacing w:after="0"/>
              <w:rPr>
                <w:sz w:val="20"/>
                <w:szCs w:val="20"/>
                <w:color w:val="auto"/>
              </w:rPr>
            </w:pPr>
            <w:r>
              <w:rPr>
                <w:rFonts w:ascii="Arial" w:cs="Arial" w:eastAsia="Arial" w:hAnsi="Arial"/>
                <w:sz w:val="16"/>
                <w:szCs w:val="16"/>
                <w:color w:val="262626"/>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Depreciation and amortization of real estate assets</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80"/>
              <w:spacing w:after="0"/>
              <w:rPr>
                <w:sz w:val="20"/>
                <w:szCs w:val="20"/>
                <w:color w:val="auto"/>
              </w:rPr>
            </w:pPr>
            <w:r>
              <w:rPr>
                <w:rFonts w:ascii="Arial" w:cs="Arial" w:eastAsia="Arial" w:hAnsi="Arial"/>
                <w:sz w:val="16"/>
                <w:szCs w:val="16"/>
                <w:color w:val="262626"/>
              </w:rPr>
              <w:t>228,850</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215,139</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6"/>
                <w:szCs w:val="16"/>
                <w:color w:val="262626"/>
              </w:rPr>
              <w:t>Amortization of initial direct costs of leases</w:t>
            </w:r>
          </w:p>
        </w:tc>
        <w:tc>
          <w:tcPr>
            <w:tcW w:w="240" w:type="dxa"/>
            <w:vAlign w:val="bottom"/>
            <w:tcBorders>
              <w:bottom w:val="single" w:sz="8" w:color="262626"/>
            </w:tcBorders>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Borders>
              <w:bottom w:val="single" w:sz="8" w:color="262626"/>
            </w:tcBorders>
          </w:tcPr>
          <w:p>
            <w:pPr>
              <w:jc w:val="right"/>
              <w:ind w:right="80"/>
              <w:spacing w:after="0"/>
              <w:rPr>
                <w:sz w:val="20"/>
                <w:szCs w:val="20"/>
                <w:color w:val="auto"/>
              </w:rPr>
            </w:pPr>
            <w:r>
              <w:rPr>
                <w:rFonts w:ascii="Arial" w:cs="Arial" w:eastAsia="Arial" w:hAnsi="Arial"/>
                <w:sz w:val="16"/>
                <w:szCs w:val="16"/>
                <w:color w:val="262626"/>
              </w:rPr>
              <w:t>20,415</w:t>
            </w:r>
          </w:p>
        </w:tc>
        <w:tc>
          <w:tcPr>
            <w:tcW w:w="460" w:type="dxa"/>
            <w:vAlign w:val="bottom"/>
            <w:tcBorders>
              <w:bottom w:val="single" w:sz="8" w:color="262626"/>
            </w:tcBorders>
          </w:tcPr>
          <w:p>
            <w:pPr>
              <w:jc w:val="right"/>
              <w:ind w:right="179"/>
              <w:spacing w:after="0"/>
              <w:rPr>
                <w:sz w:val="20"/>
                <w:szCs w:val="20"/>
                <w:color w:val="auto"/>
              </w:rPr>
            </w:pPr>
            <w:r>
              <w:rPr>
                <w:rFonts w:ascii="Arial" w:cs="Arial" w:eastAsia="Arial" w:hAnsi="Arial"/>
                <w:sz w:val="16"/>
                <w:szCs w:val="16"/>
                <w:color w:val="262626"/>
              </w:rPr>
              <w:t>$</w:t>
            </w:r>
          </w:p>
        </w:tc>
        <w:tc>
          <w:tcPr>
            <w:tcW w:w="700" w:type="dxa"/>
            <w:vAlign w:val="bottom"/>
            <w:tcBorders>
              <w:bottom w:val="single" w:sz="8" w:color="262626"/>
            </w:tcBorders>
          </w:tcPr>
          <w:p>
            <w:pPr>
              <w:jc w:val="right"/>
              <w:spacing w:after="0"/>
              <w:rPr>
                <w:sz w:val="20"/>
                <w:szCs w:val="20"/>
                <w:color w:val="auto"/>
              </w:rPr>
            </w:pPr>
            <w:r>
              <w:rPr>
                <w:rFonts w:ascii="Arial" w:cs="Arial" w:eastAsia="Arial" w:hAnsi="Arial"/>
                <w:sz w:val="16"/>
                <w:szCs w:val="16"/>
                <w:color w:val="262626"/>
              </w:rPr>
              <w:t>19,359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Funds from operations</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80"/>
              <w:spacing w:after="0"/>
              <w:rPr>
                <w:sz w:val="20"/>
                <w:szCs w:val="20"/>
                <w:color w:val="auto"/>
              </w:rPr>
            </w:pPr>
            <w:r>
              <w:rPr>
                <w:rFonts w:ascii="Arial" w:cs="Arial" w:eastAsia="Arial" w:hAnsi="Arial"/>
                <w:sz w:val="16"/>
                <w:szCs w:val="16"/>
                <w:color w:val="262626"/>
              </w:rPr>
              <w:t>339,777</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471,971</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rPr>
                <w:sz w:val="20"/>
                <w:szCs w:val="20"/>
                <w:color w:val="auto"/>
              </w:rPr>
            </w:pPr>
            <w:r>
              <w:rPr>
                <w:rFonts w:ascii="Arial" w:cs="Arial" w:eastAsia="Arial" w:hAnsi="Arial"/>
                <w:sz w:val="16"/>
                <w:szCs w:val="16"/>
                <w:color w:val="262626"/>
              </w:rPr>
              <w:t>Dividends on preferred shares</w:t>
            </w:r>
          </w:p>
        </w:tc>
        <w:tc>
          <w:tcPr>
            <w:tcW w:w="240" w:type="dxa"/>
            <w:vAlign w:val="bottom"/>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262626"/>
              </w:rPr>
              <w:t>(8,042)</w:t>
            </w:r>
          </w:p>
        </w:tc>
        <w:tc>
          <w:tcPr>
            <w:tcW w:w="460" w:type="dxa"/>
            <w:vAlign w:val="bottom"/>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262626"/>
              </w:rPr>
              <w:t>(7,500)</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Income attributable to operating partnership units</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80"/>
              <w:spacing w:after="0"/>
              <w:rPr>
                <w:sz w:val="20"/>
                <w:szCs w:val="20"/>
                <w:color w:val="auto"/>
              </w:rPr>
            </w:pPr>
            <w:r>
              <w:rPr>
                <w:rFonts w:ascii="Arial" w:cs="Arial" w:eastAsia="Arial" w:hAnsi="Arial"/>
                <w:sz w:val="16"/>
                <w:szCs w:val="16"/>
                <w:color w:val="262626"/>
              </w:rPr>
              <w:t>3,151</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2,703</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6"/>
                <w:szCs w:val="16"/>
                <w:color w:val="262626"/>
              </w:rPr>
              <w:t>Income attributable to unvested shares</w:t>
            </w:r>
          </w:p>
        </w:tc>
        <w:tc>
          <w:tcPr>
            <w:tcW w:w="240" w:type="dxa"/>
            <w:vAlign w:val="bottom"/>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262626"/>
              </w:rPr>
              <w:t>(1,037)</w:t>
            </w:r>
          </w:p>
        </w:tc>
        <w:tc>
          <w:tcPr>
            <w:tcW w:w="460" w:type="dxa"/>
            <w:vAlign w:val="bottom"/>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262626"/>
              </w:rPr>
              <w:t>(1,355)</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Funds from operations available for common shareholders</w:t>
            </w:r>
          </w:p>
        </w:tc>
        <w:tc>
          <w:tcPr>
            <w:tcW w:w="240" w:type="dxa"/>
            <w:vAlign w:val="bottom"/>
            <w:tcBorders>
              <w:top w:val="single" w:sz="8" w:color="262626"/>
              <w:bottom w:val="single" w:sz="8" w:color="262626"/>
            </w:tcBorders>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tcBorders>
              <w:top w:val="single" w:sz="8" w:color="262626"/>
              <w:bottom w:val="single" w:sz="8" w:color="262626"/>
            </w:tcBorders>
            <w:shd w:val="clear" w:color="auto" w:fill="EAEFED"/>
          </w:tcPr>
          <w:p>
            <w:pPr>
              <w:jc w:val="right"/>
              <w:ind w:right="80"/>
              <w:spacing w:after="0"/>
              <w:rPr>
                <w:sz w:val="20"/>
                <w:szCs w:val="20"/>
                <w:color w:val="auto"/>
              </w:rPr>
            </w:pPr>
            <w:r>
              <w:rPr>
                <w:rFonts w:ascii="Arial" w:cs="Arial" w:eastAsia="Arial" w:hAnsi="Arial"/>
                <w:sz w:val="16"/>
                <w:szCs w:val="16"/>
                <w:color w:val="262626"/>
              </w:rPr>
              <w:t>333,849</w:t>
            </w:r>
          </w:p>
        </w:tc>
        <w:tc>
          <w:tcPr>
            <w:tcW w:w="460" w:type="dxa"/>
            <w:vAlign w:val="bottom"/>
            <w:tcBorders>
              <w:top w:val="single" w:sz="8" w:color="262626"/>
              <w:bottom w:val="single" w:sz="8" w:color="262626"/>
            </w:tcBorders>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700" w:type="dxa"/>
            <w:vAlign w:val="bottom"/>
            <w:tcBorders>
              <w:top w:val="single" w:sz="8" w:color="262626"/>
              <w:bottom w:val="single" w:sz="8" w:color="262626"/>
            </w:tcBorders>
            <w:shd w:val="clear" w:color="auto" w:fill="EAEFED"/>
          </w:tcPr>
          <w:p>
            <w:pPr>
              <w:jc w:val="right"/>
              <w:spacing w:after="0"/>
              <w:rPr>
                <w:sz w:val="20"/>
                <w:szCs w:val="20"/>
                <w:color w:val="auto"/>
              </w:rPr>
            </w:pPr>
            <w:r>
              <w:rPr>
                <w:rFonts w:ascii="Arial" w:cs="Arial" w:eastAsia="Arial" w:hAnsi="Arial"/>
                <w:sz w:val="16"/>
                <w:szCs w:val="16"/>
                <w:color w:val="262626"/>
              </w:rPr>
              <w:t>465,819</w:t>
            </w:r>
          </w:p>
        </w:tc>
        <w:tc>
          <w:tcPr>
            <w:tcW w:w="180" w:type="dxa"/>
            <w:vAlign w:val="bottom"/>
            <w:shd w:val="clear" w:color="auto" w:fill="EAEFE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6"/>
                <w:szCs w:val="16"/>
                <w:color w:val="262626"/>
              </w:rPr>
              <w:t>Weighted average number of common shares, diluted</w:t>
            </w:r>
          </w:p>
        </w:tc>
        <w:tc>
          <w:tcPr>
            <w:tcW w:w="240" w:type="dxa"/>
            <w:vAlign w:val="bottom"/>
            <w:tcBorders>
              <w:bottom w:val="single" w:sz="8" w:color="262626"/>
            </w:tcBorders>
          </w:tcPr>
          <w:p>
            <w:pPr>
              <w:spacing w:after="0" w:line="20" w:lineRule="exact"/>
              <w:rPr>
                <w:sz w:val="1"/>
                <w:szCs w:val="1"/>
                <w:color w:val="auto"/>
              </w:rPr>
            </w:pPr>
          </w:p>
        </w:tc>
        <w:tc>
          <w:tcPr>
            <w:tcW w:w="880" w:type="dxa"/>
            <w:vAlign w:val="bottom"/>
            <w:tcBorders>
              <w:bottom w:val="single" w:sz="8" w:color="262626"/>
            </w:tcBorders>
          </w:tcPr>
          <w:p>
            <w:pPr>
              <w:spacing w:after="0" w:line="20" w:lineRule="exact"/>
              <w:rPr>
                <w:sz w:val="1"/>
                <w:szCs w:val="1"/>
                <w:color w:val="auto"/>
              </w:rPr>
            </w:pPr>
          </w:p>
        </w:tc>
        <w:tc>
          <w:tcPr>
            <w:tcW w:w="460" w:type="dxa"/>
            <w:vAlign w:val="bottom"/>
            <w:tcBorders>
              <w:bottom w:val="single" w:sz="8" w:color="262626"/>
            </w:tcBorders>
          </w:tcPr>
          <w:p>
            <w:pPr>
              <w:spacing w:after="0" w:line="20" w:lineRule="exact"/>
              <w:rPr>
                <w:sz w:val="1"/>
                <w:szCs w:val="1"/>
                <w:color w:val="auto"/>
              </w:rPr>
            </w:pPr>
          </w:p>
        </w:tc>
        <w:tc>
          <w:tcPr>
            <w:tcW w:w="700" w:type="dxa"/>
            <w:vAlign w:val="bottom"/>
            <w:tcBorders>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262626"/>
              </w:rPr>
              <w:t>76,261</w:t>
            </w:r>
          </w:p>
        </w:tc>
        <w:tc>
          <w:tcPr>
            <w:tcW w:w="4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262626"/>
              </w:rPr>
              <w:t>75,514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262626"/>
              <w:bottom w:val="single" w:sz="8" w:color="262626"/>
            </w:tcBorders>
          </w:tcPr>
          <w:p>
            <w:pPr>
              <w:spacing w:after="0" w:line="20" w:lineRule="exact"/>
              <w:rPr>
                <w:sz w:val="1"/>
                <w:szCs w:val="1"/>
                <w:color w:val="auto"/>
              </w:rPr>
            </w:pPr>
          </w:p>
        </w:tc>
        <w:tc>
          <w:tcPr>
            <w:tcW w:w="880" w:type="dxa"/>
            <w:vAlign w:val="bottom"/>
            <w:tcBorders>
              <w:top w:val="single" w:sz="8" w:color="262626"/>
              <w:bottom w:val="single" w:sz="8" w:color="262626"/>
            </w:tcBorders>
          </w:tcPr>
          <w:p>
            <w:pPr>
              <w:spacing w:after="0" w:line="20" w:lineRule="exact"/>
              <w:rPr>
                <w:sz w:val="1"/>
                <w:szCs w:val="1"/>
                <w:color w:val="auto"/>
              </w:rPr>
            </w:pPr>
          </w:p>
        </w:tc>
        <w:tc>
          <w:tcPr>
            <w:tcW w:w="460" w:type="dxa"/>
            <w:vAlign w:val="bottom"/>
            <w:tcBorders>
              <w:top w:val="single" w:sz="8" w:color="262626"/>
              <w:bottom w:val="single" w:sz="8" w:color="262626"/>
            </w:tcBorders>
          </w:tcPr>
          <w:p>
            <w:pPr>
              <w:spacing w:after="0" w:line="20" w:lineRule="exact"/>
              <w:rPr>
                <w:sz w:val="1"/>
                <w:szCs w:val="1"/>
                <w:color w:val="auto"/>
              </w:rPr>
            </w:pPr>
          </w:p>
        </w:tc>
        <w:tc>
          <w:tcPr>
            <w:tcW w:w="70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900" w:type="dxa"/>
            <w:vAlign w:val="bottom"/>
            <w:gridSpan w:val="2"/>
            <w:shd w:val="clear" w:color="auto" w:fill="EAEFED"/>
          </w:tcPr>
          <w:p>
            <w:pPr>
              <w:spacing w:after="0"/>
              <w:rPr>
                <w:sz w:val="20"/>
                <w:szCs w:val="20"/>
                <w:color w:val="auto"/>
              </w:rPr>
            </w:pPr>
            <w:r>
              <w:rPr>
                <w:rFonts w:ascii="Arial" w:cs="Arial" w:eastAsia="Arial" w:hAnsi="Arial"/>
                <w:sz w:val="16"/>
                <w:szCs w:val="16"/>
                <w:color w:val="262626"/>
              </w:rPr>
              <w:t>Funds from operations available for common shareholders, per diluted share</w:t>
            </w:r>
          </w:p>
        </w:tc>
        <w:tc>
          <w:tcPr>
            <w:tcW w:w="240" w:type="dxa"/>
            <w:vAlign w:val="bottom"/>
            <w:shd w:val="clear" w:color="auto" w:fill="EAEFED"/>
          </w:tcPr>
          <w:p>
            <w:pPr>
              <w:jc w:val="right"/>
              <w:ind w:right="84"/>
              <w:spacing w:after="0"/>
              <w:rPr>
                <w:sz w:val="20"/>
                <w:szCs w:val="20"/>
                <w:color w:val="auto"/>
              </w:rPr>
            </w:pPr>
            <w:r>
              <w:rPr>
                <w:rFonts w:ascii="Arial" w:cs="Arial" w:eastAsia="Arial" w:hAnsi="Arial"/>
                <w:sz w:val="15"/>
                <w:szCs w:val="15"/>
                <w:color w:val="262626"/>
                <w:w w:val="71"/>
              </w:rPr>
              <w:t>$</w:t>
            </w:r>
          </w:p>
        </w:tc>
        <w:tc>
          <w:tcPr>
            <w:tcW w:w="880" w:type="dxa"/>
            <w:vAlign w:val="bottom"/>
            <w:shd w:val="clear" w:color="auto" w:fill="EAEFED"/>
          </w:tcPr>
          <w:p>
            <w:pPr>
              <w:jc w:val="right"/>
              <w:ind w:right="80"/>
              <w:spacing w:after="0"/>
              <w:rPr>
                <w:sz w:val="20"/>
                <w:szCs w:val="20"/>
                <w:color w:val="auto"/>
              </w:rPr>
            </w:pPr>
            <w:r>
              <w:rPr>
                <w:rFonts w:ascii="Arial" w:cs="Arial" w:eastAsia="Arial" w:hAnsi="Arial"/>
                <w:sz w:val="16"/>
                <w:szCs w:val="16"/>
                <w:color w:val="262626"/>
              </w:rPr>
              <w:t>4.38</w:t>
            </w:r>
          </w:p>
        </w:tc>
        <w:tc>
          <w:tcPr>
            <w:tcW w:w="460" w:type="dxa"/>
            <w:vAlign w:val="bottom"/>
            <w:shd w:val="clear" w:color="auto" w:fill="EAEFED"/>
          </w:tcPr>
          <w:p>
            <w:pPr>
              <w:jc w:val="right"/>
              <w:ind w:right="179"/>
              <w:spacing w:after="0"/>
              <w:rPr>
                <w:sz w:val="20"/>
                <w:szCs w:val="20"/>
                <w:color w:val="auto"/>
              </w:rPr>
            </w:pPr>
            <w:r>
              <w:rPr>
                <w:rFonts w:ascii="Arial" w:cs="Arial" w:eastAsia="Arial" w:hAnsi="Arial"/>
                <w:sz w:val="16"/>
                <w:szCs w:val="16"/>
                <w:color w:val="262626"/>
              </w:rPr>
              <w:t>$</w:t>
            </w:r>
          </w:p>
        </w:tc>
        <w:tc>
          <w:tcPr>
            <w:tcW w:w="880" w:type="dxa"/>
            <w:vAlign w:val="bottom"/>
            <w:gridSpan w:val="2"/>
            <w:shd w:val="clear" w:color="auto" w:fill="EAEFED"/>
          </w:tcPr>
          <w:p>
            <w:pPr>
              <w:jc w:val="right"/>
              <w:ind w:right="180"/>
              <w:spacing w:after="0"/>
              <w:rPr>
                <w:sz w:val="20"/>
                <w:szCs w:val="20"/>
                <w:color w:val="auto"/>
              </w:rPr>
            </w:pPr>
            <w:r>
              <w:rPr>
                <w:rFonts w:ascii="Arial" w:cs="Arial" w:eastAsia="Arial" w:hAnsi="Arial"/>
                <w:sz w:val="16"/>
                <w:szCs w:val="16"/>
                <w:color w:val="262626"/>
              </w:rPr>
              <w:t>6.17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262626"/>
        </w:rPr>
        <w:t>A-1</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gridSpan w:val="2"/>
          </w:tcPr>
          <w:p>
            <w:pPr>
              <w:spacing w:after="0"/>
              <w:rPr>
                <w:sz w:val="20"/>
                <w:szCs w:val="20"/>
                <w:color w:val="auto"/>
              </w:rPr>
            </w:pPr>
            <w:r>
              <w:rPr>
                <w:rFonts w:ascii="Arial" w:cs="Arial" w:eastAsia="Arial" w:hAnsi="Arial"/>
                <w:sz w:val="13"/>
                <w:szCs w:val="13"/>
                <w:color w:val="FFFFFF"/>
              </w:rPr>
              <w:t>FEDERAL REALTY INVESTMENT TRUST THIS PROXY IS SOLICITED</w:t>
            </w:r>
          </w:p>
        </w:tc>
        <w:tc>
          <w:tcPr>
            <w:tcW w:w="6720" w:type="dxa"/>
            <w:vAlign w:val="bottom"/>
            <w:gridSpan w:val="2"/>
          </w:tcPr>
          <w:p>
            <w:pPr>
              <w:jc w:val="right"/>
              <w:ind w:right="338"/>
              <w:spacing w:after="0"/>
              <w:rPr>
                <w:sz w:val="20"/>
                <w:szCs w:val="20"/>
                <w:color w:val="auto"/>
              </w:rPr>
            </w:pPr>
            <w:r>
              <w:rPr>
                <w:rFonts w:ascii="Arial" w:cs="Arial" w:eastAsia="Arial" w:hAnsi="Arial"/>
                <w:sz w:val="13"/>
                <w:szCs w:val="13"/>
                <w:color w:val="FFFFFF"/>
                <w:w w:val="96"/>
              </w:rPr>
              <w:t>BEHALF OF THE BOARD OF TRUSTEES The undersigned,  shareholder of Federal Realty Investment Trust (the</w:t>
            </w:r>
          </w:p>
        </w:tc>
      </w:tr>
      <w:tr>
        <w:trPr>
          <w:trHeight w:val="40"/>
        </w:trPr>
        <w:tc>
          <w:tcPr>
            <w:tcW w:w="2000" w:type="dxa"/>
            <w:vAlign w:val="bottom"/>
          </w:tcPr>
          <w:p>
            <w:pPr>
              <w:spacing w:after="0" w:line="41" w:lineRule="exact"/>
              <w:rPr>
                <w:sz w:val="20"/>
                <w:szCs w:val="20"/>
                <w:color w:val="auto"/>
              </w:rPr>
            </w:pPr>
            <w:r>
              <w:rPr>
                <w:rFonts w:ascii="Arial" w:cs="Arial" w:eastAsia="Arial" w:hAnsi="Arial"/>
                <w:sz w:val="4"/>
                <w:szCs w:val="4"/>
                <w:color w:val="FFFFFF"/>
              </w:rPr>
              <w:t>“Trust”), hereby constitutes and</w:t>
            </w:r>
          </w:p>
        </w:tc>
        <w:tc>
          <w:tcPr>
            <w:tcW w:w="7520" w:type="dxa"/>
            <w:vAlign w:val="bottom"/>
            <w:gridSpan w:val="2"/>
          </w:tcPr>
          <w:p>
            <w:pPr>
              <w:ind w:left="260"/>
              <w:spacing w:after="0" w:line="41" w:lineRule="exact"/>
              <w:rPr>
                <w:sz w:val="20"/>
                <w:szCs w:val="20"/>
                <w:color w:val="auto"/>
              </w:rPr>
            </w:pPr>
            <w:r>
              <w:rPr>
                <w:rFonts w:ascii="Arial" w:cs="Arial" w:eastAsia="Arial" w:hAnsi="Arial"/>
                <w:sz w:val="4"/>
                <w:szCs w:val="4"/>
                <w:color w:val="FFFFFF"/>
              </w:rPr>
              <w:t>DAWN M. BECKER and DANIEL GUGLIELMONE, or either of them, asthe true and lawful attorneys and proxies of the</w:t>
            </w:r>
          </w:p>
        </w:tc>
        <w:tc>
          <w:tcPr>
            <w:tcW w:w="1660" w:type="dxa"/>
            <w:vAlign w:val="bottom"/>
          </w:tcPr>
          <w:p>
            <w:pPr>
              <w:ind w:left="140"/>
              <w:spacing w:after="0" w:line="41" w:lineRule="exact"/>
              <w:rPr>
                <w:sz w:val="20"/>
                <w:szCs w:val="20"/>
                <w:color w:val="auto"/>
              </w:rPr>
            </w:pPr>
            <w:r>
              <w:rPr>
                <w:rFonts w:ascii="Arial" w:cs="Arial" w:eastAsia="Arial" w:hAnsi="Arial"/>
                <w:sz w:val="4"/>
                <w:szCs w:val="4"/>
                <w:color w:val="FFFFFF"/>
              </w:rPr>
              <w:t>with full power of</w:t>
            </w:r>
          </w:p>
        </w:tc>
      </w:tr>
      <w:tr>
        <w:trPr>
          <w:trHeight w:val="41"/>
        </w:trPr>
        <w:tc>
          <w:tcPr>
            <w:tcW w:w="4460" w:type="dxa"/>
            <w:vAlign w:val="bottom"/>
            <w:gridSpan w:val="2"/>
          </w:tcPr>
          <w:p>
            <w:pPr>
              <w:spacing w:after="0" w:line="41" w:lineRule="exact"/>
              <w:rPr>
                <w:sz w:val="20"/>
                <w:szCs w:val="20"/>
                <w:color w:val="auto"/>
              </w:rPr>
            </w:pPr>
            <w:r>
              <w:rPr>
                <w:rFonts w:ascii="Arial" w:cs="Arial" w:eastAsia="Arial" w:hAnsi="Arial"/>
                <w:sz w:val="4"/>
                <w:szCs w:val="4"/>
                <w:color w:val="FFFFFF"/>
              </w:rPr>
              <w:t>substitution ine ch of them, for andappointsthe name of the undersigned, to vote and</w:t>
            </w:r>
          </w:p>
        </w:tc>
        <w:tc>
          <w:tcPr>
            <w:tcW w:w="6720" w:type="dxa"/>
            <w:vAlign w:val="bottom"/>
            <w:gridSpan w:val="2"/>
          </w:tcPr>
          <w:p>
            <w:pPr>
              <w:jc w:val="right"/>
              <w:ind w:right="98"/>
              <w:spacing w:after="0" w:line="41" w:lineRule="exact"/>
              <w:rPr>
                <w:sz w:val="20"/>
                <w:szCs w:val="20"/>
                <w:color w:val="auto"/>
              </w:rPr>
            </w:pPr>
            <w:r>
              <w:rPr>
                <w:rFonts w:ascii="Arial" w:cs="Arial" w:eastAsia="Arial" w:hAnsi="Arial"/>
                <w:sz w:val="4"/>
                <w:szCs w:val="4"/>
                <w:color w:val="FFFFFF"/>
              </w:rPr>
              <w:t>act at the AnnualMeeting of Shareholders of the Trust to be held   Wednesdayundersigned,May5, 2021 at 9:00 a.m. thereof,</w:t>
            </w:r>
          </w:p>
        </w:tc>
      </w:tr>
      <w:tr>
        <w:trPr>
          <w:trHeight w:val="41"/>
        </w:trPr>
        <w:tc>
          <w:tcPr>
            <w:tcW w:w="4460" w:type="dxa"/>
            <w:vAlign w:val="bottom"/>
            <w:gridSpan w:val="2"/>
          </w:tcPr>
          <w:p>
            <w:pPr>
              <w:spacing w:after="0" w:line="41" w:lineRule="exact"/>
              <w:rPr>
                <w:sz w:val="20"/>
                <w:szCs w:val="20"/>
                <w:color w:val="auto"/>
              </w:rPr>
            </w:pPr>
            <w:r>
              <w:rPr>
                <w:rFonts w:ascii="Arial" w:cs="Arial" w:eastAsia="Arial" w:hAnsi="Arial"/>
                <w:sz w:val="4"/>
                <w:szCs w:val="4"/>
                <w:color w:val="FFFFFF"/>
              </w:rPr>
              <w:t>with respect to all of the Common Shares of Beneficial Interest of the Trust which</w:t>
            </w:r>
          </w:p>
        </w:tc>
        <w:tc>
          <w:tcPr>
            <w:tcW w:w="6720" w:type="dxa"/>
            <w:vAlign w:val="bottom"/>
            <w:gridSpan w:val="2"/>
          </w:tcPr>
          <w:p>
            <w:pPr>
              <w:jc w:val="right"/>
              <w:spacing w:after="0" w:line="41" w:lineRule="exact"/>
              <w:rPr>
                <w:sz w:val="20"/>
                <w:szCs w:val="20"/>
                <w:color w:val="auto"/>
              </w:rPr>
            </w:pPr>
            <w:r>
              <w:rPr>
                <w:rFonts w:ascii="Arial" w:cs="Arial" w:eastAsia="Arial" w:hAnsi="Arial"/>
                <w:sz w:val="4"/>
                <w:szCs w:val="4"/>
                <w:color w:val="FFFFFF"/>
              </w:rPr>
              <w:t>virtually at https://web.lumiagm.com/202329683, or at any postponement or adjournment undersigned would be entitled</w:t>
            </w:r>
          </w:p>
        </w:tc>
      </w:tr>
      <w:tr>
        <w:trPr>
          <w:trHeight w:val="41"/>
        </w:trPr>
        <w:tc>
          <w:tcPr>
            <w:tcW w:w="9520" w:type="dxa"/>
            <w:vAlign w:val="bottom"/>
            <w:gridSpan w:val="3"/>
          </w:tcPr>
          <w:p>
            <w:pPr>
              <w:spacing w:after="0" w:line="41" w:lineRule="exact"/>
              <w:rPr>
                <w:sz w:val="20"/>
                <w:szCs w:val="20"/>
                <w:color w:val="auto"/>
              </w:rPr>
            </w:pPr>
            <w:r>
              <w:rPr>
                <w:rFonts w:ascii="Arial" w:cs="Arial" w:eastAsia="Arial" w:hAnsi="Arial"/>
                <w:sz w:val="4"/>
                <w:szCs w:val="4"/>
                <w:color w:val="FFFFFF"/>
              </w:rPr>
              <w:t>to vote, with all the powers the undersigned would possess if personally present,otherwiseonfollowing matters. The undersigned, a shareholder of Federal Realty Investment Trust</w:t>
            </w:r>
          </w:p>
        </w:tc>
        <w:tc>
          <w:tcPr>
            <w:tcW w:w="1660" w:type="dxa"/>
            <w:vAlign w:val="bottom"/>
          </w:tcPr>
          <w:p>
            <w:pPr>
              <w:ind w:left="140"/>
              <w:spacing w:after="0" w:line="41" w:lineRule="exact"/>
              <w:rPr>
                <w:sz w:val="20"/>
                <w:szCs w:val="20"/>
                <w:color w:val="auto"/>
              </w:rPr>
            </w:pPr>
            <w:r>
              <w:rPr>
                <w:rFonts w:ascii="Arial" w:cs="Arial" w:eastAsia="Arial" w:hAnsi="Arial"/>
                <w:sz w:val="4"/>
                <w:szCs w:val="4"/>
                <w:color w:val="FFFFFF"/>
              </w:rPr>
              <w:t>“Trust”), hereby may do</w:t>
            </w:r>
          </w:p>
        </w:tc>
      </w:tr>
      <w:tr>
        <w:trPr>
          <w:trHeight w:val="40"/>
        </w:trPr>
        <w:tc>
          <w:tcPr>
            <w:tcW w:w="4460" w:type="dxa"/>
            <w:vAlign w:val="bottom"/>
            <w:gridSpan w:val="2"/>
          </w:tcPr>
          <w:p>
            <w:pPr>
              <w:spacing w:after="0" w:line="41" w:lineRule="exact"/>
              <w:rPr>
                <w:sz w:val="20"/>
                <w:szCs w:val="20"/>
                <w:color w:val="auto"/>
              </w:rPr>
            </w:pPr>
            <w:r>
              <w:rPr>
                <w:rFonts w:ascii="Arial" w:cs="Arial" w:eastAsia="Arial" w:hAnsi="Arial"/>
                <w:sz w:val="4"/>
                <w:szCs w:val="4"/>
                <w:color w:val="FFFFFF"/>
              </w:rPr>
              <w:t>hereunder. The undersigned hereby ratifies and confirms all that the aforesaid</w:t>
            </w:r>
          </w:p>
        </w:tc>
        <w:tc>
          <w:tcPr>
            <w:tcW w:w="6720" w:type="dxa"/>
            <w:vAlign w:val="bottom"/>
            <w:gridSpan w:val="2"/>
          </w:tcPr>
          <w:p>
            <w:pPr>
              <w:jc w:val="right"/>
              <w:ind w:right="98"/>
              <w:spacing w:after="0" w:line="41" w:lineRule="exact"/>
              <w:rPr>
                <w:sz w:val="20"/>
                <w:szCs w:val="20"/>
                <w:color w:val="auto"/>
              </w:rPr>
            </w:pPr>
            <w:r>
              <w:rPr>
                <w:rFonts w:ascii="Arial" w:cs="Arial" w:eastAsia="Arial" w:hAnsi="Arial"/>
                <w:sz w:val="4"/>
                <w:szCs w:val="4"/>
                <w:color w:val="FFFFFF"/>
              </w:rPr>
              <w:t>and proxies accompanying Meeting. The undersigned hereby acknowledges receipt of (the Notice of Annual Meeting</w:t>
            </w:r>
          </w:p>
        </w:tc>
      </w:tr>
      <w:tr>
        <w:trPr>
          <w:trHeight w:val="213"/>
        </w:trPr>
        <w:tc>
          <w:tcPr>
            <w:tcW w:w="9520" w:type="dxa"/>
            <w:vAlign w:val="bottom"/>
            <w:gridSpan w:val="3"/>
          </w:tcPr>
          <w:p>
            <w:pPr>
              <w:spacing w:after="0"/>
              <w:rPr>
                <w:sz w:val="20"/>
                <w:szCs w:val="20"/>
                <w:color w:val="auto"/>
              </w:rPr>
            </w:pPr>
            <w:r>
              <w:rPr>
                <w:rFonts w:ascii="Arial" w:cs="Arial" w:eastAsia="Arial" w:hAnsi="Arial"/>
                <w:sz w:val="13"/>
                <w:szCs w:val="13"/>
                <w:color w:val="FFFFFF"/>
              </w:rPr>
              <w:t>and of theProxy Statement and revokes any proxy previously given with respectattorneystheAnnual (Continued and to be signed on the reverse side) 1.1 14475</w:t>
            </w:r>
          </w:p>
        </w:tc>
        <w:tc>
          <w:tcPr>
            <w:tcW w:w="1660" w:type="dxa"/>
            <w:vAlign w:val="bottom"/>
          </w:tcPr>
          <w:p>
            <w:pPr>
              <w:spacing w:after="0"/>
              <w:rPr>
                <w:sz w:val="18"/>
                <w:szCs w:val="18"/>
                <w:color w:val="auto"/>
              </w:rPr>
            </w:pPr>
          </w:p>
        </w:tc>
      </w:tr>
    </w:tbl>
    <w:p>
      <w:pPr>
        <w:sectPr>
          <w:pgSz w:w="11900" w:h="16838" w:orient="portrait"/>
          <w:cols w:equalWidth="0" w:num="1">
            <w:col w:w="11180"/>
          </w:cols>
          <w:pgMar w:left="320" w:top="459" w:right="39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ectPr>
          <w:pgSz w:w="11900" w:h="16838" w:orient="portrait"/>
          <w:cols w:equalWidth="0" w:num="1">
            <w:col w:w="11200"/>
          </w:cols>
          <w:pgMar w:left="320" w:top="459" w:right="379" w:bottom="9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0" w:type="dxa"/>
            <w:vAlign w:val="bottom"/>
            <w:gridSpan w:val="8"/>
          </w:tcPr>
          <w:p>
            <w:pPr>
              <w:spacing w:after="0"/>
              <w:rPr>
                <w:sz w:val="20"/>
                <w:szCs w:val="20"/>
                <w:color w:val="auto"/>
              </w:rPr>
            </w:pPr>
            <w:r>
              <w:rPr>
                <w:rFonts w:ascii="Arial" w:cs="Arial" w:eastAsia="Arial" w:hAnsi="Arial"/>
                <w:sz w:val="13"/>
                <w:szCs w:val="13"/>
                <w:color w:val="FFFFFF"/>
              </w:rPr>
              <w:t>ANNUAL MEETING OF SHAREHOLDERS OF FEDERAL REALTY INVESTMENT TRUST May 5, 2021 The Annual Report/Form 10-K/Notice &amp; Proxy Statement is available at:NOTICE OF</w:t>
            </w:r>
          </w:p>
        </w:tc>
      </w:tr>
      <w:tr>
        <w:trPr>
          <w:trHeight w:val="41"/>
        </w:trPr>
        <w:tc>
          <w:tcPr>
            <w:tcW w:w="11200" w:type="dxa"/>
            <w:vAlign w:val="bottom"/>
            <w:gridSpan w:val="8"/>
          </w:tcPr>
          <w:p>
            <w:pPr>
              <w:spacing w:after="0" w:line="41" w:lineRule="exact"/>
              <w:rPr>
                <w:sz w:val="20"/>
                <w:szCs w:val="20"/>
                <w:color w:val="auto"/>
              </w:rPr>
            </w:pPr>
            <w:r>
              <w:rPr>
                <w:rFonts w:ascii="Arial" w:cs="Arial" w:eastAsia="Arial" w:hAnsi="Arial"/>
                <w:sz w:val="4"/>
                <w:szCs w:val="4"/>
                <w:color w:val="FFFFFF"/>
              </w:rPr>
              <w:t>INTERNET AVAILABILITY OF PROXY MATERIALhttp://www.federalrealty.com/shareholder-meeting : envelope provided as soonPlease sign, date and mailyour proxy card in theas possible. Please</w:t>
            </w:r>
          </w:p>
        </w:tc>
      </w:tr>
      <w:tr>
        <w:trPr>
          <w:trHeight w:val="41"/>
        </w:trPr>
        <w:tc>
          <w:tcPr>
            <w:tcW w:w="11200" w:type="dxa"/>
            <w:vAlign w:val="bottom"/>
            <w:gridSpan w:val="8"/>
          </w:tcPr>
          <w:p>
            <w:pPr>
              <w:spacing w:after="0" w:line="41" w:lineRule="exact"/>
              <w:rPr>
                <w:sz w:val="20"/>
                <w:szCs w:val="20"/>
                <w:color w:val="auto"/>
              </w:rPr>
            </w:pPr>
            <w:r>
              <w:rPr>
                <w:rFonts w:ascii="Arial" w:cs="Arial" w:eastAsia="Arial" w:hAnsi="Arial"/>
                <w:sz w:val="4"/>
                <w:szCs w:val="4"/>
                <w:color w:val="FFFFFF"/>
              </w:rPr>
              <w:t>detach along perforated line and mail in the envelope provided. 00003333333030300000 4 050521 THIS PROXY WHEN PROPERLY EXECUTED WILL BE VOTED AS DIRECTED BY THE</w:t>
            </w:r>
          </w:p>
        </w:tc>
      </w:tr>
      <w:tr>
        <w:trPr>
          <w:trHeight w:val="41"/>
        </w:trPr>
        <w:tc>
          <w:tcPr>
            <w:tcW w:w="8320" w:type="dxa"/>
            <w:vAlign w:val="bottom"/>
            <w:gridSpan w:val="6"/>
          </w:tcPr>
          <w:p>
            <w:pPr>
              <w:spacing w:after="0" w:line="41" w:lineRule="exact"/>
              <w:rPr>
                <w:sz w:val="20"/>
                <w:szCs w:val="20"/>
                <w:color w:val="auto"/>
              </w:rPr>
            </w:pPr>
            <w:r>
              <w:rPr>
                <w:rFonts w:ascii="Arial" w:cs="Arial" w:eastAsia="Arial" w:hAnsi="Arial"/>
                <w:sz w:val="4"/>
                <w:szCs w:val="4"/>
                <w:color w:val="FFFFFF"/>
              </w:rPr>
              <w:t>UNDERSIGNED SHAREHOLDER. IF NO DIRECTION IS GIVEN, THIS PROXY WILL BE VOTED “FOR” ALL NOMINEES IN PROPOSAL 1</w:t>
            </w:r>
          </w:p>
        </w:tc>
        <w:tc>
          <w:tcPr>
            <w:tcW w:w="2880" w:type="dxa"/>
            <w:vAlign w:val="bottom"/>
            <w:gridSpan w:val="2"/>
          </w:tcPr>
          <w:p>
            <w:pPr>
              <w:ind w:left="180"/>
              <w:spacing w:after="0" w:line="41" w:lineRule="exact"/>
              <w:rPr>
                <w:sz w:val="20"/>
                <w:szCs w:val="20"/>
                <w:color w:val="auto"/>
              </w:rPr>
            </w:pPr>
            <w:r>
              <w:rPr>
                <w:rFonts w:ascii="Arial" w:cs="Arial" w:eastAsia="Arial" w:hAnsi="Arial"/>
                <w:sz w:val="4"/>
                <w:szCs w:val="4"/>
                <w:color w:val="FFFFFF"/>
              </w:rPr>
              <w:t>“FOR” PROPOSALS 2 AND 3PLEASE SIGN,</w:t>
            </w:r>
          </w:p>
        </w:tc>
      </w:tr>
      <w:tr>
        <w:trPr>
          <w:trHeight w:val="40"/>
        </w:trPr>
        <w:tc>
          <w:tcPr>
            <w:tcW w:w="9180" w:type="dxa"/>
            <w:vAlign w:val="bottom"/>
            <w:gridSpan w:val="7"/>
          </w:tcPr>
          <w:p>
            <w:pPr>
              <w:spacing w:after="0" w:line="41" w:lineRule="exact"/>
              <w:rPr>
                <w:sz w:val="20"/>
                <w:szCs w:val="20"/>
                <w:color w:val="auto"/>
              </w:rPr>
            </w:pPr>
            <w:r>
              <w:rPr>
                <w:rFonts w:ascii="Arial" w:cs="Arial" w:eastAsia="Arial" w:hAnsi="Arial"/>
                <w:sz w:val="4"/>
                <w:szCs w:val="4"/>
                <w:color w:val="FFFFFF"/>
              </w:rPr>
              <w:t>DATE AND RETURN PROMPTLY IN THE ENCLOSED ENVELOPE. PLEASE MARK YOUR VOTE IN BLUE OR BLACK INK AS SHOWN HEREAND</w:t>
            </w:r>
          </w:p>
        </w:tc>
        <w:tc>
          <w:tcPr>
            <w:tcW w:w="2020" w:type="dxa"/>
            <w:vAlign w:val="bottom"/>
          </w:tcPr>
          <w:p>
            <w:pPr>
              <w:ind w:left="460"/>
              <w:spacing w:after="0" w:line="41" w:lineRule="exact"/>
              <w:rPr>
                <w:sz w:val="20"/>
                <w:szCs w:val="20"/>
                <w:color w:val="auto"/>
              </w:rPr>
            </w:pPr>
            <w:r>
              <w:rPr>
                <w:rFonts w:ascii="Arial" w:cs="Arial" w:eastAsia="Arial" w:hAnsi="Arial"/>
                <w:sz w:val="4"/>
                <w:szCs w:val="4"/>
                <w:color w:val="FFFFFF"/>
              </w:rPr>
              <w:t>WILL VOTE IN THEIR</w:t>
            </w:r>
          </w:p>
        </w:tc>
      </w:tr>
      <w:tr>
        <w:trPr>
          <w:trHeight w:val="41"/>
        </w:trPr>
        <w:tc>
          <w:tcPr>
            <w:tcW w:w="11200" w:type="dxa"/>
            <w:vAlign w:val="bottom"/>
            <w:gridSpan w:val="8"/>
          </w:tcPr>
          <w:p>
            <w:pPr>
              <w:spacing w:after="0" w:line="41" w:lineRule="exact"/>
              <w:rPr>
                <w:sz w:val="20"/>
                <w:szCs w:val="20"/>
                <w:color w:val="auto"/>
              </w:rPr>
            </w:pPr>
            <w:r>
              <w:rPr>
                <w:rFonts w:ascii="Arial" w:cs="Arial" w:eastAsia="Arial" w:hAnsi="Arial"/>
                <w:sz w:val="4"/>
                <w:szCs w:val="4"/>
                <w:color w:val="FFFFFF"/>
              </w:rPr>
              <w:t>SOLE JUDGMENT UPON ANY OTHER MATTERS PROPERLY COMING BEFORE THE MEETING OR ANY POSTPONEMENT OR ADJOURNMENT THEREOFPROXIES.To change the address on your</w:t>
            </w:r>
          </w:p>
        </w:tc>
      </w:tr>
      <w:tr>
        <w:trPr>
          <w:trHeight w:val="41"/>
        </w:trPr>
        <w:tc>
          <w:tcPr>
            <w:tcW w:w="11200" w:type="dxa"/>
            <w:vAlign w:val="bottom"/>
            <w:gridSpan w:val="8"/>
          </w:tcPr>
          <w:p>
            <w:pPr>
              <w:spacing w:after="0" w:line="41" w:lineRule="exact"/>
              <w:rPr>
                <w:sz w:val="20"/>
                <w:szCs w:val="20"/>
                <w:color w:val="auto"/>
              </w:rPr>
            </w:pPr>
            <w:r>
              <w:rPr>
                <w:rFonts w:ascii="Arial" w:cs="Arial" w:eastAsia="Arial" w:hAnsi="Arial"/>
                <w:sz w:val="4"/>
                <w:szCs w:val="4"/>
                <w:color w:val="FFFFFF"/>
              </w:rPr>
              <w:t>account, please check the box at right and indicate your new address in the address space above. Please note that changes to the registered name(s) on the account may not be submitted via this method.</w:t>
            </w:r>
          </w:p>
        </w:tc>
      </w:tr>
      <w:tr>
        <w:trPr>
          <w:trHeight w:val="41"/>
        </w:trPr>
        <w:tc>
          <w:tcPr>
            <w:tcW w:w="5660" w:type="dxa"/>
            <w:vAlign w:val="bottom"/>
            <w:gridSpan w:val="3"/>
          </w:tcPr>
          <w:p>
            <w:pPr>
              <w:spacing w:after="0" w:line="41" w:lineRule="exact"/>
              <w:rPr>
                <w:sz w:val="20"/>
                <w:szCs w:val="20"/>
                <w:color w:val="auto"/>
              </w:rPr>
            </w:pPr>
            <w:r>
              <w:rPr>
                <w:rFonts w:ascii="Arial" w:cs="Arial" w:eastAsia="Arial" w:hAnsi="Arial"/>
                <w:sz w:val="4"/>
                <w:szCs w:val="4"/>
                <w:color w:val="FFFFFF"/>
              </w:rPr>
              <w:t>Signature of Shareholder Date Signature of Shareholder Date 1. To elect the following Trustees as set</w:t>
            </w:r>
          </w:p>
        </w:tc>
        <w:tc>
          <w:tcPr>
            <w:tcW w:w="5540" w:type="dxa"/>
            <w:vAlign w:val="bottom"/>
            <w:gridSpan w:val="5"/>
          </w:tcPr>
          <w:p>
            <w:pPr>
              <w:ind w:left="160"/>
              <w:spacing w:after="0" w:line="41" w:lineRule="exact"/>
              <w:rPr>
                <w:sz w:val="20"/>
                <w:szCs w:val="20"/>
                <w:color w:val="auto"/>
              </w:rPr>
            </w:pPr>
            <w:r>
              <w:rPr>
                <w:rFonts w:ascii="Arial" w:cs="Arial" w:eastAsia="Arial" w:hAnsi="Arial"/>
                <w:sz w:val="4"/>
                <w:szCs w:val="4"/>
                <w:color w:val="FFFFFF"/>
              </w:rPr>
              <w:t>in the accompanying Proxy Statement: FOR AGAINST ABSTAIN David W. Faeder Elizabeth I.</w:t>
            </w:r>
          </w:p>
        </w:tc>
      </w:tr>
      <w:tr>
        <w:trPr>
          <w:trHeight w:val="40"/>
        </w:trPr>
        <w:tc>
          <w:tcPr>
            <w:tcW w:w="11200" w:type="dxa"/>
            <w:vAlign w:val="bottom"/>
            <w:gridSpan w:val="8"/>
          </w:tcPr>
          <w:p>
            <w:pPr>
              <w:spacing w:after="0" w:line="41" w:lineRule="exact"/>
              <w:rPr>
                <w:sz w:val="20"/>
                <w:szCs w:val="20"/>
                <w:color w:val="auto"/>
              </w:rPr>
            </w:pPr>
            <w:r>
              <w:rPr>
                <w:rFonts w:ascii="Arial" w:cs="Arial" w:eastAsia="Arial" w:hAnsi="Arial"/>
                <w:sz w:val="4"/>
                <w:szCs w:val="4"/>
                <w:color w:val="FFFFFF"/>
              </w:rPr>
              <w:t>Holla d Nicole Y. Lamb-Hale Anthony P. Nader, III Mark S. Ordan Gail P. Steinel Donald C. Wood 2.Tforthhold an advisory vote approving the compensation of our namedexecutive officers. 3.T  ratify the</w:t>
            </w:r>
          </w:p>
        </w:tc>
      </w:tr>
      <w:tr>
        <w:trPr>
          <w:trHeight w:val="41"/>
        </w:trPr>
        <w:tc>
          <w:tcPr>
            <w:tcW w:w="2260" w:type="dxa"/>
            <w:vAlign w:val="bottom"/>
            <w:gridSpan w:val="2"/>
          </w:tcPr>
          <w:p>
            <w:pPr>
              <w:spacing w:after="0" w:line="41" w:lineRule="exact"/>
              <w:rPr>
                <w:sz w:val="20"/>
                <w:szCs w:val="20"/>
                <w:color w:val="auto"/>
              </w:rPr>
            </w:pPr>
            <w:r>
              <w:rPr>
                <w:rFonts w:ascii="Arial" w:cs="Arial" w:eastAsia="Arial" w:hAnsi="Arial"/>
                <w:sz w:val="4"/>
                <w:szCs w:val="4"/>
                <w:color w:val="FFFFFF"/>
              </w:rPr>
              <w:t>appointment of Grant Thornton LLP as</w:t>
            </w:r>
          </w:p>
        </w:tc>
        <w:tc>
          <w:tcPr>
            <w:tcW w:w="5580" w:type="dxa"/>
            <w:vAlign w:val="bottom"/>
            <w:gridSpan w:val="3"/>
          </w:tcPr>
          <w:p>
            <w:pPr>
              <w:ind w:left="120"/>
              <w:spacing w:after="0" w:line="41" w:lineRule="exact"/>
              <w:rPr>
                <w:sz w:val="20"/>
                <w:szCs w:val="20"/>
                <w:color w:val="auto"/>
              </w:rPr>
            </w:pPr>
            <w:r>
              <w:rPr>
                <w:rFonts w:ascii="Arial" w:cs="Arial" w:eastAsia="Arial" w:hAnsi="Arial"/>
                <w:sz w:val="4"/>
                <w:szCs w:val="4"/>
                <w:color w:val="FFFFFF"/>
              </w:rPr>
              <w:t>independent31registered public accounting firm for the fiscal year ending December, 2021. 4.To</w:t>
            </w:r>
          </w:p>
        </w:tc>
        <w:tc>
          <w:tcPr>
            <w:tcW w:w="3360" w:type="dxa"/>
            <w:vAlign w:val="bottom"/>
            <w:gridSpan w:val="3"/>
          </w:tcPr>
          <w:p>
            <w:pPr>
              <w:ind w:left="260"/>
              <w:spacing w:after="0" w:line="41" w:lineRule="exact"/>
              <w:rPr>
                <w:sz w:val="20"/>
                <w:szCs w:val="20"/>
                <w:color w:val="auto"/>
              </w:rPr>
            </w:pPr>
            <w:r>
              <w:rPr>
                <w:rFonts w:ascii="Arial" w:cs="Arial" w:eastAsia="Arial" w:hAnsi="Arial"/>
                <w:sz w:val="4"/>
                <w:szCs w:val="4"/>
                <w:color w:val="FFFFFF"/>
              </w:rPr>
              <w:t>and act upon any other matters properly coming before</w:t>
            </w:r>
          </w:p>
        </w:tc>
      </w:tr>
      <w:tr>
        <w:trPr>
          <w:trHeight w:val="41"/>
        </w:trPr>
        <w:tc>
          <w:tcPr>
            <w:tcW w:w="1860" w:type="dxa"/>
            <w:vAlign w:val="bottom"/>
          </w:tcPr>
          <w:p>
            <w:pPr>
              <w:spacing w:after="0" w:line="41" w:lineRule="exact"/>
              <w:rPr>
                <w:sz w:val="20"/>
                <w:szCs w:val="20"/>
                <w:color w:val="auto"/>
              </w:rPr>
            </w:pPr>
            <w:r>
              <w:rPr>
                <w:rFonts w:ascii="Arial" w:cs="Arial" w:eastAsia="Arial" w:hAnsi="Arial"/>
                <w:sz w:val="4"/>
                <w:szCs w:val="4"/>
                <w:color w:val="FFFFFF"/>
              </w:rPr>
              <w:t>the meeting or anypostponement</w:t>
            </w:r>
          </w:p>
        </w:tc>
        <w:tc>
          <w:tcPr>
            <w:tcW w:w="5060" w:type="dxa"/>
            <w:vAlign w:val="bottom"/>
            <w:gridSpan w:val="3"/>
          </w:tcPr>
          <w:p>
            <w:pPr>
              <w:ind w:left="100"/>
              <w:spacing w:after="0" w:line="41" w:lineRule="exact"/>
              <w:rPr>
                <w:sz w:val="20"/>
                <w:szCs w:val="20"/>
                <w:color w:val="auto"/>
              </w:rPr>
            </w:pPr>
            <w:r>
              <w:rPr>
                <w:rFonts w:ascii="Arial" w:cs="Arial" w:eastAsia="Arial" w:hAnsi="Arial"/>
                <w:sz w:val="4"/>
                <w:szCs w:val="4"/>
                <w:color w:val="FFFFFF"/>
              </w:rPr>
              <w:t>adjournment thereof. Signature of Shareholder Date Note: Please sign exactly as your</w:t>
            </w:r>
          </w:p>
        </w:tc>
        <w:tc>
          <w:tcPr>
            <w:tcW w:w="4280" w:type="dxa"/>
            <w:vAlign w:val="bottom"/>
            <w:gridSpan w:val="4"/>
          </w:tcPr>
          <w:p>
            <w:pPr>
              <w:ind w:left="160"/>
              <w:spacing w:after="0" w:line="41" w:lineRule="exact"/>
              <w:rPr>
                <w:sz w:val="20"/>
                <w:szCs w:val="20"/>
                <w:color w:val="auto"/>
              </w:rPr>
            </w:pPr>
            <w:r>
              <w:rPr>
                <w:rFonts w:ascii="Arial" w:cs="Arial" w:eastAsia="Arial" w:hAnsi="Arial"/>
                <w:sz w:val="4"/>
                <w:szCs w:val="4"/>
                <w:color w:val="FFFFFF"/>
              </w:rPr>
              <w:t>names appearconsiderthis Proxy. When shares are held jointly, each holder</w:t>
            </w:r>
          </w:p>
        </w:tc>
      </w:tr>
      <w:tr>
        <w:trPr>
          <w:trHeight w:val="41"/>
        </w:trPr>
        <w:tc>
          <w:tcPr>
            <w:tcW w:w="2260" w:type="dxa"/>
            <w:vAlign w:val="bottom"/>
            <w:gridSpan w:val="2"/>
          </w:tcPr>
          <w:p>
            <w:pPr>
              <w:spacing w:after="0" w:line="41" w:lineRule="exact"/>
              <w:rPr>
                <w:sz w:val="20"/>
                <w:szCs w:val="20"/>
                <w:color w:val="auto"/>
              </w:rPr>
            </w:pPr>
            <w:r>
              <w:rPr>
                <w:rFonts w:ascii="Arial" w:cs="Arial" w:eastAsia="Arial" w:hAnsi="Arial"/>
                <w:sz w:val="4"/>
                <w:szCs w:val="4"/>
                <w:color w:val="FFFFFF"/>
              </w:rPr>
              <w:t>should sign. When signing as executor,</w:t>
            </w:r>
          </w:p>
        </w:tc>
        <w:tc>
          <w:tcPr>
            <w:tcW w:w="4660" w:type="dxa"/>
            <w:vAlign w:val="bottom"/>
            <w:gridSpan w:val="2"/>
          </w:tcPr>
          <w:p>
            <w:pPr>
              <w:ind w:left="600"/>
              <w:spacing w:after="0" w:line="41" w:lineRule="exact"/>
              <w:rPr>
                <w:sz w:val="20"/>
                <w:szCs w:val="20"/>
                <w:color w:val="auto"/>
              </w:rPr>
            </w:pPr>
            <w:r>
              <w:rPr>
                <w:rFonts w:ascii="Arial" w:cs="Arial" w:eastAsia="Arial" w:hAnsi="Arial"/>
                <w:sz w:val="4"/>
                <w:szCs w:val="4"/>
                <w:color w:val="FFFFFF"/>
              </w:rPr>
              <w:t>, attorney, trustee or guardian, please giveful title as such. If the signernameis</w:t>
            </w:r>
          </w:p>
        </w:tc>
        <w:tc>
          <w:tcPr>
            <w:tcW w:w="4280" w:type="dxa"/>
            <w:vAlign w:val="bottom"/>
            <w:gridSpan w:val="4"/>
          </w:tcPr>
          <w:p>
            <w:pPr>
              <w:spacing w:after="0" w:line="41" w:lineRule="exact"/>
              <w:rPr>
                <w:sz w:val="20"/>
                <w:szCs w:val="20"/>
                <w:color w:val="auto"/>
              </w:rPr>
            </w:pPr>
            <w:r>
              <w:rPr>
                <w:rFonts w:ascii="Arial" w:cs="Arial" w:eastAsia="Arial" w:hAnsi="Arial"/>
                <w:sz w:val="4"/>
                <w:szCs w:val="4"/>
                <w:color w:val="FFFFFF"/>
              </w:rPr>
              <w:t>corporation, please sign fu corporate name by duly authorized officer, giving fu</w:t>
            </w:r>
          </w:p>
        </w:tc>
      </w:tr>
      <w:tr>
        <w:trPr>
          <w:trHeight w:val="213"/>
        </w:trPr>
        <w:tc>
          <w:tcPr>
            <w:tcW w:w="5660" w:type="dxa"/>
            <w:vAlign w:val="bottom"/>
            <w:gridSpan w:val="3"/>
          </w:tcPr>
          <w:p>
            <w:pPr>
              <w:spacing w:after="0"/>
              <w:rPr>
                <w:sz w:val="20"/>
                <w:szCs w:val="20"/>
                <w:color w:val="auto"/>
              </w:rPr>
            </w:pPr>
            <w:r>
              <w:rPr>
                <w:rFonts w:ascii="Arial" w:cs="Arial" w:eastAsia="Arial" w:hAnsi="Arial"/>
                <w:sz w:val="13"/>
                <w:szCs w:val="13"/>
                <w:color w:val="FFFFFF"/>
                <w:w w:val="95"/>
              </w:rPr>
              <w:t>title as such. If signer is a partnership, pleaseadministratorsignpartnership name by authorized person.</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ectPr>
          <w:pgSz w:w="11900" w:h="16838" w:orient="portrait"/>
          <w:cols w:equalWidth="0" w:num="1">
            <w:col w:w="11200"/>
          </w:cols>
          <w:pgMar w:left="320" w:top="459" w:right="379" w:bottom="936"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9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20" w:type="dxa"/>
            <w:vAlign w:val="bottom"/>
            <w:gridSpan w:val="5"/>
          </w:tcPr>
          <w:p>
            <w:pPr>
              <w:spacing w:after="0"/>
              <w:rPr>
                <w:sz w:val="20"/>
                <w:szCs w:val="20"/>
                <w:color w:val="auto"/>
              </w:rPr>
            </w:pPr>
            <w:r>
              <w:rPr>
                <w:rFonts w:ascii="Arial" w:cs="Arial" w:eastAsia="Arial" w:hAnsi="Arial"/>
                <w:sz w:val="13"/>
                <w:szCs w:val="13"/>
                <w:color w:val="FFFFFF"/>
                <w:w w:val="99"/>
              </w:rPr>
              <w:t>FEDERAL REALTY INVESTMENT TRUSTANNUAL MEETING OF SHAREHOLDERS OF May 5, 2021 PROXY VOTING INSTRUCTIONS instructions or scan the QR code with your smartphone.</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Have your prox card available when you access the web page.INTERNET - Access “www.voteproxy.com” and follow the on-screen TELEPHONEUnited States or instructions. Have your proxy card</w:t>
            </w:r>
          </w:p>
        </w:tc>
      </w:tr>
      <w:tr>
        <w:trPr>
          <w:trHeight w:val="41"/>
        </w:trPr>
        <w:tc>
          <w:tcPr>
            <w:tcW w:w="5240" w:type="dxa"/>
            <w:vAlign w:val="bottom"/>
            <w:gridSpan w:val="3"/>
          </w:tcPr>
          <w:p>
            <w:pPr>
              <w:spacing w:after="0" w:line="41" w:lineRule="exact"/>
              <w:rPr>
                <w:sz w:val="20"/>
                <w:szCs w:val="20"/>
                <w:color w:val="auto"/>
              </w:rPr>
            </w:pPr>
            <w:r>
              <w:rPr>
                <w:rFonts w:ascii="Arial" w:cs="Arial" w:eastAsia="Arial" w:hAnsi="Arial"/>
                <w:sz w:val="4"/>
                <w:szCs w:val="4"/>
                <w:color w:val="FFFFFF"/>
              </w:rPr>
              <w:t>available when you call.- Call toll-free 1-718-921-85001-800-from foreign countries and follow</w:t>
            </w:r>
          </w:p>
        </w:tc>
        <w:tc>
          <w:tcPr>
            <w:tcW w:w="5980" w:type="dxa"/>
            <w:vAlign w:val="bottom"/>
            <w:gridSpan w:val="2"/>
          </w:tcPr>
          <w:p>
            <w:pPr>
              <w:ind w:left="740"/>
              <w:spacing w:after="0" w:line="41" w:lineRule="exact"/>
              <w:rPr>
                <w:sz w:val="20"/>
                <w:szCs w:val="20"/>
                <w:color w:val="auto"/>
              </w:rPr>
            </w:pPr>
            <w:r>
              <w:rPr>
                <w:rFonts w:ascii="Arial" w:cs="Arial" w:eastAsia="Arial" w:hAnsi="Arial"/>
                <w:sz w:val="4"/>
                <w:szCs w:val="4"/>
                <w:color w:val="FFFFFF"/>
              </w:rPr>
              <w:t>(1-800-776-9437) in the MAILsoon as possible.- Sign, date and mail your proxy card in the</w:t>
            </w:r>
          </w:p>
        </w:tc>
      </w:tr>
      <w:tr>
        <w:trPr>
          <w:trHeight w:val="41"/>
        </w:trPr>
        <w:tc>
          <w:tcPr>
            <w:tcW w:w="5240" w:type="dxa"/>
            <w:vAlign w:val="bottom"/>
            <w:gridSpan w:val="3"/>
          </w:tcPr>
          <w:p>
            <w:pPr>
              <w:spacing w:after="0" w:line="41" w:lineRule="exact"/>
              <w:rPr>
                <w:sz w:val="20"/>
                <w:szCs w:val="20"/>
                <w:color w:val="auto"/>
              </w:rPr>
            </w:pPr>
            <w:r>
              <w:rPr>
                <w:rFonts w:ascii="Arial" w:cs="Arial" w:eastAsia="Arial" w:hAnsi="Arial"/>
                <w:sz w:val="4"/>
                <w:szCs w:val="4"/>
                <w:color w:val="FFFFFF"/>
              </w:rPr>
              <w:t>envelope provided as COMPANY NUMBER please visit live via the Internet this year. To attend</w:t>
            </w:r>
          </w:p>
        </w:tc>
        <w:tc>
          <w:tcPr>
            <w:tcW w:w="5980" w:type="dxa"/>
            <w:vAlign w:val="bottom"/>
            <w:gridSpan w:val="2"/>
          </w:tcPr>
          <w:p>
            <w:pPr>
              <w:ind w:left="240"/>
              <w:spacing w:after="0" w:line="41" w:lineRule="exact"/>
              <w:rPr>
                <w:sz w:val="20"/>
                <w:szCs w:val="20"/>
                <w:color w:val="auto"/>
              </w:rPr>
            </w:pPr>
            <w:r>
              <w:rPr>
                <w:rFonts w:ascii="Arial" w:cs="Arial" w:eastAsia="Arial" w:hAnsi="Arial"/>
                <w:sz w:val="4"/>
                <w:szCs w:val="4"/>
                <w:color w:val="FFFFFF"/>
              </w:rPr>
              <w:t>meeting via the Internet,and be sure to have your control number available.VIRTUALLY AT THE</w:t>
            </w: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MEETINGhttps://web.lumiagm.com/202329683 (password:federal2021).- The company will be thePROXIEShostingmeeting ACCOUNT NUMBER The Annual Report/Form 10-K/Notice &amp; Proxy Statement is</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available at:NOTICE OF INTERNET AVAILABILITY OF PROXY MATERIALhttp://www.federalrealty.com/shareholder-meeting : Please detach along perforated line and mail in the envelope provided IF</w:t>
            </w: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you are not voting via telephone or the Internet. 00003333333030300000 4 050521THIS PROXY WHEN PROPERLY EXECUTED WILL BE VOTED AS DIRECTED BY THE UNDERSIGNED</w:t>
            </w:r>
          </w:p>
        </w:tc>
      </w:tr>
      <w:tr>
        <w:trPr>
          <w:trHeight w:val="41"/>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SHAREHOLDER. IF NO DIRECTION IS GIVEN, THIS PROXY WILL BE VOTED “FOR” ALL NOMINEES IN PROPOSAL 1 AND “FOR” PROPOSALS 2 AND 3 PLEASE SIGN, DATE AND</w:t>
            </w:r>
          </w:p>
        </w:tc>
      </w:tr>
      <w:tr>
        <w:trPr>
          <w:trHeight w:val="41"/>
        </w:trPr>
        <w:tc>
          <w:tcPr>
            <w:tcW w:w="1620" w:type="dxa"/>
            <w:vAlign w:val="bottom"/>
          </w:tcPr>
          <w:p>
            <w:pPr>
              <w:spacing w:after="0" w:line="41" w:lineRule="exact"/>
              <w:rPr>
                <w:sz w:val="20"/>
                <w:szCs w:val="20"/>
                <w:color w:val="auto"/>
              </w:rPr>
            </w:pPr>
            <w:r>
              <w:rPr>
                <w:rFonts w:ascii="Arial" w:cs="Arial" w:eastAsia="Arial" w:hAnsi="Arial"/>
                <w:sz w:val="4"/>
                <w:szCs w:val="4"/>
                <w:color w:val="FFFFFF"/>
              </w:rPr>
              <w:t>RETURN PROMPTL  IN</w:t>
            </w:r>
          </w:p>
        </w:tc>
        <w:tc>
          <w:tcPr>
            <w:tcW w:w="3620" w:type="dxa"/>
            <w:vAlign w:val="bottom"/>
            <w:gridSpan w:val="2"/>
          </w:tcPr>
          <w:p>
            <w:pPr>
              <w:ind w:left="180"/>
              <w:spacing w:after="0" w:line="41" w:lineRule="exact"/>
              <w:rPr>
                <w:sz w:val="20"/>
                <w:szCs w:val="20"/>
                <w:color w:val="auto"/>
              </w:rPr>
            </w:pPr>
            <w:r>
              <w:rPr>
                <w:rFonts w:ascii="Arial" w:cs="Arial" w:eastAsia="Arial" w:hAnsi="Arial"/>
                <w:sz w:val="4"/>
                <w:szCs w:val="4"/>
                <w:color w:val="FFFFFF"/>
              </w:rPr>
              <w:t>ENCLOSED ENVELOPE. PLEASE MARK YOUR VOTE</w:t>
            </w:r>
          </w:p>
        </w:tc>
        <w:tc>
          <w:tcPr>
            <w:tcW w:w="5980" w:type="dxa"/>
            <w:vAlign w:val="bottom"/>
            <w:gridSpan w:val="2"/>
          </w:tcPr>
          <w:p>
            <w:pPr>
              <w:ind w:left="20"/>
              <w:spacing w:after="0" w:line="41" w:lineRule="exact"/>
              <w:rPr>
                <w:sz w:val="20"/>
                <w:szCs w:val="20"/>
                <w:color w:val="auto"/>
              </w:rPr>
            </w:pPr>
            <w:r>
              <w:rPr>
                <w:rFonts w:ascii="Arial" w:cs="Arial" w:eastAsia="Arial" w:hAnsi="Arial"/>
                <w:sz w:val="4"/>
                <w:szCs w:val="4"/>
                <w:color w:val="FFFFFF"/>
              </w:rPr>
              <w:t>BLUE OR BLACK INK AS SHOWN HEREA    THE PROXIES WILL VOTE IN THEIR SOLE</w:t>
            </w:r>
          </w:p>
        </w:tc>
      </w:tr>
      <w:tr>
        <w:trPr>
          <w:trHeight w:val="40"/>
        </w:trPr>
        <w:tc>
          <w:tcPr>
            <w:tcW w:w="11220" w:type="dxa"/>
            <w:vAlign w:val="bottom"/>
            <w:gridSpan w:val="5"/>
          </w:tcPr>
          <w:p>
            <w:pPr>
              <w:spacing w:after="0" w:line="41" w:lineRule="exact"/>
              <w:rPr>
                <w:sz w:val="20"/>
                <w:szCs w:val="20"/>
                <w:color w:val="auto"/>
              </w:rPr>
            </w:pPr>
            <w:r>
              <w:rPr>
                <w:rFonts w:ascii="Arial" w:cs="Arial" w:eastAsia="Arial" w:hAnsi="Arial"/>
                <w:sz w:val="4"/>
                <w:szCs w:val="4"/>
                <w:color w:val="FFFFFF"/>
              </w:rPr>
              <w:t>JUDGMENT UPON ANY OTHER MATTERS PROPERLY COMING BEFORE THE MEETING OR ANY POSTPONEMENT OR ADJOURNMENT THEREOF. x 1. To elect the following Trustees as set</w:t>
            </w:r>
          </w:p>
        </w:tc>
      </w:tr>
      <w:tr>
        <w:trPr>
          <w:trHeight w:val="41"/>
        </w:trPr>
        <w:tc>
          <w:tcPr>
            <w:tcW w:w="11220" w:type="dxa"/>
            <w:vAlign w:val="bottom"/>
            <w:gridSpan w:val="5"/>
          </w:tcPr>
          <w:p>
            <w:pPr>
              <w:ind w:left="300"/>
              <w:spacing w:after="0" w:line="41" w:lineRule="exact"/>
              <w:rPr>
                <w:sz w:val="20"/>
                <w:szCs w:val="20"/>
                <w:color w:val="auto"/>
              </w:rPr>
            </w:pPr>
            <w:r>
              <w:rPr>
                <w:rFonts w:ascii="Arial" w:cs="Arial" w:eastAsia="Arial" w:hAnsi="Arial"/>
                <w:sz w:val="4"/>
                <w:szCs w:val="4"/>
                <w:color w:val="FFFFFF"/>
              </w:rPr>
              <w:t>in the accompanying Proxy Statement: FOR AGAINST ABSTAIN David W. Faeder Elizabeth . Holland Nicole Y. Lamb-Hale Anthony  . Nader, III Mark S. Ordan Gail P. Steinel Donald C. Wood</w:t>
            </w:r>
          </w:p>
        </w:tc>
      </w:tr>
      <w:tr>
        <w:trPr>
          <w:trHeight w:val="41"/>
        </w:trPr>
        <w:tc>
          <w:tcPr>
            <w:tcW w:w="5240" w:type="dxa"/>
            <w:vAlign w:val="bottom"/>
            <w:gridSpan w:val="3"/>
          </w:tcPr>
          <w:p>
            <w:pPr>
              <w:spacing w:after="0" w:line="41" w:lineRule="exact"/>
              <w:rPr>
                <w:sz w:val="20"/>
                <w:szCs w:val="20"/>
                <w:color w:val="auto"/>
              </w:rPr>
            </w:pPr>
            <w:r>
              <w:rPr>
                <w:rFonts w:ascii="Arial" w:cs="Arial" w:eastAsia="Arial" w:hAnsi="Arial"/>
                <w:sz w:val="4"/>
                <w:szCs w:val="4"/>
                <w:color w:val="FFFFFF"/>
              </w:rPr>
              <w:t>forth2.T hold an advisory vote approving the compensation of our namedexecutive officers. FOR</w:t>
            </w:r>
          </w:p>
        </w:tc>
        <w:tc>
          <w:tcPr>
            <w:tcW w:w="3400" w:type="dxa"/>
            <w:vAlign w:val="bottom"/>
          </w:tcPr>
          <w:p>
            <w:pPr>
              <w:ind w:left="480"/>
              <w:spacing w:after="0" w:line="41" w:lineRule="exact"/>
              <w:rPr>
                <w:sz w:val="20"/>
                <w:szCs w:val="20"/>
                <w:color w:val="auto"/>
              </w:rPr>
            </w:pPr>
            <w:r>
              <w:rPr>
                <w:rFonts w:ascii="Arial" w:cs="Arial" w:eastAsia="Arial" w:hAnsi="Arial"/>
                <w:sz w:val="4"/>
                <w:szCs w:val="4"/>
                <w:color w:val="FFFFFF"/>
              </w:rPr>
              <w:t>ABSTAIN 1234 MAIN STREET APT. 203 NEW</w:t>
            </w:r>
          </w:p>
        </w:tc>
        <w:tc>
          <w:tcPr>
            <w:tcW w:w="2580" w:type="dxa"/>
            <w:vAlign w:val="bottom"/>
          </w:tcPr>
          <w:p>
            <w:pPr>
              <w:ind w:left="260"/>
              <w:spacing w:after="0" w:line="41" w:lineRule="exact"/>
              <w:rPr>
                <w:sz w:val="20"/>
                <w:szCs w:val="20"/>
                <w:color w:val="auto"/>
              </w:rPr>
            </w:pPr>
            <w:r>
              <w:rPr>
                <w:rFonts w:ascii="Arial" w:cs="Arial" w:eastAsia="Arial" w:hAnsi="Arial"/>
                <w:sz w:val="4"/>
                <w:szCs w:val="4"/>
                <w:color w:val="FFFFFF"/>
              </w:rPr>
              <w:t>NY 10038JOHN SMITH 3.To ratify the</w:t>
            </w:r>
          </w:p>
        </w:tc>
      </w:tr>
      <w:tr>
        <w:trPr>
          <w:trHeight w:val="0"/>
        </w:trPr>
        <w:tc>
          <w:tcPr>
            <w:tcW w:w="3040" w:type="dxa"/>
            <w:vAlign w:val="bottom"/>
            <w:gridSpan w:val="2"/>
          </w:tcPr>
          <w:p>
            <w:pPr>
              <w:spacing w:after="0" w:line="80" w:lineRule="exact"/>
              <w:rPr>
                <w:sz w:val="20"/>
                <w:szCs w:val="20"/>
                <w:color w:val="auto"/>
              </w:rPr>
            </w:pPr>
            <w:r>
              <w:rPr>
                <w:rFonts w:ascii="Arial" w:cs="Arial" w:eastAsia="Arial" w:hAnsi="Arial"/>
                <w:sz w:val="9"/>
                <w:szCs w:val="9"/>
                <w:color w:val="FFFFFF"/>
              </w:rPr>
              <w:t>appointment of Grant Thornton LLP as our</w:t>
            </w:r>
          </w:p>
        </w:tc>
        <w:tc>
          <w:tcPr>
            <w:tcW w:w="8180" w:type="dxa"/>
            <w:vAlign w:val="bottom"/>
            <w:gridSpan w:val="3"/>
          </w:tcPr>
          <w:p>
            <w:pPr>
              <w:ind w:left="700"/>
              <w:spacing w:after="0" w:line="80" w:lineRule="exact"/>
              <w:rPr>
                <w:sz w:val="20"/>
                <w:szCs w:val="20"/>
                <w:color w:val="auto"/>
              </w:rPr>
            </w:pPr>
            <w:r>
              <w:rPr>
                <w:rFonts w:ascii="Arial" w:cs="Arial" w:eastAsia="Arial" w:hAnsi="Arial"/>
                <w:sz w:val="9"/>
                <w:szCs w:val="9"/>
                <w:color w:val="FFFFFF"/>
              </w:rPr>
              <w:t>public FOR AGAINST ABSTAGAINSTaccounting firm for the fiscal year ending DecemberYORK,2021.To change the address on your account,</w:t>
            </w:r>
          </w:p>
        </w:tc>
      </w:tr>
    </w:tbl>
    <w:p>
      <w:pPr>
        <w:spacing w:after="0"/>
        <w:rPr>
          <w:sz w:val="20"/>
          <w:szCs w:val="20"/>
          <w:color w:val="auto"/>
        </w:rPr>
      </w:pPr>
      <w:r>
        <w:rPr>
          <w:rFonts w:ascii="Arial" w:cs="Arial" w:eastAsia="Arial" w:hAnsi="Arial"/>
          <w:sz w:val="3"/>
          <w:szCs w:val="3"/>
          <w:color w:val="FFFFFF"/>
        </w:rPr>
        <w:t>please check the box at right andindicate yourindependent31registerednewaddresstheaddress space above. Please note thatchanges to the registered name(s) on the account may not be submitted viathis method. 4.To consider and act upon any other matters properly coming before the meeting or anypostponement or adjournment thereof. Signature of Shareholder Date: Signature of Shareholder Date: Note: Please sign exactly as your</w:t>
      </w:r>
      <w:r>
        <w:rPr>
          <w:rFonts w:ascii="Arial" w:cs="Arial" w:eastAsia="Arial" w:hAnsi="Arial"/>
          <w:sz w:val="6"/>
          <w:szCs w:val="6"/>
          <w:color w:val="FFFFFF"/>
          <w:vertAlign w:val="subscript"/>
        </w:rPr>
        <w:t>corporation,</w:t>
      </w:r>
      <w:r>
        <w:rPr>
          <w:rFonts w:ascii="Arial" w:cs="Arial" w:eastAsia="Arial" w:hAnsi="Arial"/>
          <w:sz w:val="3"/>
          <w:szCs w:val="3"/>
          <w:color w:val="FFFFFF"/>
        </w:rPr>
        <w:t>namenames appear on this Proxy. When shares are held jointly, each holder should sign. When signing as executor, admin</w:t>
      </w:r>
      <w:r>
        <w:rPr>
          <w:rFonts w:ascii="Arial" w:cs="Arial" w:eastAsia="Arial" w:hAnsi="Arial"/>
          <w:sz w:val="6"/>
          <w:szCs w:val="6"/>
          <w:color w:val="FFFFFF"/>
          <w:vertAlign w:val="subscript"/>
        </w:rPr>
        <w:t>sign</w:t>
      </w:r>
      <w:r>
        <w:rPr>
          <w:rFonts w:ascii="Arial" w:cs="Arial" w:eastAsia="Arial" w:hAnsi="Arial"/>
          <w:sz w:val="3"/>
          <w:szCs w:val="3"/>
          <w:color w:val="FFFFFF"/>
        </w:rPr>
        <w:t>strator, attorney, trustee or guardian, please giveful title as such. If the signer</w:t>
      </w:r>
    </w:p>
    <w:p>
      <w:pPr>
        <w:spacing w:after="0" w:line="13" w:lineRule="exact"/>
        <w:rPr>
          <w:sz w:val="20"/>
          <w:szCs w:val="20"/>
          <w:color w:val="auto"/>
        </w:rPr>
      </w:pPr>
    </w:p>
    <w:p>
      <w:pPr>
        <w:spacing w:after="0"/>
        <w:tabs>
          <w:tab w:leader="none" w:pos="900" w:val="left"/>
          <w:tab w:leader="none" w:pos="7240" w:val="left"/>
        </w:tabs>
        <w:rPr>
          <w:sz w:val="20"/>
          <w:szCs w:val="20"/>
          <w:color w:val="auto"/>
        </w:rPr>
      </w:pPr>
      <w:r>
        <w:rPr>
          <w:rFonts w:ascii="Arial" w:cs="Arial" w:eastAsia="Arial" w:hAnsi="Arial"/>
          <w:sz w:val="13"/>
          <w:szCs w:val="13"/>
          <w:color w:val="FFFFFF"/>
        </w:rPr>
        <w:t>is a</w:t>
      </w:r>
      <w:r>
        <w:rPr>
          <w:sz w:val="20"/>
          <w:szCs w:val="20"/>
          <w:color w:val="auto"/>
        </w:rPr>
        <w:tab/>
      </w:r>
      <w:r>
        <w:rPr>
          <w:rFonts w:ascii="Arial" w:cs="Arial" w:eastAsia="Arial" w:hAnsi="Arial"/>
          <w:sz w:val="13"/>
          <w:szCs w:val="13"/>
          <w:color w:val="FFFFFF"/>
        </w:rPr>
        <w:t>please sign fu corporate name by duly authorized officer, giving fu title as such. If signer is a partnership, please</w:t>
      </w:r>
      <w:r>
        <w:rPr>
          <w:sz w:val="20"/>
          <w:szCs w:val="20"/>
          <w:color w:val="auto"/>
        </w:rPr>
        <w:tab/>
      </w:r>
      <w:r>
        <w:rPr>
          <w:rFonts w:ascii="Arial" w:cs="Arial" w:eastAsia="Arial" w:hAnsi="Arial"/>
          <w:sz w:val="12"/>
          <w:szCs w:val="12"/>
          <w:color w:val="FFFFFF"/>
        </w:rPr>
        <w:t>in partnership name by authorized person.</w:t>
      </w:r>
    </w:p>
    <w:sectPr>
      <w:pgSz w:w="11900" w:h="16838" w:orient="portrait"/>
      <w:cols w:equalWidth="0" w:num="1">
        <w:col w:w="11220"/>
      </w:cols>
      <w:pgMar w:left="320" w:top="459" w:right="359" w:bottom="9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lvl w:ilvl="1">
      <w:lvlJc w:val="left"/>
      <w:lvlText w:val="(%2)"/>
      <w:numFmt w:val="lowerLetter"/>
      <w:start w:val="2"/>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3"/>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2021-03-25T20:33:44Z</dcterms:created>
  <dcterms:modified xsi:type="dcterms:W3CDTF">2021-03-25T20:33:44Z</dcterms:modified>
</cp:coreProperties>
</file>