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pPr>
      <w:r>
        <w:rPr>
          <w:rFonts w:ascii="Times New Roman;sans-serif" w:hAnsi="Times New Roman;sans-serif"/>
          <w:b/>
          <w:color w:val="000000"/>
          <w:sz w:val="28"/>
        </w:rPr>
        <w:t>WASHINGTON, D.C. 20549</w:t>
      </w:r>
      <w:r>
        <w:rPr>
          <w:color w:val="000000"/>
        </w:rPr>
        <w:t> </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1"/>
        <w:gridCol w:w="2661"/>
        <w:gridCol w:w="37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QUARTERLY REPORT PURSUANT TO THE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For the quarterly period ended June 30, 2024 </w:t>
      </w:r>
    </w:p>
    <w:p>
      <w:pPr>
        <w:pStyle w:val="TextBody"/>
        <w:bidi w:val="0"/>
        <w:spacing w:lineRule="auto" w:line="288" w:before="40" w:after="283"/>
        <w:jc w:val="center"/>
        <w:rPr>
          <w:rFonts w:ascii="Times New Roman;sans-serif" w:hAnsi="Times New Roman;sans-serif"/>
          <w:b/>
          <w:color w:val="000000"/>
          <w:sz w:val="17"/>
        </w:rPr>
      </w:pPr>
      <w:r>
        <w:rPr>
          <w:rFonts w:ascii="Times New Roman;sans-serif" w:hAnsi="Times New Roman;sans-serif"/>
          <w:b/>
          <w:color w:val="000000"/>
          <w:sz w:val="17"/>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7"/>
        </w:rPr>
      </w:pPr>
      <w:r>
        <w:rPr>
          <w:rFonts w:ascii="Times New Roman;sans-serif" w:hAnsi="Times New Roman;sans-serif"/>
          <w:b/>
          <w:color w:val="000000"/>
          <w:sz w:val="17"/>
        </w:rPr>
        <w:t>For the transition period from              to             </w:t>
      </w:r>
    </w:p>
    <w:p>
      <w:pPr>
        <w:pStyle w:val="TextBody"/>
        <w:bidi w:val="0"/>
        <w:spacing w:lineRule="auto" w:line="288" w:before="80" w:after="283"/>
        <w:jc w:val="center"/>
        <w:rPr/>
      </w:pPr>
      <w:r>
        <w:rPr>
          <w:rFonts w:ascii="Times New Roman;sans-serif" w:hAnsi="Times New Roman;sans-serif"/>
          <w:b/>
          <w:color w:val="000000"/>
          <w:sz w:val="17"/>
        </w:rPr>
        <w:t>Commission file number: 1-07533</w:t>
      </w:r>
      <w:r>
        <w:rPr>
          <w:color w:val="000000"/>
        </w:rPr>
        <w:t> </w:t>
      </w:r>
      <w:r>
        <w:rPr>
          <w:rFonts w:ascii="Times New Roman;sans-serif" w:hAnsi="Times New Roman;sans-serif"/>
          <w:b/>
          <w:color w:val="000000"/>
          <w:sz w:val="17"/>
        </w:rPr>
        <w:t>(Federal Realty Investment Trust)</w:t>
      </w:r>
    </w:p>
    <w:p>
      <w:pPr>
        <w:pStyle w:val="TextBody"/>
        <w:bidi w:val="0"/>
        <w:spacing w:lineRule="auto" w:line="288" w:before="20" w:after="283"/>
        <w:jc w:val="center"/>
        <w:rPr/>
      </w:pPr>
      <w:r>
        <w:rPr>
          <w:rFonts w:ascii="Times New Roman;sans-serif" w:hAnsi="Times New Roman;sans-serif"/>
          <w:b/>
          <w:color w:val="000000"/>
          <w:sz w:val="17"/>
        </w:rPr>
        <w:t>Commission file number: 333-262016-01</w:t>
      </w:r>
      <w:r>
        <w:rPr>
          <w:color w:val="000000"/>
        </w:rPr>
        <w:t> </w:t>
      </w:r>
      <w:r>
        <w:rPr>
          <w:rFonts w:ascii="Times New Roman;sans-serif" w:hAnsi="Times New Roman;sans-serif"/>
          <w:b/>
          <w:color w:val="000000"/>
          <w:sz w:val="17"/>
        </w:rPr>
        <w:t>(Federal Realty OP LP)</w:t>
      </w:r>
    </w:p>
    <w:p>
      <w:pPr>
        <w:pStyle w:val="TextBody"/>
        <w:bidi w:val="0"/>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 xml:space="preserve">FEDERAL REALTY INVESTMENT TRUST </w:t>
      </w:r>
    </w:p>
    <w:p>
      <w:pPr>
        <w:pStyle w:val="TextBody"/>
        <w:bidi w:val="0"/>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FEDERAL REALTY OP LP</w:t>
      </w:r>
    </w:p>
    <w:p>
      <w:pPr>
        <w:pStyle w:val="TextBody"/>
        <w:bidi w:val="0"/>
        <w:spacing w:lineRule="auto" w:line="288" w:before="40" w:after="283"/>
        <w:jc w:val="center"/>
        <w:rPr>
          <w:rFonts w:ascii="Times New Roman;sans-serif" w:hAnsi="Times New Roman;sans-serif"/>
          <w:b/>
          <w:color w:val="000000"/>
          <w:sz w:val="17"/>
        </w:rPr>
      </w:pPr>
      <w:r>
        <w:rPr>
          <w:rFonts w:ascii="Times New Roman;sans-serif" w:hAnsi="Times New Roman;sans-serif"/>
          <w:b/>
          <w:color w:val="000000"/>
          <w:sz w:val="17"/>
        </w:rPr>
        <w:t>(Exact Name of Registrant as Specified in its Charter)</w:t>
      </w:r>
    </w:p>
    <w:tbl>
      <w:tblPr>
        <w:tblW w:w="6290" w:type="dxa"/>
        <w:jc w:val="center"/>
        <w:tblInd w:w="0" w:type="dxa"/>
        <w:tblLayout w:type="fixed"/>
        <w:tblCellMar>
          <w:top w:w="28" w:type="dxa"/>
          <w:left w:w="28" w:type="dxa"/>
          <w:bottom w:w="28" w:type="dxa"/>
          <w:right w:w="28" w:type="dxa"/>
        </w:tblCellMar>
      </w:tblPr>
      <w:tblGrid>
        <w:gridCol w:w="418"/>
        <w:gridCol w:w="367"/>
        <w:gridCol w:w="367"/>
        <w:gridCol w:w="367"/>
        <w:gridCol w:w="367"/>
        <w:gridCol w:w="367"/>
        <w:gridCol w:w="367"/>
        <w:gridCol w:w="367"/>
        <w:gridCol w:w="367"/>
        <w:gridCol w:w="109"/>
        <w:gridCol w:w="109"/>
        <w:gridCol w:w="109"/>
        <w:gridCol w:w="760"/>
        <w:gridCol w:w="760"/>
        <w:gridCol w:w="108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87-3916363</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52-0782497</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(State of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(IRS Employer Identification No.)</w:t>
            </w:r>
          </w:p>
        </w:tc>
      </w:tr>
    </w:tbl>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909 Rose Avenue, Suite 200, North Bethesda, Maryland 20852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(301) 998-8100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Federal Realty Investment Trust</w:t>
      </w:r>
    </w:p>
    <w:tbl>
      <w:tblPr>
        <w:tblW w:w="10205" w:type="dxa"/>
        <w:jc w:val="center"/>
        <w:tblInd w:w="0" w:type="dxa"/>
        <w:tblLayout w:type="fixed"/>
        <w:tblCellMar>
          <w:top w:w="28" w:type="dxa"/>
          <w:left w:w="28" w:type="dxa"/>
          <w:bottom w:w="28" w:type="dxa"/>
          <w:right w:w="28" w:type="dxa"/>
        </w:tblCellMar>
      </w:tblPr>
      <w:tblGrid>
        <w:gridCol w:w="2022"/>
        <w:gridCol w:w="1766"/>
        <w:gridCol w:w="1778"/>
        <w:gridCol w:w="415"/>
        <w:gridCol w:w="415"/>
        <w:gridCol w:w="416"/>
        <w:gridCol w:w="991"/>
        <w:gridCol w:w="991"/>
        <w:gridCol w:w="1411"/>
      </w:tblGrid>
      <w:tr>
        <w:trPr/>
        <w:tc>
          <w:tcPr>
            <w:tcW w:w="202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Title of Each Class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Trading Symbol</w:t>
            </w:r>
          </w:p>
        </w:tc>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Name of Each Exchange On Which Registered</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Shares of Beneficial Interest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FRT</w:t>
            </w:r>
          </w:p>
        </w:tc>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New York Stock Exchange</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 par value per share, with associated Common Share Purchase Rights</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Depositary Shares, each representing 1/1000 of a share of </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FRT-C</w:t>
            </w:r>
          </w:p>
        </w:tc>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New York Stock Exchange</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5.00% Series C Cumulative Redeemable Preferred Stock, $.01 par value per share</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Federal Realty OP LP</w:t>
      </w:r>
    </w:p>
    <w:tbl>
      <w:tblPr>
        <w:tblW w:w="6253" w:type="dxa"/>
        <w:jc w:val="center"/>
        <w:tblInd w:w="0" w:type="dxa"/>
        <w:tblLayout w:type="fixed"/>
        <w:tblCellMar>
          <w:top w:w="28" w:type="dxa"/>
          <w:left w:w="28" w:type="dxa"/>
          <w:bottom w:w="28" w:type="dxa"/>
          <w:right w:w="28" w:type="dxa"/>
        </w:tblCellMar>
      </w:tblPr>
      <w:tblGrid>
        <w:gridCol w:w="530"/>
        <w:gridCol w:w="468"/>
        <w:gridCol w:w="471"/>
        <w:gridCol w:w="424"/>
        <w:gridCol w:w="424"/>
        <w:gridCol w:w="426"/>
        <w:gridCol w:w="1027"/>
        <w:gridCol w:w="1027"/>
        <w:gridCol w:w="1456"/>
      </w:tblGrid>
      <w:tr>
        <w:trPr/>
        <w:tc>
          <w:tcPr>
            <w:tcW w:w="53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Trading Symbol</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Name of Each Exchange On Which Registered</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None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center"/>
        <w:rPr/>
      </w:pP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9826" w:type="dxa"/>
        <w:jc w:val="left"/>
        <w:tblInd w:w="0" w:type="dxa"/>
        <w:tblLayout w:type="fixed"/>
        <w:tblCellMar>
          <w:top w:w="28" w:type="dxa"/>
          <w:left w:w="28" w:type="dxa"/>
          <w:bottom w:w="28" w:type="dxa"/>
          <w:right w:w="28" w:type="dxa"/>
        </w:tblCellMar>
      </w:tblPr>
      <w:tblGrid>
        <w:gridCol w:w="630"/>
        <w:gridCol w:w="553"/>
        <w:gridCol w:w="557"/>
        <w:gridCol w:w="191"/>
        <w:gridCol w:w="191"/>
        <w:gridCol w:w="191"/>
        <w:gridCol w:w="673"/>
        <w:gridCol w:w="673"/>
        <w:gridCol w:w="678"/>
        <w:gridCol w:w="191"/>
        <w:gridCol w:w="191"/>
        <w:gridCol w:w="191"/>
        <w:gridCol w:w="109"/>
        <w:gridCol w:w="109"/>
        <w:gridCol w:w="109"/>
        <w:gridCol w:w="574"/>
        <w:gridCol w:w="574"/>
        <w:gridCol w:w="576"/>
        <w:gridCol w:w="131"/>
        <w:gridCol w:w="131"/>
        <w:gridCol w:w="131"/>
        <w:gridCol w:w="673"/>
        <w:gridCol w:w="673"/>
        <w:gridCol w:w="678"/>
        <w:gridCol w:w="131"/>
        <w:gridCol w:w="131"/>
        <w:gridCol w:w="186"/>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Federal Realty OP LP</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center"/>
        <w:rPr/>
      </w:pPr>
      <w:r>
        <w:rPr>
          <w:rFonts w:ascii="Times New Roman;sans-serif" w:hAnsi="Times New Roman;sans-serif"/>
          <w:b w:val="false"/>
          <w:color w:val="000000"/>
          <w:sz w:val="16"/>
        </w:rPr>
        <w:t>Federal Realty Investment Trust </w:t>
      </w:r>
      <w:r>
        <w:rPr>
          <w:color w:val="000000"/>
        </w:rPr>
        <w:t xml:space="preserve">☐  </w:t>
      </w:r>
      <w:r>
        <w:rPr>
          <w:rFonts w:ascii="Times New Roman;sans-serif" w:hAnsi="Times New Roman;sans-serif"/>
          <w:b w:val="false"/>
          <w:color w:val="000000"/>
          <w:sz w:val="16"/>
        </w:rPr>
        <w:t>Federal Realty OP LP </w:t>
      </w:r>
      <w:r>
        <w:rPr>
          <w:color w:val="000000"/>
        </w:rPr>
        <w:t>☐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w:t>
      </w:r>
    </w:p>
    <w:p>
      <w:pPr>
        <w:pStyle w:val="TextBody"/>
        <w:bidi w:val="0"/>
        <w:spacing w:lineRule="auto" w:line="288" w:before="0" w:after="0"/>
        <w:jc w:val="center"/>
        <w:rPr/>
      </w:pPr>
      <w:r>
        <w:rPr>
          <w:rFonts w:ascii="Times New Roman;sans-serif" w:hAnsi="Times New Roman;sans-serif"/>
          <w:b w:val="false"/>
          <w:color w:val="000000"/>
          <w:sz w:val="16"/>
        </w:rPr>
        <w:t xml:space="preserve">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 xml:space="preserve">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 xml:space="preserve">No </w:t>
      </w:r>
    </w:p>
    <w:p>
      <w:pPr>
        <w:pStyle w:val="TextBody"/>
        <w:bidi w:val="0"/>
        <w:spacing w:lineRule="auto" w:line="288" w:before="10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number of Federal Realty Investment Trust's common shares outstanding on July 29, 2024 was 83,670,446.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EXPLANATORY NOTE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quarter ended June 30, 2024,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June 30, 2024, the Parent Company owned 100% of the outstanding partnership units (the "OP Units") in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combining the quarterly reports on Form 10-Q of the Parent Company and the Operating Partnership into this single report provides the following benefits: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Enhances investors' understanding of the Parent Company and the Operating Partnership by enabling investors to view the businesses as a whole in the same manner as management views and operates the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Eliminates duplicate disclosure and provides a more streamlined and readable presentation;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 partner capital, and non-controlling interests are the primary areas of difference between the unaudited consolidated financial statements of the Parent Company and those of the Operating Partnership. The Operating Partnership’s capital currently includes OP Units owned by the Parent Company, and may in the future include OP Units owned by third parties. OP Units owned by third parties, if any, are accounted for in capital in the Operating Partnership’s financial statements and in non-controlling interests in the Parent Company’s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QUARTER ENDED JUNE 30, 2024 </w:t>
      </w:r>
    </w:p>
    <w:p>
      <w:pPr>
        <w:pStyle w:val="TextBody"/>
        <w:bidi w:val="0"/>
        <w:spacing w:before="60" w:after="283"/>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562"/>
        <w:gridCol w:w="488"/>
        <w:gridCol w:w="488"/>
        <w:gridCol w:w="2812"/>
        <w:gridCol w:w="2722"/>
        <w:gridCol w:w="2757"/>
        <w:gridCol w:w="109"/>
        <w:gridCol w:w="109"/>
        <w:gridCol w:w="158"/>
      </w:tblGrid>
      <w:tr>
        <w:trPr/>
        <w:tc>
          <w:tcPr>
            <w:tcW w:w="56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13">
              <w:r>
                <w:rPr>
                  <w:rStyle w:val="InternetLink"/>
                  <w:rFonts w:ascii="Times New Roman;sans-serif" w:hAnsi="Times New Roman;sans-serif"/>
                  <w:b w:val="false"/>
                  <w:color w:val="0000FF"/>
                  <w:sz w:val="20"/>
                  <w:u w:val="single"/>
                </w:rPr>
                <w:t>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June 30, 2024 (unaudited) and December 31, 2023</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19">
              <w:r>
                <w:rPr>
                  <w:rStyle w:val="InternetLink"/>
                  <w:rFonts w:ascii="Times New Roman;sans-serif" w:hAnsi="Times New Roman;sans-serif"/>
                  <w:b w:val="false"/>
                  <w:color w:val="0000FF"/>
                  <w:sz w:val="20"/>
                  <w:u w:val="single"/>
                </w:rPr>
                <w:t>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(unaudited) for the three and six months ended June 30, 2024 and 2023</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25">
              <w:r>
                <w:rPr>
                  <w:rStyle w:val="InternetLink"/>
                  <w:rFonts w:ascii="Times New Roman;sans-serif" w:hAnsi="Times New Roman;sans-serif"/>
                  <w:b w:val="false"/>
                  <w:color w:val="0000FF"/>
                  <w:sz w:val="20"/>
                  <w:u w:val="single"/>
                </w:rPr>
                <w:t>4</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(unaudited) for the three and six months ended June 30, 2024 and 2023</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28">
              <w:r>
                <w:rPr>
                  <w:rStyle w:val="InternetLink"/>
                  <w:rFonts w:ascii="Times New Roman;sans-serif" w:hAnsi="Times New Roman;sans-serif"/>
                  <w:b w:val="false"/>
                  <w:color w:val="0000FF"/>
                  <w:sz w:val="20"/>
                  <w:u w:val="single"/>
                </w:rPr>
                <w:t>5</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for the six months ended June 30, 2024 and 2023</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31">
              <w:r>
                <w:rPr>
                  <w:rStyle w:val="InternetLink"/>
                  <w:rFonts w:ascii="Times New Roman;sans-serif" w:hAnsi="Times New Roman;sans-serif"/>
                  <w:b w:val="false"/>
                  <w:color w:val="0000FF"/>
                  <w:sz w:val="20"/>
                  <w:u w:val="single"/>
                </w:rPr>
                <w:t>7</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June 30, 2024 (unaudited) and December 31, 2023</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37">
              <w:r>
                <w:rPr>
                  <w:rStyle w:val="InternetLink"/>
                  <w:rFonts w:ascii="Times New Roman;sans-serif" w:hAnsi="Times New Roman;sans-serif"/>
                  <w:b w:val="false"/>
                  <w:color w:val="0000FF"/>
                  <w:sz w:val="20"/>
                  <w:u w:val="single"/>
                </w:rPr>
                <w:t>8</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(unaudited) for the three and six months ended June 30, 2024 and 2023</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40">
              <w:r>
                <w:rPr>
                  <w:rStyle w:val="InternetLink"/>
                  <w:rFonts w:ascii="Times New Roman;sans-serif" w:hAnsi="Times New Roman;sans-serif"/>
                  <w:b w:val="false"/>
                  <w:color w:val="0000FF"/>
                  <w:sz w:val="20"/>
                  <w:u w:val="single"/>
                </w:rPr>
                <w:t>9</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Capital (unaudited) for the three and six months ended June 30, 2024 and 2023</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43">
              <w:r>
                <w:rPr>
                  <w:rStyle w:val="InternetLink"/>
                  <w:rFonts w:ascii="Times New Roman;sans-serif" w:hAnsi="Times New Roman;sans-serif"/>
                  <w:b w:val="false"/>
                  <w:color w:val="0000FF"/>
                  <w:sz w:val="20"/>
                  <w:u w:val="single"/>
                </w:rPr>
                <w:t>10</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for the six months ended June 30, 2024 and 2023</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46">
              <w:r>
                <w:rPr>
                  <w:rStyle w:val="InternetLink"/>
                  <w:rFonts w:ascii="Times New Roman;sans-serif" w:hAnsi="Times New Roman;sans-serif"/>
                  <w:b w:val="false"/>
                  <w:color w:val="0000FF"/>
                  <w:sz w:val="20"/>
                  <w:u w:val="single"/>
                </w:rPr>
                <w:t>12</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49">
              <w:r>
                <w:rPr>
                  <w:rStyle w:val="InternetLink"/>
                  <w:rFonts w:ascii="Times New Roman;sans-serif" w:hAnsi="Times New Roman;sans-serif"/>
                  <w:b w:val="false"/>
                  <w:color w:val="0000FF"/>
                  <w:sz w:val="20"/>
                  <w:u w:val="single"/>
                </w:rPr>
                <w:t>13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82">
              <w:r>
                <w:rPr>
                  <w:rStyle w:val="InternetLink"/>
                  <w:rFonts w:ascii="Times New Roman;sans-serif" w:hAnsi="Times New Roman;sans-serif"/>
                  <w:b w:val="false"/>
                  <w:color w:val="0000FF"/>
                  <w:sz w:val="20"/>
                  <w:u w:val="single"/>
                </w:rPr>
                <w:t>20</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94">
              <w:r>
                <w:rPr>
                  <w:rStyle w:val="InternetLink"/>
                  <w:rFonts w:ascii="Times New Roman;sans-serif" w:hAnsi="Times New Roman;sans-serif"/>
                  <w:b w:val="false"/>
                  <w:color w:val="0000FF"/>
                  <w:sz w:val="20"/>
                  <w:u w:val="single"/>
                </w:rPr>
                <w:t>35</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97">
              <w:r>
                <w:rPr>
                  <w:rStyle w:val="InternetLink"/>
                  <w:rFonts w:ascii="Times New Roman;sans-serif" w:hAnsi="Times New Roman;sans-serif"/>
                  <w:b w:val="false"/>
                  <w:color w:val="0000FF"/>
                  <w:sz w:val="20"/>
                  <w:u w:val="single"/>
                </w:rPr>
                <w:t>36</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100">
              <w:r>
                <w:rPr>
                  <w:rStyle w:val="InternetLink"/>
                  <w:rFonts w:ascii="Times New Roman;sans-serif" w:hAnsi="Times New Roman;sans-serif"/>
                  <w:b w:val="false"/>
                  <w:color w:val="0000FF"/>
                  <w:sz w:val="20"/>
                  <w:u w:val="single"/>
                </w:rPr>
                <w:t>37</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103">
              <w:r>
                <w:rPr>
                  <w:rStyle w:val="InternetLink"/>
                  <w:rFonts w:ascii="Times New Roman;sans-serif" w:hAnsi="Times New Roman;sans-serif"/>
                  <w:b w:val="false"/>
                  <w:color w:val="0000FF"/>
                  <w:sz w:val="20"/>
                  <w:u w:val="single"/>
                </w:rPr>
                <w:t>37</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106">
              <w:r>
                <w:rPr>
                  <w:rStyle w:val="InternetLink"/>
                  <w:rFonts w:ascii="Times New Roman;sans-serif" w:hAnsi="Times New Roman;sans-serif"/>
                  <w:b w:val="false"/>
                  <w:color w:val="0000FF"/>
                  <w:sz w:val="20"/>
                  <w:u w:val="single"/>
                </w:rPr>
                <w:t>37</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109">
              <w:r>
                <w:rPr>
                  <w:rStyle w:val="InternetLink"/>
                  <w:rFonts w:ascii="Times New Roman;sans-serif" w:hAnsi="Times New Roman;sans-serif"/>
                  <w:b w:val="false"/>
                  <w:color w:val="0000FF"/>
                  <w:sz w:val="20"/>
                  <w:u w:val="single"/>
                </w:rPr>
                <w:t>37</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Defaults Upon Senior Securities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112">
              <w:r>
                <w:rPr>
                  <w:rStyle w:val="InternetLink"/>
                  <w:rFonts w:ascii="Times New Roman;sans-serif" w:hAnsi="Times New Roman;sans-serif"/>
                  <w:b w:val="false"/>
                  <w:color w:val="0000FF"/>
                  <w:sz w:val="20"/>
                  <w:u w:val="single"/>
                </w:rPr>
                <w:t>37</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 Safety Disclosures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115">
              <w:r>
                <w:rPr>
                  <w:rStyle w:val="InternetLink"/>
                  <w:rFonts w:ascii="Times New Roman;sans-serif" w:hAnsi="Times New Roman;sans-serif"/>
                  <w:b w:val="false"/>
                  <w:color w:val="0000FF"/>
                  <w:sz w:val="20"/>
                  <w:u w:val="single"/>
                </w:rPr>
                <w:t>37</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118">
              <w:r>
                <w:rPr>
                  <w:rStyle w:val="InternetLink"/>
                  <w:rFonts w:ascii="Times New Roman;sans-serif" w:hAnsi="Times New Roman;sans-serif"/>
                  <w:b w:val="false"/>
                  <w:color w:val="0000FF"/>
                  <w:sz w:val="20"/>
                  <w:u w:val="single"/>
                </w:rPr>
                <w:t>37</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121">
              <w:r>
                <w:rPr>
                  <w:rStyle w:val="InternetLink"/>
                  <w:rFonts w:ascii="Times New Roman;sans-serif" w:hAnsi="Times New Roman;sans-serif"/>
                  <w:b w:val="false"/>
                  <w:color w:val="0000FF"/>
                  <w:sz w:val="20"/>
                  <w:u w:val="single"/>
                </w:rPr>
                <w:t>37</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48c1465b34b26bff5508a94391912_127">
              <w:r>
                <w:rPr>
                  <w:rStyle w:val="InternetLink"/>
                  <w:rFonts w:ascii="Times New Roman;sans-serif" w:hAnsi="Times New Roman;sans-serif"/>
                  <w:b w:val="false"/>
                  <w:color w:val="0000FF"/>
                  <w:sz w:val="20"/>
                  <w:u w:val="single"/>
                </w:rPr>
                <w:t>41</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60"/>
        <w:gridCol w:w="1994"/>
        <w:gridCol w:w="1963"/>
        <w:gridCol w:w="225"/>
        <w:gridCol w:w="1158"/>
        <w:gridCol w:w="116"/>
        <w:gridCol w:w="116"/>
        <w:gridCol w:w="116"/>
        <w:gridCol w:w="116"/>
        <w:gridCol w:w="225"/>
        <w:gridCol w:w="1045"/>
        <w:gridCol w:w="171"/>
      </w:tblGrid>
      <w:tr>
        <w:trPr/>
        <w:tc>
          <w:tcPr>
            <w:tcW w:w="2960"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6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$1,829,059 and $2,021,622 of consolidated variable interest entities, respectively)</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10,222,540 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9,932,891 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$9,132 and $8,677 of consolidated variable interest entities, respectively)</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10,775,905 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10,546,187 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$410,922 and $416,663 of consolidated variable interest entities, respectively)</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(3,054,555)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(2,963,519)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7,721,350 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7,582,668 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8,421,167 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$187,972 and $189,286 of consolidated variable interest entities, respectively)</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3,354,755 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5,167,796 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5,210,990 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$.01 par:</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$.01 par, 200,000,000 shares authorized, respectively, 83,590,543 and 82,775,286 shares issued and outstanding, respectively</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4,005,249 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3,959,276 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(1,160,474)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2,995,618 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2,963,509 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3,070,813 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3,042,159 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8,421,167 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72"/>
        <w:gridCol w:w="1410"/>
        <w:gridCol w:w="141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7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TRUST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171,708 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115,573 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Shareholders’ Equity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and Six Months Ended June 30, 2024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648" w:type="dxa"/>
        <w:jc w:val="center"/>
        <w:tblInd w:w="0" w:type="dxa"/>
        <w:tblLayout w:type="fixed"/>
        <w:tblCellMar>
          <w:top w:w="28" w:type="dxa"/>
          <w:left w:w="28" w:type="dxa"/>
          <w:bottom w:w="28" w:type="dxa"/>
          <w:right w:w="28" w:type="dxa"/>
        </w:tblCellMar>
      </w:tblPr>
      <w:tblGrid>
        <w:gridCol w:w="596"/>
        <w:gridCol w:w="287"/>
        <w:gridCol w:w="288"/>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7"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82,948,600 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$1,867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a $2 loss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($1.09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$2,271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637,875 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downREIT OP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83,590,543 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4,005,249 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75,195 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82,775,286 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$3,437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$79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($2.18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$4,321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700,798 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147,382 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and redemption of downREIT OP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83,590,543 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4,005,249 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(1,177,336)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75,195 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before="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and Six Months Ended June 30, 2023</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648" w:type="dxa"/>
        <w:jc w:val="center"/>
        <w:tblInd w:w="0" w:type="dxa"/>
        <w:tblLayout w:type="fixed"/>
        <w:tblCellMar>
          <w:top w:w="28" w:type="dxa"/>
          <w:left w:w="28" w:type="dxa"/>
          <w:bottom w:w="28" w:type="dxa"/>
          <w:right w:w="28" w:type="dxa"/>
        </w:tblCellMar>
      </w:tblPr>
      <w:tblGrid>
        <w:gridCol w:w="596"/>
        <w:gridCol w:w="287"/>
        <w:gridCol w:w="288"/>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7"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81,511,204 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$1,551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$112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($1.08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$1,867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81,515,511 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81,342,959 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$3,219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 change in fair value of interest rate swaps, excluding $13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($2.16 per share)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$3,427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(42,932)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81,515,511 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(1,098,432)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40" w:after="283"/>
        <w:jc w:val="center"/>
        <w:rPr/>
      </w:pPr>
      <w:r>
        <w:rPr>
          <w:color w:val="000000"/>
        </w:rPr>
        <w:t> </w:t>
      </w:r>
      <w:r>
        <w:rPr>
          <w:rFonts w:ascii="Times New Roman;sans-serif" w:hAnsi="Times New Roman;sans-serif"/>
          <w:b/>
          <w:color w:val="000000"/>
          <w:sz w:val="20"/>
        </w:rPr>
        <w:t>(Unaudited)</w:t>
      </w:r>
    </w:p>
    <w:tbl>
      <w:tblPr>
        <w:tblW w:w="9492" w:type="dxa"/>
        <w:jc w:val="left"/>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to extend and issue notes and mortgages payable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capped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common and preferred shareholders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acquisition/redemptions of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48"/>
        <w:gridCol w:w="2105"/>
        <w:gridCol w:w="2082"/>
        <w:gridCol w:w="211"/>
        <w:gridCol w:w="1081"/>
        <w:gridCol w:w="109"/>
        <w:gridCol w:w="109"/>
        <w:gridCol w:w="109"/>
        <w:gridCol w:w="109"/>
        <w:gridCol w:w="211"/>
        <w:gridCol w:w="976"/>
        <w:gridCol w:w="155"/>
      </w:tblGrid>
      <w:tr>
        <w:trPr/>
        <w:tc>
          <w:tcPr>
            <w:tcW w:w="2948"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data)</w:t>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$1,829,059 and $2,021,622 of consolidated variable interest entities,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9,932,891 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$9,132 and $8,677 of consolidated variable interest entities,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10,775,905 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10,546,187 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$410,922 and $416,663 of consolidated variable interest entities,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7,582,668 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CAPITAL</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$187,972 and $189,286 of consolidated variable interest entities,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5,210,990 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capital</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units, 398,878 units issued and outstanding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83,590,543 and 82,775,286 units issued and outstanding,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consolidated partnerships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3,042,159 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27"/>
        <w:gridCol w:w="1382"/>
        <w:gridCol w:w="13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2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Gain on sale of real estate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PARTNERSHIP</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on preferred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unit 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unit 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PARTNERSHIP</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171,708 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115,573 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Capital</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and Six Months Ended June 30, 2024</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2" w:type="dxa"/>
        <w:jc w:val="left"/>
        <w:tblInd w:w="0" w:type="dxa"/>
        <w:tblLayout w:type="fixed"/>
        <w:tblCellMar>
          <w:top w:w="28" w:type="dxa"/>
          <w:left w:w="28" w:type="dxa"/>
          <w:bottom w:w="28" w:type="dxa"/>
          <w:right w:w="28" w:type="dxa"/>
        </w:tblCellMar>
      </w:tblPr>
      <w:tblGrid>
        <w:gridCol w:w="596"/>
        <w:gridCol w:w="287"/>
        <w:gridCol w:w="288"/>
        <w:gridCol w:w="109"/>
        <w:gridCol w:w="109"/>
        <w:gridCol w:w="109"/>
        <w:gridCol w:w="196"/>
        <w:gridCol w:w="736"/>
        <w:gridCol w:w="109"/>
        <w:gridCol w:w="109"/>
        <w:gridCol w:w="109"/>
        <w:gridCol w:w="109"/>
        <w:gridCol w:w="196"/>
        <w:gridCol w:w="871"/>
        <w:gridCol w:w="109"/>
        <w:gridCol w:w="109"/>
        <w:gridCol w:w="109"/>
        <w:gridCol w:w="109"/>
        <w:gridCol w:w="109"/>
        <w:gridCol w:w="109"/>
        <w:gridCol w:w="276"/>
        <w:gridCol w:w="785"/>
        <w:gridCol w:w="155"/>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Capital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2,918,071 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$1,867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a $2 loss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$2,271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75,195 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$3,437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$79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$4,321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and 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75,195 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Capital</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and Six Months Ended June 30, 2023</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2" w:type="dxa"/>
        <w:jc w:val="center"/>
        <w:tblInd w:w="0" w:type="dxa"/>
        <w:tblLayout w:type="fixed"/>
        <w:tblCellMar>
          <w:top w:w="28" w:type="dxa"/>
          <w:left w:w="28" w:type="dxa"/>
          <w:bottom w:w="28" w:type="dxa"/>
          <w:right w:w="28" w:type="dxa"/>
        </w:tblCellMar>
      </w:tblPr>
      <w:tblGrid>
        <w:gridCol w:w="596"/>
        <w:gridCol w:w="287"/>
        <w:gridCol w:w="288"/>
        <w:gridCol w:w="109"/>
        <w:gridCol w:w="109"/>
        <w:gridCol w:w="109"/>
        <w:gridCol w:w="196"/>
        <w:gridCol w:w="736"/>
        <w:gridCol w:w="109"/>
        <w:gridCol w:w="109"/>
        <w:gridCol w:w="109"/>
        <w:gridCol w:w="109"/>
        <w:gridCol w:w="196"/>
        <w:gridCol w:w="871"/>
        <w:gridCol w:w="109"/>
        <w:gridCol w:w="109"/>
        <w:gridCol w:w="109"/>
        <w:gridCol w:w="109"/>
        <w:gridCol w:w="109"/>
        <w:gridCol w:w="109"/>
        <w:gridCol w:w="276"/>
        <w:gridCol w:w="785"/>
        <w:gridCol w:w="155"/>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Capital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3"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$1,551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$112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$1,867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$3,219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 change in fair value of interest rate swaps, excluding $13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$3,427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pPr>
      <w:r>
        <w:rPr>
          <w:rFonts w:ascii="Times New Roman;sans-serif" w:hAnsi="Times New Roman;sans-serif"/>
          <w:b/>
          <w:color w:val="000000"/>
          <w:sz w:val="20"/>
        </w:rPr>
        <w:t>Consolidated Statements of Cash Flows</w:t>
      </w:r>
      <w:r>
        <w:rPr>
          <w:color w:val="000000"/>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492" w:type="dxa"/>
        <w:jc w:val="center"/>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to extend and issue notes and mortgages payable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capped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units,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common and preferred unit 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acquisition/redemptions of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June 30, 2024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1—BUSINESS AND ORGANIZATION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management, and redevelopment of retail and mixed-use properties through the Operating Partnership, and has no other substantial assets or liabilities other than through its investment in the Operating Partnership. Our properties are located primarily in communities where we believe retail demand exceeds supply, in strategically selected metropolitan markets in the Mid-Atlantic and Northeast regions of the United States, California, and South Florida. As of June 30, 2024, we owned or had a majority interest in community and neighborhood shopping centers and mixed-use properties which are operated as 102 predominantly retail real estate projects.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General Economic Conditions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Heightened levels of inflation and higher interest rates present risks for our business and our tenants. We continue to monitor and address risks related to the general state of the economy. The extent of the future effects on our business, results of operations, cash flows, and growth strategies is highly uncertain and will ultimately depend on future developments, none of which can be predicted.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six months ended June 30, 2024 are not necessarily indicative of the results that may be expected for the full year.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100" w:after="283"/>
        <w:jc w:val="left"/>
        <w:rPr/>
      </w:pPr>
      <w:r>
        <w:rPr>
          <w:rFonts w:ascii="Times New Roman;sans-serif" w:hAnsi="Times New Roman;sans-serif"/>
          <w:b w:val="false"/>
          <w:color w:val="000000"/>
          <w:sz w:val="20"/>
        </w:rPr>
        <w:t xml:space="preserve">As discussed in the </w:t>
      </w:r>
      <w:hyperlink w:anchor="i3bf48c1465b34b26bff5508a94391912_7">
        <w:r>
          <w:rPr>
            <w:rStyle w:val="InternetLink"/>
            <w:rFonts w:ascii="Times New Roman;sans-serif" w:hAnsi="Times New Roman;sans-serif"/>
            <w:b w:val="false"/>
            <w:color w:val="0000FF"/>
            <w:sz w:val="20"/>
            <w:u w:val="single"/>
          </w:rPr>
          <w:t>Explanatory Note</w:t>
        </w:r>
      </w:hyperlink>
      <w:r>
        <w:rPr>
          <w:rFonts w:ascii="Times New Roman;sans-serif" w:hAnsi="Times New Roman;sans-serif"/>
          <w:b w:val="false"/>
          <w:color w:val="000000"/>
          <w:sz w:val="20"/>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accounting principles generally accepted in the United States of America, referred to as “GAAP,” requires management to make estimates and assumptions that in certain circumstances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Exchangeable Senior Notes</w:t>
      </w:r>
    </w:p>
    <w:p>
      <w:pPr>
        <w:pStyle w:val="TextBody"/>
        <w:bidi w:val="0"/>
        <w:spacing w:lineRule="auto" w:line="288" w:before="100" w:after="283"/>
        <w:jc w:val="left"/>
        <w:rPr/>
      </w:pPr>
      <w:r>
        <w:rPr>
          <w:rFonts w:ascii="Times New Roman;sans-serif" w:hAnsi="Times New Roman;sans-serif"/>
          <w:b w:val="false"/>
          <w:color w:val="000000"/>
          <w:sz w:val="20"/>
        </w:rPr>
        <w:t xml:space="preserve">On January 11, 2024, our Operating Partnership issued $485.0 million aggregate principal amount of 3.25% Exchangeable Senior Notes due 2029 (the “Notes”) in a private placement (see Note 4 for additional information). We account for our Notes in accordance with ASC 470-20, </w:t>
      </w:r>
      <w:r>
        <w:rPr>
          <w:rFonts w:ascii="Times New Roman;sans-serif" w:hAnsi="Times New Roman;sans-serif"/>
          <w:b w:val="false"/>
          <w:i/>
          <w:color w:val="000000"/>
          <w:sz w:val="20"/>
        </w:rPr>
        <w:t>Debt with Conversion and Other Options</w:t>
      </w:r>
      <w:r>
        <w:rPr>
          <w:color w:val="000000"/>
        </w:rPr>
        <w:t xml:space="preserve"> </w:t>
      </w:r>
      <w:r>
        <w:rPr>
          <w:rFonts w:ascii="Times New Roman;sans-serif" w:hAnsi="Times New Roman;sans-serif"/>
          <w:b w:val="false"/>
          <w:color w:val="000000"/>
          <w:sz w:val="20"/>
        </w:rPr>
        <w:t xml:space="preserve">(after the adoption of ASU 2020-06, </w:t>
      </w:r>
      <w:r>
        <w:rPr>
          <w:rFonts w:ascii="Times New Roman;sans-serif" w:hAnsi="Times New Roman;sans-serif"/>
          <w:b w:val="false"/>
          <w:i/>
          <w:color w:val="000000"/>
          <w:sz w:val="20"/>
        </w:rPr>
        <w:t>Debt - Debt and Other Options</w:t>
      </w:r>
      <w:r>
        <w:rPr>
          <w:color w:val="000000"/>
        </w:rPr>
        <w:t xml:space="preserve"> </w:t>
      </w:r>
      <w:r>
        <w:rPr>
          <w:rFonts w:ascii="Times New Roman;sans-serif" w:hAnsi="Times New Roman;sans-serif"/>
          <w:b w:val="false"/>
          <w:color w:val="000000"/>
          <w:sz w:val="20"/>
        </w:rPr>
        <w:t xml:space="preserve">(Subtopic 470-20) and </w:t>
      </w:r>
      <w:r>
        <w:rPr>
          <w:rFonts w:ascii="Times New Roman;sans-serif" w:hAnsi="Times New Roman;sans-serif"/>
          <w:b w:val="false"/>
          <w:i/>
          <w:color w:val="000000"/>
          <w:sz w:val="20"/>
        </w:rPr>
        <w:t>Derivatives and Hedging - Contracts in Entity's Own Equity</w:t>
      </w:r>
      <w:r>
        <w:rPr>
          <w:color w:val="000000"/>
        </w:rPr>
        <w:t xml:space="preserve"> </w:t>
      </w:r>
      <w:r>
        <w:rPr>
          <w:rFonts w:ascii="Times New Roman;sans-serif" w:hAnsi="Times New Roman;sans-serif"/>
          <w:b w:val="false"/>
          <w:color w:val="000000"/>
          <w:sz w:val="20"/>
        </w:rPr>
        <w:t xml:space="preserve">(Subtopic 815-40): </w:t>
      </w:r>
      <w:r>
        <w:rPr>
          <w:rFonts w:ascii="Times New Roman;sans-serif" w:hAnsi="Times New Roman;sans-serif"/>
          <w:b w:val="false"/>
          <w:i/>
          <w:color w:val="000000"/>
          <w:sz w:val="20"/>
        </w:rPr>
        <w:t>Accounting for Contracts in an Entity's Own Equity</w:t>
      </w:r>
      <w:r>
        <w:rPr>
          <w:color w:val="000000"/>
        </w:rPr>
        <w:t xml:space="preserve"> </w:t>
      </w:r>
      <w:r>
        <w:rPr>
          <w:rFonts w:ascii="Times New Roman;sans-serif" w:hAnsi="Times New Roman;sans-serif"/>
          <w:b w:val="false"/>
          <w:color w:val="000000"/>
          <w:sz w:val="20"/>
        </w:rPr>
        <w:t>(ASU 2020-06)). The embedded exchange feature is eligible for an exception from derivative accounting because it is indexed to our own stock and meets the equity classification under ASC 815-40; therefore, the exchange feature is not bifurcated. At each reporting period, we calculate the effect of the Notes on our dilutive earnings per common share and per common unit using the if-converted method. In connection with the Notes, we entered into privately negotiated capped call transactions with certain of the initial purchasers of the notes or their affiliates or other financial institutions. Similar to the exchange feature embedded in the Notes, the capped call transactions meet all the conditions for equity classification, and therefore, the related premiums paid are recorded in shareholders' equity for the Trust and capital for the Operating Partnership.</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tbl>
      <w:tblPr>
        <w:tblW w:w="10205" w:type="dxa"/>
        <w:jc w:val="left"/>
        <w:tblInd w:w="0" w:type="dxa"/>
        <w:tblLayout w:type="fixed"/>
        <w:tblCellMar>
          <w:top w:w="28" w:type="dxa"/>
          <w:left w:w="28" w:type="dxa"/>
          <w:bottom w:w="28" w:type="dxa"/>
          <w:right w:w="28" w:type="dxa"/>
        </w:tblCellMar>
      </w:tblPr>
      <w:tblGrid>
        <w:gridCol w:w="997"/>
        <w:gridCol w:w="529"/>
        <w:gridCol w:w="531"/>
        <w:gridCol w:w="109"/>
        <w:gridCol w:w="109"/>
        <w:gridCol w:w="109"/>
        <w:gridCol w:w="1558"/>
        <w:gridCol w:w="1558"/>
        <w:gridCol w:w="1570"/>
        <w:gridCol w:w="109"/>
        <w:gridCol w:w="109"/>
        <w:gridCol w:w="109"/>
        <w:gridCol w:w="1080"/>
        <w:gridCol w:w="712"/>
        <w:gridCol w:w="1016"/>
      </w:tblGrid>
      <w:tr>
        <w:trPr/>
        <w:tc>
          <w:tcPr>
            <w:tcW w:w="99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on the financial statements or significant matters</w:t>
            </w:r>
          </w:p>
        </w:tc>
      </w:tr>
      <w:tr>
        <w:trPr/>
        <w:tc>
          <w:tcPr>
            <w:tcW w:w="2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Adopted during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2023-01, March 2023, </w:t>
            </w:r>
            <w:r>
              <w:rPr>
                <w:rFonts w:ascii="Times New Roman;sans-serif" w:hAnsi="Times New Roman;sans-serif"/>
                <w:b w:val="false"/>
                <w:i/>
                <w:color w:val="000000"/>
                <w:sz w:val="19"/>
              </w:rPr>
              <w:t>Leases (Topic 842) Common Control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requires all lessees in a lease with a lessor under common control to (1) amortize leasehold improvements over their useful life to the common control group, as long as the lessee controls the use of the underlying asset through a lease and (2) account for the leasehold improvements as a transfer of assets between entities under common control through an adjustment to equity when the lessee no longer controls the use of the underlying asset.</w:t>
              <w:br/>
            </w:r>
            <w:r>
              <w:rPr>
                <w:rFonts w:ascii="Times New Roman;sans-serif" w:hAnsi="Times New Roman;sans-serif"/>
                <w:b w:val="false"/>
                <w:sz w:val="19"/>
              </w:rPr>
              <w:br/>
            </w:r>
            <w:r>
              <w:rPr>
                <w:rFonts w:ascii="Times New Roman;sans-serif" w:hAnsi="Times New Roman;sans-serif"/>
                <w:b w:val="false"/>
                <w:color w:val="000000"/>
                <w:sz w:val="19"/>
              </w:rPr>
              <w:t xml:space="preserve">The guidance may be applied prospectively to new and existing leasehold improvements, with the remaining balance of existing leasehold improvements amortized over their remaining useful life to the common control group or retrospectively, through a cumulative-effect adjustment to opening retained earnings. </w:t>
              <w:br/>
            </w:r>
            <w:r>
              <w:rPr>
                <w:rFonts w:ascii="Times New Roman;sans-serif" w:hAnsi="Times New Roman;sans-serif"/>
                <w:b w:val="false"/>
                <w:sz w:val="19"/>
              </w:rPr>
              <w:br/>
            </w:r>
            <w:r>
              <w:rPr>
                <w:rFonts w:ascii="Times New Roman;sans-serif" w:hAnsi="Times New Roman;sans-serif"/>
                <w:b w:val="false"/>
                <w:color w:val="000000"/>
                <w:sz w:val="19"/>
              </w:rPr>
              <w:t>The guidance is effective in fiscal years beginning after December 15, 2023, and interim periods within those fiscal years.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adopted this ASU as of January 1, 2024. The implementation of this ASU did not have an impact on our consolidated financial statements.</w:t>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Issued in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2023-07, November 2023, </w:t>
            </w:r>
            <w:r>
              <w:rPr>
                <w:rFonts w:ascii="Times New Roman;sans-serif" w:hAnsi="Times New Roman;sans-serif"/>
                <w:b w:val="false"/>
                <w:i/>
                <w:color w:val="000000"/>
                <w:sz w:val="19"/>
              </w:rPr>
              <w:t>Segment Reporting (Topic 280), Improvements to Reportable Segment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requires public entities to provide disclosures of significant segment expense and other significant segment items, as well as provide in interim period all disclosures about a reportable segment's profit or loss and assets that are currently required annually. Additionally, public entities with a single reportable segment have to provide all of the disclosures required by ASC 280, including the significant segment expense disclosures.</w:t>
              <w:br/>
            </w:r>
            <w:r>
              <w:rPr>
                <w:rFonts w:ascii="Times New Roman;sans-serif" w:hAnsi="Times New Roman;sans-serif"/>
                <w:b w:val="false"/>
                <w:sz w:val="19"/>
              </w:rPr>
              <w:br/>
            </w:r>
            <w:r>
              <w:rPr>
                <w:rFonts w:ascii="Times New Roman;sans-serif" w:hAnsi="Times New Roman;sans-serif"/>
                <w:b w:val="false"/>
                <w:color w:val="000000"/>
                <w:sz w:val="19"/>
              </w:rPr>
              <w:t>The guidance is applied retrospectively to all periods presented in financial statements, unless it is impracticable. The guidance applies to all public entities and is effective for fiscal years beginning after December 15, 2023, and for interim periods beginning after December 15, 2024.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While we continue to evaluate the impact of this ASU on our Form 10-K for year ended December 31, 2024, we anticipate providing the disclosures required by ASC 280 for our single reportable segment.</w:t>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Flows—Supplemental Disclosures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supplemental disclosures related to the Consolidated Statements of Cash Flows:</w:t>
      </w:r>
    </w:p>
    <w:tbl>
      <w:tblPr>
        <w:tblW w:w="8327" w:type="dxa"/>
        <w:jc w:val="left"/>
        <w:tblInd w:w="0" w:type="dxa"/>
        <w:tblLayout w:type="fixed"/>
        <w:tblCellMar>
          <w:top w:w="28" w:type="dxa"/>
          <w:left w:w="28" w:type="dxa"/>
          <w:bottom w:w="28" w:type="dxa"/>
          <w:right w:w="28" w:type="dxa"/>
        </w:tblCellMar>
      </w:tblPr>
      <w:tblGrid>
        <w:gridCol w:w="2048"/>
        <w:gridCol w:w="1801"/>
        <w:gridCol w:w="1806"/>
        <w:gridCol w:w="211"/>
        <w:gridCol w:w="721"/>
        <w:gridCol w:w="109"/>
        <w:gridCol w:w="109"/>
        <w:gridCol w:w="109"/>
        <w:gridCol w:w="109"/>
        <w:gridCol w:w="211"/>
        <w:gridCol w:w="721"/>
        <w:gridCol w:w="109"/>
        <w:gridCol w:w="109"/>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costs incurred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capitalized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TRANSACTIONS: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dividend reinvestment plan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 redeemed for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767" w:type="dxa"/>
        <w:jc w:val="center"/>
        <w:tblInd w:w="0" w:type="dxa"/>
        <w:tblLayout w:type="fixed"/>
        <w:tblCellMar>
          <w:top w:w="28" w:type="dxa"/>
          <w:left w:w="28" w:type="dxa"/>
          <w:bottom w:w="28" w:type="dxa"/>
          <w:right w:w="28" w:type="dxa"/>
        </w:tblCellMar>
      </w:tblPr>
      <w:tblGrid>
        <w:gridCol w:w="2495"/>
        <w:gridCol w:w="2191"/>
        <w:gridCol w:w="2199"/>
        <w:gridCol w:w="211"/>
        <w:gridCol w:w="826"/>
        <w:gridCol w:w="109"/>
        <w:gridCol w:w="109"/>
        <w:gridCol w:w="109"/>
        <w:gridCol w:w="109"/>
        <w:gridCol w:w="211"/>
        <w:gridCol w:w="826"/>
        <w:gridCol w:w="109"/>
        <w:gridCol w:w="109"/>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(1)Restricted cash balances are included in "prepaid expenses and other assets"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3—REAL ESTATE</w:t>
      </w:r>
    </w:p>
    <w:p>
      <w:pPr>
        <w:pStyle w:val="TextBody"/>
        <w:bidi w:val="0"/>
        <w:spacing w:lineRule="auto" w:line="288" w:before="100" w:after="283"/>
        <w:jc w:val="left"/>
        <w:rPr/>
      </w:pPr>
      <w:r>
        <w:rPr>
          <w:rFonts w:ascii="Times New Roman;sans-serif" w:hAnsi="Times New Roman;sans-serif"/>
          <w:b w:val="false"/>
          <w:color w:val="000000"/>
          <w:sz w:val="20"/>
        </w:rPr>
        <w:t xml:space="preserve">On May 31, 2024, we acquired the fee interest in Virginia Gateway, which is comprised of five adjacent shopping centers in Gainesville, Virginia, totaling </w:t>
      </w:r>
      <w:r>
        <w:rPr>
          <w:rFonts w:ascii="Times New Roman;sans-serif" w:hAnsi="Times New Roman;sans-serif"/>
          <w:b w:val="false"/>
          <w:color w:val="000000"/>
          <w:sz w:val="20"/>
          <w:shd w:fill="FFFFFF" w:val="clear"/>
        </w:rPr>
        <w:t>664,000</w:t>
      </w:r>
      <w:r>
        <w:rPr>
          <w:color w:val="000000"/>
        </w:rPr>
        <w:t xml:space="preserve"> </w:t>
      </w:r>
      <w:r>
        <w:rPr>
          <w:rFonts w:ascii="Times New Roman;sans-serif" w:hAnsi="Times New Roman;sans-serif"/>
          <w:b w:val="false"/>
          <w:color w:val="000000"/>
          <w:sz w:val="20"/>
        </w:rPr>
        <w:t>square feet, for $215.0 million. Approximately $15.8 million and $0.4 million of net assets acquired were allocated to other assets for "acquired lease costs" and "above market leases," respectively, and $13.3 million of net assets acquired were allocated to other liabilities for "below market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we sold our Third Street Promenade property for $103.0 million, resulting in a gain on sale of $52.0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4—DEBT</w:t>
      </w:r>
    </w:p>
    <w:p>
      <w:pPr>
        <w:pStyle w:val="TextBody"/>
        <w:bidi w:val="0"/>
        <w:spacing w:lineRule="auto" w:line="288" w:before="100" w:after="283"/>
        <w:jc w:val="left"/>
        <w:rPr/>
      </w:pPr>
      <w:r>
        <w:rPr>
          <w:rFonts w:ascii="Times New Roman;sans-serif" w:hAnsi="Times New Roman;sans-serif"/>
          <w:b w:val="false"/>
          <w:color w:val="000000"/>
          <w:sz w:val="20"/>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July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of each year, beginning July 15, 2024. The notes mature on January 15, 2029, unless earlier exchanged, purchased or redeemed. Net proceeds after the initial purchaser’s discount and offering costs were approximately $471.5 million. Interest expense related to these Notes for the three and six months ended June 30, 2024 was $4.6 million and $8.7 million, respectively, including debt issuance cost amortization.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July 15, 2028, the Notes will be exchangeable at the option of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 8.1436 common shares per $1,000 principal amount of the Notes (which is equivalent to an exchange price of approximately $122.80 per common share and reflects an exchange premium of approximately 20% based on the closing price of $102.33 on January 8, 2024). The initial exchange rate is subject to adjustment upon the occurrence of certain events, including in the event of a payment of a quarterly common dividend in excess of $1.09 per share, but will not be adjusted for any accrued and unpaid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may redeem the Notes, at its option,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is recorded in shareholders' equity for the Trust and capital for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we repaid our $600.0 million 3.95% senior unsecured notes at maturity.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6, 2024, we exercised our first option and extended the maturity date of our $600.0 million unsecured term loan to April 16, 2025, with an additional one year extension at our option still available to further extend the loan to April 16, 2026.</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both the three and six months ended June 30, 2024, the maximum amount of borrowings outstanding under our $1.25 billion revolving credit facility was $202.7 million. The weighted average amount of borrowings outstanding was $58.8 million and $30.3 million, respectively, and the weighted average interest rate, before amortization of debt fees, was 6.2% for both the three and six months ended June 30, 2024. At June 30, 2024, our revolving credit facility had $81.8 million outstanding.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term loan, and certain notes require us to comply with various financial covenants, including the maintenance of minimum shareholders' equity and debt coverage ratios and a maximum ratio of debt to net worth. As of June 30, 2024, we were in compliance with all default related debt covenants.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5—FAIR VALUE OF FINANCIAL INSTRUMENTS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pStyle w:val="TextBody"/>
        <w:bidi w:val="0"/>
        <w:spacing w:before="0" w:after="0"/>
        <w:jc w:val="left"/>
        <w:rPr/>
      </w:pPr>
      <w:r>
        <w:rPr/>
      </w:r>
    </w:p>
    <w:tbl>
      <w:tblPr>
        <w:tblW w:w="9059" w:type="dxa"/>
        <w:jc w:val="left"/>
        <w:tblInd w:w="0" w:type="dxa"/>
        <w:tblLayout w:type="fixed"/>
        <w:tblCellMar>
          <w:top w:w="28" w:type="dxa"/>
          <w:left w:w="28" w:type="dxa"/>
          <w:bottom w:w="28" w:type="dxa"/>
          <w:right w:w="28" w:type="dxa"/>
        </w:tblCellMar>
      </w:tblPr>
      <w:tblGrid>
        <w:gridCol w:w="1032"/>
        <w:gridCol w:w="906"/>
        <w:gridCol w:w="91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621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Mortgages and 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have five interest rate swap agreements with total notional amounts of $252.9 million that are measured at fair value on a recurring basis. We have two interest rate swap agreements associated with our Hoboken portfolio that fix the interest rate on $52.9 million of mortgage payables at 3.67% through December 15, 2029. We also have three interest rate swap agreements associated with our Bethesda Row property that fix the interest rate on a $200.0 million mortgage payable at a weighted average interest rate of 5.03% through December 28,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2024 was an asset of $7.5 million and is included in "prepaid expenses and other assets" on our consolidated balance sheets. For the three and six months ended June 30, 2024, the value of our interest rate swaps increased $0.1 million and $2.8 million, respectively (including $1.2 million and $2.3 million , respectively, reclassified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from other comprehensive income as a decrease to interest expense). A summary of our financial assets that are measured at fair value on a recurring basis, by level within the fair value hierarchy is as follows:</w:t>
      </w:r>
    </w:p>
    <w:tbl>
      <w:tblPr>
        <w:tblW w:w="10205" w:type="dxa"/>
        <w:jc w:val="left"/>
        <w:tblInd w:w="0" w:type="dxa"/>
        <w:tblLayout w:type="fixed"/>
        <w:tblCellMar>
          <w:top w:w="28" w:type="dxa"/>
          <w:left w:w="28" w:type="dxa"/>
          <w:bottom w:w="28" w:type="dxa"/>
          <w:right w:w="28" w:type="dxa"/>
        </w:tblCellMar>
      </w:tblPr>
      <w:tblGrid>
        <w:gridCol w:w="442"/>
        <w:gridCol w:w="388"/>
        <w:gridCol w:w="39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6"/>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equity method investees has two interest rate swaps which qualify for cash flow hedge accounting. For the three and six months ended June 30, 2024, our share of the change in fair value of the related swaps included in "accumulated other comprehensive income" was an increase of $0.1 million and $0.3 million, respectively.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6—COMMITMENTS AND CONTINGENCIES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sometimes involved in lawsuits, warranty claims, and environmental matters arising in the ordinary course of business. Management makes assumptions and estimates concerning the likelihood and amount of any potential loss relating to these matters.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2024, we acquired the approximately 10% noncontrolling interest in the partnership that owns our CocoWalk property for $12.4 million, bringing our ownership to 100%.</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certain partnership agreements, the partners have the right to exchange their operating partnership units for cash or common shares, at our option. A total of 628,419 downREIT operating partnership units are outstanding which have a total fair value of approximately $63.5 million, which is calculated by multiplying the outstanding number of downREIT partnership units by our closing stock price on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7—SHAREHOLDERS’ EQUITY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dividends declared and paid per share:</w:t>
      </w:r>
    </w:p>
    <w:p>
      <w:pPr>
        <w:pStyle w:val="TextBody"/>
        <w:bidi w:val="0"/>
        <w:spacing w:before="0" w:after="0"/>
        <w:jc w:val="left"/>
        <w:rPr/>
      </w:pPr>
      <w:r>
        <w:rPr/>
      </w:r>
    </w:p>
    <w:tbl>
      <w:tblPr>
        <w:tblW w:w="10080" w:type="dxa"/>
        <w:jc w:val="left"/>
        <w:tblInd w:w="0" w:type="dxa"/>
        <w:tblLayout w:type="fixed"/>
        <w:tblCellMar>
          <w:top w:w="28" w:type="dxa"/>
          <w:left w:w="28" w:type="dxa"/>
          <w:bottom w:w="28" w:type="dxa"/>
          <w:right w:w="28" w:type="dxa"/>
        </w:tblCellMar>
      </w:tblPr>
      <w:tblGrid>
        <w:gridCol w:w="1764"/>
        <w:gridCol w:w="1550"/>
        <w:gridCol w:w="156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(1)Amount represents dividends per depository share, each representing 1/1000th of a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2024, we amended our existing at-the-market ("ATM") equity program under which we may from time to time offer and sell common shares. This amendment reset the aggregate offering price of the program to $500.0 million. Our ATM equity program also allows shares to be sold through forward sales contracts. We intend to use the net proceeds to fund potential acquisition opportunities, fund our development and redevelopment pipeline, repay indebtedness and/or for general corporate purposes.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we sold 713,821 common shares (of which, 76,000 settled on July 1, 2024) at a weighted average price per share of $102.25 for net cash proceeds of $72.1 million including paying $0.7 million in commissions and $0.1 million in additional offering expenses related to the sales of these common shares. For the six months ended June 30, 2024, we issued an additional 62,895 common shares, which were sold during 2023 under our previous ATM equity program. Including these common shares, for the six months ended June 30, 2024, the weighted average price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 $102.47 for net cash proceeds of $78.6 million, including paying $0.8 million in commissions and $0.2 million in additional offering expenses related to the sales of these common shares. As of June 30, 2024, we have the capacity to issue up to $427.0 million in common shares under our ATM equity program.</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NOTE 8—SHARE-BASED COMPENSATION PLANS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share-based compensation expense included in net income is as follows:</w:t>
      </w:r>
    </w:p>
    <w:tbl>
      <w:tblPr>
        <w:tblW w:w="9735" w:type="dxa"/>
        <w:jc w:val="center"/>
        <w:tblInd w:w="0" w:type="dxa"/>
        <w:tblLayout w:type="fixed"/>
        <w:tblCellMar>
          <w:top w:w="28" w:type="dxa"/>
          <w:left w:w="28" w:type="dxa"/>
          <w:bottom w:w="28" w:type="dxa"/>
          <w:right w:w="28" w:type="dxa"/>
        </w:tblCellMar>
      </w:tblPr>
      <w:tblGrid>
        <w:gridCol w:w="1797"/>
        <w:gridCol w:w="1581"/>
        <w:gridCol w:w="158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 of common shares, restricted stock units, and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9—EARNINGS PER SHARE AND UNIT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both the three and six months ended June 30, 2024 and 2023,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issuable shares were excluded from the diluted EPS and EPU calculations because their impact is anti-dilutive: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exercise of 3,019 stock options for the three and six months ended June 30, 2024, and 1,829 stock options for the three and six months ended June 30,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conversions of downREIT operating partnership units for the six months ended June 30, 2024 and both the three and six months ended June 30,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conversions of 5.417% Series 1 Cumulative Convertible Preferred Shares and units for both the three and six months ended June 30, 2024 and 2023,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exchange of common shares and units related to the 3.25% Exchangeable Senior Notes due 2029 for the three and six months ended June 30,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10,441 unvested restricted stock units are excluded from the diluted EPS and EPU calculations as the market based performance criteria in the awards has not yet been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Investment Trust Earnings per Share</w:t>
      </w:r>
    </w:p>
    <w:tbl>
      <w:tblPr>
        <w:tblW w:w="10205" w:type="dxa"/>
        <w:jc w:val="left"/>
        <w:tblInd w:w="0" w:type="dxa"/>
        <w:tblLayout w:type="fixed"/>
        <w:tblCellMar>
          <w:top w:w="28" w:type="dxa"/>
          <w:left w:w="28" w:type="dxa"/>
          <w:bottom w:w="28" w:type="dxa"/>
          <w:right w:w="28" w:type="dxa"/>
        </w:tblCellMar>
      </w:tblPr>
      <w:tblGrid>
        <w:gridCol w:w="1731"/>
        <w:gridCol w:w="1480"/>
        <w:gridCol w:w="148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73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dividends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Income attributable to downREIT operating partnership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 AND DILUTED: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OP LP Earnings per Unit</w:t>
      </w:r>
    </w:p>
    <w:tbl>
      <w:tblPr>
        <w:tblW w:w="10205" w:type="dxa"/>
        <w:jc w:val="left"/>
        <w:tblInd w:w="0" w:type="dxa"/>
        <w:tblLayout w:type="fixed"/>
        <w:tblCellMar>
          <w:top w:w="28" w:type="dxa"/>
          <w:left w:w="28" w:type="dxa"/>
          <w:bottom w:w="28" w:type="dxa"/>
          <w:right w:w="28" w:type="dxa"/>
        </w:tblCellMar>
      </w:tblPr>
      <w:tblGrid>
        <w:gridCol w:w="1695"/>
        <w:gridCol w:w="1444"/>
        <w:gridCol w:w="1450"/>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56"/>
      </w:tblGrid>
      <w:tr>
        <w:trPr/>
        <w:tc>
          <w:tcPr>
            <w:tcW w:w="169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unit distributions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Income attributable to downREIT operating partnership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 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 diluted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 AND DILUTED: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10—SUBSEQUENT EVENT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31, 2024, we acquired the fee interest in Pinole Vista Crossing, a 216,000 square foot retail shopping center in Pinole, California for $60.0 million.</w:t>
      </w:r>
    </w:p>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00" w:after="283"/>
        <w:jc w:val="left"/>
        <w:rPr/>
      </w:pPr>
      <w:r>
        <w:rPr>
          <w:rFonts w:ascii="Times New Roman;sans-serif" w:hAnsi="Times New Roman;sans-serif"/>
          <w:b w:val="false"/>
          <w:color w:val="000000"/>
          <w:sz w:val="20"/>
        </w:rPr>
        <w:t xml:space="preserve">The following discussion should be read in conjunction with the consolidated interim financial statements and notes thereto appearing in Item 1 of this report and the more detailed information contained in our Annual Report on </w:t>
      </w:r>
      <w:hyperlink r:id="rId2">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December 31, 2023 filed with the Securities and Exchange Commission (the “SEC”) on February 12, 2024.</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some of the risks and uncertainties, although not all risks and uncertainties, that could cause our actual results to differ materially from those presented in our forward-looking statements: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212529"/>
        </w:rPr>
        <w:t>•</w:t>
      </w:r>
      <w:r>
        <w:rPr>
          <w:rFonts w:ascii="Times New Roman;sans-serif" w:hAnsi="Times New Roman;sans-serif"/>
          <w:b w:val="false"/>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associated with general economic conditions, including inflation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these uncertainties, readers are cautioned not to place undue reliance on any forward-looking statements that we make, including those in this Quarterly Report on Form 10-Q. You should carefully review the risks and the risk factors included in our Annual Report on Form 10-K for the year ended December 31, 2023 and under Part II, Item 1A in this Quarterly Report on Form 10-Q, before making any investments in 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owned or had a majority interest in community and neighborhood shopping centers and mixed-use properties which are operated as 102 predominantly retail real estate projects comprising approximately 26.7 million commercial square feet. In total, the real estate projects were 95.3% leased and 93.1% occupied at June 30,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Economic Conditions</w:t>
      </w:r>
    </w:p>
    <w:p>
      <w:pPr>
        <w:pStyle w:val="TextBody"/>
        <w:bidi w:val="0"/>
        <w:spacing w:lineRule="auto" w:line="288" w:before="100" w:after="283"/>
        <w:jc w:val="left"/>
        <w:rPr/>
      </w:pPr>
      <w:r>
        <w:rPr>
          <w:rFonts w:ascii="Times New Roman;sans-serif" w:hAnsi="Times New Roman;sans-serif"/>
          <w:b w:val="false"/>
          <w:color w:val="212529"/>
          <w:sz w:val="20"/>
        </w:rPr>
        <w:t xml:space="preserve">The heightened levels of inflation, higher interest rates, and </w:t>
      </w:r>
      <w:r>
        <w:rPr>
          <w:rFonts w:ascii="Times New Roman;sans-serif" w:hAnsi="Times New Roman;sans-serif"/>
          <w:b w:val="false"/>
          <w:color w:val="000000"/>
          <w:sz w:val="20"/>
        </w:rPr>
        <w:t>potentially worsening economic conditions present risks for our business and tenants.</w:t>
      </w:r>
      <w:r>
        <w:rPr>
          <w:color w:val="212529"/>
        </w:rPr>
        <w:t xml:space="preserve"> </w:t>
      </w:r>
      <w:r>
        <w:rPr>
          <w:rFonts w:ascii="Times New Roman;sans-serif" w:hAnsi="Times New Roman;sans-serif"/>
          <w:b w:val="false"/>
          <w:color w:val="212529"/>
          <w:sz w:val="20"/>
        </w:rPr>
        <w:t xml:space="preserve">We continue to monitor and address risks related to the general state of the economy. </w:t>
      </w:r>
      <w:r>
        <w:rPr>
          <w:rFonts w:ascii="Times New Roman;sans-serif" w:hAnsi="Times New Roman;sans-serif"/>
          <w:b w:val="false"/>
          <w:color w:val="000000"/>
          <w:sz w:val="20"/>
        </w:rPr>
        <w:t xml:space="preserve">We believe that the actions we have taken to improve our financial position and maximize our liquidity, as described further in the “Management’s Discussion and Analysis of Financial Condition and Results of Operations” in our 2023 Annual Report on </w:t>
      </w:r>
      <w:hyperlink r:id="rId3">
        <w:r>
          <w:rPr>
            <w:rStyle w:val="InternetLink"/>
            <w:rFonts w:ascii="Times New Roman;sans-serif" w:hAnsi="Times New Roman;sans-serif"/>
            <w:b w:val="false"/>
            <w:color w:val="0000FF"/>
            <w:sz w:val="20"/>
            <w:u w:val="single"/>
          </w:rPr>
          <w:t>Form 10-K</w:t>
        </w:r>
      </w:hyperlink>
      <w:r>
        <w:rPr>
          <w:rFonts w:ascii="Times New Roman;sans-serif" w:hAnsi="Times New Roman;sans-serif"/>
          <w:b w:val="false"/>
          <w:color w:val="000000"/>
          <w:sz w:val="20"/>
        </w:rPr>
        <w:t xml:space="preserve">, will continue to mitigate the impact to our cash flow caused by tenants not timely paying contractual rent.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the impact of current economic conditions on our business throughout Item 2.</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00" w:after="283"/>
        <w:jc w:val="left"/>
        <w:rPr/>
      </w:pPr>
      <w:r>
        <w:rPr>
          <w:rFonts w:ascii="Times New Roman;sans-serif" w:hAnsi="Times New Roman;sans-serif"/>
          <w:b w:val="false"/>
          <w:color w:val="000000"/>
          <w:sz w:val="20"/>
        </w:rPr>
        <w:t xml:space="preserve">There have been no significant changes to the critical accounting policies disclosed in “Management’s Discussion and Analysis of Financial Condition and Results of Operations” in our 2023 Annual Report on </w:t>
      </w:r>
      <w:hyperlink r:id="rId4">
        <w:r>
          <w:rPr>
            <w:rStyle w:val="InternetLink"/>
            <w:rFonts w:ascii="Times New Roman;sans-serif" w:hAnsi="Times New Roman;sans-serif"/>
            <w:b w:val="false"/>
            <w:color w:val="0000FF"/>
            <w:sz w:val="20"/>
            <w:u w:val="single"/>
          </w:rPr>
          <w:t>Form 10-K</w:t>
        </w:r>
      </w:hyperlink>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Property Acquisitions and Dispositions</w:t>
      </w:r>
    </w:p>
    <w:p>
      <w:pPr>
        <w:pStyle w:val="TextBody"/>
        <w:bidi w:val="0"/>
        <w:spacing w:lineRule="auto" w:line="288" w:before="100" w:after="283"/>
        <w:jc w:val="left"/>
        <w:rPr/>
      </w:pPr>
      <w:r>
        <w:rPr>
          <w:rFonts w:ascii="Times New Roman;sans-serif" w:hAnsi="Times New Roman;sans-serif"/>
          <w:b w:val="false"/>
          <w:color w:val="000000"/>
          <w:sz w:val="20"/>
        </w:rPr>
        <w:t xml:space="preserve">On May 31, 2024, we acquired the fee interest in Virginia Gateway, which is comprised of five adjacent shopping centers in Gainesville, Virginia, totaling </w:t>
      </w:r>
      <w:r>
        <w:rPr>
          <w:rFonts w:ascii="Times New Roman;sans-serif" w:hAnsi="Times New Roman;sans-serif"/>
          <w:b w:val="false"/>
          <w:color w:val="000000"/>
          <w:sz w:val="20"/>
          <w:shd w:fill="FFFFFF" w:val="clear"/>
        </w:rPr>
        <w:t>664,000</w:t>
      </w:r>
      <w:r>
        <w:rPr>
          <w:color w:val="000000"/>
        </w:rPr>
        <w:t xml:space="preserve"> </w:t>
      </w:r>
      <w:r>
        <w:rPr>
          <w:rFonts w:ascii="Times New Roman;sans-serif" w:hAnsi="Times New Roman;sans-serif"/>
          <w:b w:val="false"/>
          <w:color w:val="000000"/>
          <w:sz w:val="20"/>
        </w:rPr>
        <w:t xml:space="preserve">square feet, for </w:t>
      </w:r>
      <w:r>
        <w:rPr>
          <w:rFonts w:ascii="Times New Roman;sans-serif" w:hAnsi="Times New Roman;sans-serif"/>
          <w:b w:val="false"/>
          <w:color w:val="000000"/>
          <w:sz w:val="20"/>
          <w:shd w:fill="FFFFFF" w:val="clear"/>
        </w:rPr>
        <w:t>$215.0 million</w:t>
      </w:r>
      <w:r>
        <w:rPr>
          <w:rFonts w:ascii="Times New Roman;sans-serif" w:hAnsi="Times New Roman;sans-serif"/>
          <w:b w:val="false"/>
          <w:color w:val="000000"/>
          <w:sz w:val="20"/>
        </w:rPr>
        <w:t>. Approximately $15.8 million and $0.4 million of net assets acquired were allocated to other assets for "acquired lease costs" and "above market leases," respectively, and $13.3 million of net assets acquired were allocated to other liabilities for "below market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31, 2024, we acquired the fee interest in Pinole Vista Crossing, a 216,000 square foot retail shopping center in Pinole, California for $60.0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we sold our Third Street Promenade property for $103.0 million, resulting in a gain on sale of $52.0 million.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Debt and Equity Transactions</w:t>
      </w:r>
    </w:p>
    <w:p>
      <w:pPr>
        <w:pStyle w:val="TextBody"/>
        <w:bidi w:val="0"/>
        <w:spacing w:lineRule="auto" w:line="288" w:before="100" w:after="283"/>
        <w:jc w:val="left"/>
        <w:rPr/>
      </w:pPr>
      <w:r>
        <w:rPr>
          <w:rFonts w:ascii="Times New Roman;sans-serif" w:hAnsi="Times New Roman;sans-serif"/>
          <w:b w:val="false"/>
          <w:color w:val="000000"/>
          <w:sz w:val="20"/>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July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of each year, beginning July 15, 2024. The notes mature on January 15, 2029, unless earlier exchanged, purchased or redeemed. Net proceeds after the initial purchaser’s discount and offering costs were approximately $471.5 million. Interest expense related to these Notes for the three and six months ended June 30, 2024 was $4.6 million and $8.7 million, respectively, including debt issuance cost amortization.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July 15, 2028, the Notes will be exchangeable at the option of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 8.1436 common shares per $1,000 principal amount of the Notes (which is equivalent to an exchange price of approximately $122.80 per common share and reflects an exchange premium of approximately 20% based on the closing price of $102.33 on January 8, 2024). The initial exchange rate is subject to adjustment upon the occurrence of certain events, including in the event of a payment of a quarterly common dividend in excess of $1.09 per share, but will not be adjusted for any accrued and unpaid interest.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may redeem the Notes, at its option,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is recorded in shareholders' equity for the Trust and capital for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we repaid our $600.0 million 3.95% senior unsecured notes at maturity.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6, 2024, we exercised our first option and extended the maturity date of our $600.0 million unsecured term loan to April 16, 2025, with an additional one year extension at our option still available to further extend the loan to April 16, 2026.</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2024, we amended our existing at-the-market ("ATM") equity program under which we may from time to time offer and sell common shares. This amendment reset the aggregate offering price of the program to $500.0 million. Our ATM equity program also allows shares to be sold through forward sales contracts. We intend to use the net proceeds to fund potential acquisition opportunities, fund our development and redevelopment pipeline, repay indebtedness and/or for general corporate purposes.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we sold 713,821 common shares (of which, 76,000 settled on July 1, 2024) at a weighted average price per share of $102.25 for net cash proceeds of $72.1 million including paying $0.7 million in commissions and $0.1 million in additional offering expenses related to the sales of these common shares. For the six months ended June 30, 2024, we issued an additional 62,895 common shares, which were sold during 2023 under our previous ATM equity program. Including these common shares, for the six months ended June 30, 2024, the weighted average price per share was $102.47 for net cash proceeds of $78.6 million, including paying $0.8 million in commissions and $0.2 million in additional offering expenses related to the sales of these common shares. As of June 30, 2024, we have the capacity to issue up to $427.0 million in common shares under our ATM equity program.</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Transactions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2024, we acquired the approximately 10% noncontrolling interest in the partnership that owns our CocoWalk property for $12.4 million, bringing our ownership to 100%.</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Capitalized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$65 million and $4 million, respectively, for the six months ended June 30, 2024, and $100 million and $5 million for the six months ended June 30, 2023. We capitalized external and internal costs related to other property improvements of $53 million and $2 million, respectively, for the six months ended June 30, 2024, and $45 million and $2 million, respectively, for the six months ended June 30, 2023. We capitalized external and internal costs related to leasing activities of $11 million and $2 million, respectively, for the six months ended June 30, 2024, and $7 million and $2 million, respectively, for the six months ended June 30, 2023. The amount of capitalized internal costs for salaries and related benefits for development and redevelopment activities, other property improvements, and leasing activities were $4 million, $2 million, and $2 million, respectively, for the six months ended June 30, 2024, and $5 million, $2 million, and $2 million, respectively, for the six months ended June 30, 2023. Total capitalized costs were $137 million and $161 million for the six months ended June 30, 2024 and 2023,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growth strategy is focused on growth in earnings, funds from operations, and cash flows primarily through a combination of the following:</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comparable property portfolio,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portfolio from property redevelopments and expansions,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expansion of our portfolio through property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general economic impacts of elevated levels of inflation and higher interest rates are impacting us in the short-term, our long-term focus has not changed. See our Annual Report on Form 10-K filed on February 12, 2024, for additional discussion of our long-term strategies.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12529"/>
          <w:sz w:val="20"/>
        </w:rPr>
        <w:t xml:space="preserve">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experience strong demand for our commercial space as evidenced by the 2.1 </w:t>
      </w:r>
      <w:r>
        <w:rPr>
          <w:rFonts w:ascii="Times New Roman;sans-serif" w:hAnsi="Times New Roman;sans-serif"/>
          <w:b w:val="false"/>
          <w:color w:val="000000"/>
          <w:sz w:val="20"/>
        </w:rPr>
        <w:t>million</w:t>
      </w:r>
      <w:r>
        <w:rPr>
          <w:color w:val="212529"/>
        </w:rPr>
        <w:t xml:space="preserve"> </w:t>
      </w:r>
      <w:r>
        <w:rPr>
          <w:rFonts w:ascii="Times New Roman;sans-serif" w:hAnsi="Times New Roman;sans-serif"/>
          <w:b w:val="false"/>
          <w:color w:val="212529"/>
          <w:sz w:val="20"/>
        </w:rPr>
        <w:t>square feet of comparable retail space leasing we've completed in the last twelve months, and the 2.2% spread between our leased rate of 95.3% and our occupied rate of 93.1%. However, the effects of high levels of inflation and interest rates continue to negatively impact our business with the largest impacts being higher interest costs, increased material costs, and higher operating costs. We continue to see impacts of increased costs for certain construction and other materials that support our development and redevelopment activities. Worsening supply chain disruptions could also result in extended timeframes and/or increased costs for completion of our projects and tenant build-outs, which could delay the commencement of rent payments under new leases. Similarly, if our tenants experience significant disruptions in supply chains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12529"/>
          <w:sz w:val="20"/>
        </w:rPr>
      </w:pPr>
      <w:r>
        <w:rPr>
          <w:rFonts w:ascii="Times New Roman;sans-serif" w:hAnsi="Times New Roman;sans-serif"/>
          <w:b w:val="false"/>
          <w:color w:val="212529"/>
          <w:sz w:val="20"/>
        </w:rPr>
        <w:t>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have several development projects in process being delivered as follows: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Phase IV at Pike &amp; Rose is a 276,000 square foot office building (which includes 10,000 square feet of ground floor retail space). Approximately 201,000 square feet of the office space is leased, and all of the retail space is leased. The building is expected to cost between $185 million and $200 million, and began delivering in late September 2023. As of June 30, 2024, approximately 164,000 square feet of office space and 5,000 square feet of retail space is open.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Construction on Santana West includes an eight story 369,000 square foot office building, which is expected to cost between $315 million and $330 million. Approximately 170,000 square feet of space is leased, of which 29,000 square feet of space is open as of June 30,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Throughout the portfolio, we currently have redevelopment projects underway with a projected total cost of approximately $307 million that we expect to stabilize over the next several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higher interest rates, and higher operating costs.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the leasable commercial square feet in our properties was 95.3% leased and 93.1% occupied. The leased rate is higher than the occupied rate due to leased spaces that are being redeveloped or improved or that are awaiting permits and, therefore, are not yet ready to be occupied. Our occupancy and leased rates are subject to variability over time due to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including acquisitions, the timing of the start and stabilization of our redevelopment projects, lease expirations and tenant closings and bankruptcies.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 Rollovers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second quarter of 2024, we signed retail leases for a total of 601,000 square feet of retail space including 594,000 square feet of comparable space leases (leases for which there was a prior tenant) at an average rental increase of 10% on a cash basis. New leases for comparable spaces were signed for 313,000 square feet, with an average rental increase of 12% on a cash basis. Renewals for comparable spaces were signed for 281,000 square feet at a 8% average rental increase on a cash basis. Tenant improvements and incentives for comparable spaces were $25.31 per square foot, of which $45.35 per square foot was for new leases and $2.97 per square foot was for renewals for the three months ended June 30, 2024.</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we signed retail leases for a total of 1,188,000 square feet of retail space including 1,161,000 square feet of comparable space leases (leases for which there was a prior tenant) at an average rental increase of 10% on a cash basis. New leases for comparable spaces were signed for 536,000 square feet, with an average rental increase of 15% on a cash basis. Renewals for comparable spaces were signed for 625,000 square feet at a 5% average rental increase on a cash basis. Tenant improvements and incentives for comparable spaces were $26.65 per square foot, of which $53.24 per square foot was for new leases and $3.88 per square foot was for renewals for the six months ended June 30, 2024.</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past five years, we have executed comparable space leases for 1.6 to 2.1 million square feet of retail space each year and expect the volume in 2024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A decline in current economic conditions could adversely impact our volume of leasing activity and the amount of rent we are able to charge to new or renewing tenants.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leases signed in 2024 generally become effective over the following two years though some may not become effective until 2027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Comparable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six months ended June 30, 2024, all or a portion of 96 properties were considered comparable properties and seven properties were considered non-comparable properties. For the six months ended June 30, 2024, one property and two portions of properties were moved from non-comparable properties to comparable properties, two properties and one portion of a property were moved from acquisitions to comparable properties, and one property was removed from comparable properties, as it was sold; all compared to the designations as of December 31, 2023.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on property operating income within the calendar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 Acquisitions are moved to comparable properties once we have owned the property for the entirety of comparable periods and the property is not under development or being repositioned for significant redevelopment and investment.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RESULTS OF OPERATIONS - THREE MONTHS ENDED JUNE 30, 2024 AND 2023 </w:t>
      </w:r>
    </w:p>
    <w:tbl>
      <w:tblPr>
        <w:tblW w:w="9490" w:type="dxa"/>
        <w:jc w:val="left"/>
        <w:tblInd w:w="0" w:type="dxa"/>
        <w:tblLayout w:type="fixed"/>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7"/>
        <w:gridCol w:w="309"/>
        <w:gridCol w:w="316"/>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amounts in thousands)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June 30, 2024 and 2023 is as follows:</w:t>
      </w:r>
    </w:p>
    <w:tbl>
      <w:tblPr>
        <w:tblW w:w="5259" w:type="dxa"/>
        <w:jc w:val="left"/>
        <w:tblInd w:w="0" w:type="dxa"/>
        <w:tblLayout w:type="fixed"/>
        <w:tblCellMar>
          <w:top w:w="28" w:type="dxa"/>
          <w:left w:w="28" w:type="dxa"/>
          <w:bottom w:w="28" w:type="dxa"/>
          <w:right w:w="28" w:type="dxa"/>
        </w:tblCellMar>
      </w:tblPr>
      <w:tblGrid>
        <w:gridCol w:w="939"/>
        <w:gridCol w:w="826"/>
        <w:gridCol w:w="830"/>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sale of real estate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Revenues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 increased $15.4 million, or 5.5%, to $296.1 million in the three months ended June 30, 2024 compared to $280.7 million in the three months ended June 30, 2023. The percentage occupied at our shopping centers was 93.1% and 92.8% at June 30, 2024 and 2023, respectively. Changes in the components of property revenue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 consists primarily of minimum rent, cost reimbursements from tenants and percentage rent, and is net of collectibility related adjustments. Rental income increased $15.4 million, or 5.5%, to $295.8 million in the three months ended June 30, 2024 compared to $280.4 million in the three months ended June 30, 2023 due primarily to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$8.4 million from comparable properties primarily related to higher rental rates of approximately $5.3 million and a $3.6 million increase in recoveries from tenants on higher expenses,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$4.4 million from non-comparable properties primarily driven by occupancy increases at Pike &amp; Rose Phase IV, Darien Commons, and Huntington Shopping Center,</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$1.9 million from Escondido Promenade, which was reconsolidated in the second quarter of 2023 after we gained control of the property (see our Annual Report on Form 10-K for the year ended December 31, 2023 for additional information),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$1.8 million from our 2024 acquisition,</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$1.6 million from property sales.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 increased $6.2 million, or 7.0%, to $94.2 million in the three months ended June 30, 2024 compared to $88.0 million in the three months ended June 30, 2023. Changes in the components of property expenses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 increased $3.3 million, or 5.9%, to $58.9 million in the three months ended June 30, 2024 compared to $55.6 million in the three months ended June 30, 2023.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$2.2 million from comparable properties due primarily to higher repairs and maintenance costs and other operating costs driven by inflationary impacts, higher insurance costs, and an increase in management fees on higher revenues,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$0.8 million from non-comparable properties due primarily to openings at Pike &amp; Rose Phase IV, Darien Commons, and Huntington Shopping Center.</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changes in rental income and rental expenses as discussed above, rental expenses as a percentage of rental income increased to 19.9% in the three months ended June 30, 2024 from 19.8% in the three months ended June 30, 2023.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 expense increased $2.9 million, or 9.0%, to $35.3 million in the three months ended June 30, 2024 compared to $32.4 million in the three months ended June 30, 2023. This increase is primarily due to the following:</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an increase of $1.9 million from comparable properties due primarily to higher assessments, partially offset by prior year refunds received in 2024,</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an increase of $0.5 million from non-comparable properties due primarily to openings at Darien Commons, Pike &amp; Rose Phase IV, and Huntington Shopping Center, and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an increase of $0.2 million from our 2024 acquisition.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increased $9.2 million, or 4.8%, to $201.9 million in the three months ended June 30, 2024 compared to $192.7 million in the three months ended June 30, 2023. This increase is primarily driven by higher rental rates, 2023 and 2024 openings at our non-comparable properties, the reconsolidation of Escondido Promenade during the second quarter of 2023, and our 2024 acquisition, partially offset by property sales.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Other Operating</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$6.1 million, or 7.7%, to $85.0 million in the three months ended June 30, 2024 compared to $79.0 million in the three months ended June 30, 2023. This increase is due primarily to our investment in comparable properties, the reconsolidation of Escondido Promenade during the second quarter of 2023, our 2024 acquisition, the opening of Pike &amp; Rose Phase IV, and placing redevelopment properties into service.</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sale of 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$52.3 million gain on sale of real estate for the three months ended June 30, 2024 is primarily due to the sale of Third Street Promenade.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$55.2 million, or 54.2%, to $157.0 million in the three months ended June 30, 2024 compared to $101.8 million in the three months ended June 30, 2023. This increase is primarily driven by the gain on sale of real estate in 2024, higher rental rates, 2023 and 2024 openings at our non-comparable properties, the reconsolidation of Escondido Promenade during the second quarter of 2023, and 2024 acquisitions, partially offset by property sales.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$1.4 million, or 3.3%, to $44.3 million in the three months ended June 30, 2024 compared to $42.9 million in the three months ended June 30, 2023. This increase is due primarily to the following:</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 xml:space="preserve">an increase of $1.7 million due to a higher overall weighted average borrowing rate, and </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 decrease of $0.6 million in capitalized interest,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 decrease of $0.9 million due to lower weighted average borrowings.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interest costs were $49.5 million and $48.6 million in the three months ended June 30, 2024 and 2023, respectively. Capitalized interest was $5.2 million and $5.8 million for the three months ended June 30, 2024 and 2023, respectively.</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RESULTS OF OPERATIONS - SIX MONTHS ENDED JUNE 30, 2024 AND 2023 </w:t>
      </w:r>
    </w:p>
    <w:tbl>
      <w:tblPr>
        <w:tblW w:w="9749" w:type="dxa"/>
        <w:jc w:val="left"/>
        <w:tblInd w:w="0" w:type="dxa"/>
        <w:tblLayout w:type="fixed"/>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82"/>
        <w:gridCol w:w="384"/>
        <w:gridCol w:w="27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amounts 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six months ended June 30, 2024 and 2023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tbl>
      <w:tblPr>
        <w:tblW w:w="5259" w:type="dxa"/>
        <w:jc w:val="left"/>
        <w:tblInd w:w="0" w:type="dxa"/>
        <w:tblLayout w:type="fixed"/>
        <w:tblCellMar>
          <w:top w:w="28" w:type="dxa"/>
          <w:left w:w="28" w:type="dxa"/>
          <w:bottom w:w="28" w:type="dxa"/>
          <w:right w:w="28" w:type="dxa"/>
        </w:tblCellMar>
      </w:tblPr>
      <w:tblGrid>
        <w:gridCol w:w="939"/>
        <w:gridCol w:w="826"/>
        <w:gridCol w:w="830"/>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Property Revenues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 increased $33.6 million, or 6.1%, to $587.4 million in the six months ended June 30, 2024 compared to $553.7 million in the six months ended June 30, 2023. The percentage occupied at our shopping centers was 93.1% and 92.8% at June 30, 2024 and 2023, respectively. Changes in the components of property revenue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 consists primarily of minimum rent, cost reimbursements from tenants and percentage rent, and is net of collectibility related adjustments. Rental income increased $33.6 million, or 6.1%, to $586.8 million in the six months ended June 30, 2024 compared to $553.2 million in the six months ended June 30, 2023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$19.1 million from comparable properties primarily related to higher rental rates of approximately $11.9 million, and an $8.5 million increase in recoveries from tenants on higher expenses, partially offset by a $1.6 million increase in collectibility related adjustments and a $1.0 million decrease in lease termination fee income,</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$8.3 million from non-comparable properties primarily driven by occupancy increases at Pike &amp; Rose Phase IV, Darien Commons, and Huntington Shopping Center,</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$4.8 million from Escondido Promenade, which was reconsolidated in the second quarter of 2023 after we gained control of the property,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$2.5 million from 2024 and 2023 acquisitions,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$1.9 million from property sales.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 increased $14.1 million, or 8.0%, to $189.9 million in the six months ended June 30, 2024 compared to $175.8 million in the six months ended June 30, 2023. Changes in the components of property expenses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 increased $9.7 million, or 8.8%, to $120.6 million in the six months ended June 30, 2024 compared to $110.8 million in the six months ended June 30, 2023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$6.8 million from comparable properties due primarily to higher snow removal costs, higher repairs and maintenance costs and other operating costs driven by inflationary impacts, higher insurance costs and an increase in management fees on higher revenues,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$1.7 million from non-comparable properties due primarily to openings at Pike &amp; Rose Phase IV, Darien Commons, and Huntington Shopping Center,</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$0.8 million from Escondido Promenade, which was reconsolidated in the second quarter of 2023 after we gained control of the property,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$0.6 million from 2024 and 2023 acquisitions.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changes in rental income and rental expenses as discussed above, rental expenses as a percentage of rental income increased to 20.5% in the six months ended June 30, 2024 from 20.0% in the six months ended June 30, 2023.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 expense increased $4.4 million, or 6.8%, to $69.3 million in the six months ended June 30, 2024 compared to $64.9 million in the six months ended June 30, 2023.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$2.8 million from comparable properties primarily due to higher assessments, partially offset by prior year refunds received during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$0.9 million from non-comparable properties due primarily to openings at Darien Commons, Pike &amp; Rose Phase IV, and Huntington Shopping Center,</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$0.3 million from Escondido Promenade, which was reconsolidated in the second quarter of 2023 after we gained control of the property,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$0.3 million from our 2024 acquisition.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increased $19.5 million, or 5.2%, to $397.5 million in the six months ended June 30, 2024 compared to $378.0 million in the six months ended June 30, 2023. This increase is primarily driven by higher rental rates and average occupancy, 2023 and 2024 openings at our non-comparable properties, the reconsolidation of Escondido Promenade during the second quarter of 2023, and our 2024 acquisition, partially offset by property sales and an increase in collectibility related adjustments.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 Operating</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$10.8 million, or 6.9%, to $168.5 million in the six months ended June 30, 2024 compared to $157.6 million in the six months ended June 30, 2023. This increase is due primarily to our investment in comparable properties, the reconsolidation of Escondido Promenade during the second quarter of 2023, placing redevelopment properties into service, the opening of Pike &amp; Rose Phase IV, and 2024 acquisitions, partially offset by property sales.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Sale of 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$52.3 million gain on sale of real estate for the six months ended June 30, 2024 is due primarily to the sale of Third Street Promenade for a sales price of $103.0 million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$1.7 million gain on sale of real estate for the six months ended June 30, 2023 is due the sale of our Town Center of New Britain shopping center for a sales price of $13.2 million.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$59.6 million, or 30.2%, to $257.2 million in the six months ended June 30, 2024 compared to $197.6 million in the six months ended June 30, 2023. This increase is primarily driven by higher gains on sale of real estate, higher rental rates and average occupancy, 2023 and 2024 openings at our non-comparable properties, the reconsolidation of Escondido Promenade during the second quarter of 2023, and our 2024 acquisition, partially offset by property sales and an increase in collectibility related adjustments.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$5.9 million, or 7.2%, to $88.0 million in the six months ended June 30, 2024 compared to $82.1 million in the six months ended June 30, 2023. This increase is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$4.2 million due to a higher overall weighted average borrowing rate,</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an increase of $1.0 million due to higher weighted average borrowings, and</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 decrease of $0.7 million in capitalized interest.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interest costs were $98.5 million and $93.3 million in the six months ended June 30, 2024 and 2023, respectively. Capitalized interest was $10.5 million and $11.1 million for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six months ended June 30, 2024 were approximately $184.7 million). Remaining cash flow from operations after regular debt service requirements (including debt service relating to additional or replacement debt, as well as scheduled debt maturities) and dividend payments is used to fund recurring and non-recurring capital projects (such as tenant improvements and redevelopments).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11, 2024, we issued $485.0 million of 3.25% exchangeable senior notes, for which the proceeds were used to repay our $600.0 million of 3.95% senior unsecured notes on January 16, 2024. Our $600.0 million unsecured term loan has a maturity in April 2025, however, there is a one-year extension at our option that would extend the maturity to April 2026, if exercised. We have no other significant debt maturing in the next twelve months.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cash and cash equivalents of $103.2 million and $81.8 million outstanding on our $1.25 billion revolving credit facility. For the six months ended June 30, 2024, the weighted average amount of borrowings outstanding on our revolving credit facility was $30.3 million, and the weighted average interest rate, before amortization of debt fees, was 6.2%. We also have the capacity to issue up to $427.0 million in common shares under our ATM equity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capital requirements for the remainder of 2024 will be impacted by the overall economic environment including impacts of inflation and higher interest rates, as well as acquisition opportunities and the level and general timing of our redevelopment and development activities. We currently have development and redevelopment projects in various stages of constructions with remaining costs of $207 million. We expect to incur the majority of these costs in the next two years. We expect overall capital costs to be at levels slightly reduced from 2023 as we complete current redevelopment projects, prepare vacant space for new tenants, and complete the current phase and start on the next phase of our larger mixed use development projects.</w:t>
      </w:r>
    </w:p>
    <w:p>
      <w:pPr>
        <w:pStyle w:val="TextBody"/>
        <w:bidi w:val="0"/>
        <w:spacing w:lineRule="auto" w:line="288" w:before="100" w:after="283"/>
        <w:jc w:val="left"/>
        <w:rPr/>
      </w:pPr>
      <w:r>
        <w:rPr>
          <w:rFonts w:ascii="Times New Roman;sans-serif" w:hAnsi="Times New Roman;sans-serif"/>
          <w:b w:val="false"/>
          <w:color w:val="000000"/>
          <w:sz w:val="20"/>
        </w:rPr>
        <w:t xml:space="preserve">We believe cash flow from operations, the cash </w:t>
      </w:r>
      <w:r>
        <w:rPr>
          <w:rFonts w:ascii="Times New Roman;sans-serif" w:hAnsi="Times New Roman;sans-serif"/>
          <w:b w:val="false"/>
          <w:color w:val="212529"/>
          <w:sz w:val="20"/>
        </w:rPr>
        <w:t xml:space="preserve">on our balance sheet, and our </w:t>
      </w:r>
      <w:r>
        <w:rPr>
          <w:rFonts w:ascii="Times New Roman;sans-serif" w:hAnsi="Times New Roman;sans-serif"/>
          <w:b w:val="false"/>
          <w:color w:val="000000"/>
          <w:sz w:val="20"/>
        </w:rPr>
        <w:t>$1.25 billion</w:t>
      </w:r>
      <w:r>
        <w:rPr>
          <w:color w:val="212529"/>
        </w:rPr>
        <w:t xml:space="preserve"> </w:t>
      </w:r>
      <w:r>
        <w:rPr>
          <w:rFonts w:ascii="Times New Roman;sans-serif" w:hAnsi="Times New Roman;sans-serif"/>
          <w:b w:val="false"/>
          <w:color w:val="212529"/>
          <w:sz w:val="20"/>
        </w:rPr>
        <w:t xml:space="preserve">revolving credit facility will allow us to continue to operate our business in the short-term. </w:t>
      </w:r>
      <w:r>
        <w:rPr>
          <w:rFonts w:ascii="Times New Roman;sans-serif" w:hAnsi="Times New Roman;sans-serif"/>
          <w:b w:val="false"/>
          <w:color w:val="000000"/>
          <w:sz w:val="20"/>
        </w:rPr>
        <w:t>Given our ability to access the capital markets, we also expect debt or equity to be available to us, although newly issued debt 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Summary of Cash Flows</w:t>
      </w:r>
    </w:p>
    <w:tbl>
      <w:tblPr>
        <w:tblW w:w="9296" w:type="dxa"/>
        <w:jc w:val="left"/>
        <w:tblInd w:w="0" w:type="dxa"/>
        <w:tblLayout w:type="fixed"/>
        <w:tblCellMar>
          <w:top w:w="28" w:type="dxa"/>
          <w:left w:w="28" w:type="dxa"/>
          <w:bottom w:w="28" w:type="dxa"/>
          <w:right w:w="28" w:type="dxa"/>
        </w:tblCellMar>
      </w:tblPr>
      <w:tblGrid>
        <w:gridCol w:w="1905"/>
        <w:gridCol w:w="1677"/>
        <w:gridCol w:w="1682"/>
        <w:gridCol w:w="211"/>
        <w:gridCol w:w="826"/>
        <w:gridCol w:w="109"/>
        <w:gridCol w:w="109"/>
        <w:gridCol w:w="109"/>
        <w:gridCol w:w="109"/>
        <w:gridCol w:w="211"/>
        <w:gridCol w:w="826"/>
        <w:gridCol w:w="109"/>
        <w:gridCol w:w="109"/>
        <w:gridCol w:w="109"/>
        <w:gridCol w:w="109"/>
        <w:gridCol w:w="211"/>
        <w:gridCol w:w="721"/>
        <w:gridCol w:w="154"/>
      </w:tblGrid>
      <w:tr>
        <w:trPr/>
        <w:tc>
          <w:tcPr>
            <w:tcW w:w="1905"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$18.6 million to $310.9 million during the six months ended June 30, 2024 from $292.3 million during the six months ended June 30, 2023. The increase was primarily due to higher net income after adjusting for non-cash items and gain on sale of real estate, and higher collections related to year end recovery billings, partially offset by the timing of cash receipts related to prepaid rent.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$48.4 million to $252.6 million during the six months ended June 30, 2024 from $204.2 million during the six months ended June 30, 2023. The increase was primarily attributable to:</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 xml:space="preserve">a $154.3 million increase in acquisition of real estate due to the May 2024 acquisition of the fee interest in Virginia Gateway (see Note 3 to the consolidated financial statements for additional information), as compared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605" cy="14605"/>
                <wp:effectExtent l="0" t="0" r="0" b="0"/>
                <wp:wrapNone/>
                <wp:docPr id="31" name="Frame3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56"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January 2023 Huntington Square acquisition and the acquisition of our partner's 22.3% TIC interest in Escondido Promenade in May 2023,</w:t>
      </w:r>
    </w:p>
    <w:p>
      <w:pPr>
        <w:pStyle w:val="TextBody"/>
        <w:bidi w:val="0"/>
        <w:spacing w:lineRule="auto" w:line="256"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an $83.7 million increase in net proceeds from the sale of real estate primarily due to $96.3 million of net proceeds from the sale of Third Street Promenade during the six months ended June 30, 2024, as compared to $12.6 million of net proceeds from the sale of Town Center of New Britain during the six months ended June 30, 2023,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$31.5 million decrease in capital expenditures.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$122.8 million to $204.4 million during the six months ended June 30, 2024 from $81.7 million during the six months ended June 30, 2023. The increase was primarily attributable to:</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$325.0 million increase in repayment of senior notes primarily due to the January 2024 repayment of our $600.0 million 3.95% senior unsecured notes at maturity, as compared to the June 2023 repayment of our $275.0 million 2.75% senior unsecured notes,</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$19.4 million premium paid for the capped call transactions entered into in connection with the issuance of $485.0 million 3.25% exchangeable senior notes in January 2024,</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$13.2 million increase in distributions to and redemptions of noncontrolling interests primarily related to our April 2024 acquisition of the noncontrolling interest in the partnership that owns our CocoWalk property for approximately $12.4 million,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$4.8 million increase in dividends paid to common and preferred shareholders due to an increase in the number of outstanding shares, as well as an increase to the common share dividend rate,</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$125.8 million net increase due to net proceeds of $471.5 million from the issuance of $485.0 million 3.25% exchangeable senior notes in January 2024, as compared to $345.7 million in net proceeds from the issuance of $350.0 million of 5.375% senior unsecured notes in April 2023,</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$64.7 million increase in net proceeds from the issuance of common shares under our ATM program,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$50.3 million increase in net borrowings on our revolving credit facility to $81.8 million of net borrowings during the six months ended June 30, 2024, as compared to $31.5 million of net borrowings during the six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605" cy="14605"/>
                <wp:effectExtent l="0" t="0" r="0" b="0"/>
                <wp:wrapNone/>
                <wp:docPr id="32" name="Frame3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Financing Arrangements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total debt outstanding as of June 30, 2024:</w:t>
      </w:r>
    </w:p>
    <w:tbl>
      <w:tblPr>
        <w:tblW w:w="10205" w:type="dxa"/>
        <w:jc w:val="left"/>
        <w:tblInd w:w="0" w:type="dxa"/>
        <w:tblLayout w:type="fixed"/>
        <w:tblCellMar>
          <w:top w:w="28" w:type="dxa"/>
          <w:left w:w="28" w:type="dxa"/>
          <w:bottom w:w="28" w:type="dxa"/>
          <w:right w:w="28" w:type="dxa"/>
        </w:tblCellMar>
      </w:tblPr>
      <w:tblGrid>
        <w:gridCol w:w="914"/>
        <w:gridCol w:w="797"/>
        <w:gridCol w:w="802"/>
        <w:gridCol w:w="262"/>
        <w:gridCol w:w="262"/>
        <w:gridCol w:w="266"/>
        <w:gridCol w:w="109"/>
        <w:gridCol w:w="109"/>
        <w:gridCol w:w="109"/>
        <w:gridCol w:w="421"/>
        <w:gridCol w:w="1873"/>
        <w:gridCol w:w="233"/>
        <w:gridCol w:w="109"/>
        <w:gridCol w:w="109"/>
        <w:gridCol w:w="109"/>
        <w:gridCol w:w="439"/>
        <w:gridCol w:w="393"/>
        <w:gridCol w:w="924"/>
        <w:gridCol w:w="109"/>
        <w:gridCol w:w="109"/>
        <w:gridCol w:w="109"/>
        <w:gridCol w:w="475"/>
        <w:gridCol w:w="475"/>
        <w:gridCol w:w="688"/>
      </w:tblGrid>
      <w:tr>
        <w:trPr/>
        <w:tc>
          <w:tcPr>
            <w:tcW w:w="9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Debt</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w:t>
              <w:br/>
              <w:t>Debt</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Balance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 as of</w:t>
              <w:b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r>
      <w:tr>
        <w:trPr/>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Mortgages payable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 2025</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Bethesda Row (1)</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28, 2025</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2026</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5, 2027</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 2027</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 2029</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(2)</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15, 2029</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 (3)</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29,364 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2031</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517,504 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515,637 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Notes payable</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(4)(6)</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16, 2025</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(4)(6)</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5, 2027</w:t>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683,980 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683,280 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notes and debentures (6)</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2026</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2026</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15, 2027</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2027</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 2028</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exchangeable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2029</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15, 2029</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2030</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 2044</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2046</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3,379,200 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(24,445)</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3,354,755 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4,553,672 </w:t>
            </w:r>
          </w:p>
        </w:tc>
        <w:tc>
          <w:tcPr>
            <w:tcW w:w="2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interest rate on this mortgage loan is fixed at a weighted average interest rate of 5.03% through the initial maturity date through three interest rate swap agreements. We have two one-year extensions, at our option to extend the maturity date of this mortgage loan to December 28, 2027.</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interest rate on this mortgage loan is fixed at 3.67% through two interest rate swap agreements. </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(3)The interest rates on these mortgages range from 3.91% to 5.00%.</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(4)Our revolving credit facility SOFR loans bear interest at Daily Simple SOFR or Term SOFR, and our term loan bears interest at Term SOFR as defined in the respective credit agreements, plus 0.10%, plus a spread, based on our current credit rating.</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maximum amount drawn under our $1.25 billion revolving credit facility during the six months ended June 30, 2024 was $202.7 million and the weighted average interest rate on borrowings under our revolving credit facility, before amortization of debt fees, was 6.2%.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(6)The Operating Partnership is the named obligor under our revolving credit facility, term loan, and senior notes and debenture. Effective April 1, 2024, a wholly owned subsidiary of the Operating Partnership guarantees the term loan.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revolving credit facility, unsecured term loan, and other debt agreements include financial and other covenants that may limit our operating activities in the future. As of June 30, 2024,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scheduled principal repayments as of June 30, 2024:</w:t>
      </w:r>
    </w:p>
    <w:p>
      <w:pPr>
        <w:pStyle w:val="TextBody"/>
        <w:bidi w:val="0"/>
        <w:spacing w:lineRule="auto" w:line="288" w:before="0" w:after="0"/>
        <w:jc w:val="left"/>
        <w:rPr>
          <w:color w:val="000000"/>
        </w:rPr>
      </w:pPr>
      <w:r>
        <w:rPr>
          <w:color w:val="000000"/>
        </w:rPr>
        <w:t> </w:t>
      </w:r>
    </w:p>
    <w:tbl>
      <w:tblPr>
        <w:tblW w:w="5974" w:type="dxa"/>
        <w:jc w:val="left"/>
        <w:tblInd w:w="0" w:type="dxa"/>
        <w:tblLayout w:type="fixed"/>
        <w:tblCellMar>
          <w:top w:w="28" w:type="dxa"/>
          <w:left w:w="28" w:type="dxa"/>
          <w:bottom w:w="28" w:type="dxa"/>
          <w:right w:w="28" w:type="dxa"/>
        </w:tblCellMar>
      </w:tblPr>
      <w:tblGrid>
        <w:gridCol w:w="342"/>
        <w:gridCol w:w="300"/>
        <w:gridCol w:w="304"/>
        <w:gridCol w:w="211"/>
        <w:gridCol w:w="976"/>
        <w:gridCol w:w="109"/>
        <w:gridCol w:w="110"/>
        <w:gridCol w:w="110"/>
        <w:gridCol w:w="110"/>
        <w:gridCol w:w="211"/>
        <w:gridCol w:w="826"/>
        <w:gridCol w:w="109"/>
        <w:gridCol w:w="110"/>
        <w:gridCol w:w="110"/>
        <w:gridCol w:w="110"/>
        <w:gridCol w:w="109"/>
        <w:gridCol w:w="146"/>
        <w:gridCol w:w="211"/>
        <w:gridCol w:w="976"/>
        <w:gridCol w:w="109"/>
        <w:gridCol w:w="110"/>
        <w:gridCol w:w="110"/>
        <w:gridCol w:w="15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1"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1"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0" w:after="0"/>
        <w:jc w:val="left"/>
        <w:rPr/>
      </w:pPr>
      <w:r>
        <w:rPr>
          <w:rFonts w:ascii="Times New Roman;sans-serif" w:hAnsi="Times New Roman;sans-serif"/>
          <w:b w:val="false"/>
          <w:color w:val="000000"/>
          <w:sz w:val="20"/>
        </w:rPr>
        <w:t>__________________</w:t>
      </w:r>
      <w:r>
        <w:rPr>
          <w:color w:val="000000"/>
          <w:shd w:fill="FFFFFF" w:val="clear"/>
        </w:rPr>
        <w:t>    </w:t>
      </w:r>
    </w:p>
    <w:p>
      <w:pPr>
        <w:pStyle w:val="TextBody"/>
        <w:bidi w:val="0"/>
        <w:spacing w:lineRule="auto" w:line="288" w:before="60" w:after="283"/>
        <w:ind w:left="0" w:right="0" w:hanging="63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Our</w:t>
      </w:r>
      <w:r>
        <w:rPr>
          <w:color w:val="000000"/>
        </w:rPr>
        <w:t xml:space="preserve"> </w:t>
      </w:r>
      <w:r>
        <w:rPr>
          <w:rFonts w:ascii="Times New Roman;sans-serif" w:hAnsi="Times New Roman;sans-serif"/>
          <w:b w:val="false"/>
          <w:color w:val="000000"/>
          <w:sz w:val="20"/>
        </w:rPr>
        <w:t>$600.0 million term loan matures on April 16, 2025, plus one one-year extension at our option to April 16, 2026.</w:t>
      </w:r>
    </w:p>
    <w:p>
      <w:pPr>
        <w:pStyle w:val="TextBody"/>
        <w:bidi w:val="0"/>
        <w:spacing w:lineRule="auto" w:line="288" w:before="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(2)Our $200.0 million mortgage loan secured by Bethesda Row matures on December 28, 2025, plus two one-year extensions at our option to December 28, 2027.</w:t>
      </w:r>
    </w:p>
    <w:p>
      <w:pPr>
        <w:pStyle w:val="TextBody"/>
        <w:bidi w:val="0"/>
        <w:spacing w:lineRule="auto" w:line="288" w:before="60" w:after="283"/>
        <w:ind w:left="0" w:right="0" w:hanging="63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shd w:fill="FFFFFF" w:val="clear"/>
        </w:rPr>
        <w:t xml:space="preserve">Our $1.25 billion revolving credit facility matures on April 5, 2027, plus two six-month extensions at our option to April 5, 2028. As of </w:t>
      </w:r>
      <w:r>
        <w:rPr>
          <w:rFonts w:ascii="Times New Roman;sans-serif" w:hAnsi="Times New Roman;sans-serif"/>
          <w:b w:val="false"/>
          <w:color w:val="000000"/>
          <w:sz w:val="20"/>
        </w:rPr>
        <w:t xml:space="preserve">June 30, 2024, there was $81.8 million outstanding under this credit facility. </w:t>
      </w:r>
    </w:p>
    <w:p>
      <w:pPr>
        <w:pStyle w:val="TextBody"/>
        <w:bidi w:val="0"/>
        <w:spacing w:lineRule="auto" w:line="288" w:before="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total debt maturities differ from the total reported on the consolidated balance sheets due to the unamortized net debt issuance costs and premium/discount on mortgage loans, notes payable, and senior notes as of June 30, 2024.</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Hedging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have two interest rate swap agreements that effectively fix the rate on a mortgage payable associated with our Hoboken portfolio at 3.67% and we have three interest rate swap agreements that effectively fix the interest rate on a mortgage payable associated with Bethesda Row at 5.03% through the initial maturity date. Our Assembly Row hotel joint venture is also a party to two interest rate swap agreements that effectively fix 100% of its outstanding $38.9 million of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 May 2025 at 6.39%, and 50% of its outstanding debt from June 2025 through May 2028 at 6.03%. All swaps were designated and qualify as cash flow hedges. Hedge ineffectiveness has not impacted earnings as of June 30, 2024.</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REIT Qualification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does not represent cash flows from operating activities in accordance with GAAP (which, unlike FFO, generally reflects all cash effects of transactions and other events in the determination of net income);</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should not be considered an alternative to net income as an indication of our performance;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is not necessarily indicative of cash flow as a measure of liquidity or ability to fund cash needs, including the payment of dividends.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to FFO available for common shareholders is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2"/>
        <w:gridCol w:w="1459"/>
        <w:gridCol w:w="147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(1)(2)</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 per diluted share (2)</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(1)For the three and six months ended June 30, 2024 and 2023, dividends on our Series 1 preferred stock were not deducted in the calculation of FFO available to common shareholders, as the related shares were dilutive and included in "weighted average number of common shares, diluted." </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for all periods presented but is anti-dilutive for the computation of dilutive EPS for the six months ended June 30, 2024 and the three and six months ended June 30, 2023.</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Fixed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outstanding debt obligations (maturing at various times through 2059) have fixed interest rates which limit the risk of fluctuating interest rates. However, interest rate fluctuations may affect the fair value of our fixed rate debt instruments. At June 30, 2024, we had $3.9 billion of fixed-rate debt outstanding, including $252.9 million of mortgage payables for which the rate is effectively fixed by five interest rate swap agreements. If market interest rates used to calculate the fair value on our fixed-rate debt instruments at June 30, 2024 had been 1.0% higher, the fair value of those debt instruments on that date would have decreased by approximately $161.7 million. If market interest rates used to calculate the fair value on our fixed-rate debt instruments at June 30, 2024 had been 1.0% lower, the fair value of those debt instruments on that date would have increased by approximately $179.1 million.</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we believe that our primary interest rate risk is due to fluctuations in interest rates on our outstanding variable rate debt. At June 30, 2024, we had $681.8 million of variable rate debt outstanding (the $600.0 million principal balance on our unsecured term loan and $81.8 million outstanding on our revolving credit facility). Based upon this amount of variable rate debt and the specific terms, if market interest rates increased 1.0%, our annual interest expense would increase approximately $6.8 million with a corresponding decrease in our net income and cash flows for the year. Conversely, if market interest rates decreased 1.0%, our annual interest expense would decrease by approximately $6.8 million with a corresponding increase in our net income and cash flows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 (Federal Realty Investment Trust)</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Periodic Evaluation and Conclusion of Disclosure Controls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has been performed, under the supervision and with the participation of our management, including our Chief Executive Officer and Chief Financial Officer, of the effectiveness of the design and operation of the Trust's disclosure controls and procedures as of June 30, 2024. Based on this evaluation, our management, including our Chief Executive Officer and Chief Financial Officer, concluded that the Trust's disclosure controls and procedures were effective as of June 30, 2024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 (Federal Realty OP LP)</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Periodic Evaluation and Conclusion of Disclosure Controls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June 30, 2024. Based on this evaluation, our management, including our Chief Executive Officer and Chief Financial Officer, concluded that the Operating Partnership's disclosure controls and procedures were effective as of June 30, 2024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developments in any of our legal proceedings since the disclosure contained in our Annual Report to Form 10-K for the fiscal year ended December 31, 2023 filed with the SEC on February 12,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our Annual Report to our Form 10-K for the year ended December 31, 2023 filed with the SEC on February 12,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June 30, 2024, we redeemed 2,852 downREIT operating partnership units for cash.</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could be deemed to have repurchased shares as a result of shares withheld for tax purposes upon a stock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related vesting event.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3.DEFAULTS UPON SENIOR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6.EXHIBITS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list of exhibits to this Quarterly Report on Form 10-Q is set forth on the Exhibit Index immediately preceding such exhibits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2"/>
        <w:gridCol w:w="224"/>
        <w:gridCol w:w="121"/>
        <w:gridCol w:w="121"/>
        <w:gridCol w:w="121"/>
        <w:gridCol w:w="3079"/>
        <w:gridCol w:w="2772"/>
        <w:gridCol w:w="2806"/>
        <w:gridCol w:w="109"/>
        <w:gridCol w:w="109"/>
        <w:gridCol w:w="109"/>
        <w:gridCol w:w="159"/>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4xex311.htm">
              <w:r>
                <w:rPr>
                  <w:rStyle w:val="InternetLink"/>
                  <w:rFonts w:ascii="Times New Roman;sans-serif" w:hAnsi="Times New Roman;sans-serif"/>
                  <w:b w:val="false"/>
                  <w:color w:val="0000FF"/>
                  <w:sz w:val="20"/>
                  <w:u w:val="single"/>
                </w:rPr>
                <w:t>31.1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4xex312.htm">
              <w:r>
                <w:rPr>
                  <w:rStyle w:val="InternetLink"/>
                  <w:rFonts w:ascii="Times New Roman;sans-serif" w:hAnsi="Times New Roman;sans-serif"/>
                  <w:b w:val="false"/>
                  <w:color w:val="0000FF"/>
                  <w:sz w:val="20"/>
                  <w:u w:val="single"/>
                </w:rPr>
                <w:t>31.2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4xex313.htm">
              <w:r>
                <w:rPr>
                  <w:rStyle w:val="InternetLink"/>
                  <w:rFonts w:ascii="Times New Roman;sans-serif" w:hAnsi="Times New Roman;sans-serif"/>
                  <w:b w:val="false"/>
                  <w:color w:val="0000FF"/>
                  <w:sz w:val="20"/>
                  <w:u w:val="single"/>
                </w:rPr>
                <w:t>31.3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4xex314.htm">
              <w:r>
                <w:rPr>
                  <w:rStyle w:val="InternetLink"/>
                  <w:rFonts w:ascii="Times New Roman;sans-serif" w:hAnsi="Times New Roman;sans-serif"/>
                  <w:b w:val="false"/>
                  <w:color w:val="0000FF"/>
                  <w:sz w:val="20"/>
                  <w:u w:val="single"/>
                </w:rPr>
                <w:t>31.4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4xex321.htm">
              <w:r>
                <w:rPr>
                  <w:rStyle w:val="InternetLink"/>
                  <w:rFonts w:ascii="Times New Roman;sans-serif" w:hAnsi="Times New Roman;sans-serif"/>
                  <w:b w:val="false"/>
                  <w:color w:val="0000FF"/>
                  <w:sz w:val="20"/>
                  <w:u w:val="single"/>
                </w:rPr>
                <w:t>32.1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4xex322.htm">
              <w:r>
                <w:rPr>
                  <w:rStyle w:val="InternetLink"/>
                  <w:rFonts w:ascii="Times New Roman;sans-serif" w:hAnsi="Times New Roman;sans-serif"/>
                  <w:b w:val="false"/>
                  <w:color w:val="0000FF"/>
                  <w:sz w:val="20"/>
                  <w:u w:val="single"/>
                </w:rPr>
                <w:t>32.2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4xex323.htm">
              <w:r>
                <w:rPr>
                  <w:rStyle w:val="InternetLink"/>
                  <w:rFonts w:ascii="Times New Roman;sans-serif" w:hAnsi="Times New Roman;sans-serif"/>
                  <w:b w:val="false"/>
                  <w:color w:val="0000FF"/>
                  <w:sz w:val="20"/>
                  <w:u w:val="single"/>
                </w:rPr>
                <w:t>32.3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4xex324.htm">
              <w:r>
                <w:rPr>
                  <w:rStyle w:val="InternetLink"/>
                  <w:rFonts w:ascii="Times New Roman;sans-serif" w:hAnsi="Times New Roman;sans-serif"/>
                  <w:b w:val="false"/>
                  <w:color w:val="0000FF"/>
                  <w:sz w:val="20"/>
                  <w:u w:val="single"/>
                </w:rPr>
                <w:t>32.4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Federal Realty Investment Trust and Federal Realty OP LP’s Quarterly Report on Form 10-Q for the quarter ended June 30, 2024,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authorized.</w:t>
      </w:r>
    </w:p>
    <w:p>
      <w:pPr>
        <w:pStyle w:val="TextBody"/>
        <w:bidi w:val="0"/>
        <w:spacing w:before="0" w:after="0"/>
        <w:jc w:val="left"/>
        <w:rPr/>
      </w:pPr>
      <w:r>
        <w:rPr/>
      </w:r>
    </w:p>
    <w:tbl>
      <w:tblPr>
        <w:tblW w:w="5667"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163"/>
        <w:gridCol w:w="1163"/>
        <w:gridCol w:w="164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667"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1163"/>
        <w:gridCol w:w="1163"/>
        <w:gridCol w:w="164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Donald C. Wood</w:t>
      </w:r>
      <w:r>
        <w:rPr>
          <w:rFonts w:ascii="Times New Roman;sans-serif" w:hAnsi="Times New Roman;sans-serif"/>
          <w:b w:val="false"/>
          <w:color w:val="000000"/>
          <w:sz w:val="20"/>
        </w:rPr>
        <w:t xml:space="preserve">,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872"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930"/>
        <w:gridCol w:w="930"/>
        <w:gridCol w:w="1320"/>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2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1150"/>
        <w:gridCol w:w="1150"/>
        <w:gridCol w:w="1629"/>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Donald C. Wood</w:t>
      </w:r>
      <w:r>
        <w:rPr>
          <w:rFonts w:ascii="Times New Roman;sans-serif" w:hAnsi="Times New Roman;sans-serif"/>
          <w:b w:val="false"/>
          <w:color w:val="000000"/>
          <w:sz w:val="20"/>
        </w:rPr>
        <w:t xml:space="preserve">,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487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930"/>
        <w:gridCol w:w="930"/>
        <w:gridCol w:w="1319"/>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62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1150"/>
        <w:gridCol w:w="1150"/>
        <w:gridCol w:w="1629"/>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2024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50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1114"/>
        <w:gridCol w:w="1114"/>
        <w:gridCol w:w="1581"/>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2024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62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1150"/>
        <w:gridCol w:w="1150"/>
        <w:gridCol w:w="1629"/>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June 30, 2024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756"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1189"/>
        <w:gridCol w:w="1189"/>
        <w:gridCol w:w="1686"/>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President, 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June 30, 2024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62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1150"/>
        <w:gridCol w:w="1150"/>
        <w:gridCol w:w="1629"/>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4903/000003490324000032/frt-20231231.htm" TargetMode="External"/><Relationship Id="rId3" Type="http://schemas.openxmlformats.org/officeDocument/2006/relationships/hyperlink" Target="https://www.sec.gov/ix?doc=/Archives/edgar/data/0000034903/000003490324000032/frt-20231231.htm" TargetMode="External"/><Relationship Id="rId4" Type="http://schemas.openxmlformats.org/officeDocument/2006/relationships/hyperlink" Target="https://www.sec.gov/ix?doc=/Archives/edgar/data/0000034903/000003490324000032/frt-202312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23464</Words>
  <Characters>130177</Characters>
  <CharactersWithSpaces>152398</CharactersWithSpaces>
  <Paragraphs>3641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