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4"/>
          <w:szCs w:val="24"/>
          <w:color w:val="auto"/>
        </w:rPr>
      </w:pPr>
    </w:p>
    <w:p>
      <w:pPr>
        <w:ind w:right="380"/>
        <w:spacing w:after="0" w:line="258" w:lineRule="auto"/>
        <w:rPr>
          <w:sz w:val="20"/>
          <w:szCs w:val="20"/>
          <w:color w:val="auto"/>
        </w:rPr>
      </w:pPr>
      <w:r>
        <w:rPr>
          <w:rFonts w:ascii="Arial" w:cs="Arial" w:eastAsia="Arial" w:hAnsi="Arial"/>
          <w:sz w:val="18"/>
          <w:szCs w:val="18"/>
          <w:b w:val="1"/>
          <w:bCs w:val="1"/>
          <w:color w:val="CC062A"/>
        </w:rPr>
        <w:t>The information in this preliminary prospectus supplement and the accompanying prospectus is not complete and may be changed. This preliminary prospectus supplement and the accompanying prospectus are not an offer to sell these securities and we are not soliciting offers to buy these securities in any jurisdiction where the offer or sale is not permitted.</w:t>
      </w:r>
    </w:p>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333-135159</w:t>
      </w:r>
    </w:p>
    <w:p>
      <w:pPr>
        <w:spacing w:after="0" w:line="2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C062A"/>
        </w:rPr>
        <w:t>SUBJECT TO COMPLETION, DATED SEPTEMBER 25, 2006</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PROSPECTUS SUPPLEMENT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(To Prospectus Dated June 20, 2006)</w:t>
      </w:r>
    </w:p>
    <w:p>
      <w:pPr>
        <w:spacing w:after="0" w:line="6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32406B"/>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65405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4800" w:hanging="1224"/>
        <w:spacing w:after="0"/>
        <w:tabs>
          <w:tab w:leader="none" w:pos="4800" w:val="left"/>
        </w:tabs>
        <w:numPr>
          <w:ilvl w:val="0"/>
          <w:numId w:val="1"/>
        </w:numPr>
        <w:rPr>
          <w:rFonts w:ascii="Times New Roman" w:cs="Times New Roman" w:eastAsia="Times New Roman" w:hAnsi="Times New Roman"/>
          <w:sz w:val="32"/>
          <w:szCs w:val="32"/>
          <w:b w:val="1"/>
          <w:bCs w:val="1"/>
          <w:color w:val="32406B"/>
        </w:rPr>
      </w:pPr>
      <w:r>
        <w:rPr>
          <w:rFonts w:ascii="Times New Roman" w:cs="Times New Roman" w:eastAsia="Times New Roman" w:hAnsi="Times New Roman"/>
          <w:sz w:val="32"/>
          <w:szCs w:val="32"/>
          <w:b w:val="1"/>
          <w:bCs w:val="1"/>
          <w:color w:val="32406B"/>
        </w:rPr>
        <w:t>6.00% Notes due 2012</w:t>
      </w:r>
    </w:p>
    <w:p>
      <w:pPr>
        <w:spacing w:after="0" w:line="77" w:lineRule="exact"/>
        <w:rPr>
          <w:rFonts w:ascii="Times New Roman" w:cs="Times New Roman" w:eastAsia="Times New Roman" w:hAnsi="Times New Roman"/>
          <w:sz w:val="32"/>
          <w:szCs w:val="32"/>
          <w:b w:val="1"/>
          <w:bCs w:val="1"/>
          <w:color w:val="32406B"/>
        </w:rPr>
      </w:pPr>
    </w:p>
    <w:p>
      <w:pPr>
        <w:ind w:left="4800" w:hanging="1224"/>
        <w:spacing w:after="0"/>
        <w:tabs>
          <w:tab w:leader="none" w:pos="4800" w:val="left"/>
        </w:tabs>
        <w:numPr>
          <w:ilvl w:val="0"/>
          <w:numId w:val="1"/>
        </w:numPr>
        <w:rPr>
          <w:rFonts w:ascii="Times New Roman" w:cs="Times New Roman" w:eastAsia="Times New Roman" w:hAnsi="Times New Roman"/>
          <w:sz w:val="32"/>
          <w:szCs w:val="32"/>
          <w:b w:val="1"/>
          <w:bCs w:val="1"/>
          <w:color w:val="32406B"/>
        </w:rPr>
      </w:pPr>
      <w:r>
        <w:rPr>
          <w:rFonts w:ascii="Times New Roman" w:cs="Times New Roman" w:eastAsia="Times New Roman" w:hAnsi="Times New Roman"/>
          <w:sz w:val="32"/>
          <w:szCs w:val="32"/>
          <w:b w:val="1"/>
          <w:bCs w:val="1"/>
          <w:color w:val="32406B"/>
        </w:rPr>
        <w:t>6.20% Notes due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32406B"/>
        </w:rPr>
        <w:t>The 6.00% notes due 2012 offered by this prospectus supplement (the “2012 Notes”) will bear interest at the rate of 6.00% per year, and the 6.20% notes due 2017 offered by this prospectus supplement (the “2017 Notes” and, together with the 2012 Notes, the “Notes”) will bear interest at the rate of 6.20% per year. Interest on the Notes is payable on January 15 and July 15 of each year, beginning on January 15, 2007. The 2012 Notes will mature on July 15, 2012, and the 2017 Notes will mature on January 15, 2017. We may redeem some or all of the Notes at any time before maturity. The redemption prices are discussed under the caption “Description of Notes — Optional Redemption.”</w:t>
      </w:r>
    </w:p>
    <w:p>
      <w:pPr>
        <w:spacing w:after="0" w:line="58" w:lineRule="exact"/>
        <w:rPr>
          <w:sz w:val="24"/>
          <w:szCs w:val="24"/>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32406B"/>
        </w:rPr>
        <w:t>The 2012 Notes offered hereby will be fully fungible with, rank equally with and form a single issue and series with, the $120 million 6.00% notes due 2012 initially issued on July 17, 2006. The 2017 Notes offered hereby will be fully fungible with, rank equally with and form a single issue and series with, the $130 million 6.20% notes due 2017 initially issued on July 17, 2006.</w:t>
      </w:r>
    </w:p>
    <w:p>
      <w:pPr>
        <w:spacing w:after="0" w:line="5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4"/>
          <w:szCs w:val="24"/>
          <w:color w:val="auto"/>
        </w:rPr>
      </w:pPr>
    </w:p>
    <w:p>
      <w:pPr>
        <w:ind w:right="300"/>
        <w:spacing w:after="0" w:line="262" w:lineRule="auto"/>
        <w:rPr>
          <w:rFonts w:ascii="Times New Roman" w:cs="Times New Roman" w:eastAsia="Times New Roman" w:hAnsi="Times New Roman"/>
          <w:sz w:val="22"/>
          <w:szCs w:val="22"/>
          <w:b w:val="1"/>
          <w:bCs w:val="1"/>
          <w:color w:val="32406B"/>
        </w:rPr>
      </w:pPr>
      <w:r>
        <w:rPr>
          <w:rFonts w:ascii="Times New Roman" w:cs="Times New Roman" w:eastAsia="Times New Roman" w:hAnsi="Times New Roman"/>
          <w:sz w:val="22"/>
          <w:szCs w:val="22"/>
          <w:b w:val="1"/>
          <w:bCs w:val="1"/>
          <w:color w:val="32406B"/>
        </w:rPr>
        <w:t xml:space="preserve">Investing in the Notes involves risks. See “ </w:t>
      </w:r>
      <w:hyperlink w:anchor="page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32406B"/>
        </w:rPr>
        <w:t>” beginning on page S-5 of this prospectus supplement and in our Annual Report on Form 10-K filed with the SEC on March 3, 2006 and amended on March 10, 2006.</w:t>
      </w:r>
    </w:p>
    <w:p>
      <w:pPr>
        <w:spacing w:after="0" w:line="17"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32406B"/>
              </w:rPr>
              <w:t>Per</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32406B"/>
                <w:w w:val="95"/>
              </w:rPr>
              <w:t>Per</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32406B"/>
              </w:rPr>
              <w:t>2012</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32406B"/>
                <w:w w:val="92"/>
              </w:rPr>
              <w:t>2017</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32406B"/>
              </w:rPr>
              <w:t>Public Offering Price (1)</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32406B"/>
              </w:rPr>
              <w:t>Note</w:t>
            </w:r>
          </w:p>
        </w:tc>
        <w:tc>
          <w:tcPr>
            <w:tcW w:w="420" w:type="dxa"/>
            <w:vAlign w:val="bottom"/>
          </w:tcPr>
          <w:p>
            <w:pPr>
              <w:spacing w:after="0"/>
              <w:rPr>
                <w:sz w:val="14"/>
                <w:szCs w:val="14"/>
                <w:color w:val="auto"/>
              </w:rPr>
            </w:pPr>
          </w:p>
        </w:tc>
        <w:tc>
          <w:tcPr>
            <w:tcW w:w="62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50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32406B"/>
                <w:w w:val="92"/>
              </w:rPr>
              <w:t>Note</w:t>
            </w: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0" w:type="dxa"/>
            <w:vAlign w:val="bottom"/>
          </w:tcPr>
          <w:p>
            <w:pPr>
              <w:spacing w:after="0"/>
              <w:rPr>
                <w:sz w:val="1"/>
                <w:szCs w:val="1"/>
                <w:color w:val="auto"/>
              </w:rPr>
            </w:pPr>
          </w:p>
        </w:tc>
      </w:tr>
      <w:tr>
        <w:trPr>
          <w:trHeight w:val="195"/>
        </w:trPr>
        <w:tc>
          <w:tcPr>
            <w:tcW w:w="712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32406B"/>
              </w:rPr>
              <w:t>%</w:t>
            </w:r>
          </w:p>
        </w:tc>
        <w:tc>
          <w:tcPr>
            <w:tcW w:w="420" w:type="dxa"/>
            <w:vAlign w:val="bottom"/>
          </w:tcPr>
          <w:p>
            <w:pPr>
              <w:spacing w:after="0"/>
              <w:rPr>
                <w:sz w:val="16"/>
                <w:szCs w:val="16"/>
                <w:color w:val="auto"/>
              </w:rPr>
            </w:pPr>
          </w:p>
        </w:tc>
        <w:tc>
          <w:tcPr>
            <w:tcW w:w="620" w:type="dxa"/>
            <w:vAlign w:val="bottom"/>
            <w:tcBorders>
              <w:top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color w:val="32406B"/>
                <w:w w:val="74"/>
              </w:rPr>
              <w:t>$</w:t>
            </w:r>
          </w:p>
        </w:tc>
        <w:tc>
          <w:tcPr>
            <w:tcW w:w="50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32406B"/>
              </w:rPr>
              <w:t>%</w:t>
            </w:r>
          </w:p>
        </w:tc>
        <w:tc>
          <w:tcPr>
            <w:tcW w:w="400" w:type="dxa"/>
            <w:vAlign w:val="bottom"/>
          </w:tcPr>
          <w:p>
            <w:pPr>
              <w:spacing w:after="0"/>
              <w:rPr>
                <w:sz w:val="16"/>
                <w:szCs w:val="16"/>
                <w:color w:val="auto"/>
              </w:rPr>
            </w:pPr>
          </w:p>
        </w:tc>
        <w:tc>
          <w:tcPr>
            <w:tcW w:w="620" w:type="dxa"/>
            <w:vAlign w:val="bottom"/>
            <w:tcBorders>
              <w:top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32406B"/>
                <w:w w:val="74"/>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32406B"/>
              </w:rPr>
              <w:t>Underwriting Discount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04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32406B"/>
              </w:rPr>
              <w:t>%</w:t>
            </w:r>
          </w:p>
        </w:tc>
        <w:tc>
          <w:tcPr>
            <w:tcW w:w="6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32406B"/>
                <w:w w:val="74"/>
              </w:rPr>
              <w:t>$</w:t>
            </w:r>
          </w:p>
        </w:tc>
        <w:tc>
          <w:tcPr>
            <w:tcW w:w="0" w:type="dxa"/>
            <w:vAlign w:val="bottom"/>
          </w:tcPr>
          <w:p>
            <w:pPr>
              <w:spacing w:after="0"/>
              <w:rPr>
                <w:sz w:val="1"/>
                <w:szCs w:val="1"/>
                <w:color w:val="auto"/>
              </w:rPr>
            </w:pP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32406B"/>
              </w:rPr>
              <w:t>Proceeds to Federal Realty (before expenses)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04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32406B"/>
              </w:rPr>
              <w:t>%</w:t>
            </w:r>
          </w:p>
        </w:tc>
        <w:tc>
          <w:tcPr>
            <w:tcW w:w="6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32406B"/>
                <w:w w:val="74"/>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4"/>
          <w:szCs w:val="24"/>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Plus accrued interest from July 17, 2006, the date of original issuance of the $120 million 6.00% notes due 2012 and the $130 million 6.20% notes due</w:t>
      </w:r>
    </w:p>
    <w:p>
      <w:pPr>
        <w:spacing w:after="0" w:line="21" w:lineRule="exact"/>
        <w:rPr>
          <w:sz w:val="24"/>
          <w:szCs w:val="24"/>
          <w:color w:val="auto"/>
        </w:rPr>
      </w:pPr>
    </w:p>
    <w:p>
      <w:pPr>
        <w:ind w:left="460"/>
        <w:spacing w:after="0"/>
        <w:tabs>
          <w:tab w:leader="none" w:pos="6920" w:val="left"/>
        </w:tabs>
        <w:rPr>
          <w:sz w:val="20"/>
          <w:szCs w:val="20"/>
          <w:color w:val="auto"/>
        </w:rPr>
      </w:pPr>
      <w:r>
        <w:rPr>
          <w:rFonts w:ascii="Times New Roman" w:cs="Times New Roman" w:eastAsia="Times New Roman" w:hAnsi="Times New Roman"/>
          <w:sz w:val="18"/>
          <w:szCs w:val="18"/>
          <w:color w:val="32406B"/>
        </w:rPr>
        <w:t>2017, to the date of issuance of the Notes, which is expected to be on or about September</w:t>
        <w:tab/>
        <w:t>, 2006.</w:t>
      </w:r>
    </w:p>
    <w:p>
      <w:pPr>
        <w:spacing w:after="0" w:line="78" w:lineRule="exact"/>
        <w:rPr>
          <w:sz w:val="24"/>
          <w:szCs w:val="24"/>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32406B"/>
        </w:rPr>
        <w:t>The underwriters expect to deliver the Notes to purchasers in book-entry only form through the facilities of The Depository Trust Company on or about September , 2006.</w:t>
      </w:r>
    </w:p>
    <w:p>
      <w:pPr>
        <w:spacing w:after="0" w:line="37" w:lineRule="exact"/>
        <w:rPr>
          <w:sz w:val="24"/>
          <w:szCs w:val="24"/>
          <w:color w:val="auto"/>
        </w:rPr>
      </w:pPr>
    </w:p>
    <w:p>
      <w:pPr>
        <w:ind w:right="460" w:firstLine="456"/>
        <w:spacing w:after="0" w:line="264" w:lineRule="auto"/>
        <w:rPr>
          <w:sz w:val="20"/>
          <w:szCs w:val="20"/>
          <w:color w:val="auto"/>
        </w:rPr>
      </w:pPr>
      <w:r>
        <w:rPr>
          <w:rFonts w:ascii="Times New Roman" w:cs="Times New Roman" w:eastAsia="Times New Roman" w:hAnsi="Times New Roman"/>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2406B"/>
        </w:rPr>
        <w:t>Sole Book-Running Manager</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32406B"/>
        </w:rPr>
        <w:t>Wachovia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139065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32406B"/>
        </w:rPr>
        <w:t>Bear, Stearns &amp; Co. Inc.</w:t>
      </w:r>
    </w:p>
    <w:p>
      <w:pPr>
        <w:spacing w:after="0" w:line="35"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2"/>
          <w:szCs w:val="32"/>
          <w:b w:val="1"/>
          <w:bCs w:val="1"/>
          <w:color w:val="32406B"/>
        </w:rPr>
        <w:t>Citigroup</w:t>
      </w:r>
    </w:p>
    <w:p>
      <w:pPr>
        <w:ind w:left="4800"/>
        <w:spacing w:after="0" w:line="237" w:lineRule="auto"/>
        <w:rPr>
          <w:sz w:val="20"/>
          <w:szCs w:val="20"/>
          <w:color w:val="auto"/>
        </w:rPr>
      </w:pPr>
      <w:r>
        <w:rPr>
          <w:rFonts w:ascii="Times New Roman" w:cs="Times New Roman" w:eastAsia="Times New Roman" w:hAnsi="Times New Roman"/>
          <w:sz w:val="32"/>
          <w:szCs w:val="32"/>
          <w:b w:val="1"/>
          <w:bCs w:val="1"/>
          <w:color w:val="32406B"/>
        </w:rPr>
        <w:t>Merrill Lynch &amp; Co.</w:t>
      </w:r>
    </w:p>
    <w:p>
      <w:pPr>
        <w:spacing w:after="0" w:line="1"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32"/>
          <w:szCs w:val="32"/>
          <w:b w:val="1"/>
          <w:bCs w:val="1"/>
          <w:color w:val="32406B"/>
        </w:rPr>
        <w:t>RBC Capital Markets</w:t>
      </w:r>
    </w:p>
    <w:p>
      <w:pPr>
        <w:sectPr>
          <w:pgSz w:w="11900" w:h="16838" w:orient="portrait"/>
          <w:cols w:equalWidth="0" w:num="1">
            <w:col w:w="11420"/>
          </w:cols>
          <w:pgMar w:left="240" w:top="226" w:right="239" w:bottom="1440" w:gutter="0" w:footer="0" w:header="0"/>
        </w:sectPr>
      </w:pPr>
    </w:p>
    <w:p>
      <w:pPr>
        <w:spacing w:after="0" w:line="67"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32406B"/>
        </w:rPr>
        <w:t>The date of this prospectus supplement is September</w:t>
      </w:r>
      <w:r>
        <w:rPr>
          <w:sz w:val="20"/>
          <w:szCs w:val="20"/>
          <w:color w:val="auto"/>
        </w:rPr>
        <w:tab/>
      </w:r>
      <w:r>
        <w:rPr>
          <w:rFonts w:ascii="Times New Roman" w:cs="Times New Roman" w:eastAsia="Times New Roman" w:hAnsi="Times New Roman"/>
          <w:sz w:val="16"/>
          <w:szCs w:val="16"/>
          <w:b w:val="1"/>
          <w:bCs w:val="1"/>
          <w:color w:val="32406B"/>
        </w:rPr>
        <w:t>, 2006.</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Proposed</w:t>
            </w:r>
          </w:p>
        </w:tc>
        <w:tc>
          <w:tcPr>
            <w:tcW w:w="6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to</w:t>
            </w: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Offering</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6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49"/>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6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be</w:t>
            </w: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Price Per</w:t>
            </w:r>
          </w:p>
        </w:tc>
        <w:tc>
          <w:tcPr>
            <w:tcW w:w="6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Offering Price</w:t>
            </w:r>
          </w:p>
        </w:tc>
        <w:tc>
          <w:tcPr>
            <w:tcW w:w="6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Registration</w:t>
            </w:r>
          </w:p>
        </w:tc>
        <w:tc>
          <w:tcPr>
            <w:tcW w:w="0" w:type="dxa"/>
            <w:vAlign w:val="bottom"/>
          </w:tcPr>
          <w:p>
            <w:pPr>
              <w:spacing w:after="0"/>
              <w:rPr>
                <w:sz w:val="1"/>
                <w:szCs w:val="1"/>
                <w:color w:val="auto"/>
              </w:rPr>
            </w:pPr>
          </w:p>
        </w:tc>
      </w:tr>
      <w:tr>
        <w:trPr>
          <w:trHeight w:val="152"/>
        </w:trPr>
        <w:tc>
          <w:tcPr>
            <w:tcW w:w="61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Registered</w:t>
            </w:r>
          </w:p>
        </w:tc>
        <w:tc>
          <w:tcPr>
            <w:tcW w:w="620" w:type="dxa"/>
            <w:vAlign w:val="bottom"/>
          </w:tcPr>
          <w:p>
            <w:pPr>
              <w:spacing w:after="0"/>
              <w:rPr>
                <w:sz w:val="13"/>
                <w:szCs w:val="13"/>
                <w:color w:val="auto"/>
              </w:rPr>
            </w:pP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1440" w:type="dxa"/>
            <w:vAlign w:val="bottom"/>
            <w:gridSpan w:val="2"/>
          </w:tcPr>
          <w:p>
            <w:pPr>
              <w:jc w:val="center"/>
              <w:ind w:left="539"/>
              <w:spacing w:after="0" w:line="152" w:lineRule="exact"/>
              <w:rPr>
                <w:sz w:val="20"/>
                <w:szCs w:val="20"/>
                <w:color w:val="auto"/>
              </w:rPr>
            </w:pPr>
            <w:r>
              <w:rPr>
                <w:rFonts w:ascii="Times New Roman" w:cs="Times New Roman" w:eastAsia="Times New Roman" w:hAnsi="Times New Roman"/>
                <w:sz w:val="14"/>
                <w:szCs w:val="14"/>
                <w:b w:val="1"/>
                <w:bCs w:val="1"/>
                <w:color w:val="auto"/>
                <w:w w:val="85"/>
              </w:rPr>
              <w:t>(1)</w:t>
            </w:r>
          </w:p>
        </w:tc>
        <w:tc>
          <w:tcPr>
            <w:tcW w:w="620" w:type="dxa"/>
            <w:vAlign w:val="bottom"/>
          </w:tcPr>
          <w:p>
            <w:pPr>
              <w:spacing w:after="0"/>
              <w:rPr>
                <w:sz w:val="13"/>
                <w:szCs w:val="13"/>
                <w:color w:val="auto"/>
              </w:rPr>
            </w:pPr>
          </w:p>
        </w:tc>
        <w:tc>
          <w:tcPr>
            <w:tcW w:w="78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auto"/>
                <w:w w:val="97"/>
              </w:rPr>
              <w:t>Fee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notes due 2012</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6.20% notes due 2017</w:t>
            </w:r>
          </w:p>
        </w:tc>
        <w:tc>
          <w:tcPr>
            <w:tcW w:w="6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760" w:hanging="452"/>
        <w:spacing w:after="0" w:line="25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offering price of both the 6.00% notes due 2012 and the 6.20% notes due 2017 offered by this prospectus supplement is $125,000,000.</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456(b) and 457(r) of the Securities Act.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with respect to the aggregate offering price of $125,000,000 is $13,375.</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state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4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Risk Factors</w:t>
              </w:r>
            </w:hyperlink>
          </w:p>
        </w:tc>
        <w:tc>
          <w:tcPr>
            <w:tcW w:w="10040" w:type="dxa"/>
            <w:vAlign w:val="bottom"/>
            <w:gridSpan w:val="1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Use of Proceeds</w:t>
              </w:r>
            </w:hyperlink>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Ratios of Earnings to Fixed Charges</w:t>
              </w:r>
            </w:hyperlink>
          </w:p>
        </w:tc>
        <w:tc>
          <w:tcPr>
            <w:tcW w:w="83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Description of Notes</w:t>
              </w:r>
            </w:hyperlink>
          </w:p>
        </w:tc>
        <w:tc>
          <w:tcPr>
            <w:tcW w:w="94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Certain Federal Income Tax Considerations</w:t>
              </w:r>
            </w:hyperlink>
          </w:p>
        </w:tc>
        <w:tc>
          <w:tcPr>
            <w:tcW w:w="7860" w:type="dxa"/>
            <w:vAlign w:val="bottom"/>
            <w:gridSpan w:val="3"/>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22">
              <w:r>
                <w:rPr>
                  <w:rFonts w:ascii="Times New Roman" w:cs="Times New Roman" w:eastAsia="Times New Roman" w:hAnsi="Times New Roman"/>
                  <w:sz w:val="18"/>
                  <w:szCs w:val="18"/>
                  <w:color w:val="0000EE"/>
                  <w:w w:val="96"/>
                </w:rPr>
                <w:t>Underwriting</w:t>
              </w:r>
            </w:hyperlink>
          </w:p>
        </w:tc>
        <w:tc>
          <w:tcPr>
            <w:tcW w:w="9980" w:type="dxa"/>
            <w:vAlign w:val="bottom"/>
            <w:gridSpan w:val="15"/>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Experts</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23">
              <w:r>
                <w:rPr>
                  <w:rFonts w:ascii="Times New Roman" w:cs="Times New Roman" w:eastAsia="Times New Roman" w:hAnsi="Times New Roman"/>
                  <w:sz w:val="18"/>
                  <w:szCs w:val="18"/>
                  <w:color w:val="0000EE"/>
                  <w:w w:val="95"/>
                </w:rPr>
                <w:t>Legal Matters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About this Prospectus</w:t>
              </w:r>
            </w:hyperlink>
          </w:p>
        </w:tc>
        <w:tc>
          <w:tcPr>
            <w:tcW w:w="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Forward-Looking Information</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The Company</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Use of Proceeds</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Ratios of Earnings to Combined Fixed Charges and Preferred Share Dividends</w:t>
              </w:r>
            </w:hyperlink>
          </w:p>
        </w:tc>
        <w:tc>
          <w:tcPr>
            <w:tcW w:w="5400" w:type="dxa"/>
            <w:vAlign w:val="bottom"/>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Description of Debt Securities</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Description of Shares of Beneficial Interest</w:t>
              </w:r>
            </w:hyperlink>
          </w:p>
        </w:tc>
        <w:tc>
          <w:tcPr>
            <w:tcW w:w="7880" w:type="dxa"/>
            <w:vAlign w:val="bottom"/>
            <w:gridSpan w:val="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Federal Income Tax Consequences</w:t>
              </w:r>
            </w:hyperlink>
          </w:p>
        </w:tc>
        <w:tc>
          <w:tcPr>
            <w:tcW w:w="8480" w:type="dxa"/>
            <w:vAlign w:val="bottom"/>
            <w:gridSpan w:val="7"/>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Plan of Distribution</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Legal Matters</w:t>
              </w:r>
            </w:hyperlink>
          </w:p>
        </w:tc>
        <w:tc>
          <w:tcPr>
            <w:tcW w:w="9540" w:type="dxa"/>
            <w:vAlign w:val="bottom"/>
            <w:gridSpan w:val="12"/>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Experts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62"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or that we may be unable to renew leases or re-let space at favorable rents as leases expire;</w:t>
      </w:r>
    </w:p>
    <w:p>
      <w:pPr>
        <w:spacing w:after="0" w:line="90" w:lineRule="exact"/>
        <w:rPr>
          <w:rFonts w:ascii="Times New Roman" w:cs="Times New Roman" w:eastAsia="Times New Roman" w:hAnsi="Times New Roman"/>
          <w:sz w:val="18"/>
          <w:szCs w:val="18"/>
          <w:color w:val="auto"/>
        </w:rPr>
      </w:pPr>
    </w:p>
    <w:p>
      <w:pPr>
        <w:ind w:left="780" w:right="500" w:hanging="326"/>
        <w:spacing w:after="0" w:line="334" w:lineRule="auto"/>
        <w:tabs>
          <w:tab w:leader="none" w:pos="7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1" w:lineRule="exact"/>
        <w:rPr>
          <w:rFonts w:ascii="Times New Roman" w:cs="Times New Roman" w:eastAsia="Times New Roman" w:hAnsi="Times New Roman"/>
          <w:sz w:val="16"/>
          <w:szCs w:val="16"/>
          <w:color w:val="auto"/>
        </w:rPr>
      </w:pPr>
    </w:p>
    <w:p>
      <w:pPr>
        <w:ind w:left="780" w:right="12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number of properties we acquire for our own account, and therefore the amount of capital we invest in acquisitions, may be impacted by our real estate partnership;</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90" w:lineRule="exact"/>
        <w:rPr>
          <w:rFonts w:ascii="Times New Roman" w:cs="Times New Roman" w:eastAsia="Times New Roman" w:hAnsi="Times New Roman"/>
          <w:sz w:val="18"/>
          <w:szCs w:val="18"/>
          <w:color w:val="auto"/>
        </w:rPr>
      </w:pPr>
    </w:p>
    <w:p>
      <w:pPr>
        <w:ind w:left="780" w:right="260" w:hanging="326"/>
        <w:spacing w:after="0" w:line="26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1" w:lineRule="exact"/>
        <w:rPr>
          <w:rFonts w:ascii="Times New Roman" w:cs="Times New Roman" w:eastAsia="Times New Roman" w:hAnsi="Times New Roman"/>
          <w:sz w:val="18"/>
          <w:szCs w:val="18"/>
          <w:color w:val="auto"/>
        </w:rPr>
      </w:pPr>
    </w:p>
    <w:p>
      <w:pPr>
        <w:ind w:left="780" w:right="240" w:hanging="326"/>
        <w:spacing w:after="0" w:line="26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3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ind w:right="18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high-quality retail and mixed-use properties. As of June 30, 2006, we owned or had an interest in 104 community and neighborhood shopping centers, and mixed-use properties comprising approximately 17.7 million square feet, located primarily in densely populated and affluent communities throughout the Northeast and Mid-Atlantic United States, as well as California, and one apartment complex in Maryland. A joint venture in which we own a 30% interest owned six neighborhood shopping centers totaling approximately 0.7 million square feet as of June 30, 2006.</w:t>
      </w:r>
    </w:p>
    <w:p>
      <w:pPr>
        <w:spacing w:after="0" w:line="1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3"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million aggregate principal amount of 6.00% notes due 2012 (the “2012 Notes”), and $</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million aggregate principal amount of 6.20% notes due 2017 (the “2017 Notes”). The 2012 Notes</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7"/>
              </w:rPr>
              <w:t>offered hereby will be fully fungible with, rank equally with and form a single issue and series with, the</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$120 million 6.00% notes due 2012 initially issued on July 17, 2006. The 2017 Notes offered hereby</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will be fully fungible with, rank equally with and form a single issue and series with, the $130 million</w:t>
            </w:r>
          </w:p>
        </w:tc>
      </w:tr>
      <w:tr>
        <w:trPr>
          <w:trHeight w:val="228"/>
        </w:trPr>
        <w:tc>
          <w:tcPr>
            <w:tcW w:w="3260" w:type="dxa"/>
            <w:vAlign w:val="bottom"/>
          </w:tcPr>
          <w:p>
            <w:pPr>
              <w:spacing w:after="0"/>
              <w:rPr>
                <w:sz w:val="19"/>
                <w:szCs w:val="19"/>
                <w:color w:val="auto"/>
              </w:rPr>
            </w:pP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6.20% notes due 2017 initially issued on July 17, 2006.</w:t>
            </w:r>
          </w:p>
        </w:tc>
        <w:tc>
          <w:tcPr>
            <w:tcW w:w="2840" w:type="dxa"/>
            <w:vAlign w:val="bottom"/>
          </w:tcPr>
          <w:p>
            <w:pPr>
              <w:spacing w:after="0"/>
              <w:rPr>
                <w:sz w:val="19"/>
                <w:szCs w:val="19"/>
                <w:color w:val="auto"/>
              </w:rPr>
            </w:pPr>
          </w:p>
        </w:tc>
      </w:tr>
      <w:tr>
        <w:trPr>
          <w:trHeight w:val="42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Unless redeemed prior to maturity as described below, the 2012 Notes will mature on July 15, 2012,</w:t>
            </w:r>
          </w:p>
        </w:tc>
      </w:tr>
      <w:tr>
        <w:trPr>
          <w:trHeight w:val="228"/>
        </w:trPr>
        <w:tc>
          <w:tcPr>
            <w:tcW w:w="3260" w:type="dxa"/>
            <w:vAlign w:val="bottom"/>
          </w:tcPr>
          <w:p>
            <w:pPr>
              <w:spacing w:after="0"/>
              <w:rPr>
                <w:sz w:val="19"/>
                <w:szCs w:val="19"/>
                <w:color w:val="auto"/>
              </w:rPr>
            </w:pP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and the 2017 Notes will mature on January 15, 2017.</w:t>
            </w:r>
          </w:p>
        </w:tc>
        <w:tc>
          <w:tcPr>
            <w:tcW w:w="2840" w:type="dxa"/>
            <w:vAlign w:val="bottom"/>
          </w:tcPr>
          <w:p>
            <w:pPr>
              <w:spacing w:after="0"/>
              <w:rPr>
                <w:sz w:val="19"/>
                <w:szCs w:val="19"/>
                <w:color w:val="auto"/>
              </w:rPr>
            </w:pPr>
          </w:p>
        </w:tc>
      </w:tr>
      <w:tr>
        <w:trPr>
          <w:trHeight w:val="42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Interest on the notes will be payable semi-annually in arrears on January 15 and July 15, commencing</w:t>
            </w:r>
          </w:p>
        </w:tc>
      </w:tr>
      <w:tr>
        <w:trPr>
          <w:trHeight w:val="228"/>
        </w:trPr>
        <w:tc>
          <w:tcPr>
            <w:tcW w:w="3260" w:type="dxa"/>
            <w:vAlign w:val="bottom"/>
          </w:tcPr>
          <w:p>
            <w:pPr>
              <w:spacing w:after="0"/>
              <w:rPr>
                <w:sz w:val="19"/>
                <w:szCs w:val="19"/>
                <w:color w:val="auto"/>
              </w:rPr>
            </w:pP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January 15, 2007, and at maturity.</w:t>
            </w:r>
          </w:p>
        </w:tc>
        <w:tc>
          <w:tcPr>
            <w:tcW w:w="2840" w:type="dxa"/>
            <w:vAlign w:val="bottom"/>
          </w:tcPr>
          <w:p>
            <w:pPr>
              <w:spacing w:after="0"/>
              <w:rPr>
                <w:sz w:val="19"/>
                <w:szCs w:val="19"/>
                <w:color w:val="auto"/>
              </w:rPr>
            </w:pPr>
          </w:p>
        </w:tc>
      </w:tr>
      <w:tr>
        <w:trPr>
          <w:trHeight w:val="42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xml:space="preserve">The notes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 other unsecured and unsubordinated</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indebtedness, and the notes will be effectively subordinated to the prior claims of each secured</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mortgage lender to any specific property which secures such lender’s mortgage and to all of the</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unsecured indebtedness issued by our subsidiaries. After giving effect to this offering and to the use of</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proceeds from this offering, we will have outstanding approximately $287 million of secured</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indebtedness collateralized by all or parts of 15 properties, approximately $11 million of unsecured</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indebtedness issued by our subsidiaries and approximately $1,013 million of other unsecured</w:t>
            </w:r>
          </w:p>
        </w:tc>
      </w:tr>
      <w:tr>
        <w:trPr>
          <w:trHeight w:val="228"/>
        </w:trPr>
        <w:tc>
          <w:tcPr>
            <w:tcW w:w="3260" w:type="dxa"/>
            <w:vAlign w:val="bottom"/>
          </w:tcPr>
          <w:p>
            <w:pPr>
              <w:spacing w:after="0"/>
              <w:rPr>
                <w:sz w:val="19"/>
                <w:szCs w:val="19"/>
                <w:color w:val="auto"/>
              </w:rPr>
            </w:pP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indebtedness ranking equally with the notes.</w:t>
            </w:r>
          </w:p>
        </w:tc>
        <w:tc>
          <w:tcPr>
            <w:tcW w:w="2840" w:type="dxa"/>
            <w:vAlign w:val="bottom"/>
          </w:tcPr>
          <w:p>
            <w:pPr>
              <w:spacing w:after="0"/>
              <w:rPr>
                <w:sz w:val="19"/>
                <w:szCs w:val="19"/>
                <w:color w:val="auto"/>
              </w:rPr>
            </w:pPr>
          </w:p>
        </w:tc>
      </w:tr>
      <w:tr>
        <w:trPr>
          <w:trHeight w:val="42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Our net proceeds from this offering are estimated to be $</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million, including accrued interest,</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after deducting the underwriting discount and other estimated expenses of this offering. We expect to</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use these net proceeds to reduce amounts outstanding under our unsecured credit facility, although on</w:t>
            </w:r>
          </w:p>
        </w:tc>
      </w:tr>
      <w:tr>
        <w:trPr>
          <w:trHeight w:val="216"/>
        </w:trPr>
        <w:tc>
          <w:tcPr>
            <w:tcW w:w="3260" w:type="dxa"/>
            <w:vAlign w:val="bottom"/>
          </w:tcPr>
          <w:p>
            <w:pPr>
              <w:spacing w:after="0"/>
              <w:rPr>
                <w:sz w:val="18"/>
                <w:szCs w:val="18"/>
                <w:color w:val="auto"/>
              </w:rPr>
            </w:pPr>
          </w:p>
        </w:tc>
        <w:tc>
          <w:tcPr>
            <w:tcW w:w="8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an interim basis we may invest these funds, and for general corporate purposes. See “Use of Proceeds”</w:t>
            </w:r>
          </w:p>
        </w:tc>
      </w:tr>
      <w:tr>
        <w:trPr>
          <w:trHeight w:val="228"/>
        </w:trPr>
        <w:tc>
          <w:tcPr>
            <w:tcW w:w="3260" w:type="dxa"/>
            <w:vAlign w:val="bottom"/>
          </w:tcPr>
          <w:p>
            <w:pPr>
              <w:spacing w:after="0"/>
              <w:rPr>
                <w:sz w:val="19"/>
                <w:szCs w:val="19"/>
                <w:color w:val="auto"/>
              </w:rPr>
            </w:pP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on page S-7 for more information.</w:t>
            </w:r>
          </w:p>
        </w:tc>
        <w:tc>
          <w:tcPr>
            <w:tcW w:w="2840" w:type="dxa"/>
            <w:vAlign w:val="bottom"/>
          </w:tcPr>
          <w:p>
            <w:pPr>
              <w:spacing w:after="0"/>
              <w:rPr>
                <w:sz w:val="19"/>
                <w:szCs w:val="19"/>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Limitations on Incurrence of Debt</w:t>
            </w:r>
          </w:p>
        </w:tc>
        <w:tc>
          <w:tcPr>
            <w:tcW w:w="5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The notes contain various covenants, including the following:</w:t>
            </w:r>
          </w:p>
        </w:tc>
        <w:tc>
          <w:tcPr>
            <w:tcW w:w="2840" w:type="dxa"/>
            <w:vAlign w:val="bottom"/>
          </w:tcPr>
          <w:p>
            <w:pPr>
              <w:spacing w:after="0"/>
              <w:rPr>
                <w:sz w:val="24"/>
                <w:szCs w:val="24"/>
                <w:color w:val="auto"/>
              </w:rPr>
            </w:pPr>
          </w:p>
        </w:tc>
      </w:tr>
    </w:tbl>
    <w:p>
      <w:pPr>
        <w:spacing w:after="0" w:line="204" w:lineRule="exact"/>
        <w:rPr>
          <w:sz w:val="20"/>
          <w:szCs w:val="20"/>
          <w:color w:val="auto"/>
        </w:rPr>
      </w:pPr>
    </w:p>
    <w:p>
      <w:pPr>
        <w:ind w:left="4120" w:right="40" w:hanging="10"/>
        <w:spacing w:after="0" w:line="256" w:lineRule="auto"/>
        <w:tabs>
          <w:tab w:leader="none" w:pos="43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will not permit any subsidiary to, incur any Debt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(a) Total Assets as of the end of the calendar quarter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340" w:right="20"/>
        <w:spacing w:after="0" w:line="291" w:lineRule="auto"/>
        <w:rPr>
          <w:sz w:val="20"/>
          <w:szCs w:val="20"/>
          <w:color w:val="auto"/>
        </w:rPr>
      </w:pPr>
      <w:r>
        <w:rPr>
          <w:rFonts w:ascii="Times New Roman" w:cs="Times New Roman" w:eastAsia="Times New Roman" w:hAnsi="Times New Roman"/>
          <w:sz w:val="16"/>
          <w:szCs w:val="16"/>
          <w:color w:val="auto"/>
        </w:rPr>
        <w:t>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67" w:lineRule="exact"/>
        <w:rPr>
          <w:sz w:val="20"/>
          <w:szCs w:val="20"/>
          <w:color w:val="auto"/>
        </w:rPr>
      </w:pPr>
    </w:p>
    <w:p>
      <w:pPr>
        <w:ind w:left="4360" w:hanging="250"/>
        <w:spacing w:after="0"/>
        <w:tabs>
          <w:tab w:leader="none" w:pos="4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and will not permit any subsidiary to, incur any Debt secured by any mortgage, lien,</w:t>
      </w:r>
    </w:p>
    <w:p>
      <w:pPr>
        <w:spacing w:after="0" w:line="21" w:lineRule="exact"/>
        <w:rPr>
          <w:rFonts w:ascii="Times New Roman" w:cs="Times New Roman" w:eastAsia="Times New Roman" w:hAnsi="Times New Roman"/>
          <w:sz w:val="18"/>
          <w:szCs w:val="18"/>
          <w:color w:val="auto"/>
        </w:rPr>
      </w:pPr>
    </w:p>
    <w:p>
      <w:pPr>
        <w:ind w:left="4120"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w:t>
      </w:r>
    </w:p>
    <w:p>
      <w:pPr>
        <w:spacing w:after="0" w:line="3" w:lineRule="exact"/>
        <w:rPr>
          <w:rFonts w:ascii="Times New Roman" w:cs="Times New Roman" w:eastAsia="Times New Roman" w:hAnsi="Times New Roman"/>
          <w:sz w:val="18"/>
          <w:szCs w:val="18"/>
          <w:color w:val="auto"/>
        </w:rPr>
      </w:pPr>
    </w:p>
    <w:p>
      <w:pPr>
        <w:ind w:left="4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99" w:lineRule="exact"/>
        <w:rPr>
          <w:rFonts w:ascii="Times New Roman" w:cs="Times New Roman" w:eastAsia="Times New Roman" w:hAnsi="Times New Roman"/>
          <w:sz w:val="18"/>
          <w:szCs w:val="18"/>
          <w:color w:val="auto"/>
        </w:rPr>
      </w:pPr>
    </w:p>
    <w:p>
      <w:pPr>
        <w:ind w:left="4120" w:hanging="10"/>
        <w:spacing w:after="0" w:line="284" w:lineRule="auto"/>
        <w:tabs>
          <w:tab w:leader="none" w:pos="436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w:t>
      </w:r>
    </w:p>
    <w:p>
      <w:pPr>
        <w:ind w:left="4120" w:right="2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195" w:lineRule="exact"/>
        <w:rPr>
          <w:sz w:val="20"/>
          <w:szCs w:val="20"/>
          <w:color w:val="auto"/>
        </w:rPr>
      </w:pPr>
    </w:p>
    <w:p>
      <w:pPr>
        <w:ind w:left="4120" w:right="80"/>
        <w:spacing w:after="0" w:line="262" w:lineRule="auto"/>
        <w:rPr>
          <w:sz w:val="20"/>
          <w:szCs w:val="20"/>
          <w:color w:val="auto"/>
        </w:rPr>
      </w:pPr>
      <w:r>
        <w:rPr>
          <w:rFonts w:ascii="Times New Roman" w:cs="Times New Roman" w:eastAsia="Times New Roman" w:hAnsi="Times New Roman"/>
          <w:sz w:val="18"/>
          <w:szCs w:val="18"/>
          <w:color w:val="auto"/>
        </w:rPr>
        <w:t>(4) we, together with our subsidiaries, will maintain an Unencumbered Total Asset Value in an amount not less than 150% of the aggregate outstanding principal amount of all of our and our subsidiaries’ unsecured Debt.</w:t>
      </w:r>
    </w:p>
    <w:p>
      <w:pPr>
        <w:sectPr>
          <w:pgSz w:w="11900" w:h="16838" w:orient="portrait"/>
          <w:cols w:equalWidth="0" w:num="1">
            <w:col w:w="11400"/>
          </w:cols>
          <w:pgMar w:left="240" w:top="455" w:right="2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15 basis points, in the case of the 2012 Notes, and 20 basis points in the case of the 2017 Notes, plus, in each case, accrued interest thereon to the redemption date. A detailed description is in “Description of Notes — Optional Redemption.”</w:t>
      </w:r>
    </w:p>
    <w:p>
      <w:pPr>
        <w:spacing w:after="0" w:line="141" w:lineRule="exact"/>
        <w:rPr>
          <w:sz w:val="20"/>
          <w:szCs w:val="20"/>
          <w:color w:val="auto"/>
        </w:rPr>
      </w:pPr>
    </w:p>
    <w:p>
      <w:pPr>
        <w:sectPr>
          <w:pgSz w:w="11900" w:h="16838" w:orient="portrait"/>
          <w:cols w:equalWidth="0" w:num="2">
            <w:col w:w="3400" w:space="720"/>
            <w:col w:w="7280"/>
          </w:cols>
          <w:pgMar w:left="240" w:top="455" w:right="2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S-4</w:t>
      </w:r>
    </w:p>
    <w:p>
      <w:pPr>
        <w:sectPr>
          <w:pgSz w:w="11900" w:h="16838" w:orient="portrait"/>
          <w:cols w:equalWidth="0" w:num="1">
            <w:col w:w="11400"/>
          </w:cols>
          <w:pgMar w:left="240" w:top="455" w:right="25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Annual Report on Form 10-K filed with the SEC on March 3, 2006 and amended on March 10, 2006,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intercompany cash flows to satisfy our obligations under the notes.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are structurally subordinated to the claims of our subsidiaries’ creditors and the subsidiaries’ preferred equity holders.</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August 31, 2006, after giving effect to this offering and to the initial issuance of the $120 million 6.00% notes due 2012 and $130 million 6.20% notes due 2017 on July 17, 2006, and the application of the net proceeds of each offering, our subsidiaries had approximately $79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are unsecured and are effectively subordinated to our secured indebtedness.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August 31, 2006, after giving effect to this offering and the application of the net proceeds, we had approximately $287 million of secured debt outstanding, all of which was effectively senior to the notes to the extent of the value of the securing assets.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public trading market for the notes may not develop.</w:t>
      </w:r>
    </w:p>
    <w:p>
      <w:pPr>
        <w:spacing w:after="0" w:line="9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liquidity of any market for the notes will depend upon various factors, including:</w:t>
      </w:r>
    </w:p>
    <w:p>
      <w:pPr>
        <w:spacing w:after="0" w:line="90"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notes;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notes;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for debt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prospects;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companies in our industry generally.</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left="460"/>
        <w:spacing w:after="0"/>
        <w:tabs>
          <w:tab w:leader="none" w:pos="8620" w:val="left"/>
        </w:tabs>
        <w:rPr>
          <w:sz w:val="20"/>
          <w:szCs w:val="20"/>
          <w:color w:val="auto"/>
        </w:rPr>
      </w:pPr>
      <w:r>
        <w:rPr>
          <w:rFonts w:ascii="Times New Roman" w:cs="Times New Roman" w:eastAsia="Times New Roman" w:hAnsi="Times New Roman"/>
          <w:sz w:val="18"/>
          <w:szCs w:val="18"/>
          <w:color w:val="auto"/>
        </w:rPr>
        <w:t>The net proceeds to us from the sale of the notes offered by this prospectus supplement are estimated to be $</w:t>
      </w:r>
      <w:r>
        <w:rPr>
          <w:sz w:val="20"/>
          <w:szCs w:val="20"/>
          <w:color w:val="auto"/>
        </w:rPr>
        <w:tab/>
      </w:r>
      <w:r>
        <w:rPr>
          <w:rFonts w:ascii="Times New Roman" w:cs="Times New Roman" w:eastAsia="Times New Roman" w:hAnsi="Times New Roman"/>
          <w:sz w:val="16"/>
          <w:szCs w:val="16"/>
          <w:color w:val="auto"/>
        </w:rPr>
        <w:t>million, including accrued interest,</w:t>
      </w:r>
    </w:p>
    <w:p>
      <w:pPr>
        <w:spacing w:after="0" w:line="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after deducting the underwriting discount and other estimated expenses of this offering payable by us. We expect that the sales of the 2012 Notes and the 2017 Notes will occur concurrently. However, the sales of the 2012 Notes and the 2017 Notes are not conditioned upon each other, and we may consummate the sale of one and not the other, or consummate the sales at different times. We expect to use these net proceeds to reduce borrowings under our unsecured credit facility, although on an interim basis we may invest these funds, and for general corporate purposes. As of August 31, 2006, we had approximately $156 million of debt outstanding on our revolving credit facility bearing interest at a weighted average annual rate, before amortization of debt fees, of 5.745% for the month of August 2006. Our revolving credit facility matures in July, 2010, subject to a one-year extension at our option. The borrowings under this facility were used for general corporate purposes, including working capital, property acquisitions and redevelopments. Affiliates of Wachovia Capital Markets, LLC and affiliates of certain other underwriters are lenders under our revolving credit facility and will receive a pro rata portion of any proceeds used to reduce amounts outstanding under the credit facility.</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historical ratio of earnings to fixed charges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Six Months</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728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Ended June 30,</w:t>
            </w:r>
          </w:p>
        </w:tc>
        <w:tc>
          <w:tcPr>
            <w:tcW w:w="480" w:type="dxa"/>
            <w:vAlign w:val="bottom"/>
          </w:tcPr>
          <w:p>
            <w:pPr>
              <w:spacing w:after="0"/>
              <w:rPr>
                <w:sz w:val="15"/>
                <w:szCs w:val="15"/>
                <w:color w:val="auto"/>
              </w:rPr>
            </w:pPr>
          </w:p>
        </w:tc>
        <w:tc>
          <w:tcPr>
            <w:tcW w:w="2440" w:type="dxa"/>
            <w:vAlign w:val="bottom"/>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2002</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2001</w:t>
            </w:r>
          </w:p>
        </w:tc>
        <w:tc>
          <w:tcPr>
            <w:tcW w:w="20" w:type="dxa"/>
            <w:vAlign w:val="bottom"/>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1.9x</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1.8x</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1.8x</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1.7x</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1.6x</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1.2x</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1.4x</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73"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$120 million of our 6.00% notes due July 15, 2012 and $130 million of our 6.20% notes due January 15, 2017 were initially issued on July 17, 2006. In this offering, we are reopening each respective series of notes pursuant to our senior indenture, which is more fully described in the accompanying prospectus, and are</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offering an additional $ million of 2012 Notes and $ million of 2017 Notes. The $ million of 2012 Notes offered hereby will be fully fungible with, will rank equally with and will form a single issue and series with, the $120 million of 6.00% notes due 2012 issued on July 17, 2006. The $ million of 2017 Notes offered hereby will be fully fungible with, will rank equally with and will form a single issue and series with, the $130 million of 6.20%</w:t>
      </w:r>
    </w:p>
    <w:p>
      <w:pPr>
        <w:spacing w:after="0" w:line="1"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color w:val="auto"/>
        </w:rPr>
        <w:t>notes due 2017 issued on July 17, 2006. Accordingly, upon completion of this offering, $</w:t>
      </w:r>
      <w:r>
        <w:rPr>
          <w:sz w:val="20"/>
          <w:szCs w:val="20"/>
          <w:color w:val="auto"/>
        </w:rPr>
        <w:tab/>
      </w:r>
      <w:r>
        <w:rPr>
          <w:rFonts w:ascii="Times New Roman" w:cs="Times New Roman" w:eastAsia="Times New Roman" w:hAnsi="Times New Roman"/>
          <w:sz w:val="16"/>
          <w:szCs w:val="16"/>
          <w:color w:val="auto"/>
        </w:rPr>
        <w:t>million in aggregate principal amount of our 2012 Notes and</w:t>
      </w:r>
    </w:p>
    <w:p>
      <w:pPr>
        <w:spacing w:after="0" w:line="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aggregate principal amount of our 2017 Notes will be outstanding.</w:t>
      </w:r>
    </w:p>
    <w:p>
      <w:pPr>
        <w:spacing w:after="0" w:line="15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will pay interest on the notes semi-annually in arrears on January 15 and July 15 of each year, commencing January 15, 2007, to the registered holders of the notes on the preceding December 31 and June 30.</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defeasance and covenant defeasance provisions of the senior indenture apply to the notes. The notes will not be entitled to the benefit of any sinking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159"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The senior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Upon completion of this</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offering, $ million aggregate principal amount of our 6.00% notes due July 15, 2012 and $ million aggregate principal amount of our 6.20% notes due January 15, 2017 will be outstanding. At any time and without the consent of the then existing holders, we may issue additional debt securities, as we are doing in this offering, having the same terms as the 2012 Notes or the 2017 Notes, as applicable, other than the date of original issuance, the issue price, the date on which interest begins to accrue and, in some circumstances, the first interest payment date, such that these additional debt securities will form a single series with the 2012 Notes or the 2017 Notes offered hereby (and on July 17, 2006), as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90"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The notes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$287 million of secured indebtedness collateralized by all or parts of 15 properties, approximately $11 million of unsecured indebtedness issued by our subsidiaries and approximately $1,013 million of other unsecured indebtedness ranking equally with the notes.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redemption date) discounted to the redemption date on a semi-annual basis (assuming a 360-day year consisting of twelve 30-day months) at the Adjusted Treasury Rate (as defined below) plus 15 basis points, in the case of the 2012 Notes, and 20 basis points in the case of the 2017 Notes plus, in each case, accrued interest thereon to the redemption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w:t>
      </w:r>
    </w:p>
    <w:p>
      <w:pPr>
        <w:spacing w:after="0" w:line="88" w:lineRule="exact"/>
        <w:rPr>
          <w:sz w:val="20"/>
          <w:szCs w:val="20"/>
          <w:color w:val="auto"/>
        </w:rPr>
      </w:pPr>
    </w:p>
    <w:p>
      <w:pPr>
        <w:ind w:right="3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8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the Reference Treasury Dealer appointed by us.</w:t>
      </w:r>
    </w:p>
    <w:p>
      <w:pPr>
        <w:spacing w:after="0" w:line="17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xml:space="preserve">” means (1) Citigroup Global Markets Inc. and other primary U.S. Government securities dealers in New York City selected by Wachovia Capital Markets, LLC, and their respective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Citigroup Global Markets Inc. ceases to be a primary U.S. Government securities dealer (a “Primary Treasury Dealer”), we will substitute therefor another Primary Treasury Dealer; and (2) any other Primary Treasury Dealer selected by us.</w:t>
      </w:r>
    </w:p>
    <w:p>
      <w:pPr>
        <w:spacing w:after="0" w:line="133" w:lineRule="exact"/>
        <w:rPr>
          <w:sz w:val="20"/>
          <w:szCs w:val="20"/>
          <w:color w:val="auto"/>
        </w:rPr>
      </w:pPr>
    </w:p>
    <w:p>
      <w:pPr>
        <w:ind w:right="4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2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0"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Limitations on Incurrence of Debt</w:t>
      </w:r>
      <w:r>
        <w:rPr>
          <w:rFonts w:ascii="Times New Roman" w:cs="Times New Roman" w:eastAsia="Times New Roman" w:hAnsi="Times New Roman"/>
          <w:sz w:val="18"/>
          <w:szCs w:val="18"/>
          <w:color w:val="auto"/>
        </w:rPr>
        <w:t>. The notes will provide that we will not, and will not permit any subsidiary to, incur any Debt if, immediately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3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44" w:lineRule="exact"/>
        <w:rPr>
          <w:sz w:val="20"/>
          <w:szCs w:val="20"/>
          <w:color w:val="auto"/>
        </w:rPr>
      </w:pPr>
    </w:p>
    <w:p>
      <w:pPr>
        <w:ind w:right="6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Maintenance of Unencumbered Total Asset Value</w:t>
      </w:r>
      <w:r>
        <w:rPr>
          <w:rFonts w:ascii="Times New Roman" w:cs="Times New Roman" w:eastAsia="Times New Roman" w:hAnsi="Times New Roman"/>
          <w:sz w:val="16"/>
          <w:szCs w:val="16"/>
          <w:color w:val="auto"/>
        </w:rPr>
        <w:t>. The notes will provide that we, together with our subsidiaries, will at all times maintain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Unencumbered Total Asset Value in an amount not less than 150% of the aggregate outstanding principal amount of all our and our subsidiaries’ unsecured Debt.</w:t>
      </w:r>
    </w:p>
    <w:p>
      <w:pPr>
        <w:spacing w:after="0" w:line="70"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notes will provide that we will, and will cause each of our subsidiaries to, maintain insurance with financially sound and reputable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w:t>
      </w:r>
    </w:p>
    <w:p>
      <w:pPr>
        <w:spacing w:after="0" w:line="8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6"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our and our subsidiaries’ Funds from Operations plus amounts which have been deducted for interest on our and our subsidiaries’ Debt.</w:t>
      </w:r>
    </w:p>
    <w:p>
      <w:pPr>
        <w:spacing w:after="0" w:line="11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45"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33" w:lineRule="exact"/>
        <w:rPr>
          <w:sz w:val="20"/>
          <w:szCs w:val="20"/>
          <w:color w:val="auto"/>
        </w:rPr>
      </w:pPr>
    </w:p>
    <w:p>
      <w:pPr>
        <w:ind w:right="28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116" w:lineRule="exact"/>
        <w:rPr>
          <w:sz w:val="20"/>
          <w:szCs w:val="20"/>
          <w:color w:val="auto"/>
        </w:rPr>
      </w:pPr>
    </w:p>
    <w:p>
      <w:pPr>
        <w:ind w:right="700"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16"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“Unencumbered Total Asset Value” </w:t>
      </w:r>
      <w:r>
        <w:rPr>
          <w:rFonts w:ascii="Times New Roman" w:cs="Times New Roman" w:eastAsia="Times New Roman" w:hAnsi="Times New Roman"/>
          <w:sz w:val="18"/>
          <w:szCs w:val="18"/>
          <w:color w:val="auto"/>
        </w:rPr>
        <w:t>as of any date means the sum of (a) those Undepreciated Real Estate Assets not encumbered by any mortgage,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“Description of Debt Securities — Certain Covenants” in the accompanying prospectus for a description of additional covenants applicable to us.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Form</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have established a depositary arrangement with The Depository Trust Company (the “Depositary”) with respect to the notes, the terms of which are summarized below. Upon issuance, each of the 2012 Notes and the 2017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a Global Security representing either the 2012 Notes or the 2017 Notes will not be entitled to receive physical delivery of Certificated notes and will not be considered the Holders thereof for any purpose under the senior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2012 Notes or the 2017 Notes.</w:t>
      </w:r>
    </w:p>
    <w:p>
      <w:pPr>
        <w:spacing w:after="0" w:line="13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Each Global Security representing the 2012 Notes and the 2017 Notes, respectively, will be exchangeable for Certificated notes of like tenor and terms and of differing authorized denominations aggregating a like principal amount, only if (1) the Depositary notifies us that it is unwilling or unable to continue as Depositary for such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such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such Global Security advise the Depositary to cease acting as depositary. Upon any such exchange, the Certificated notes shall be registered in the names of the Beneficial Owners of such Global Security representing the notes, which names shall be provided by the Depositary’s relevant Participants (as identified by the Depositary) to the Securities Registrar.</w:t>
      </w:r>
    </w:p>
    <w:p>
      <w:pPr>
        <w:spacing w:after="0" w:line="14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each of the 2012 Notes and the 2017 Notes, in the aggregate principal amount of each series of notes, and will be deposited with the Depositary.</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Depositary is a limited-purpose trust company organized under the New York Banking Law, a “banking organization” within the meaning of the New York Banking Law, a member of the Federal Reserve System, a</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“clearing corporation” within the meaning of the New York Uniform Commercial Code, and a “clearing agency” registered pursuant to the provisions of</w:t>
      </w:r>
    </w:p>
    <w:p>
      <w:pPr>
        <w:spacing w:after="0" w:line="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4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To facilitate subsequent transfers, each Global Security representing each of the 2012 Notes and the 2017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32"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Neither the Depositary nor Cede &amp; Co. will consent or vote with respect to a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97"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Principal, premium, if any, and/or interest payments on a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3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If applicable, redemption notices shall be sent to Cede &amp; Co. If less than all of the 2012 Notes or the 2017 Notes are being redeemed, the Depositary’s practice is to determine by lot the amount of the interest of each Direct Participant to be redeemed.</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CERTAIN FEDERAL INCOME TAX CONSIDERATIONS</w:t>
      </w:r>
    </w:p>
    <w:p>
      <w:pPr>
        <w:spacing w:after="0" w:line="173" w:lineRule="exact"/>
        <w:rPr>
          <w:sz w:val="20"/>
          <w:szCs w:val="20"/>
          <w:color w:val="auto"/>
        </w:rPr>
      </w:pPr>
    </w:p>
    <w:p>
      <w:pPr>
        <w:ind w:firstLine="456"/>
        <w:spacing w:after="0" w:line="283" w:lineRule="auto"/>
        <w:rPr>
          <w:sz w:val="20"/>
          <w:szCs w:val="20"/>
          <w:color w:val="auto"/>
        </w:rPr>
      </w:pPr>
      <w:r>
        <w:rPr>
          <w:rFonts w:ascii="Times New Roman" w:cs="Times New Roman" w:eastAsia="Times New Roman" w:hAnsi="Times New Roman"/>
          <w:sz w:val="16"/>
          <w:szCs w:val="16"/>
          <w:color w:val="auto"/>
        </w:rPr>
        <w:t>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former U.S. citizens or long-term residents, tax-exempt organizations, persons that are, or that hold their notes through, partnerships or other pass-through entities, U.S. Holders (as defined below) whose functional currency is not the U.S. dollar,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w:t>
      </w:r>
    </w:p>
    <w:p>
      <w:pPr>
        <w:spacing w:after="0" w:line="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b w:val="1"/>
          <w:bCs w:val="1"/>
          <w:color w:val="auto"/>
        </w:rPr>
        <w:t>Holders are encouraged to consult their own tax advisors as to the particular U.S. federal income tax consequences to them of acquiring, owning and disposing of the notes, as well as the effects of state, local and non-U.S. tax laws.</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4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should consult their tax advisors as to the particular U.S. federal income tax consequences applicable to them.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88"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A 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generally will be required to include interest earned on the notes as ordinary income when received or accrued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U.S. Holder’s regular method of tax accounting. In general, if the terms of a debt instrument entitle a holder to receive payments other than certain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1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Amortizable Bond Premium. </w:t>
      </w:r>
      <w:r>
        <w:rPr>
          <w:rFonts w:ascii="Times New Roman" w:cs="Times New Roman" w:eastAsia="Times New Roman" w:hAnsi="Times New Roman"/>
          <w:sz w:val="18"/>
          <w:szCs w:val="18"/>
          <w:color w:val="auto"/>
        </w:rPr>
        <w:t>If a U.S. Holder purchases a note at a price that exceeds the principal amount of the note, the amount of the difference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referred to as “bond premium” for U.S federal income tax purposes. The U.S. Holder may elect to amortize the bond premium against interest payable on the note. In addition, if the amount of bond premium allocable to an accrual period exceeds the interest payable for that accrual period, then (i) such excess is first treated as a deduction for that accrual period up to the amount of interest on the note that was previously included in the note holder’s income (but not offset by premium) and (ii) the balance is then carried forward to the next accrual period as part of the bond premium for that next accrual period. If a U.S. Holder elects to amortize bond premium, generally the amount of bond premium allocable to each period will be based on a constant yield to maturity over the period the note is held. The amortized bond premium would reduce the U.S. Holder’s tax basis in the note. Any such election applies not only to the note but to all fully taxable bonds held by the U.S. Holder at the beginning of the first taxable year to which the election applies, and to all fully taxable bonds acquired thereafter, and is irrevocable without the consent of the IRS. If the election is not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made, a U.S. Holder must include the full amount of each interest payment in income as it accrues or is paid and premium will not be taken into account until principal payments are received on the note or the note is sold or otherwise disposed of. Any loss resulting from taking into account such unamortized premium would generally be treated as a capital loss.</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Because of our rights to optionally redeem the notes at any time (see “Description of Notes — Optional Redemption”), special rules apply that may result in the deferral of amortization of some of the bond premium, based on the assumption that we will exercise our redemption rights so as to maximize the yield to holders of notes. If such optional redemption rights expire unexercised, bond premium will generally be recalculated. U.S. Holders electing to amortize bond premium are encouraged to consult with their own tax advisors concerning the manner in which the bond premium will be amortized.</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notes will be issued with pre-issuance accrued interest. A U.S. Holder may treat the notes, for U.S. federal income tax purposes, as having been issued for an amount that excludes the pre-issuance accrued interest. In that event, a portion of the first interest payment received by the U.S. Holder equal to the excluded pre-issuance accrued interest will be treated as a return of such pre-issuance accrued interest and will not be taxable to you or otherwise treated as an amount payable on the notes.</w:t>
      </w:r>
    </w:p>
    <w:p>
      <w:pPr>
        <w:spacing w:after="0" w:line="132"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the Notes. </w:t>
      </w:r>
      <w:r>
        <w:rPr>
          <w:rFonts w:ascii="Times New Roman" w:cs="Times New Roman" w:eastAsia="Times New Roman" w:hAnsi="Times New Roman"/>
          <w:sz w:val="18"/>
          <w:szCs w:val="18"/>
          <w:color w:val="auto"/>
        </w:rPr>
        <w:t>Upon the sale, exchange, redemption or other taxable disposition of a note, a U.S. Holder will generally recognize capital gain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rules governing the United States federal income taxation of Non-U.S. Holders are complex and no attempt will be made herein to provide more than a summary of such rules. Prospective Non-U.S. Holders are encouraged to consult with their own tax advisors to determine the impact of federal, state, local and non-U.S. tax laws with regard to the notes.</w:t>
      </w:r>
    </w:p>
    <w:p>
      <w:pPr>
        <w:spacing w:after="0" w:line="128" w:lineRule="exact"/>
        <w:rPr>
          <w:sz w:val="20"/>
          <w:szCs w:val="20"/>
          <w:color w:val="auto"/>
        </w:rPr>
      </w:pPr>
    </w:p>
    <w:p>
      <w:pPr>
        <w:ind w:right="2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on the Notes. </w:t>
      </w:r>
      <w:r>
        <w:rPr>
          <w:rFonts w:ascii="Times New Roman" w:cs="Times New Roman" w:eastAsia="Times New Roman" w:hAnsi="Times New Roman"/>
          <w:sz w:val="18"/>
          <w:szCs w:val="18"/>
          <w:color w:val="auto"/>
        </w:rPr>
        <w:t>Subject to the discussion on backup withholding below, a Non-U.S. Holder generally will not be subject to U.S. federal income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tax on payments of interest on a note, provided that:</w:t>
      </w:r>
    </w:p>
    <w:p>
      <w:pPr>
        <w:spacing w:after="0" w:line="34" w:lineRule="exact"/>
        <w:rPr>
          <w:sz w:val="20"/>
          <w:szCs w:val="20"/>
          <w:color w:val="auto"/>
        </w:rPr>
      </w:pPr>
    </w:p>
    <w:p>
      <w:pPr>
        <w:ind w:left="780" w:hanging="326"/>
        <w:spacing w:after="0" w:line="334" w:lineRule="auto"/>
        <w:tabs>
          <w:tab w:leader="none" w:pos="7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interest payments are not effectively connected with the conduct by the Non-U.S. Holder of a trade or business within the United States; and</w:t>
      </w:r>
    </w:p>
    <w:p>
      <w:pPr>
        <w:spacing w:after="0" w:line="90"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is effectively connected with the conduct of a U.S. trade or business,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applicable income tax treaty provides for a lower rate of, or exemption from, withholding tax.</w:t>
      </w:r>
    </w:p>
    <w:p>
      <w:pPr>
        <w:spacing w:after="0" w:line="17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reduction under an applicable tax treaty), which is generally imposed on a foreign corporation on the actual or deemed repatriation from the United States of earnings and profits attributable to a United States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 To claim the benefit of an income tax treaty, the Non-U.S. Holder must timely provide the appropriate, properly executed IRS forms.</w:t>
      </w:r>
    </w:p>
    <w:p>
      <w:pPr>
        <w:spacing w:after="0" w:line="135"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of the Notes. </w:t>
      </w:r>
      <w:r>
        <w:rPr>
          <w:rFonts w:ascii="Times New Roman" w:cs="Times New Roman" w:eastAsia="Times New Roman" w:hAnsi="Times New Roman"/>
          <w:sz w:val="18"/>
          <w:szCs w:val="18"/>
          <w:color w:val="auto"/>
        </w:rPr>
        <w:t>Subject to the discussion on backup withholding below, a Non-U.S. Holder generally will not be subject to U.S. federal income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withholding tax on gain from the sale, exchange, redemption or other taxable disposition of a note unless:</w:t>
      </w:r>
    </w:p>
    <w:p>
      <w:pPr>
        <w:spacing w:after="0" w:line="34" w:lineRule="exact"/>
        <w:rPr>
          <w:sz w:val="20"/>
          <w:szCs w:val="20"/>
          <w:color w:val="auto"/>
        </w:rPr>
      </w:pPr>
    </w:p>
    <w:p>
      <w:pPr>
        <w:ind w:left="780" w:right="44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38" w:lineRule="exact"/>
        <w:rPr>
          <w:rFonts w:ascii="Times New Roman" w:cs="Times New Roman" w:eastAsia="Times New Roman" w:hAnsi="Times New Roman"/>
          <w:sz w:val="18"/>
          <w:szCs w:val="18"/>
          <w:color w:val="auto"/>
        </w:rPr>
      </w:pPr>
    </w:p>
    <w:p>
      <w:pPr>
        <w:ind w:left="780" w:right="34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of disposition and meets certain other requirements.</w:t>
      </w:r>
    </w:p>
    <w:p>
      <w:pPr>
        <w:spacing w:after="0" w:line="12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 the amount by which capital gains from U.S. sources (including gains from the sale or other disposition of the notes) exceed capital losses allocable to U.S. sources. To claim the benefit of an income tax treaty, the Non-U.S. Holder must timely provide the appropriate, properly executed IRS forms.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92" w:lineRule="exact"/>
        <w:rPr>
          <w:sz w:val="20"/>
          <w:szCs w:val="20"/>
          <w:color w:val="auto"/>
        </w:rPr>
      </w:pPr>
    </w:p>
    <w:p>
      <w:pPr>
        <w:ind w:right="300" w:firstLine="456"/>
        <w:spacing w:after="0" w:line="254" w:lineRule="auto"/>
        <w:rPr>
          <w:sz w:val="20"/>
          <w:szCs w:val="20"/>
          <w:color w:val="auto"/>
        </w:rPr>
      </w:pPr>
      <w:r>
        <w:rPr>
          <w:rFonts w:ascii="Times New Roman" w:cs="Times New Roman" w:eastAsia="Times New Roman" w:hAnsi="Times New Roman"/>
          <w:sz w:val="18"/>
          <w:szCs w:val="18"/>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may apply.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4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3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Wachovia Capital Markets, LLC is acting as sole book-running manager of the offering and as representative of the underwriters named below.</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amounts of 2012 Notes and 2017 Notes set forth opposite the underwriter’s name.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Principal</w:t>
            </w:r>
          </w:p>
        </w:tc>
        <w:tc>
          <w:tcPr>
            <w:tcW w:w="4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59"/>
        </w:trPr>
        <w:tc>
          <w:tcPr>
            <w:tcW w:w="91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2012 Notes</w:t>
            </w:r>
          </w:p>
        </w:tc>
        <w:tc>
          <w:tcPr>
            <w:tcW w:w="440" w:type="dxa"/>
            <w:vAlign w:val="bottom"/>
          </w:tcPr>
          <w:p>
            <w:pPr>
              <w:spacing w:after="0"/>
              <w:rPr>
                <w:sz w:val="13"/>
                <w:szCs w:val="13"/>
                <w:color w:val="auto"/>
              </w:rPr>
            </w:pPr>
          </w:p>
        </w:tc>
        <w:tc>
          <w:tcPr>
            <w:tcW w:w="7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2017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Bear, Stearns &amp; Co. Inc.</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Incorporated</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Corporation</w:t>
            </w:r>
          </w:p>
        </w:tc>
        <w:tc>
          <w:tcPr>
            <w:tcW w:w="4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must purchase all of the 2012 Notes or the 2017 Notes, respectively, if they purchase any of the 2012 Notes or the 2017 Notes. However, the sales of the 2012 Notes and the 2017 Notes are not conditioned upon each other, and we may consummate the sale of one and not the other, or consummate the sales at different times.</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some of the notes directly to the public at the applicable public offering price appearing on the cover page of this prospectus supplement and some of the notes to certain dealers at the applicable public offering price less a concession not to exceed % of the principal amount of the 2012 Notes and % of the principal amount of the 2017 Notes. The underwriters may allow, and dealers may reallow, a concession not to exceed % of the principal amount of the 2012 Notes and % of the principal amount of the 2017 Notes on sales to other dealers. After the initial offering, the applicable public offering price and concession to dealers may be changed.</w:t>
      </w:r>
    </w:p>
    <w:p>
      <w:pPr>
        <w:spacing w:after="0" w:line="13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 (expressed as percentages of the principal amount of each series of the notes).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3"/>
                <w:szCs w:val="13"/>
                <w:color w:val="auto"/>
              </w:rPr>
            </w:pPr>
          </w:p>
        </w:tc>
        <w:tc>
          <w:tcPr>
            <w:tcW w:w="102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3"/>
                <w:szCs w:val="13"/>
                <w:color w:val="auto"/>
              </w:rPr>
            </w:pPr>
          </w:p>
        </w:tc>
      </w:tr>
      <w:tr>
        <w:trPr>
          <w:trHeight w:val="165"/>
        </w:trPr>
        <w:tc>
          <w:tcPr>
            <w:tcW w:w="9740" w:type="dxa"/>
            <w:vAlign w:val="bottom"/>
          </w:tcPr>
          <w:p>
            <w:pPr>
              <w:spacing w:after="0"/>
              <w:rPr>
                <w:sz w:val="14"/>
                <w:szCs w:val="14"/>
                <w:color w:val="auto"/>
              </w:rPr>
            </w:pPr>
          </w:p>
        </w:tc>
        <w:tc>
          <w:tcPr>
            <w:tcW w:w="5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0" w:type="dxa"/>
            <w:vAlign w:val="bottom"/>
          </w:tcPr>
          <w:p>
            <w:pPr>
              <w:spacing w:after="0"/>
              <w:rPr>
                <w:sz w:val="14"/>
                <w:szCs w:val="14"/>
                <w:color w:val="auto"/>
              </w:rPr>
            </w:pPr>
          </w:p>
        </w:tc>
      </w:tr>
      <w:tr>
        <w:trPr>
          <w:trHeight w:val="210"/>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by Federal Realty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bl>
    <w:p>
      <w:pPr>
        <w:spacing w:after="0" w:line="14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offering, Wachovia Capital Markets, LLC, on behalf of the underwriters, may purchase and sell notes in the open market. These transactions may include over-allotment, syndicate covering transactions and stabilizing transactions. Over-allotment involves syndicate sales of notes of a particular series in excess of the principal amount of notes of such series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39" w:lineRule="exact"/>
        <w:rPr>
          <w:sz w:val="20"/>
          <w:szCs w:val="20"/>
          <w:color w:val="auto"/>
        </w:rPr>
      </w:pPr>
    </w:p>
    <w:p>
      <w:pPr>
        <w:jc w:val="both"/>
        <w:ind w:right="540" w:firstLine="456"/>
        <w:spacing w:after="0" w:line="262" w:lineRule="auto"/>
        <w:rPr>
          <w:sz w:val="20"/>
          <w:szCs w:val="20"/>
          <w:color w:val="auto"/>
        </w:rPr>
      </w:pPr>
      <w:r>
        <w:rPr>
          <w:rFonts w:ascii="Times New Roman" w:cs="Times New Roman" w:eastAsia="Times New Roman" w:hAnsi="Times New Roman"/>
          <w:sz w:val="18"/>
          <w:szCs w:val="18"/>
          <w:color w:val="auto"/>
        </w:rPr>
        <w:t>The underwriters also may impose penalty bids. Penalty bids permit the underwriters to reclaim a selling concession from a syndicate member when Wachovia Capital Markets, LLC, in covering syndicate short positions or making stabilizing purchases, repurchases notes originally sold by that syndicate member.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310" w:lineRule="auto"/>
        <w:rPr>
          <w:sz w:val="20"/>
          <w:szCs w:val="20"/>
          <w:color w:val="auto"/>
        </w:rPr>
      </w:pPr>
      <w:r>
        <w:rPr>
          <w:rFonts w:ascii="Times New Roman" w:cs="Times New Roman" w:eastAsia="Times New Roman" w:hAnsi="Times New Roman"/>
          <w:sz w:val="16"/>
          <w:szCs w:val="16"/>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our total expenses for this offering (excluding the underwriting discount) will be $250,000.</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next to last paragraph of the cover page of this prospectus supplement, which will be the third business day following the date of the pricing of the notes.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engaged in, and may in the future engage in, investment banking and other commercial dealings with us from time to time in the ordinary course of their business. In particular, affiliates of Wachovia Capital Markets, LLC and affiliates of certain other underwriters are lenders under our existing revolving credit facility. In addition, an affiliate of Wachovia Capital Markets, LLC is the lender under a bridge facility we used recently to finance the acquisition of three properties in New England.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one or more of the underwriters.</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LLP, New York, New York, will act as counsel to the underwriters.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Public Reference Section</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those documents or portions of documents that we “file” with the SEC. As a result, the information that we furnish to the SEC is not and will not be a part of this prospectus supplement or the accompanying prospectus.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51" w:lineRule="exact"/>
        <w:rPr>
          <w:sz w:val="20"/>
          <w:szCs w:val="20"/>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as amended, for the fiscal year ended December 31, 2005</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March 31,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fiscal quarter ended June 30,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February 23,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February 28,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March 10,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13, 2006 (only with respect to Item 5.02 thereof)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14,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July 31,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August 7,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 on Form 8-K filed with the SEC on September 15, 2006</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340"/>
          </w:cols>
          <w:pgMar w:left="240" w:top="455" w:right="3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Andrew P. Blocher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(301) 998-8100 or (800) 658-8980</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2460" w:firstLine="2064"/>
        <w:spacing w:after="0" w:line="392" w:lineRule="auto"/>
        <w:rPr>
          <w:sz w:val="20"/>
          <w:szCs w:val="20"/>
          <w:color w:val="auto"/>
        </w:rPr>
      </w:pPr>
      <w:r>
        <w:rPr>
          <w:rFonts w:ascii="Times New Roman" w:cs="Times New Roman" w:eastAsia="Times New Roman" w:hAnsi="Times New Roman"/>
          <w:sz w:val="18"/>
          <w:szCs w:val="18"/>
          <w:b w:val="1"/>
          <w:bCs w:val="1"/>
          <w:color w:val="auto"/>
        </w:rPr>
        <w:t xml:space="preserve">Debt Securities, Common Shares, Preferred Shares, Depositary Shares and Warrants </w:t>
      </w:r>
      <w:r>
        <w:rPr>
          <w:rFonts w:ascii="Times New Roman" w:cs="Times New Roman" w:eastAsia="Times New Roman" w:hAnsi="Times New Roman"/>
          <w:sz w:val="18"/>
          <w:szCs w:val="18"/>
          <w:color w:val="auto"/>
        </w:rPr>
        <w:t>We may from time to time offer, in one or more series, separately or together, the following:</w:t>
      </w:r>
    </w:p>
    <w:p>
      <w:pPr>
        <w:spacing w:after="0" w:line="1" w:lineRule="exact"/>
        <w:rPr>
          <w:sz w:val="20"/>
          <w:szCs w:val="20"/>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which may be either senior debt securities or subordinated debt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of beneficial interest (and rights to acquire common shares that are attached to, or trade with, our common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shares of beneficial interest represented by depositary receipts;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Please read this prospectus and the applicable supplement carefully before you invest.</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102235</wp:posOffset>
            </wp:positionV>
            <wp:extent cx="1534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date of this prospectus is June 20, 2006.</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140" w:type="dxa"/>
            <w:vAlign w:val="bottom"/>
            <w:gridSpan w:val="11"/>
            <w:vMerge w:val="restart"/>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41">
              <w:r>
                <w:rPr>
                  <w:rFonts w:ascii="Times New Roman" w:cs="Times New Roman" w:eastAsia="Times New Roman" w:hAnsi="Times New Roman"/>
                  <w:sz w:val="18"/>
                  <w:szCs w:val="18"/>
                  <w:color w:val="0000EE"/>
                  <w:w w:val="97"/>
                </w:rPr>
                <w:t>Description of Shares of Beneficial Interest</w:t>
              </w:r>
            </w:hyperlink>
          </w:p>
        </w:tc>
        <w:tc>
          <w:tcPr>
            <w:tcW w:w="80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54">
              <w:r>
                <w:rPr>
                  <w:rFonts w:ascii="Times New Roman" w:cs="Times New Roman" w:eastAsia="Times New Roman" w:hAnsi="Times New Roman"/>
                  <w:sz w:val="18"/>
                  <w:szCs w:val="18"/>
                  <w:color w:val="0000EE"/>
                  <w:w w:val="96"/>
                </w:rPr>
                <w:t>Federal Income Tax Consequences</w:t>
              </w:r>
            </w:hyperlink>
          </w:p>
        </w:tc>
        <w:tc>
          <w:tcPr>
            <w:tcW w:w="86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73"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Federal Realty Investment Trust is an equity real estate investment trust specializing in the ownership, management, development and redevelopment of high-quality retail and mixed-use properties. As of March 31,</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 we owned or had a majority interest in 104 community and neighborhood shopping centers and mixed-use properties comprising approximately</w:t>
      </w:r>
    </w:p>
    <w:p>
      <w:pPr>
        <w:spacing w:after="0" w:line="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17.6 million square feet, located primarily in densely populated and affluent communities throughout the Northeast and Mid-Atlantic United States, as well as in California, and one apartment complex in Maryland.</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in our website is not a part of this prospectus.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for one or more of the following:</w:t>
      </w:r>
    </w:p>
    <w:p>
      <w:pPr>
        <w:spacing w:after="0" w:line="39" w:lineRule="exact"/>
        <w:rPr>
          <w:sz w:val="20"/>
          <w:szCs w:val="20"/>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properties;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 of existing properties;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3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RATIO OF EARNINGS TO COMBINED FIXED CHARGES AND PREFERRED STOCK DIVIDENDS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historical ratio of earnings to fixed charges and preferred stock dividends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For the Three Months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For the Years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62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5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90" w:lineRule="exact"/>
        <w:rPr>
          <w:sz w:val="20"/>
          <w:szCs w:val="20"/>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3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10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7"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series of debt securities offered.</w:t>
      </w:r>
    </w:p>
    <w:p>
      <w:pPr>
        <w:spacing w:after="0" w:line="90" w:lineRule="exact"/>
        <w:rPr>
          <w:rFonts w:ascii="Times New Roman" w:cs="Times New Roman" w:eastAsia="Times New Roman" w:hAnsi="Times New Roman"/>
          <w:sz w:val="18"/>
          <w:szCs w:val="18"/>
          <w:color w:val="auto"/>
        </w:rPr>
      </w:pPr>
    </w:p>
    <w:p>
      <w:pPr>
        <w:ind w:left="780" w:right="2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 determining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or dates.</w:t>
      </w:r>
    </w:p>
    <w:p>
      <w:pPr>
        <w:spacing w:after="0" w:line="30" w:lineRule="exact"/>
        <w:rPr>
          <w:rFonts w:ascii="Times New Roman" w:cs="Times New Roman" w:eastAsia="Times New Roman" w:hAnsi="Times New Roman"/>
          <w:sz w:val="18"/>
          <w:szCs w:val="18"/>
          <w:color w:val="auto"/>
        </w:rPr>
      </w:pPr>
    </w:p>
    <w:p>
      <w:pPr>
        <w:ind w:left="780" w:right="68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such rate or rates.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90" w:lineRule="exact"/>
        <w:rPr>
          <w:rFonts w:ascii="Times New Roman" w:cs="Times New Roman" w:eastAsia="Times New Roman" w:hAnsi="Times New Roman"/>
          <w:sz w:val="18"/>
          <w:szCs w:val="18"/>
          <w:color w:val="auto"/>
        </w:rPr>
      </w:pPr>
    </w:p>
    <w:p>
      <w:pPr>
        <w:ind w:left="780" w:right="34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w:t>
      </w:r>
    </w:p>
    <w:p>
      <w:pPr>
        <w:spacing w:after="0" w:line="30" w:lineRule="exact"/>
        <w:rPr>
          <w:rFonts w:ascii="Times New Roman" w:cs="Times New Roman" w:eastAsia="Times New Roman" w:hAnsi="Times New Roman"/>
          <w:sz w:val="18"/>
          <w:szCs w:val="18"/>
          <w:color w:val="auto"/>
        </w:rPr>
      </w:pPr>
    </w:p>
    <w:p>
      <w:pPr>
        <w:ind w:left="780" w:right="16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debt securities may be surrendered for registration of transfer or exchange.</w:t>
      </w:r>
    </w:p>
    <w:p>
      <w:pPr>
        <w:spacing w:after="0" w:line="30" w:lineRule="exact"/>
        <w:rPr>
          <w:rFonts w:ascii="Times New Roman" w:cs="Times New Roman" w:eastAsia="Times New Roman" w:hAnsi="Times New Roman"/>
          <w:sz w:val="18"/>
          <w:szCs w:val="18"/>
          <w:color w:val="auto"/>
        </w:rPr>
      </w:pPr>
    </w:p>
    <w:p>
      <w:pPr>
        <w:ind w:left="780" w:right="100" w:hanging="326"/>
        <w:spacing w:after="0" w:line="26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and the other terms and conditions upon which, the offered debt securities may be redeemed, in whole or in part, at our option, if we have that option.</w:t>
      </w:r>
    </w:p>
    <w:p>
      <w:pPr>
        <w:spacing w:after="0" w:line="43" w:lineRule="exact"/>
        <w:rPr>
          <w:rFonts w:ascii="Times New Roman" w:cs="Times New Roman" w:eastAsia="Times New Roman" w:hAnsi="Times New Roman"/>
          <w:sz w:val="18"/>
          <w:szCs w:val="18"/>
          <w:color w:val="auto"/>
        </w:rPr>
      </w:pPr>
    </w:p>
    <w:p>
      <w:pPr>
        <w:ind w:left="780" w:right="100" w:hanging="326"/>
        <w:spacing w:after="0" w:line="26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4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90" w:lineRule="exact"/>
        <w:rPr>
          <w:rFonts w:ascii="Times New Roman" w:cs="Times New Roman" w:eastAsia="Times New Roman" w:hAnsi="Times New Roman"/>
          <w:sz w:val="18"/>
          <w:szCs w:val="18"/>
          <w:color w:val="auto"/>
        </w:rPr>
      </w:pPr>
    </w:p>
    <w:p>
      <w:pPr>
        <w:ind w:left="780" w:right="160" w:hanging="326"/>
        <w:spacing w:after="0" w:line="26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8" w:lineRule="exact"/>
        <w:rPr>
          <w:rFonts w:ascii="Times New Roman" w:cs="Times New Roman" w:eastAsia="Times New Roman" w:hAnsi="Times New Roman"/>
          <w:sz w:val="18"/>
          <w:szCs w:val="18"/>
          <w:color w:val="auto"/>
        </w:rPr>
      </w:pPr>
    </w:p>
    <w:p>
      <w:pPr>
        <w:ind w:left="780" w:right="12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 reference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index or pursuant to a formula or other method, the manner in which such amounts will be determined.</w:t>
      </w:r>
    </w:p>
    <w:p>
      <w:pPr>
        <w:spacing w:after="0" w:line="30" w:lineRule="exact"/>
        <w:rPr>
          <w:rFonts w:ascii="Times New Roman" w:cs="Times New Roman" w:eastAsia="Times New Roman" w:hAnsi="Times New Roman"/>
          <w:sz w:val="18"/>
          <w:szCs w:val="18"/>
          <w:color w:val="auto"/>
        </w:rPr>
      </w:pPr>
    </w:p>
    <w:p>
      <w:pPr>
        <w:ind w:left="780" w:right="6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 maturity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method by which such portion shall be determined.</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90" w:lineRule="exact"/>
        <w:rPr>
          <w:rFonts w:ascii="Times New Roman" w:cs="Times New Roman" w:eastAsia="Times New Roman" w:hAnsi="Times New Roman"/>
          <w:sz w:val="18"/>
          <w:szCs w:val="18"/>
          <w:color w:val="auto"/>
        </w:rPr>
      </w:pPr>
    </w:p>
    <w:p>
      <w:pPr>
        <w:ind w:left="780" w:right="280" w:hanging="326"/>
        <w:spacing w:after="0" w:line="28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the offered debt securities.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80" w:right="22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 held by non-U.S. persons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assessments or similar charges.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90" w:lineRule="exact"/>
        <w:rPr>
          <w:rFonts w:ascii="Times New Roman" w:cs="Times New Roman" w:eastAsia="Times New Roman" w:hAnsi="Times New Roman"/>
          <w:sz w:val="18"/>
          <w:szCs w:val="18"/>
          <w:color w:val="auto"/>
        </w:rPr>
      </w:pPr>
    </w:p>
    <w:p>
      <w:pPr>
        <w:ind w:left="780" w:right="46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are dated, if other than the original issuance date of the offered debt securities.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series.</w:t>
      </w:r>
    </w:p>
    <w:p>
      <w:pPr>
        <w:spacing w:after="0" w:line="90" w:lineRule="exact"/>
        <w:rPr>
          <w:rFonts w:ascii="Times New Roman" w:cs="Times New Roman" w:eastAsia="Times New Roman" w:hAnsi="Times New Roman"/>
          <w:sz w:val="18"/>
          <w:szCs w:val="18"/>
          <w:color w:val="auto"/>
        </w:rPr>
      </w:pPr>
    </w:p>
    <w:p>
      <w:pPr>
        <w:ind w:left="780" w:right="18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90" w:lineRule="exact"/>
        <w:rPr>
          <w:rFonts w:ascii="Times New Roman" w:cs="Times New Roman" w:eastAsia="Times New Roman" w:hAnsi="Times New Roman"/>
          <w:sz w:val="18"/>
          <w:szCs w:val="18"/>
          <w:color w:val="auto"/>
        </w:rPr>
      </w:pPr>
    </w:p>
    <w:p>
      <w:pPr>
        <w:ind w:left="780" w:hanging="326"/>
        <w:spacing w:after="0" w:line="26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 permanent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8" w:lineRule="exact"/>
        <w:rPr>
          <w:rFonts w:ascii="Times New Roman" w:cs="Times New Roman" w:eastAsia="Times New Roman" w:hAnsi="Times New Roman"/>
          <w:sz w:val="18"/>
          <w:szCs w:val="18"/>
          <w:color w:val="auto"/>
        </w:rPr>
      </w:pPr>
    </w:p>
    <w:p>
      <w:pPr>
        <w:ind w:left="780" w:right="160" w:hanging="326"/>
        <w:spacing w:after="0" w:line="265"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installation of principal or interest may be paid, only upon receipt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certificates or other documents or satisfaction of other conditions in addition to those specified in the applicable indenture, the form of those certificates, documents or conditions.</w:t>
      </w:r>
    </w:p>
    <w:p>
      <w:pPr>
        <w:spacing w:after="0" w:line="43" w:lineRule="exact"/>
        <w:rPr>
          <w:rFonts w:ascii="Times New Roman" w:cs="Times New Roman" w:eastAsia="Times New Roman" w:hAnsi="Times New Roman"/>
          <w:sz w:val="18"/>
          <w:szCs w:val="18"/>
          <w:color w:val="auto"/>
        </w:rPr>
      </w:pPr>
    </w:p>
    <w:p>
      <w:pPr>
        <w:ind w:left="780" w:right="22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series will be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manner in which, or the person to whom, any interest on any bearer securities of the series will be payable.</w:t>
      </w:r>
    </w:p>
    <w:p>
      <w:pPr>
        <w:spacing w:after="0" w:line="30" w:lineRule="exact"/>
        <w:rPr>
          <w:rFonts w:ascii="Times New Roman" w:cs="Times New Roman" w:eastAsia="Times New Roman" w:hAnsi="Times New Roman"/>
          <w:sz w:val="18"/>
          <w:szCs w:val="18"/>
          <w:color w:val="auto"/>
        </w:rPr>
      </w:pPr>
    </w:p>
    <w:p>
      <w:pPr>
        <w:ind w:left="780" w:right="70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series that are different from or in addition to the definitions included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indenture, including, without limitation, the definition of “unrestricted subsidiary” to be used for such series.</w:t>
      </w:r>
    </w:p>
    <w:p>
      <w:pPr>
        <w:spacing w:after="0" w:line="30" w:lineRule="exact"/>
        <w:rPr>
          <w:rFonts w:ascii="Times New Roman" w:cs="Times New Roman" w:eastAsia="Times New Roman" w:hAnsi="Times New Roman"/>
          <w:sz w:val="18"/>
          <w:szCs w:val="18"/>
          <w:color w:val="auto"/>
        </w:rPr>
      </w:pPr>
    </w:p>
    <w:p>
      <w:pPr>
        <w:ind w:left="780" w:right="28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the subordinated indenture, the relative degree to which the offered debt securities shall be senior to or junior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whether currently outstanding or to be offered in the future, and to other debt, in right of payment.</w:t>
      </w:r>
    </w:p>
    <w:p>
      <w:pPr>
        <w:spacing w:after="0" w:line="30" w:lineRule="exact"/>
        <w:rPr>
          <w:rFonts w:ascii="Times New Roman" w:cs="Times New Roman" w:eastAsia="Times New Roman" w:hAnsi="Times New Roman"/>
          <w:sz w:val="18"/>
          <w:szCs w:val="18"/>
          <w:color w:val="auto"/>
        </w:rPr>
      </w:pPr>
    </w:p>
    <w:p>
      <w:pPr>
        <w:ind w:left="780" w:right="60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whether and the extent to which the guarantees are subordinated to other debt of the guarantors).</w:t>
      </w:r>
    </w:p>
    <w:p>
      <w:pPr>
        <w:spacing w:after="0" w:line="30" w:lineRule="exact"/>
        <w:rPr>
          <w:rFonts w:ascii="Times New Roman" w:cs="Times New Roman" w:eastAsia="Times New Roman" w:hAnsi="Times New Roman"/>
          <w:sz w:val="18"/>
          <w:szCs w:val="18"/>
          <w:color w:val="auto"/>
        </w:rPr>
      </w:pPr>
    </w:p>
    <w:p>
      <w:pPr>
        <w:ind w:left="780" w:right="100" w:hanging="326"/>
        <w:spacing w:after="0" w:line="280"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our common shares, preferred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securities or property.</w:t>
      </w:r>
    </w:p>
    <w:p>
      <w:pPr>
        <w:spacing w:after="0" w:line="3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90" w:lineRule="exact"/>
        <w:rPr>
          <w:rFonts w:ascii="Times New Roman" w:cs="Times New Roman" w:eastAsia="Times New Roman" w:hAnsi="Times New Roman"/>
          <w:sz w:val="18"/>
          <w:szCs w:val="18"/>
          <w:color w:val="auto"/>
        </w:rPr>
      </w:pPr>
    </w:p>
    <w:p>
      <w:pPr>
        <w:ind w:left="780" w:right="380" w:hanging="326"/>
        <w:spacing w:after="0" w:line="345" w:lineRule="auto"/>
        <w:tabs>
          <w:tab w:leader="none" w:pos="7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Other Terms. </w:t>
      </w:r>
      <w:r>
        <w:rPr>
          <w:rFonts w:ascii="Times New Roman" w:cs="Times New Roman" w:eastAsia="Times New Roman" w:hAnsi="Times New Roman"/>
          <w:sz w:val="16"/>
          <w:szCs w:val="16"/>
          <w:color w:val="auto"/>
        </w:rPr>
        <w:t>Any other terms not inconsistent with the terms of the applicable indenture pertaining to the offered debt securities or which may be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required or advisable under U.S. laws or regulations or advisable, as we determine, in connection with marketing of securities of the series.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94" w:lineRule="exact"/>
        <w:rPr>
          <w:sz w:val="20"/>
          <w:szCs w:val="20"/>
          <w:color w:val="auto"/>
        </w:rPr>
      </w:pPr>
    </w:p>
    <w:p>
      <w:pPr>
        <w:ind w:left="780" w:right="40" w:hanging="326"/>
        <w:spacing w:after="0" w:line="275"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120" w:hanging="326"/>
        <w:spacing w:after="0" w:line="26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94" w:lineRule="exact"/>
        <w:rPr>
          <w:sz w:val="20"/>
          <w:szCs w:val="20"/>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94" w:lineRule="exact"/>
        <w:rPr>
          <w:sz w:val="20"/>
          <w:szCs w:val="20"/>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167" w:lineRule="exact"/>
        <w:rPr>
          <w:sz w:val="20"/>
          <w:szCs w:val="20"/>
          <w:color w:val="auto"/>
        </w:rPr>
      </w:pPr>
    </w:p>
    <w:p>
      <w:pPr>
        <w:jc w:val="both"/>
        <w:ind w:right="60" w:firstLine="456"/>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 amounts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is Wachovia Bank National Association, 401 S. Tryon Street,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Charlotte, North Carolina 28288. We will notify you of any change in the office’s location. At our option, however, we may make any interest payments on debt securities issued in registered form by:</w:t>
      </w:r>
    </w:p>
    <w:p>
      <w:pPr>
        <w:spacing w:after="0" w:line="69" w:lineRule="exact"/>
        <w:rPr>
          <w:sz w:val="20"/>
          <w:szCs w:val="20"/>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you specify;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specify.</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will describe in a prospectus supplement how we will pay amounts owing on bearer securities. We will only pay amounts owing on bearer securities at an office outside the United States.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Unless we say otherwise in a prospectus supplement, you may transfer or exchange debt securities issued in registered form at an agency that we designate.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transfer or exchange debt securities without service charge, although we may require you to pay any related tax or other governmental charge.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9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Each indenture contains the following covenants. Any additional material covenants applicable to any series of debt securities will be set forth in a prospectus supplement.</w:t>
      </w:r>
    </w:p>
    <w:p>
      <w:pPr>
        <w:spacing w:after="0" w:line="116"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 and keep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25"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 good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94" w:lineRule="exact"/>
        <w:rPr>
          <w:sz w:val="20"/>
          <w:szCs w:val="20"/>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6" w:lineRule="exact"/>
        <w:rPr>
          <w:sz w:val="20"/>
          <w:szCs w:val="20"/>
          <w:color w:val="auto"/>
        </w:rPr>
      </w:pPr>
    </w:p>
    <w:p>
      <w:pPr>
        <w:ind w:right="340" w:firstLine="456"/>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of Financial Information. </w:t>
      </w:r>
      <w:r>
        <w:rPr>
          <w:rFonts w:ascii="Times New Roman" w:cs="Times New Roman" w:eastAsia="Times New Roman" w:hAnsi="Times New Roman"/>
          <w:sz w:val="16"/>
          <w:szCs w:val="16"/>
          <w:color w:val="auto"/>
        </w:rPr>
        <w:t>Whether or not we are subject to Section 13 or 15(d) of the Exchange Act, we will, within 15 days of each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780" w:right="80" w:hanging="326"/>
        <w:spacing w:after="0" w:line="26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1"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8"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may consolidate with, or sell, lease or convey all or substantially all of our assets, or merge with or into any other entity, provided that we satisfy all of the following conditions:</w:t>
      </w:r>
    </w:p>
    <w:p>
      <w:pPr>
        <w:spacing w:after="0" w:line="39" w:lineRule="exact"/>
        <w:rPr>
          <w:sz w:val="20"/>
          <w:szCs w:val="20"/>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company, or</w:t>
      </w:r>
    </w:p>
    <w:p>
      <w:pPr>
        <w:spacing w:after="0" w:line="90" w:lineRule="exact"/>
        <w:rPr>
          <w:rFonts w:ascii="Times New Roman" w:cs="Times New Roman" w:eastAsia="Times New Roman" w:hAnsi="Times New Roman"/>
          <w:sz w:val="18"/>
          <w:szCs w:val="18"/>
          <w:color w:val="auto"/>
        </w:rPr>
      </w:pPr>
    </w:p>
    <w:p>
      <w:pPr>
        <w:ind w:left="1260" w:right="160" w:hanging="455"/>
        <w:spacing w:after="0" w:line="262" w:lineRule="auto"/>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1"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transactions, no default or event of default under the debt securities shall have occurred and be continuing; and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20" w:hanging="326"/>
        <w:spacing w:after="0" w:line="258"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88" w:lineRule="exact"/>
        <w:rPr>
          <w:sz w:val="20"/>
          <w:szCs w:val="20"/>
          <w:color w:val="auto"/>
        </w:rPr>
      </w:pPr>
    </w:p>
    <w:p>
      <w:pPr>
        <w:ind w:right="2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Generally. </w:t>
      </w:r>
      <w:r>
        <w:rPr>
          <w:rFonts w:ascii="Times New Roman" w:cs="Times New Roman" w:eastAsia="Times New Roman" w:hAnsi="Times New Roman"/>
          <w:sz w:val="16"/>
          <w:szCs w:val="16"/>
          <w:color w:val="auto"/>
        </w:rPr>
        <w:t>Unless we say otherwise in a prospectus supplement, the payment of principal, premium, if any, and interest on subordinated debt securities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0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39" w:lineRule="exact"/>
        <w:rPr>
          <w:sz w:val="20"/>
          <w:szCs w:val="20"/>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90"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38"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38" w:lineRule="exact"/>
        <w:rPr>
          <w:rFonts w:ascii="Times New Roman" w:cs="Times New Roman" w:eastAsia="Times New Roman" w:hAnsi="Times New Roman"/>
          <w:sz w:val="18"/>
          <w:szCs w:val="18"/>
          <w:color w:val="auto"/>
        </w:rPr>
      </w:pPr>
    </w:p>
    <w:p>
      <w:pPr>
        <w:ind w:left="1260" w:right="100" w:hanging="455"/>
        <w:spacing w:after="0" w:line="262" w:lineRule="auto"/>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1" w:lineRule="exact"/>
        <w:rPr>
          <w:rFonts w:ascii="Times New Roman" w:cs="Times New Roman" w:eastAsia="Times New Roman" w:hAnsi="Times New Roman"/>
          <w:sz w:val="18"/>
          <w:szCs w:val="18"/>
          <w:color w:val="auto"/>
        </w:rPr>
      </w:pPr>
    </w:p>
    <w:p>
      <w:pPr>
        <w:ind w:left="780" w:right="220" w:hanging="326"/>
        <w:spacing w:after="0" w:line="27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restrictions in the subordinated indenture upon the creation of additional senior debt.</w:t>
      </w:r>
    </w:p>
    <w:p>
      <w:pPr>
        <w:spacing w:after="0" w:line="167" w:lineRule="exact"/>
        <w:rPr>
          <w:sz w:val="20"/>
          <w:szCs w:val="20"/>
          <w:color w:val="auto"/>
        </w:rPr>
      </w:pPr>
    </w:p>
    <w:p>
      <w:pPr>
        <w:ind w:right="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 debt,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w:t>
      </w:r>
    </w:p>
    <w:p>
      <w:pPr>
        <w:spacing w:after="0" w:line="34" w:lineRule="exact"/>
        <w:rPr>
          <w:sz w:val="20"/>
          <w:szCs w:val="20"/>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90" w:lineRule="exact"/>
        <w:rPr>
          <w:sz w:val="20"/>
          <w:szCs w:val="20"/>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167"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distributing any assets if:</w:t>
      </w:r>
    </w:p>
    <w:p>
      <w:pPr>
        <w:spacing w:after="0" w:line="34" w:lineRule="exact"/>
        <w:rPr>
          <w:sz w:val="20"/>
          <w:szCs w:val="20"/>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51" w:lineRule="exact"/>
        <w:rPr>
          <w:sz w:val="20"/>
          <w:szCs w:val="20"/>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90"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2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88"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 subordinated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w:t>
      </w:r>
    </w:p>
    <w:p>
      <w:pPr>
        <w:spacing w:after="0" w:line="34" w:lineRule="exact"/>
        <w:rPr>
          <w:sz w:val="20"/>
          <w:szCs w:val="20"/>
          <w:color w:val="auto"/>
        </w:rPr>
      </w:pPr>
    </w:p>
    <w:p>
      <w:pPr>
        <w:ind w:left="460" w:right="180" w:firstLine="443"/>
        <w:spacing w:after="0" w:line="275" w:lineRule="auto"/>
        <w:tabs>
          <w:tab w:leader="none" w:pos="10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on any debt security of that series when it becomes due and payable, if the default continues for a period of 30 days.</w:t>
      </w:r>
    </w:p>
    <w:p>
      <w:pPr>
        <w:spacing w:after="0" w:line="38" w:lineRule="exact"/>
        <w:rPr>
          <w:rFonts w:ascii="Times New Roman" w:cs="Times New Roman" w:eastAsia="Times New Roman" w:hAnsi="Times New Roman"/>
          <w:sz w:val="18"/>
          <w:szCs w:val="18"/>
          <w:color w:val="auto"/>
        </w:rPr>
      </w:pPr>
    </w:p>
    <w:p>
      <w:pPr>
        <w:ind w:left="460" w:right="160" w:firstLine="443"/>
        <w:spacing w:after="0" w:line="275" w:lineRule="auto"/>
        <w:tabs>
          <w:tab w:leader="none" w:pos="10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8" w:lineRule="exact"/>
        <w:rPr>
          <w:rFonts w:ascii="Times New Roman" w:cs="Times New Roman" w:eastAsia="Times New Roman" w:hAnsi="Times New Roman"/>
          <w:sz w:val="18"/>
          <w:szCs w:val="18"/>
          <w:color w:val="auto"/>
        </w:rPr>
      </w:pPr>
    </w:p>
    <w:p>
      <w:pPr>
        <w:ind w:left="1060" w:hanging="157"/>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series.</w:t>
      </w:r>
    </w:p>
    <w:p>
      <w:pPr>
        <w:spacing w:after="0" w:line="90" w:lineRule="exact"/>
        <w:rPr>
          <w:rFonts w:ascii="Times New Roman" w:cs="Times New Roman" w:eastAsia="Times New Roman" w:hAnsi="Times New Roman"/>
          <w:sz w:val="18"/>
          <w:szCs w:val="18"/>
          <w:color w:val="auto"/>
        </w:rPr>
      </w:pPr>
    </w:p>
    <w:p>
      <w:pPr>
        <w:ind w:left="460" w:firstLine="443"/>
        <w:spacing w:after="0" w:line="262" w:lineRule="auto"/>
        <w:tabs>
          <w:tab w:leader="none" w:pos="10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1"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580" w:hanging="239"/>
        <w:spacing w:after="0"/>
        <w:tabs>
          <w:tab w:leader="none" w:pos="1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series.</w:t>
      </w:r>
    </w:p>
    <w:p>
      <w:pPr>
        <w:spacing w:after="0" w:line="90" w:lineRule="exact"/>
        <w:rPr>
          <w:rFonts w:ascii="Times New Roman" w:cs="Times New Roman" w:eastAsia="Times New Roman" w:hAnsi="Times New Roman"/>
          <w:sz w:val="18"/>
          <w:szCs w:val="18"/>
          <w:color w:val="auto"/>
        </w:rPr>
      </w:pPr>
    </w:p>
    <w:p>
      <w:pPr>
        <w:ind w:left="460" w:right="120" w:firstLine="443"/>
        <w:spacing w:after="0" w:line="254" w:lineRule="auto"/>
        <w:tabs>
          <w:tab w:leader="none" w:pos="10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7"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and</w:t>
      </w:r>
    </w:p>
    <w:p>
      <w:pPr>
        <w:spacing w:after="0" w:line="90"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90 days.</w:t>
      </w:r>
    </w:p>
    <w:p>
      <w:pPr>
        <w:spacing w:after="0" w:line="90" w:lineRule="exact"/>
        <w:rPr>
          <w:sz w:val="20"/>
          <w:szCs w:val="20"/>
          <w:color w:val="auto"/>
        </w:rPr>
      </w:pPr>
    </w:p>
    <w:p>
      <w:pPr>
        <w:ind w:left="1080" w:hanging="177"/>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do any of the following:</w:t>
      </w:r>
    </w:p>
    <w:p>
      <w:pPr>
        <w:spacing w:after="0" w:line="90" w:lineRule="exact"/>
        <w:rPr>
          <w:rFonts w:ascii="Times New Roman" w:cs="Times New Roman" w:eastAsia="Times New Roman" w:hAnsi="Times New Roman"/>
          <w:sz w:val="18"/>
          <w:szCs w:val="18"/>
          <w:color w:val="auto"/>
        </w:rPr>
      </w:pPr>
    </w:p>
    <w:p>
      <w:pPr>
        <w:ind w:left="920" w:right="80" w:firstLine="421"/>
        <w:spacing w:after="0" w:line="275" w:lineRule="auto"/>
        <w:tabs>
          <w:tab w:leader="none" w:pos="15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 or any other case or proceeding to be adjudicated bankrupt or insolvent;</w:t>
      </w:r>
    </w:p>
    <w:p>
      <w:pPr>
        <w:spacing w:after="0" w:line="38" w:lineRule="exact"/>
        <w:rPr>
          <w:rFonts w:ascii="Times New Roman" w:cs="Times New Roman" w:eastAsia="Times New Roman" w:hAnsi="Times New Roman"/>
          <w:sz w:val="18"/>
          <w:szCs w:val="18"/>
          <w:color w:val="auto"/>
        </w:rPr>
      </w:pPr>
    </w:p>
    <w:p>
      <w:pPr>
        <w:ind w:left="920" w:right="40" w:firstLine="421"/>
        <w:spacing w:after="0" w:line="275" w:lineRule="auto"/>
        <w:tabs>
          <w:tab w:leader="none" w:pos="15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38" w:lineRule="exact"/>
        <w:rPr>
          <w:rFonts w:ascii="Times New Roman" w:cs="Times New Roman" w:eastAsia="Times New Roman" w:hAnsi="Times New Roman"/>
          <w:sz w:val="18"/>
          <w:szCs w:val="18"/>
          <w:color w:val="auto"/>
        </w:rPr>
      </w:pPr>
    </w:p>
    <w:p>
      <w:pPr>
        <w:ind w:left="920" w:right="620" w:firstLine="421"/>
        <w:spacing w:after="0" w:line="275" w:lineRule="auto"/>
        <w:tabs>
          <w:tab w:leader="none" w:pos="15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 or</w:t>
      </w:r>
    </w:p>
    <w:p>
      <w:pPr>
        <w:spacing w:after="0" w:line="3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90" w:lineRule="exact"/>
        <w:rPr>
          <w:rFonts w:ascii="Times New Roman" w:cs="Times New Roman" w:eastAsia="Times New Roman" w:hAnsi="Times New Roman"/>
          <w:sz w:val="18"/>
          <w:szCs w:val="18"/>
          <w:color w:val="auto"/>
        </w:rPr>
      </w:pPr>
    </w:p>
    <w:p>
      <w:pPr>
        <w:ind w:left="1060" w:hanging="157"/>
        <w:spacing w:after="0"/>
        <w:tabs>
          <w:tab w:leader="none" w:pos="1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the debt securities of that series.</w:t>
      </w:r>
    </w:p>
    <w:p>
      <w:pPr>
        <w:spacing w:after="0" w:line="167"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series may waive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past default except for:</w:t>
      </w:r>
    </w:p>
    <w:p>
      <w:pPr>
        <w:spacing w:after="0" w:line="34" w:lineRule="exact"/>
        <w:rPr>
          <w:sz w:val="20"/>
          <w:szCs w:val="20"/>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16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that if an event of default occurs and continues,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that, after a declaration of acceleration, but before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8" w:lineRule="exact"/>
        <w:rPr>
          <w:sz w:val="20"/>
          <w:szCs w:val="20"/>
          <w:color w:val="auto"/>
        </w:rPr>
      </w:pPr>
    </w:p>
    <w:p>
      <w:pPr>
        <w:ind w:left="780" w:hanging="326"/>
        <w:spacing w:after="0"/>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debt securities of the applicable series,</w:t>
      </w:r>
    </w:p>
    <w:p>
      <w:pPr>
        <w:spacing w:after="0" w:line="90" w:lineRule="exact"/>
        <w:rPr>
          <w:rFonts w:ascii="Times New Roman" w:cs="Times New Roman" w:eastAsia="Times New Roman" w:hAnsi="Times New Roman"/>
          <w:sz w:val="18"/>
          <w:szCs w:val="18"/>
          <w:color w:val="auto"/>
        </w:rPr>
      </w:pPr>
    </w:p>
    <w:p>
      <w:pPr>
        <w:ind w:left="1260" w:right="220" w:hanging="455"/>
        <w:spacing w:after="0" w:line="275" w:lineRule="auto"/>
        <w:tabs>
          <w:tab w:leader="none" w:pos="1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8"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90" w:lineRule="exact"/>
        <w:rPr>
          <w:rFonts w:ascii="Times New Roman" w:cs="Times New Roman" w:eastAsia="Times New Roman" w:hAnsi="Times New Roman"/>
          <w:sz w:val="18"/>
          <w:szCs w:val="18"/>
          <w:color w:val="auto"/>
        </w:rPr>
      </w:pPr>
    </w:p>
    <w:p>
      <w:pPr>
        <w:ind w:left="1260" w:right="260" w:hanging="455"/>
        <w:spacing w:after="0" w:line="275" w:lineRule="auto"/>
        <w:tabs>
          <w:tab w:leader="none" w:pos="12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38" w:lineRule="exact"/>
        <w:rPr>
          <w:rFonts w:ascii="Times New Roman" w:cs="Times New Roman" w:eastAsia="Times New Roman" w:hAnsi="Times New Roman"/>
          <w:sz w:val="18"/>
          <w:szCs w:val="18"/>
          <w:color w:val="auto"/>
        </w:rPr>
      </w:pPr>
    </w:p>
    <w:p>
      <w:pPr>
        <w:ind w:left="780" w:right="80" w:hanging="326"/>
        <w:spacing w:after="0" w:line="275" w:lineRule="auto"/>
        <w:tabs>
          <w:tab w:leader="none" w:pos="7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1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 than 120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3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Each indenture provides that no holders of debt securities of any series may institute any proceedings, judicial or otherwise,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34" w:lineRule="exact"/>
        <w:rPr>
          <w:sz w:val="20"/>
          <w:szCs w:val="20"/>
          <w:color w:val="auto"/>
        </w:rPr>
      </w:pPr>
    </w:p>
    <w:p>
      <w:pPr>
        <w:ind w:right="3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2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3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9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1" w:lineRule="exact"/>
        <w:rPr>
          <w:sz w:val="20"/>
          <w:szCs w:val="20"/>
          <w:color w:val="auto"/>
        </w:rPr>
      </w:pPr>
    </w:p>
    <w:p>
      <w:pPr>
        <w:ind w:left="780" w:right="34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8"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Unless we say otherwise in a prospectus supplement, in order to exercise either defeasance or covenant defeasance as to the outstanding debt securities of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78" w:lineRule="exact"/>
        <w:rPr>
          <w:sz w:val="20"/>
          <w:szCs w:val="20"/>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series, an amount in</w:t>
      </w:r>
    </w:p>
    <w:p>
      <w:pPr>
        <w:spacing w:after="0" w:line="21" w:lineRule="exact"/>
        <w:rPr>
          <w:rFonts w:ascii="Times New Roman" w:cs="Times New Roman" w:eastAsia="Times New Roman" w:hAnsi="Times New Roman"/>
          <w:sz w:val="18"/>
          <w:szCs w:val="18"/>
          <w:color w:val="auto"/>
        </w:rPr>
      </w:pPr>
    </w:p>
    <w:p>
      <w:pPr>
        <w:ind w:left="7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5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we issued the applicable debt securities, there has been a change in the applicable federal income tax law,</w:t>
      </w:r>
    </w:p>
    <w:p>
      <w:pPr>
        <w:spacing w:after="0" w:line="90" w:lineRule="exact"/>
        <w:rPr>
          <w:sz w:val="20"/>
          <w:szCs w:val="20"/>
          <w:color w:val="auto"/>
        </w:rPr>
      </w:pPr>
    </w:p>
    <w:p>
      <w:pPr>
        <w:ind w:left="800"/>
        <w:spacing w:after="0" w:line="262"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1" w:lineRule="exact"/>
        <w:rPr>
          <w:sz w:val="20"/>
          <w:szCs w:val="20"/>
          <w:color w:val="auto"/>
        </w:rPr>
      </w:pPr>
    </w:p>
    <w:p>
      <w:pPr>
        <w:ind w:left="780" w:right="60" w:hanging="326"/>
        <w:spacing w:after="0" w:line="258"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55"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42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8" w:lineRule="exact"/>
        <w:rPr>
          <w:rFonts w:ascii="Times New Roman" w:cs="Times New Roman" w:eastAsia="Times New Roman" w:hAnsi="Times New Roman"/>
          <w:sz w:val="18"/>
          <w:szCs w:val="18"/>
          <w:color w:val="auto"/>
        </w:rPr>
      </w:pPr>
    </w:p>
    <w:p>
      <w:pPr>
        <w:ind w:left="780" w:right="400" w:hanging="326"/>
        <w:spacing w:after="0" w:line="275"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8" w:lineRule="exact"/>
        <w:rPr>
          <w:rFonts w:ascii="Times New Roman" w:cs="Times New Roman" w:eastAsia="Times New Roman" w:hAnsi="Times New Roman"/>
          <w:sz w:val="18"/>
          <w:szCs w:val="18"/>
          <w:color w:val="auto"/>
        </w:rPr>
      </w:pPr>
    </w:p>
    <w:p>
      <w:pPr>
        <w:ind w:left="780" w:hanging="326"/>
        <w:spacing w:after="0" w:line="262"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92" w:lineRule="exact"/>
        <w:rPr>
          <w:sz w:val="20"/>
          <w:szCs w:val="20"/>
          <w:color w:val="auto"/>
        </w:rPr>
      </w:pPr>
    </w:p>
    <w:p>
      <w:pPr>
        <w:ind w:right="380" w:firstLine="456"/>
        <w:spacing w:after="0" w:line="310" w:lineRule="auto"/>
        <w:rPr>
          <w:sz w:val="20"/>
          <w:szCs w:val="20"/>
          <w:color w:val="auto"/>
        </w:rPr>
      </w:pPr>
      <w:r>
        <w:rPr>
          <w:rFonts w:ascii="Times New Roman" w:cs="Times New Roman" w:eastAsia="Times New Roman" w:hAnsi="Times New Roman"/>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6"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the principal or premium, if any, of any debt security or the interest thereon is payable;</w:t>
      </w:r>
    </w:p>
    <w:p>
      <w:pPr>
        <w:spacing w:after="0" w:line="90"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38"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38" w:lineRule="exact"/>
        <w:rPr>
          <w:rFonts w:ascii="Times New Roman" w:cs="Times New Roman" w:eastAsia="Times New Roman" w:hAnsi="Times New Roman"/>
          <w:sz w:val="18"/>
          <w:szCs w:val="18"/>
          <w:color w:val="auto"/>
        </w:rPr>
      </w:pPr>
    </w:p>
    <w:p>
      <w:pPr>
        <w:ind w:left="780" w:right="20" w:hanging="326"/>
        <w:spacing w:after="0" w:line="258"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9" w:lineRule="exact"/>
        <w:rPr>
          <w:sz w:val="20"/>
          <w:szCs w:val="20"/>
          <w:color w:val="auto"/>
        </w:rPr>
      </w:pPr>
    </w:p>
    <w:p>
      <w:pPr>
        <w:ind w:left="780" w:right="52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series;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series of debt securities or surrenders any of our rights or powers;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series of debt securities;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series;</w:t>
      </w:r>
    </w:p>
    <w:p>
      <w:pPr>
        <w:spacing w:after="0" w:line="90" w:lineRule="exact"/>
        <w:rPr>
          <w:rFonts w:ascii="Times New Roman" w:cs="Times New Roman" w:eastAsia="Times New Roman" w:hAnsi="Times New Roman"/>
          <w:sz w:val="18"/>
          <w:szCs w:val="18"/>
          <w:color w:val="auto"/>
        </w:rPr>
      </w:pPr>
    </w:p>
    <w:p>
      <w:pPr>
        <w:ind w:left="780" w:right="40" w:hanging="326"/>
        <w:spacing w:after="0" w:line="310" w:lineRule="auto"/>
        <w:tabs>
          <w:tab w:leader="none" w:pos="7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series not yet issued;</w:t>
      </w:r>
    </w:p>
    <w:p>
      <w:pPr>
        <w:spacing w:after="0" w:line="90"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8" w:lineRule="exact"/>
        <w:rPr>
          <w:rFonts w:ascii="Times New Roman" w:cs="Times New Roman" w:eastAsia="Times New Roman" w:hAnsi="Times New Roman"/>
          <w:sz w:val="18"/>
          <w:szCs w:val="18"/>
          <w:color w:val="auto"/>
        </w:rPr>
      </w:pPr>
    </w:p>
    <w:p>
      <w:pPr>
        <w:ind w:left="780" w:right="400" w:hanging="326"/>
        <w:spacing w:after="0" w:line="258"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55" w:lineRule="exact"/>
        <w:rPr>
          <w:rFonts w:ascii="Times New Roman" w:cs="Times New Roman" w:eastAsia="Times New Roman" w:hAnsi="Times New Roman"/>
          <w:sz w:val="18"/>
          <w:szCs w:val="18"/>
          <w:color w:val="auto"/>
        </w:rPr>
      </w:pPr>
    </w:p>
    <w:p>
      <w:pPr>
        <w:ind w:left="780" w:hanging="326"/>
        <w:spacing w:after="0" w:line="262"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3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58" w:lineRule="exact"/>
        <w:rPr>
          <w:sz w:val="20"/>
          <w:szCs w:val="20"/>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9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its face value and provides that upon redemption or acceleration of its stated maturity an amount less than its principal amount shall become due and payable.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say otherwise in a prospectus supplement, each indenture and the debt securities will be governed by the laws of the State of New York.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SHARES OF BENEFICIAL INTEREST</w:t>
      </w:r>
    </w:p>
    <w:p>
      <w:pPr>
        <w:spacing w:after="0" w:line="173"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92" w:lineRule="exact"/>
        <w:rPr>
          <w:sz w:val="20"/>
          <w:szCs w:val="20"/>
          <w:color w:val="auto"/>
        </w:rPr>
      </w:pPr>
    </w:p>
    <w:p>
      <w:pPr>
        <w:ind w:right="320" w:firstLine="456"/>
        <w:spacing w:after="0" w:line="298" w:lineRule="auto"/>
        <w:rPr>
          <w:sz w:val="20"/>
          <w:szCs w:val="20"/>
          <w:color w:val="auto"/>
        </w:rPr>
      </w:pPr>
      <w:r>
        <w:rPr>
          <w:rFonts w:ascii="Times New Roman" w:cs="Times New Roman" w:eastAsia="Times New Roman" w:hAnsi="Times New Roman"/>
          <w:sz w:val="17"/>
          <w:szCs w:val="17"/>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 Series B Cumulative Redeemable Preferred Shares, which we refer to as the Series B preferred shares.</w:t>
      </w:r>
    </w:p>
    <w:p>
      <w:pPr>
        <w:spacing w:after="0" w:line="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2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4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16" w:lineRule="exact"/>
        <w:rPr>
          <w:sz w:val="20"/>
          <w:szCs w:val="20"/>
          <w:color w:val="auto"/>
        </w:rPr>
      </w:pPr>
    </w:p>
    <w:p>
      <w:pPr>
        <w:ind w:right="1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actions without approval by you or any shareholder:</w:t>
      </w:r>
    </w:p>
    <w:p>
      <w:pPr>
        <w:spacing w:after="0" w:line="34" w:lineRule="exact"/>
        <w:rPr>
          <w:sz w:val="20"/>
          <w:szCs w:val="20"/>
          <w:color w:val="auto"/>
        </w:rPr>
      </w:pPr>
    </w:p>
    <w:p>
      <w:pPr>
        <w:ind w:left="780" w:hanging="326"/>
        <w:spacing w:after="0"/>
        <w:tabs>
          <w:tab w:leader="none" w:pos="7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classify or reclassify any authorized but unissued common shares or preferred shares into one or more classes or series of shares of beneficial interest;</w:t>
      </w:r>
    </w:p>
    <w:p>
      <w:pPr>
        <w:spacing w:after="0" w:line="113"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spacing w:after="0" w:line="339" w:lineRule="auto"/>
        <w:rPr>
          <w:sz w:val="20"/>
          <w:szCs w:val="20"/>
          <w:color w:val="auto"/>
        </w:rPr>
      </w:pPr>
      <w:r>
        <w:rPr>
          <w:rFonts w:ascii="Times New Roman" w:cs="Times New Roman" w:eastAsia="Times New Roman" w:hAnsi="Times New Roman"/>
          <w:sz w:val="16"/>
          <w:szCs w:val="16"/>
          <w:color w:val="auto"/>
        </w:rPr>
        <w:t>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Liability</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37"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Each outstanding common share owned by a shareholder entitles that holder to one vote on all matters submitted to a vote of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holder of a common share, you will not have any right to:</w:t>
      </w:r>
    </w:p>
    <w:p>
      <w:pPr>
        <w:spacing w:after="0" w:line="90" w:lineRule="exact"/>
        <w:rPr>
          <w:sz w:val="20"/>
          <w:szCs w:val="20"/>
          <w:color w:val="auto"/>
        </w:rPr>
      </w:pPr>
    </w:p>
    <w:p>
      <w:pPr>
        <w:ind w:left="780" w:hanging="326"/>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51" w:lineRule="exact"/>
        <w:rPr>
          <w:sz w:val="20"/>
          <w:szCs w:val="20"/>
          <w:color w:val="auto"/>
        </w:rPr>
      </w:pPr>
    </w:p>
    <w:p>
      <w:pPr>
        <w:ind w:left="780" w:right="80" w:hanging="326"/>
        <w:spacing w:after="0" w:line="275"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38" w:lineRule="exact"/>
        <w:rPr>
          <w:rFonts w:ascii="Times New Roman" w:cs="Times New Roman" w:eastAsia="Times New Roman" w:hAnsi="Times New Roman"/>
          <w:sz w:val="18"/>
          <w:szCs w:val="18"/>
          <w:color w:val="auto"/>
        </w:rPr>
      </w:pPr>
    </w:p>
    <w:p>
      <w:pPr>
        <w:ind w:left="780" w:right="20" w:hanging="326"/>
        <w:spacing w:after="0" w:line="258"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55" w:lineRule="exact"/>
        <w:rPr>
          <w:rFonts w:ascii="Times New Roman" w:cs="Times New Roman" w:eastAsia="Times New Roman" w:hAnsi="Times New Roman"/>
          <w:sz w:val="18"/>
          <w:szCs w:val="18"/>
          <w:color w:val="auto"/>
        </w:rPr>
      </w:pPr>
    </w:p>
    <w:p>
      <w:pPr>
        <w:ind w:left="780" w:right="180" w:hanging="326"/>
        <w:spacing w:after="0" w:line="262"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1" w:lineRule="exact"/>
        <w:rPr>
          <w:rFonts w:ascii="Times New Roman" w:cs="Times New Roman" w:eastAsia="Times New Roman" w:hAnsi="Times New Roman"/>
          <w:sz w:val="18"/>
          <w:szCs w:val="18"/>
          <w:color w:val="auto"/>
        </w:rPr>
      </w:pPr>
    </w:p>
    <w:p>
      <w:pPr>
        <w:ind w:left="780" w:right="520" w:hanging="326"/>
        <w:spacing w:after="0" w:line="275"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the affirmative vote of two-thirds of all the votes entitled to be cast on the matter); and</w:t>
      </w:r>
    </w:p>
    <w:p>
      <w:pPr>
        <w:spacing w:after="0" w:line="38"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20"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6" w:lineRule="exact"/>
        <w:rPr>
          <w:sz w:val="20"/>
          <w:szCs w:val="20"/>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law or the Internal Revenue Code;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6"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the declaration of trust, no holder of shares of beneficial interest has any preemptive rights to subscribe to any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American Stock Transfer &amp; Trust Company, New York, New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 terms:</w:t>
      </w:r>
    </w:p>
    <w:p>
      <w:pPr>
        <w:spacing w:after="0" w:line="94" w:lineRule="exact"/>
        <w:rPr>
          <w:sz w:val="20"/>
          <w:szCs w:val="20"/>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amounts and/or payment date(s) or method(s) of calculation of any of those terms that apply to those preferred shares;</w:t>
      </w:r>
    </w:p>
    <w:p>
      <w:pPr>
        <w:spacing w:after="0" w:line="113"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90" w:lineRule="exact"/>
        <w:rPr>
          <w:rFonts w:ascii="Times New Roman" w:cs="Times New Roman" w:eastAsia="Times New Roman" w:hAnsi="Times New Roman"/>
          <w:sz w:val="18"/>
          <w:szCs w:val="18"/>
          <w:color w:val="auto"/>
        </w:rPr>
      </w:pPr>
    </w:p>
    <w:p>
      <w:pPr>
        <w:ind w:left="780" w:right="52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8" w:lineRule="exact"/>
        <w:rPr>
          <w:rFonts w:ascii="Times New Roman" w:cs="Times New Roman" w:eastAsia="Times New Roman" w:hAnsi="Times New Roman"/>
          <w:sz w:val="18"/>
          <w:szCs w:val="18"/>
          <w:color w:val="auto"/>
        </w:rPr>
      </w:pPr>
    </w:p>
    <w:p>
      <w:pPr>
        <w:ind w:left="780" w:right="38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38"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federal income tax consequences applicable to those preferred shares; and</w:t>
      </w:r>
    </w:p>
    <w:p>
      <w:pPr>
        <w:spacing w:after="0" w:line="90"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20"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6" w:lineRule="exact"/>
        <w:rPr>
          <w:sz w:val="20"/>
          <w:szCs w:val="20"/>
          <w:color w:val="auto"/>
        </w:rPr>
      </w:pPr>
    </w:p>
    <w:p>
      <w:pPr>
        <w:ind w:right="1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 rights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upon our liquidation, dissolution or winding up, rank:</w:t>
      </w:r>
    </w:p>
    <w:p>
      <w:pPr>
        <w:spacing w:after="0" w:line="34" w:lineRule="exact"/>
        <w:rPr>
          <w:sz w:val="20"/>
          <w:szCs w:val="20"/>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67" w:lineRule="exact"/>
        <w:rPr>
          <w:sz w:val="20"/>
          <w:szCs w:val="20"/>
          <w:color w:val="auto"/>
        </w:rPr>
      </w:pPr>
    </w:p>
    <w:p>
      <w:pPr>
        <w:ind w:right="3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25" w:lineRule="exact"/>
        <w:rPr>
          <w:sz w:val="20"/>
          <w:szCs w:val="20"/>
          <w:color w:val="auto"/>
        </w:rPr>
      </w:pPr>
    </w:p>
    <w:p>
      <w:pPr>
        <w:ind w:right="3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mandatory redemption or redemption at our option, in whole or in part, in each case upon the terms, at the times and at the redemption prices set forth in that supplement.</w:t>
      </w:r>
    </w:p>
    <w:p>
      <w:pPr>
        <w:spacing w:after="0" w:line="1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39"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93" w:lineRule="exact"/>
        <w:rPr>
          <w:sz w:val="20"/>
          <w:szCs w:val="20"/>
          <w:color w:val="auto"/>
        </w:rPr>
      </w:pPr>
    </w:p>
    <w:p>
      <w:pPr>
        <w:ind w:right="1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may be required by applicable law or any applicable rules and regulations of the New York Stock Exchange.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 shares are in arrears. 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3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the holders of the Series B preferred shares have such voting rights as are required by applicable law or any applicable rules and regulations of the New York Stock Exchange.</w:t>
      </w:r>
    </w:p>
    <w:p>
      <w:pPr>
        <w:spacing w:after="0" w:line="116" w:lineRule="exact"/>
        <w:rPr>
          <w:sz w:val="20"/>
          <w:szCs w:val="20"/>
          <w:color w:val="auto"/>
        </w:rPr>
      </w:pPr>
    </w:p>
    <w:p>
      <w:pPr>
        <w:ind w:right="2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supplement relating to the offering of those preferred shares. These terms typically will include:</w:t>
      </w:r>
    </w:p>
    <w:p>
      <w:pPr>
        <w:spacing w:after="0" w:line="34" w:lineRule="exact"/>
        <w:rPr>
          <w:sz w:val="20"/>
          <w:szCs w:val="20"/>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167" w:lineRule="exact"/>
        <w:rPr>
          <w:sz w:val="20"/>
          <w:szCs w:val="20"/>
          <w:color w:val="auto"/>
        </w:rPr>
      </w:pPr>
    </w:p>
    <w:p>
      <w:pPr>
        <w:ind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Agent and Registrar. </w:t>
      </w:r>
      <w:r>
        <w:rPr>
          <w:rFonts w:ascii="Times New Roman" w:cs="Times New Roman" w:eastAsia="Times New Roman" w:hAnsi="Times New Roman"/>
          <w:sz w:val="16"/>
          <w:szCs w:val="16"/>
          <w:color w:val="auto"/>
        </w:rPr>
        <w:t>The transfer agent and registrar for the Series B preferred shares is American Stock Transfer &amp; Trust Company, New York,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New York. We will identify the transfer agent and registrar for any additional series of preferred shares issued through this prospectus in a prospectus supplement.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8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receipts for depositary shares, each of which will represent a fractional interest of a share of a particular series of preferred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38"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8"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3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16"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 evidencing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2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35" w:lineRule="exact"/>
        <w:rPr>
          <w:sz w:val="20"/>
          <w:szCs w:val="20"/>
          <w:color w:val="auto"/>
        </w:rPr>
      </w:pPr>
    </w:p>
    <w:p>
      <w:pPr>
        <w:ind w:right="40" w:firstLine="456"/>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the Preferred Shares. </w:t>
      </w:r>
      <w:r>
        <w:rPr>
          <w:rFonts w:ascii="Times New Roman" w:cs="Times New Roman" w:eastAsia="Times New Roman" w:hAnsi="Times New Roman"/>
          <w:sz w:val="16"/>
          <w:szCs w:val="16"/>
          <w:color w:val="auto"/>
        </w:rPr>
        <w:t>When the depositary receives notice of any meeting at which the holders of preferred shares are entitled to vote,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06" w:lineRule="exact"/>
        <w:rPr>
          <w:sz w:val="20"/>
          <w:szCs w:val="20"/>
          <w:color w:val="auto"/>
        </w:rPr>
      </w:pPr>
    </w:p>
    <w:p>
      <w:pPr>
        <w:ind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Preference. </w:t>
      </w:r>
      <w:r>
        <w:rPr>
          <w:rFonts w:ascii="Times New Roman" w:cs="Times New Roman" w:eastAsia="Times New Roman" w:hAnsi="Times New Roman"/>
          <w:sz w:val="16"/>
          <w:szCs w:val="16"/>
          <w:color w:val="auto"/>
        </w:rPr>
        <w:t>In the event of our liquidation, dissolution or winding up, whether voluntary or involuntary, you will be entitled, as a record holder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depositary shares, to the fraction of the liquidation preference accorded each applicable preferred share, as has been set forth in a prospectus supplement.</w:t>
      </w:r>
    </w:p>
    <w:p>
      <w:pPr>
        <w:spacing w:after="0" w:line="6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38"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 the deposit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at any time. However, any amendment which</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39" w:lineRule="exact"/>
        <w:rPr>
          <w:sz w:val="20"/>
          <w:szCs w:val="20"/>
          <w:color w:val="auto"/>
        </w:rPr>
      </w:pPr>
    </w:p>
    <w:p>
      <w:pPr>
        <w:ind w:left="780" w:hanging="326"/>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90"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38"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16" w:lineRule="exact"/>
        <w:rPr>
          <w:sz w:val="20"/>
          <w:szCs w:val="20"/>
          <w:color w:val="auto"/>
        </w:rPr>
      </w:pPr>
    </w:p>
    <w:p>
      <w:pPr>
        <w:ind w:right="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Resignation and Removal of Depositary. </w:t>
      </w:r>
      <w:r>
        <w:rPr>
          <w:rFonts w:ascii="Times New Roman" w:cs="Times New Roman" w:eastAsia="Times New Roman" w:hAnsi="Times New Roman"/>
          <w:sz w:val="18"/>
          <w:szCs w:val="18"/>
          <w:color w:val="auto"/>
        </w:rPr>
        <w:t>The depositary may resign at any time by delivering a notice to us of its election to do so. Additionally,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29" w:lineRule="exact"/>
        <w:rPr>
          <w:sz w:val="20"/>
          <w:szCs w:val="20"/>
          <w:color w:val="auto"/>
        </w:rPr>
      </w:pPr>
    </w:p>
    <w:p>
      <w:pPr>
        <w:jc w:val="both"/>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29" w:lineRule="exact"/>
        <w:rPr>
          <w:sz w:val="20"/>
          <w:szCs w:val="20"/>
          <w:color w:val="auto"/>
        </w:rPr>
      </w:pPr>
    </w:p>
    <w:p>
      <w:pPr>
        <w:ind w:right="1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 furnish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preferred shares.</w:t>
      </w:r>
    </w:p>
    <w:p>
      <w:pPr>
        <w:spacing w:after="0" w:line="115" w:lineRule="exact"/>
        <w:rPr>
          <w:sz w:val="20"/>
          <w:szCs w:val="20"/>
          <w:color w:val="auto"/>
        </w:rPr>
      </w:pPr>
    </w:p>
    <w:p>
      <w:pPr>
        <w:ind w:right="120" w:firstLine="456"/>
        <w:spacing w:after="0" w:line="301" w:lineRule="auto"/>
        <w:rPr>
          <w:sz w:val="20"/>
          <w:szCs w:val="20"/>
          <w:color w:val="auto"/>
        </w:rPr>
      </w:pPr>
      <w:r>
        <w:rPr>
          <w:rFonts w:ascii="Times New Roman" w:cs="Times New Roman" w:eastAsia="Times New Roman" w:hAnsi="Times New Roman"/>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39" w:lineRule="exact"/>
        <w:rPr>
          <w:sz w:val="20"/>
          <w:szCs w:val="20"/>
          <w:color w:val="auto"/>
        </w:rPr>
      </w:pPr>
    </w:p>
    <w:p>
      <w:pPr>
        <w:ind w:left="780" w:right="200" w:hanging="326"/>
        <w:spacing w:after="0" w:line="310" w:lineRule="auto"/>
        <w:tabs>
          <w:tab w:leader="none" w:pos="7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6" w:lineRule="exact"/>
        <w:rPr>
          <w:rFonts w:ascii="Times New Roman" w:cs="Times New Roman" w:eastAsia="Times New Roman" w:hAnsi="Times New Roman"/>
          <w:sz w:val="16"/>
          <w:szCs w:val="16"/>
          <w:color w:val="auto"/>
        </w:rPr>
      </w:pPr>
    </w:p>
    <w:p>
      <w:pPr>
        <w:ind w:left="780" w:right="140" w:hanging="326"/>
        <w:spacing w:after="0" w:line="275" w:lineRule="auto"/>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8" w:lineRule="exact"/>
        <w:rPr>
          <w:rFonts w:ascii="Times New Roman" w:cs="Times New Roman" w:eastAsia="Times New Roman" w:hAnsi="Times New Roman"/>
          <w:sz w:val="18"/>
          <w:szCs w:val="18"/>
          <w:color w:val="auto"/>
        </w:rPr>
      </w:pPr>
    </w:p>
    <w:p>
      <w:pPr>
        <w:ind w:left="780" w:right="480" w:hanging="326"/>
        <w:spacing w:after="0" w:line="275" w:lineRule="auto"/>
        <w:tabs>
          <w:tab w:leader="none" w:pos="7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stock or beneficial interests must be owned by 100 or more persons during at least 335 days of a taxable year of 12 months or during a proportionate part of a shorter taxable year.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90" w:lineRule="exact"/>
        <w:rPr>
          <w:rFonts w:ascii="Times New Roman" w:cs="Times New Roman" w:eastAsia="Times New Roman" w:hAnsi="Times New Roman"/>
          <w:sz w:val="18"/>
          <w:szCs w:val="18"/>
          <w:color w:val="auto"/>
        </w:rPr>
      </w:pPr>
    </w:p>
    <w:p>
      <w:pPr>
        <w:ind w:left="780" w:right="920" w:hanging="326"/>
        <w:spacing w:after="0" w:line="275" w:lineRule="auto"/>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167"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color w:val="auto"/>
        </w:rPr>
        <w:t>. With certain exceptions described below, if any purported transfer of shares would violate any of the restrictions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3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90"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per share equal to the market price (which is calculated as defined in our declaration of trust) on the date the shares were received, or</w:t>
      </w:r>
    </w:p>
    <w:p>
      <w:pPr>
        <w:spacing w:after="0" w:line="113" w:lineRule="exact"/>
        <w:rPr>
          <w:rFonts w:ascii="Times New Roman" w:cs="Times New Roman" w:eastAsia="Times New Roman" w:hAnsi="Times New Roman"/>
          <w:sz w:val="16"/>
          <w:szCs w:val="16"/>
          <w:color w:val="auto"/>
        </w:rPr>
      </w:pPr>
    </w:p>
    <w:p>
      <w:pPr>
        <w:ind w:left="1260" w:hanging="455"/>
        <w:spacing w:after="0"/>
        <w:tabs>
          <w:tab w:leader="none" w:pos="12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3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20" w:lineRule="exact"/>
        <w:rPr>
          <w:sz w:val="20"/>
          <w:szCs w:val="20"/>
          <w:color w:val="auto"/>
        </w:rPr>
      </w:pPr>
    </w:p>
    <w:p>
      <w:pPr>
        <w:jc w:val="both"/>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6"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We may issue warrants for the purchase of common or preferred shares. If we offer warrants, we will describe the terms in a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90" w:lineRule="exact"/>
        <w:rPr>
          <w:sz w:val="20"/>
          <w:szCs w:val="20"/>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shares or common shares that may be purchased on exercise of the warrant;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92"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2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 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52" w:lineRule="exact"/>
        <w:rPr>
          <w:sz w:val="20"/>
          <w:szCs w:val="20"/>
          <w:color w:val="auto"/>
        </w:rPr>
      </w:pPr>
    </w:p>
    <w:p>
      <w:pPr>
        <w:ind w:left="780" w:hanging="326"/>
        <w:spacing w:after="0"/>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shares; or</w:t>
      </w:r>
    </w:p>
    <w:p>
      <w:pPr>
        <w:spacing w:after="0" w:line="90"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10% or more of the voting power of our shares within two years prior to the applicable date relating to the transaction.</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32"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39" w:lineRule="exact"/>
        <w:rPr>
          <w:sz w:val="20"/>
          <w:szCs w:val="20"/>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w:t>
      </w:r>
    </w:p>
    <w:p>
      <w:pPr>
        <w:spacing w:after="0" w:line="17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r>
        <w:rPr>
          <w:rFonts w:ascii="Times New Roman" w:cs="Times New Roman" w:eastAsia="Times New Roman" w:hAnsi="Times New Roman"/>
          <w:sz w:val="18"/>
          <w:szCs w:val="18"/>
          <w:color w:val="auto"/>
        </w:rPr>
        <w:t>. 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3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vote, in electing trustees:</w:t>
      </w:r>
    </w:p>
    <w:p>
      <w:pPr>
        <w:spacing w:after="0" w:line="90" w:lineRule="exact"/>
        <w:rPr>
          <w:sz w:val="20"/>
          <w:szCs w:val="20"/>
          <w:color w:val="auto"/>
        </w:rPr>
      </w:pPr>
    </w:p>
    <w:p>
      <w:pPr>
        <w:ind w:left="780" w:hanging="326"/>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or more but less than one-third of such shares;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shares,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outstanding shares.</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20"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32"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2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On April 13, 1989, we adopted a shareholder rights plan and declared a dividend distribution of one right for each outstanding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rights become exercisable upon the earlier to occur of</w:t>
      </w:r>
    </w:p>
    <w:p>
      <w:pPr>
        <w:spacing w:after="0" w:line="90" w:lineRule="exact"/>
        <w:rPr>
          <w:sz w:val="20"/>
          <w:szCs w:val="20"/>
          <w:color w:val="auto"/>
        </w:rPr>
      </w:pPr>
    </w:p>
    <w:p>
      <w:pPr>
        <w:ind w:left="780" w:right="480" w:hanging="326"/>
        <w:spacing w:after="0" w:line="275" w:lineRule="auto"/>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38"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general, the rights will expire on the earliest of</w:t>
      </w:r>
    </w:p>
    <w:p>
      <w:pPr>
        <w:spacing w:after="0" w:line="90" w:lineRule="exact"/>
        <w:rPr>
          <w:sz w:val="20"/>
          <w:szCs w:val="20"/>
          <w:color w:val="auto"/>
        </w:rPr>
      </w:pPr>
    </w:p>
    <w:p>
      <w:pPr>
        <w:ind w:left="780" w:hanging="326"/>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24, 2009;</w:t>
      </w:r>
    </w:p>
    <w:p>
      <w:pPr>
        <w:spacing w:after="0" w:line="90" w:lineRule="exact"/>
        <w:rPr>
          <w:rFonts w:ascii="Times New Roman" w:cs="Times New Roman" w:eastAsia="Times New Roman" w:hAnsi="Times New Roman"/>
          <w:sz w:val="18"/>
          <w:szCs w:val="18"/>
          <w:color w:val="auto"/>
        </w:rPr>
      </w:pPr>
    </w:p>
    <w:p>
      <w:pPr>
        <w:ind w:left="780" w:right="560" w:hanging="326"/>
        <w:spacing w:after="0" w:line="275" w:lineRule="auto"/>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merger transaction with a person or group who acquired common shares pursuant to a transaction approved by the Board of Trustees; or</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by us as described below.</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39"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1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one of our shareholders, including, without limitation, the right to vote or to receive dividends.</w:t>
      </w:r>
    </w:p>
    <w:p>
      <w:pPr>
        <w:spacing w:after="0" w:line="116"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color w:val="auto"/>
        </w:rPr>
        <w:t>. Under Maryland law, there is a presumption that the act of a trustee satisfies the required standard of care. An act of a trustee relating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affecting an acquisition or a potential acquisition of control is not subject under Maryland law to a higher duty or greater scrutiny than is applied to any other act of a trustee.</w:t>
      </w:r>
    </w:p>
    <w:p>
      <w:pPr>
        <w:spacing w:after="0" w:line="125" w:lineRule="exact"/>
        <w:rPr>
          <w:sz w:val="20"/>
          <w:szCs w:val="20"/>
          <w:color w:val="auto"/>
        </w:rPr>
      </w:pPr>
    </w:p>
    <w:p>
      <w:pPr>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Number of Trustees; Classified Board</w:t>
      </w:r>
      <w:r>
        <w:rPr>
          <w:rFonts w:ascii="Times New Roman" w:cs="Times New Roman" w:eastAsia="Times New Roman" w:hAnsi="Times New Roman"/>
          <w:sz w:val="18"/>
          <w:szCs w:val="18"/>
          <w:color w:val="auto"/>
        </w:rPr>
        <w:t>. The number of trustees may be increased or decreased pursuant to the bylaws, provided that the total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25" w:lineRule="exact"/>
        <w:rPr>
          <w:sz w:val="20"/>
          <w:szCs w:val="20"/>
          <w:color w:val="auto"/>
        </w:rPr>
      </w:pPr>
    </w:p>
    <w:p>
      <w:pPr>
        <w:ind w:right="2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color w:val="auto"/>
        </w:rPr>
        <w:t>. Under the declaration of trust, and subject to the rights of any holders of preferred shares, our shareholders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or without cause, at any meeting of shareholders called for that purpose, either by</w:t>
      </w:r>
    </w:p>
    <w:p>
      <w:pPr>
        <w:spacing w:after="0" w:line="34" w:lineRule="exact"/>
        <w:rPr>
          <w:sz w:val="20"/>
          <w:szCs w:val="20"/>
          <w:color w:val="auto"/>
        </w:rPr>
      </w:pPr>
    </w:p>
    <w:p>
      <w:pPr>
        <w:ind w:left="780" w:right="220" w:hanging="326"/>
        <w:spacing w:after="0" w:line="275" w:lineRule="auto"/>
        <w:tabs>
          <w:tab w:leader="none" w:pos="7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60" w:hanging="326"/>
        <w:spacing w:after="0" w:line="275" w:lineRule="auto"/>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6" w:lineRule="exact"/>
        <w:rPr>
          <w:sz w:val="20"/>
          <w:szCs w:val="20"/>
          <w:color w:val="auto"/>
        </w:rPr>
      </w:pPr>
    </w:p>
    <w:p>
      <w:pPr>
        <w:ind w:right="1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Vacancies on the Board of Trustees.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3"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16" w:lineRule="exact"/>
        <w:rPr>
          <w:sz w:val="20"/>
          <w:szCs w:val="20"/>
          <w:color w:val="auto"/>
        </w:rPr>
      </w:pPr>
    </w:p>
    <w:p>
      <w:pPr>
        <w:jc w:val="both"/>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Meetings of Shareholders. </w:t>
      </w:r>
      <w:r>
        <w:rPr>
          <w:rFonts w:ascii="Times New Roman" w:cs="Times New Roman" w:eastAsia="Times New Roman" w:hAnsi="Times New Roman"/>
          <w:sz w:val="18"/>
          <w:szCs w:val="18"/>
          <w:color w:val="auto"/>
        </w:rPr>
        <w:t>Our bylaws provide for an annual meeting of shareholders, to be held in May after delivery of the annual report to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3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8" w:lineRule="exact"/>
        <w:rPr>
          <w:sz w:val="20"/>
          <w:szCs w:val="20"/>
          <w:color w:val="auto"/>
        </w:rPr>
      </w:pPr>
    </w:p>
    <w:p>
      <w:pPr>
        <w:ind w:right="40" w:firstLine="45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for Shareholder Nominations and Shareholder New Business Proposals. </w:t>
      </w:r>
      <w:r>
        <w:rPr>
          <w:rFonts w:ascii="Times New Roman" w:cs="Times New Roman" w:eastAsia="Times New Roman" w:hAnsi="Times New Roman"/>
          <w:sz w:val="18"/>
          <w:szCs w:val="18"/>
          <w:color w:val="auto"/>
        </w:rPr>
        <w:t>Our bylaws require advance written notice for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8" w:lineRule="exact"/>
        <w:rPr>
          <w:sz w:val="20"/>
          <w:szCs w:val="20"/>
          <w:color w:val="auto"/>
        </w:rPr>
      </w:pPr>
    </w:p>
    <w:p>
      <w:pPr>
        <w:ind w:right="20" w:firstLine="456"/>
        <w:spacing w:after="0" w:line="228" w:lineRule="auto"/>
        <w:rPr>
          <w:sz w:val="20"/>
          <w:szCs w:val="20"/>
          <w:color w:val="auto"/>
        </w:rPr>
      </w:pPr>
      <w:r>
        <w:rPr>
          <w:rFonts w:ascii="Times New Roman" w:cs="Times New Roman" w:eastAsia="Times New Roman" w:hAnsi="Times New Roman"/>
          <w:sz w:val="18"/>
          <w:szCs w:val="18"/>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special meeting and not later than the close of business on the later of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prior to the special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5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39"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1" w:lineRule="exact"/>
        <w:rPr>
          <w:sz w:val="20"/>
          <w:szCs w:val="20"/>
          <w:color w:val="auto"/>
        </w:rPr>
      </w:pPr>
    </w:p>
    <w:p>
      <w:pPr>
        <w:ind w:left="780" w:right="40" w:hanging="326"/>
        <w:spacing w:after="0" w:line="275" w:lineRule="auto"/>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 alternative minimum tax” on any items of tax preference that we do not distribute or allocate to our shareholders;</w:t>
      </w:r>
    </w:p>
    <w:p>
      <w:pPr>
        <w:spacing w:after="0" w:line="90"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38"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 Requirements for REIT Qualification</w:t>
      </w:r>
    </w:p>
    <w:p>
      <w:pPr>
        <w:spacing w:after="0" w:line="21" w:lineRule="exact"/>
        <w:rPr>
          <w:rFonts w:ascii="Times New Roman" w:cs="Times New Roman" w:eastAsia="Times New Roman" w:hAnsi="Times New Roman"/>
          <w:sz w:val="18"/>
          <w:szCs w:val="18"/>
          <w:color w:val="auto"/>
        </w:rPr>
      </w:pPr>
    </w:p>
    <w:p>
      <w:pPr>
        <w:ind w:left="78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57" w:lineRule="exact"/>
        <w:rPr>
          <w:rFonts w:ascii="Times New Roman" w:cs="Times New Roman" w:eastAsia="Times New Roman" w:hAnsi="Times New Roman"/>
          <w:sz w:val="18"/>
          <w:szCs w:val="18"/>
          <w:color w:val="auto"/>
        </w:rPr>
      </w:pPr>
    </w:p>
    <w:p>
      <w:pPr>
        <w:ind w:left="780" w:hanging="326"/>
        <w:spacing w:after="0" w:line="258"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55" w:lineRule="exact"/>
        <w:rPr>
          <w:rFonts w:ascii="Times New Roman" w:cs="Times New Roman" w:eastAsia="Times New Roman" w:hAnsi="Times New Roman"/>
          <w:sz w:val="18"/>
          <w:szCs w:val="18"/>
          <w:color w:val="auto"/>
        </w:rPr>
      </w:pPr>
    </w:p>
    <w:p>
      <w:pPr>
        <w:jc w:val="both"/>
        <w:ind w:left="780" w:right="160" w:hanging="326"/>
        <w:spacing w:after="0" w:line="262"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1" w:lineRule="exact"/>
        <w:rPr>
          <w:rFonts w:ascii="Times New Roman" w:cs="Times New Roman" w:eastAsia="Times New Roman" w:hAnsi="Times New Roman"/>
          <w:sz w:val="18"/>
          <w:szCs w:val="18"/>
          <w:color w:val="auto"/>
        </w:rPr>
      </w:pPr>
    </w:p>
    <w:p>
      <w:pPr>
        <w:ind w:left="780" w:right="140" w:hanging="326"/>
        <w:spacing w:after="0" w:line="262"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90" w:lineRule="exact"/>
        <w:rPr>
          <w:rFonts w:ascii="Times New Roman" w:cs="Times New Roman" w:eastAsia="Times New Roman" w:hAnsi="Times New Roman"/>
          <w:sz w:val="18"/>
          <w:szCs w:val="18"/>
          <w:color w:val="auto"/>
        </w:rPr>
      </w:pPr>
    </w:p>
    <w:p>
      <w:pPr>
        <w:ind w:left="780" w:right="160" w:hanging="326"/>
        <w:spacing w:after="0" w:line="256" w:lineRule="auto"/>
        <w:tabs>
          <w:tab w:leader="none" w:pos="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90" w:lineRule="exact"/>
        <w:rPr>
          <w:rFonts w:ascii="Times New Roman" w:cs="Times New Roman" w:eastAsia="Times New Roman" w:hAnsi="Times New Roman"/>
          <w:sz w:val="18"/>
          <w:szCs w:val="18"/>
          <w:color w:val="auto"/>
        </w:rPr>
      </w:pPr>
    </w:p>
    <w:p>
      <w:pPr>
        <w:ind w:left="460" w:right="20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8" w:lineRule="exact"/>
        <w:rPr>
          <w:rFonts w:ascii="Times New Roman" w:cs="Times New Roman" w:eastAsia="Times New Roman" w:hAnsi="Times New Roman"/>
          <w:sz w:val="18"/>
          <w:szCs w:val="18"/>
          <w:color w:val="auto"/>
        </w:rPr>
      </w:pPr>
    </w:p>
    <w:p>
      <w:pPr>
        <w:ind w:left="460" w:right="68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38"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U.S. Department of Treasury (“Treasury”); and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43"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94" w:lineRule="exact"/>
        <w:rPr>
          <w:sz w:val="20"/>
          <w:szCs w:val="20"/>
          <w:color w:val="auto"/>
        </w:rPr>
      </w:pPr>
    </w:p>
    <w:p>
      <w:pPr>
        <w:ind w:left="780" w:right="60" w:hanging="326"/>
        <w:spacing w:after="0" w:line="256"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57" w:lineRule="exact"/>
        <w:rPr>
          <w:rFonts w:ascii="Times New Roman" w:cs="Times New Roman" w:eastAsia="Times New Roman" w:hAnsi="Times New Roman"/>
          <w:sz w:val="18"/>
          <w:szCs w:val="18"/>
          <w:color w:val="auto"/>
        </w:rPr>
      </w:pPr>
    </w:p>
    <w:p>
      <w:pPr>
        <w:ind w:left="780" w:right="200" w:hanging="326"/>
        <w:spacing w:after="0" w:line="262" w:lineRule="auto"/>
        <w:tabs>
          <w:tab w:leader="none" w:pos="7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167" w:lineRule="exact"/>
        <w:rPr>
          <w:sz w:val="20"/>
          <w:szCs w:val="20"/>
          <w:color w:val="auto"/>
        </w:rPr>
      </w:pPr>
    </w:p>
    <w:p>
      <w:pPr>
        <w:jc w:val="both"/>
        <w:ind w:right="2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Rental Income. </w:t>
      </w:r>
      <w:r>
        <w:rPr>
          <w:rFonts w:ascii="Times New Roman" w:cs="Times New Roman" w:eastAsia="Times New Roman" w:hAnsi="Times New Roman"/>
          <w:sz w:val="18"/>
          <w:szCs w:val="18"/>
          <w:color w:val="auto"/>
        </w:rPr>
        <w:t>Our primary source of income derives from leasing properties. Rent that we receive from real property that we own and lease to tenants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qualify as “rents from real property” (which is qualifying income for purposes of the 75% and 95% gross income tests) only if several conditions are met under the REIT tax rules:</w:t>
      </w:r>
    </w:p>
    <w:p>
      <w:pPr>
        <w:spacing w:after="0" w:line="48" w:lineRule="exact"/>
        <w:rPr>
          <w:sz w:val="20"/>
          <w:szCs w:val="20"/>
          <w:color w:val="auto"/>
        </w:rPr>
      </w:pPr>
    </w:p>
    <w:p>
      <w:pPr>
        <w:ind w:left="780" w:right="100" w:hanging="326"/>
        <w:spacing w:after="0" w:line="262"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51" w:lineRule="exact"/>
        <w:rPr>
          <w:rFonts w:ascii="Times New Roman" w:cs="Times New Roman" w:eastAsia="Times New Roman" w:hAnsi="Times New Roman"/>
          <w:sz w:val="18"/>
          <w:szCs w:val="18"/>
          <w:color w:val="auto"/>
        </w:rPr>
      </w:pPr>
    </w:p>
    <w:p>
      <w:pPr>
        <w:ind w:left="780" w:hanging="326"/>
        <w:spacing w:after="0" w:line="253"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59" w:lineRule="exact"/>
        <w:rPr>
          <w:rFonts w:ascii="Times New Roman" w:cs="Times New Roman" w:eastAsia="Times New Roman" w:hAnsi="Times New Roman"/>
          <w:sz w:val="18"/>
          <w:szCs w:val="18"/>
          <w:color w:val="auto"/>
        </w:rPr>
      </w:pPr>
    </w:p>
    <w:p>
      <w:pPr>
        <w:ind w:left="780" w:right="40" w:hanging="326"/>
        <w:spacing w:after="0" w:line="255"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58" w:lineRule="exact"/>
        <w:rPr>
          <w:rFonts w:ascii="Times New Roman" w:cs="Times New Roman" w:eastAsia="Times New Roman" w:hAnsi="Times New Roman"/>
          <w:sz w:val="18"/>
          <w:szCs w:val="18"/>
          <w:color w:val="auto"/>
        </w:rPr>
      </w:pPr>
    </w:p>
    <w:p>
      <w:pPr>
        <w:ind w:left="780" w:right="240" w:hanging="326"/>
        <w:spacing w:after="0" w:line="258"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55" w:lineRule="exact"/>
        <w:rPr>
          <w:rFonts w:ascii="Times New Roman" w:cs="Times New Roman" w:eastAsia="Times New Roman" w:hAnsi="Times New Roman"/>
          <w:sz w:val="18"/>
          <w:szCs w:val="18"/>
          <w:color w:val="auto"/>
        </w:rPr>
      </w:pPr>
    </w:p>
    <w:p>
      <w:pPr>
        <w:ind w:left="780" w:right="20" w:hanging="326"/>
        <w:spacing w:after="0" w:line="254" w:lineRule="auto"/>
        <w:tabs>
          <w:tab w:leader="none" w:pos="7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an ongoing basis, we will use our best efforts not to:</w:t>
      </w:r>
    </w:p>
    <w:p>
      <w:pPr>
        <w:spacing w:after="0" w:line="90" w:lineRule="exact"/>
        <w:rPr>
          <w:sz w:val="20"/>
          <w:szCs w:val="20"/>
          <w:color w:val="auto"/>
        </w:rPr>
      </w:pPr>
    </w:p>
    <w:p>
      <w:pPr>
        <w:ind w:left="780" w:hanging="326"/>
        <w:spacing w:after="0" w:line="275"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rent for any property that is based in whole or in part on the income or profits of any person (except by reason of being based on a percentage of receipts or sales, as described above);</w:t>
      </w:r>
    </w:p>
    <w:p>
      <w:pPr>
        <w:spacing w:after="0" w:line="38" w:lineRule="exact"/>
        <w:rPr>
          <w:rFonts w:ascii="Times New Roman" w:cs="Times New Roman" w:eastAsia="Times New Roman" w:hAnsi="Times New Roman"/>
          <w:sz w:val="18"/>
          <w:szCs w:val="18"/>
          <w:color w:val="auto"/>
        </w:rPr>
      </w:pPr>
    </w:p>
    <w:p>
      <w:pPr>
        <w:ind w:left="780" w:right="380" w:hanging="326"/>
        <w:spacing w:after="0" w:line="262"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51"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8" w:lineRule="exact"/>
        <w:rPr>
          <w:rFonts w:ascii="Times New Roman" w:cs="Times New Roman" w:eastAsia="Times New Roman" w:hAnsi="Times New Roman"/>
          <w:sz w:val="18"/>
          <w:szCs w:val="18"/>
          <w:color w:val="auto"/>
        </w:rPr>
      </w:pPr>
    </w:p>
    <w:p>
      <w:pPr>
        <w:jc w:val="both"/>
        <w:ind w:left="780" w:right="40" w:hanging="326"/>
        <w:spacing w:after="0" w:line="262" w:lineRule="auto"/>
        <w:tabs>
          <w:tab w:leader="none" w:pos="7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the Code provisions applicable to REITs are complex, however, we may fail to meet one or more of the foregoing.</w:t>
      </w:r>
    </w:p>
    <w:p>
      <w:pPr>
        <w:spacing w:after="0" w:line="167" w:lineRule="exact"/>
        <w:rPr>
          <w:sz w:val="20"/>
          <w:szCs w:val="20"/>
          <w:color w:val="auto"/>
        </w:rPr>
      </w:pPr>
    </w:p>
    <w:p>
      <w:pPr>
        <w:ind w:right="26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Tax on Income From Property Acquired in Foreclosure. </w:t>
      </w:r>
      <w:r>
        <w:rPr>
          <w:rFonts w:ascii="Times New Roman" w:cs="Times New Roman" w:eastAsia="Times New Roman" w:hAnsi="Times New Roman"/>
          <w:sz w:val="16"/>
          <w:szCs w:val="16"/>
          <w:color w:val="auto"/>
        </w:rPr>
        <w:t>We will be subject to tax at the maximum corporate rate on any income from foreclosure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3" w:lineRule="exact"/>
        <w:rPr>
          <w:sz w:val="20"/>
          <w:szCs w:val="20"/>
          <w:color w:val="auto"/>
        </w:rPr>
      </w:pPr>
    </w:p>
    <w:p>
      <w:pPr>
        <w:ind w:left="780" w:right="20" w:hanging="326"/>
        <w:spacing w:after="0" w:line="275" w:lineRule="auto"/>
        <w:tabs>
          <w:tab w:leader="none" w:pos="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40" w:firstLine="456"/>
        <w:spacing w:after="0" w:line="334" w:lineRule="auto"/>
        <w:rPr>
          <w:sz w:val="20"/>
          <w:szCs w:val="20"/>
          <w:color w:val="auto"/>
        </w:rPr>
      </w:pPr>
      <w:r>
        <w:rPr>
          <w:rFonts w:ascii="Times New Roman" w:cs="Times New Roman" w:eastAsia="Times New Roman" w:hAnsi="Times New Roman"/>
          <w:sz w:val="16"/>
          <w:szCs w:val="16"/>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780" w:right="320" w:hanging="326"/>
        <w:spacing w:after="0" w:line="275"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38" w:lineRule="exact"/>
        <w:rPr>
          <w:rFonts w:ascii="Times New Roman" w:cs="Times New Roman" w:eastAsia="Times New Roman" w:hAnsi="Times New Roman"/>
          <w:sz w:val="18"/>
          <w:szCs w:val="18"/>
          <w:color w:val="auto"/>
        </w:rPr>
      </w:pPr>
    </w:p>
    <w:p>
      <w:pPr>
        <w:ind w:left="780" w:right="220" w:hanging="326"/>
        <w:spacing w:after="0" w:line="262"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1" w:lineRule="exact"/>
        <w:rPr>
          <w:rFonts w:ascii="Times New Roman" w:cs="Times New Roman" w:eastAsia="Times New Roman" w:hAnsi="Times New Roman"/>
          <w:sz w:val="18"/>
          <w:szCs w:val="18"/>
          <w:color w:val="auto"/>
        </w:rPr>
      </w:pPr>
    </w:p>
    <w:p>
      <w:pPr>
        <w:ind w:left="780" w:right="100" w:hanging="326"/>
        <w:spacing w:after="0" w:line="275" w:lineRule="auto"/>
        <w:tabs>
          <w:tab w:leader="none" w:pos="7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40" w:hanging="326"/>
        <w:spacing w:after="0" w:line="339" w:lineRule="auto"/>
        <w:tabs>
          <w:tab w:leader="none" w:pos="7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7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derived from any “prohibited transaction.” A “prohibited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35"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 taxable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Tests. </w:t>
      </w:r>
      <w:r>
        <w:rPr>
          <w:rFonts w:ascii="Times New Roman" w:cs="Times New Roman" w:eastAsia="Times New Roman" w:hAnsi="Times New Roman"/>
          <w:sz w:val="18"/>
          <w:szCs w:val="18"/>
          <w:color w:val="auto"/>
        </w:rPr>
        <w:t>To maintain our qualification as a REIT, we also must satisfy the following asset tests at the close of each quarter of each taxable year:</w:t>
      </w:r>
    </w:p>
    <w:p>
      <w:pPr>
        <w:spacing w:after="0" w:line="94" w:lineRule="exact"/>
        <w:rPr>
          <w:sz w:val="20"/>
          <w:szCs w:val="20"/>
          <w:color w:val="auto"/>
        </w:rPr>
      </w:pPr>
    </w:p>
    <w:p>
      <w:pPr>
        <w:ind w:left="780" w:right="440" w:hanging="326"/>
        <w:spacing w:after="0" w:line="275" w:lineRule="auto"/>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8" w:lineRule="exact"/>
        <w:rPr>
          <w:rFonts w:ascii="Times New Roman" w:cs="Times New Roman" w:eastAsia="Times New Roman" w:hAnsi="Times New Roman"/>
          <w:sz w:val="18"/>
          <w:szCs w:val="18"/>
          <w:color w:val="auto"/>
        </w:rPr>
      </w:pPr>
    </w:p>
    <w:p>
      <w:pPr>
        <w:ind w:left="1260" w:right="460" w:hanging="455"/>
        <w:spacing w:after="0" w:line="275" w:lineRule="auto"/>
        <w:tabs>
          <w:tab w:leader="none" w:pos="1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stock in other REITs. We believe that the properties qualify as real estate assets.</w:t>
      </w:r>
    </w:p>
    <w:p>
      <w:pPr>
        <w:spacing w:after="0" w:line="38" w:lineRule="exact"/>
        <w:rPr>
          <w:rFonts w:ascii="Times New Roman" w:cs="Times New Roman" w:eastAsia="Times New Roman" w:hAnsi="Times New Roman"/>
          <w:sz w:val="18"/>
          <w:szCs w:val="18"/>
          <w:color w:val="auto"/>
        </w:rPr>
      </w:pPr>
    </w:p>
    <w:p>
      <w:pPr>
        <w:ind w:left="1260" w:right="60" w:hanging="455"/>
        <w:spacing w:after="0" w:line="262" w:lineRule="auto"/>
        <w:tabs>
          <w:tab w:leader="none" w:pos="1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1" w:lineRule="exact"/>
        <w:rPr>
          <w:rFonts w:ascii="Times New Roman" w:cs="Times New Roman" w:eastAsia="Times New Roman" w:hAnsi="Times New Roman"/>
          <w:sz w:val="18"/>
          <w:szCs w:val="18"/>
          <w:color w:val="auto"/>
        </w:rPr>
      </w:pPr>
    </w:p>
    <w:p>
      <w:pPr>
        <w:ind w:left="1260" w:right="120" w:hanging="455"/>
        <w:spacing w:after="0" w:line="275" w:lineRule="auto"/>
        <w:tabs>
          <w:tab w:leader="none" w:pos="1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8" w:lineRule="exact"/>
        <w:rPr>
          <w:rFonts w:ascii="Times New Roman" w:cs="Times New Roman" w:eastAsia="Times New Roman" w:hAnsi="Times New Roman"/>
          <w:sz w:val="18"/>
          <w:szCs w:val="18"/>
          <w:color w:val="auto"/>
        </w:rPr>
      </w:pPr>
    </w:p>
    <w:p>
      <w:pPr>
        <w:ind w:left="780" w:right="20" w:hanging="326"/>
        <w:spacing w:after="0" w:line="262" w:lineRule="auto"/>
        <w:tabs>
          <w:tab w:leader="none" w:pos="7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800" w:right="60" w:firstLine="5"/>
        <w:spacing w:after="0" w:line="254"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35" w:lineRule="exact"/>
        <w:rPr>
          <w:sz w:val="20"/>
          <w:szCs w:val="20"/>
          <w:color w:val="auto"/>
        </w:rPr>
      </w:pPr>
    </w:p>
    <w:p>
      <w:pPr>
        <w:ind w:right="6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Relief from Consequences of Failing to Meet Asset Tests. </w:t>
      </w:r>
      <w:r>
        <w:rPr>
          <w:rFonts w:ascii="Times New Roman" w:cs="Times New Roman" w:eastAsia="Times New Roman" w:hAnsi="Times New Roman"/>
          <w:sz w:val="16"/>
          <w:szCs w:val="16"/>
          <w:color w:val="auto"/>
        </w:rPr>
        <w:t>If we fail to satisfy one or more of the asset tests for any quarter of a taxable year,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2" w:lineRule="exact"/>
        <w:rPr>
          <w:sz w:val="20"/>
          <w:szCs w:val="20"/>
          <w:color w:val="auto"/>
        </w:rPr>
      </w:pPr>
    </w:p>
    <w:p>
      <w:pPr>
        <w:ind w:firstLine="8"/>
        <w:spacing w:after="0" w:line="252" w:lineRule="auto"/>
        <w:tabs>
          <w:tab w:leader="none" w:pos="2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37"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8"/>
        <w:spacing w:after="0" w:line="258" w:lineRule="auto"/>
        <w:tabs>
          <w:tab w:leader="none" w:pos="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2"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Record Keeping Requirements</w:t>
      </w:r>
      <w:r>
        <w:rPr>
          <w:rFonts w:ascii="Times New Roman" w:cs="Times New Roman" w:eastAsia="Times New Roman" w:hAnsi="Times New Roman"/>
          <w:sz w:val="18"/>
          <w:szCs w:val="18"/>
          <w:color w:val="auto"/>
        </w:rPr>
        <w:t>. We must maintain certain records to qualify as a REIT. In addition, to avoid a monetary penalty, we must request on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both"/>
        <w:ind w:right="14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“taxable U.S. shareholder” means a taxable holder of common or preferred shares that for U.S. federal income tax purposes is</w:t>
      </w:r>
    </w:p>
    <w:p>
      <w:pPr>
        <w:spacing w:after="0" w:line="90" w:lineRule="exact"/>
        <w:rPr>
          <w:sz w:val="20"/>
          <w:szCs w:val="20"/>
          <w:color w:val="auto"/>
        </w:rPr>
      </w:pPr>
    </w:p>
    <w:p>
      <w:pPr>
        <w:ind w:left="780" w:hanging="326"/>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partnership, or other entity created or organized in or under the laws of the United States, any of its states or the District of Columbia;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90" w:lineRule="exact"/>
        <w:rPr>
          <w:rFonts w:ascii="Times New Roman" w:cs="Times New Roman" w:eastAsia="Times New Roman" w:hAnsi="Times New Roman"/>
          <w:sz w:val="18"/>
          <w:szCs w:val="18"/>
          <w:color w:val="auto"/>
        </w:rPr>
      </w:pPr>
    </w:p>
    <w:p>
      <w:pPr>
        <w:ind w:left="780" w:right="160" w:hanging="326"/>
        <w:spacing w:after="0" w:line="258"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3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20"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70"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and Other Taxable U.S. Shareholder Distributions. </w:t>
      </w:r>
      <w:r>
        <w:rPr>
          <w:rFonts w:ascii="Times New Roman" w:cs="Times New Roman" w:eastAsia="Times New Roman" w:hAnsi="Times New Roman"/>
          <w:sz w:val="16"/>
          <w:szCs w:val="16"/>
          <w:color w:val="auto"/>
        </w:rPr>
        <w:t>As long as we qualify as a REIT, a taxable U.S. shareholder must take into account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41" w:lineRule="exact"/>
        <w:rPr>
          <w:sz w:val="20"/>
          <w:szCs w:val="20"/>
          <w:color w:val="auto"/>
        </w:rPr>
      </w:pPr>
    </w:p>
    <w:p>
      <w:pPr>
        <w:ind w:right="220" w:firstLine="456"/>
        <w:spacing w:after="0" w:line="301" w:lineRule="auto"/>
        <w:rPr>
          <w:sz w:val="20"/>
          <w:szCs w:val="20"/>
          <w:color w:val="auto"/>
        </w:rPr>
      </w:pPr>
      <w:r>
        <w:rPr>
          <w:rFonts w:ascii="Times New Roman" w:cs="Times New Roman" w:eastAsia="Times New Roman" w:hAnsi="Times New Roman"/>
          <w:sz w:val="16"/>
          <w:szCs w:val="16"/>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0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3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3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who is not a dealer in securities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3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43" w:lineRule="exact"/>
        <w:rPr>
          <w:sz w:val="20"/>
          <w:szCs w:val="20"/>
          <w:color w:val="auto"/>
        </w:rPr>
      </w:pPr>
    </w:p>
    <w:p>
      <w:pPr>
        <w:ind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of Preferred Shares for Cash. </w:t>
      </w:r>
      <w:r>
        <w:rPr>
          <w:rFonts w:ascii="Times New Roman" w:cs="Times New Roman" w:eastAsia="Times New Roman" w:hAnsi="Times New Roman"/>
          <w:sz w:val="16"/>
          <w:szCs w:val="16"/>
          <w:color w:val="auto"/>
        </w:rPr>
        <w:t>The treatment accorded to any redemption by us for cash (as distinguished from a sale, exchange or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36"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 such as, for example, the holder’s ceasing to actually or constructively own any shares. There can be no assurance that the Proposed Treasury Regulations will be adopted, or that they will be adopted in their current form.</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39"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7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If a nonqualifying adjustment were made, the holders of preferred shares might be deemed to have received a taxable stock dividend.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15% for taxable years beginning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57" w:lineRule="exact"/>
        <w:rPr>
          <w:sz w:val="20"/>
          <w:szCs w:val="20"/>
          <w:color w:val="auto"/>
        </w:rPr>
      </w:pPr>
    </w:p>
    <w:p>
      <w:pPr>
        <w:ind w:left="780" w:hanging="326"/>
        <w:spacing w:after="0"/>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90" w:lineRule="exact"/>
        <w:rPr>
          <w:rFonts w:ascii="Times New Roman" w:cs="Times New Roman" w:eastAsia="Times New Roman" w:hAnsi="Times New Roman"/>
          <w:sz w:val="18"/>
          <w:szCs w:val="18"/>
          <w:color w:val="auto"/>
        </w:rPr>
      </w:pPr>
    </w:p>
    <w:p>
      <w:pPr>
        <w:ind w:left="780" w:right="200" w:hanging="326"/>
        <w:spacing w:after="0" w:line="275" w:lineRule="auto"/>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90"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16" w:lineRule="exact"/>
        <w:rPr>
          <w:sz w:val="20"/>
          <w:szCs w:val="20"/>
          <w:color w:val="auto"/>
        </w:rPr>
      </w:pPr>
    </w:p>
    <w:p>
      <w:pPr>
        <w:ind w:right="60"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Information Reporting and Backup Withholding. </w:t>
      </w:r>
      <w:r>
        <w:rPr>
          <w:rFonts w:ascii="Times New Roman" w:cs="Times New Roman" w:eastAsia="Times New Roman" w:hAnsi="Times New Roman"/>
          <w:sz w:val="16"/>
          <w:szCs w:val="16"/>
          <w:color w:val="auto"/>
        </w:rPr>
        <w:t>We will report to our shareholders and to the IRS the amount of dividends we pay during each calendar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64" w:lineRule="exact"/>
        <w:rPr>
          <w:sz w:val="20"/>
          <w:szCs w:val="20"/>
          <w:color w:val="auto"/>
        </w:rPr>
      </w:pPr>
    </w:p>
    <w:p>
      <w:pPr>
        <w:ind w:left="780" w:hanging="326"/>
        <w:spacing w:after="0"/>
        <w:tabs>
          <w:tab w:leader="none" w:pos="7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20" w:hanging="326"/>
        <w:spacing w:after="0" w:line="275" w:lineRule="auto"/>
        <w:tabs>
          <w:tab w:leader="none" w:pos="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8" w:lineRule="exact"/>
        <w:rPr>
          <w:rFonts w:ascii="Times New Roman" w:cs="Times New Roman" w:eastAsia="Times New Roman" w:hAnsi="Times New Roman"/>
          <w:sz w:val="18"/>
          <w:szCs w:val="18"/>
          <w:color w:val="auto"/>
        </w:rPr>
      </w:pPr>
    </w:p>
    <w:p>
      <w:pPr>
        <w:ind w:left="780" w:right="640" w:hanging="326"/>
        <w:spacing w:after="0" w:line="275" w:lineRule="auto"/>
        <w:tabs>
          <w:tab w:leader="none" w:pos="7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32" w:lineRule="exact"/>
        <w:rPr>
          <w:sz w:val="20"/>
          <w:szCs w:val="20"/>
          <w:color w:val="auto"/>
        </w:rPr>
      </w:pPr>
    </w:p>
    <w:p>
      <w:pPr>
        <w:ind w:right="8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Ordinary Dividends</w:t>
      </w:r>
      <w:r>
        <w:rPr>
          <w:rFonts w:ascii="Times New Roman" w:cs="Times New Roman" w:eastAsia="Times New Roman" w:hAnsi="Times New Roman"/>
          <w:sz w:val="16"/>
          <w:szCs w:val="16"/>
          <w:color w:val="auto"/>
        </w:rPr>
        <w:t>. A non-U.S. shareholder that receives a distribution that is not attributable to gain from our sale or exchange of U.S. real property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33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38"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w:t>
      </w:r>
      <w:r>
        <w:rPr>
          <w:rFonts w:ascii="Times New Roman" w:cs="Times New Roman" w:eastAsia="Times New Roman" w:hAnsi="Times New Roman"/>
          <w:sz w:val="18"/>
          <w:szCs w:val="18"/>
          <w:color w:val="auto"/>
        </w:rPr>
        <w:t>. Provided that a particular class of our shares is “regularly traded” on an established securities market in the United States,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non-U.S. shareholder does not own more than 5% of the shares of</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32"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335"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8"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Sale of Shares</w:t>
      </w:r>
      <w:r>
        <w:rPr>
          <w:rFonts w:ascii="Times New Roman" w:cs="Times New Roman" w:eastAsia="Times New Roman" w:hAnsi="Times New Roman"/>
          <w:sz w:val="16"/>
          <w:szCs w:val="16"/>
          <w:color w:val="auto"/>
        </w:rPr>
        <w:t>. A non-U.S. shareholder generally will not incur tax under FIRPTA on gain from the sale of its common or preferred shares as long as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32"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color w:val="auto"/>
        </w:rPr>
        <w:t>. We must report annually to the IRS and to each non-U.S. shareholder the amount of distributions paid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3"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Backup withholding and additional information reporting will generally not apply to distributions to a non-U.S. shareholder provided that the non-U.S. shareholder certifies under penalty of perjury that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51" w:lineRule="exact"/>
        <w:rPr>
          <w:sz w:val="20"/>
          <w:szCs w:val="20"/>
          <w:color w:val="auto"/>
        </w:rPr>
      </w:pPr>
    </w:p>
    <w:p>
      <w:pPr>
        <w:ind w:left="780" w:hanging="326"/>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(a foreign corporation controlled by certain U.S. shareholders) for U.S. tax purposes; or</w:t>
      </w:r>
    </w:p>
    <w:p>
      <w:pPr>
        <w:spacing w:after="0" w:line="90"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Consequences</w:t>
      </w:r>
    </w:p>
    <w:p>
      <w:pPr>
        <w:spacing w:after="0" w:line="88" w:lineRule="exact"/>
        <w:rPr>
          <w:sz w:val="20"/>
          <w:szCs w:val="20"/>
          <w:color w:val="auto"/>
        </w:rPr>
      </w:pPr>
    </w:p>
    <w:p>
      <w:pPr>
        <w:jc w:val="both"/>
        <w:ind w:right="2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State and Local Taxes</w:t>
      </w:r>
      <w:r>
        <w:rPr>
          <w:rFonts w:ascii="Times New Roman" w:cs="Times New Roman" w:eastAsia="Times New Roman" w:hAnsi="Times New Roman"/>
          <w:sz w:val="16"/>
          <w:szCs w:val="16"/>
          <w:color w:val="auto"/>
        </w:rPr>
        <w:t>. We and/or you may be subject to state and local tax in various states and localities, including those states and localities in which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90" w:lineRule="exact"/>
        <w:rPr>
          <w:sz w:val="20"/>
          <w:szCs w:val="20"/>
          <w:color w:val="auto"/>
        </w:rPr>
      </w:pPr>
    </w:p>
    <w:p>
      <w:pPr>
        <w:ind w:left="780" w:right="460" w:hanging="326"/>
        <w:spacing w:after="0" w:line="275" w:lineRule="auto"/>
        <w:tabs>
          <w:tab w:leader="none" w:pos="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4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38"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32"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 xml:space="preserve">We file annual, quarterly and special reports, proxy statements and other information with the SEC. Our SEC filings are available to the public at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You may also read and copy any document we file at the SEC’s Public Reference Room at 100 F Street, N.E., Washington, D.C. 20549.</w:t>
      </w:r>
    </w:p>
    <w:p>
      <w:pPr>
        <w:spacing w:after="0" w:line="7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3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31" w:lineRule="exact"/>
        <w:rPr>
          <w:sz w:val="20"/>
          <w:szCs w:val="20"/>
          <w:color w:val="auto"/>
        </w:rPr>
      </w:pPr>
    </w:p>
    <w:p>
      <w:pPr>
        <w:ind w:left="5620" w:right="5000" w:hanging="5166"/>
        <w:spacing w:after="0" w:line="447" w:lineRule="auto"/>
        <w:tabs>
          <w:tab w:leader="none" w:pos="7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2005; 46</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February 23,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February 28,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March 10, 2006;</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 and</w:t>
      </w:r>
    </w:p>
    <w:p>
      <w:pPr>
        <w:spacing w:after="0" w:line="90" w:lineRule="exact"/>
        <w:rPr>
          <w:rFonts w:ascii="Times New Roman" w:cs="Times New Roman" w:eastAsia="Times New Roman" w:hAnsi="Times New Roman"/>
          <w:sz w:val="18"/>
          <w:szCs w:val="18"/>
          <w:color w:val="auto"/>
        </w:rPr>
      </w:pPr>
    </w:p>
    <w:p>
      <w:pPr>
        <w:ind w:left="780" w:right="140" w:hanging="326"/>
        <w:spacing w:after="0" w:line="262" w:lineRule="auto"/>
        <w:tabs>
          <w:tab w:leader="none" w:pos="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3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Copies of these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direct your request to:</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Andrew P. Blocher</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(301) 998-8100 or (301) 658-8980</w:t>
      </w:r>
    </w:p>
    <w:p>
      <w:pPr>
        <w:spacing w:after="0" w:line="15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32406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116840</wp:posOffset>
            </wp:positionV>
            <wp:extent cx="2143760" cy="814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80"/>
        <w:spacing w:after="0"/>
        <w:tabs>
          <w:tab w:leader="none" w:pos="5080" w:val="left"/>
        </w:tabs>
        <w:rPr>
          <w:sz w:val="20"/>
          <w:szCs w:val="20"/>
          <w:color w:val="auto"/>
        </w:rPr>
      </w:pPr>
      <w:r>
        <w:rPr>
          <w:rFonts w:ascii="Times New Roman" w:cs="Times New Roman" w:eastAsia="Times New Roman" w:hAnsi="Times New Roman"/>
          <w:sz w:val="22"/>
          <w:szCs w:val="22"/>
          <w:b w:val="1"/>
          <w:bCs w:val="1"/>
          <w:color w:val="32406B"/>
        </w:rPr>
        <w:t>$</w:t>
      </w:r>
      <w:r>
        <w:rPr>
          <w:sz w:val="20"/>
          <w:szCs w:val="20"/>
          <w:color w:val="auto"/>
        </w:rPr>
        <w:tab/>
      </w:r>
      <w:r>
        <w:rPr>
          <w:rFonts w:ascii="Times New Roman" w:cs="Times New Roman" w:eastAsia="Times New Roman" w:hAnsi="Times New Roman"/>
          <w:sz w:val="22"/>
          <w:szCs w:val="22"/>
          <w:b w:val="1"/>
          <w:bCs w:val="1"/>
          <w:color w:val="32406B"/>
        </w:rPr>
        <w:t>6.00% Notes due 2012</w:t>
      </w:r>
    </w:p>
    <w:p>
      <w:pPr>
        <w:spacing w:after="0" w:line="18" w:lineRule="exact"/>
        <w:rPr>
          <w:sz w:val="20"/>
          <w:szCs w:val="20"/>
          <w:color w:val="auto"/>
        </w:rPr>
      </w:pPr>
    </w:p>
    <w:p>
      <w:pPr>
        <w:ind w:left="4280"/>
        <w:spacing w:after="0"/>
        <w:tabs>
          <w:tab w:leader="none" w:pos="5080" w:val="left"/>
        </w:tabs>
        <w:rPr>
          <w:sz w:val="20"/>
          <w:szCs w:val="20"/>
          <w:color w:val="auto"/>
        </w:rPr>
      </w:pPr>
      <w:r>
        <w:rPr>
          <w:rFonts w:ascii="Times New Roman" w:cs="Times New Roman" w:eastAsia="Times New Roman" w:hAnsi="Times New Roman"/>
          <w:sz w:val="22"/>
          <w:szCs w:val="22"/>
          <w:b w:val="1"/>
          <w:bCs w:val="1"/>
          <w:color w:val="32406B"/>
        </w:rPr>
        <w:t>$</w:t>
      </w:r>
      <w:r>
        <w:rPr>
          <w:sz w:val="20"/>
          <w:szCs w:val="20"/>
          <w:color w:val="auto"/>
        </w:rPr>
        <w:tab/>
      </w:r>
      <w:r>
        <w:rPr>
          <w:rFonts w:ascii="Times New Roman" w:cs="Times New Roman" w:eastAsia="Times New Roman" w:hAnsi="Times New Roman"/>
          <w:sz w:val="22"/>
          <w:szCs w:val="22"/>
          <w:b w:val="1"/>
          <w:bCs w:val="1"/>
          <w:color w:val="32406B"/>
        </w:rPr>
        <w:t>6.20%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32406B"/>
        </w:rPr>
        <w:t>PROSPECTUS SUPPLEMENT</w:t>
      </w:r>
    </w:p>
    <w:p>
      <w:pPr>
        <w:spacing w:after="0" w:line="171" w:lineRule="exact"/>
        <w:rPr>
          <w:sz w:val="20"/>
          <w:szCs w:val="20"/>
          <w:color w:val="auto"/>
        </w:rPr>
      </w:pPr>
    </w:p>
    <w:p>
      <w:pPr>
        <w:jc w:val="center"/>
        <w:ind w:left="960"/>
        <w:spacing w:after="0"/>
        <w:tabs>
          <w:tab w:leader="none" w:pos="200" w:val="left"/>
        </w:tabs>
        <w:rPr>
          <w:sz w:val="20"/>
          <w:szCs w:val="20"/>
          <w:color w:val="auto"/>
        </w:rPr>
      </w:pPr>
      <w:r>
        <w:rPr>
          <w:rFonts w:ascii="Times New Roman" w:cs="Times New Roman" w:eastAsia="Times New Roman" w:hAnsi="Times New Roman"/>
          <w:sz w:val="18"/>
          <w:szCs w:val="18"/>
          <w:b w:val="1"/>
          <w:bCs w:val="1"/>
          <w:color w:val="32406B"/>
        </w:rPr>
        <w:t>September</w:t>
        <w:tab/>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264795</wp:posOffset>
            </wp:positionV>
            <wp:extent cx="1534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Wachovia Securities</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Bear, Stearns &amp; Co. Inc.</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Citigroup</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Merrill Lynch &amp; Co.</w:t>
      </w:r>
    </w:p>
    <w:p>
      <w:pPr>
        <w:spacing w:after="0" w:line="15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32406B"/>
        </w:rPr>
        <w:t>RBC Capital Markets</w:t>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
      <w:numFmt w:val="bullet"/>
      <w:start w:val="1"/>
    </w:lvl>
    <w:lvl w:ilvl="1">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2"/>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lvl w:ilvl="1">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lvl w:ilvl="1">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1"/>
    </w:lvl>
    <w:lvl w:ilvl="1">
      <w:lvlJc w:val="left"/>
      <w:lvlText w:val="(%2)"/>
      <w:numFmt w:val="lowerLetter"/>
      <w:start w:val="1"/>
    </w:lvl>
  </w:abstractNum>
  <w:abstractNum w:abstractNumId="34">
    <w:nsid w:val="77AE35EB"/>
    <w:multiLevelType w:val="hybridMultilevel"/>
    <w:lvl w:ilvl="0">
      <w:lvlJc w:val="left"/>
      <w:lvlText w:val="%1"/>
      <w:numFmt w:val="decimal"/>
      <w:start w:val="1"/>
    </w:lvl>
    <w:lvl w:ilvl="1">
      <w:lvlJc w:val="left"/>
      <w:lvlText w:val="(%2)"/>
      <w:numFmt w:val="lowerLetter"/>
      <w:start w:val="2"/>
    </w:lvl>
  </w:abstractNum>
  <w:abstractNum w:abstractNumId="35">
    <w:nsid w:val="579BE4F1"/>
    <w:multiLevelType w:val="hybridMultilevel"/>
    <w:lvl w:ilvl="0">
      <w:lvlJc w:val="left"/>
      <w:lvlText w:val="%1."/>
      <w:numFmt w:val="decimal"/>
      <w:start w:val="5"/>
    </w:lvl>
    <w:lvl w:ilvl="1">
      <w:lvlJc w:val="left"/>
      <w:lvlText w:val="(%2)"/>
      <w:numFmt w:val="lowerLetter"/>
      <w:start w:val="1"/>
    </w:lvl>
  </w:abstractNum>
  <w:abstractNum w:abstractNumId="36">
    <w:nsid w:val="310C50B3"/>
    <w:multiLevelType w:val="hybridMultilevel"/>
    <w:lvl w:ilvl="0">
      <w:lvlJc w:val="left"/>
      <w:lvlText w:val="%1."/>
      <w:numFmt w:val="decimal"/>
      <w:start w:val="7"/>
    </w:lvl>
    <w:lvl w:ilvl="1">
      <w:lvlJc w:val="left"/>
      <w:lvlText w:val="(%2)"/>
      <w:numFmt w:val="lowerLetter"/>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lvl w:ilvl="1">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lvl w:ilvl="1">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lvl w:ilvl="1">
      <w:lvlJc w:val="left"/>
      <w:lvlText w:val="•"/>
      <w:numFmt w:val="bullet"/>
      <w:start w:val="1"/>
    </w:lvl>
  </w:abstractNum>
  <w:abstractNum w:abstractNumId="79">
    <w:nsid w:val="6F6DD9AC"/>
    <w:multiLevelType w:val="hybridMultilevel"/>
    <w:lvl w:ilvl="0">
      <w:lvlJc w:val="left"/>
      <w:lvlText w:val="(%1)"/>
      <w:numFmt w:val="upperLetter"/>
      <w:start w:val="2"/>
    </w:lvl>
  </w:abstractNum>
  <w:abstractNum w:abstractNumId="80">
    <w:nsid w:val="94211F2"/>
    <w:multiLevelType w:val="hybridMultilevel"/>
    <w:lvl w:ilvl="0">
      <w:lvlJc w:val="left"/>
      <w:lvlText w:val="(%1)"/>
      <w:numFmt w:val="lowerRoman"/>
      <w:start w:val="2"/>
    </w:lvl>
  </w:abstractNum>
  <w:abstractNum w:abstractNumId="81">
    <w:nsid w:val="885E1B"/>
    <w:multiLevelType w:val="hybridMultilevel"/>
    <w:lvl w:ilvl="0">
      <w:lvlJc w:val="left"/>
      <w:lvlText w:val="(%1)"/>
      <w:numFmt w:val="decimal"/>
      <w:start w:val="3"/>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2019-12-13T00:50:20Z</dcterms:created>
  <dcterms:modified xsi:type="dcterms:W3CDTF">2019-12-13T00:50:20Z</dcterms:modified>
</cp:coreProperties>
</file>