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7"/>
          <w:szCs w:val="17"/>
          <w:color w:val="auto"/>
        </w:rPr>
        <w:t>FORM 8-K</w:t>
      </w:r>
    </w:p>
    <w:p>
      <w:pPr>
        <w:spacing w:after="0" w:line="196"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7"/>
          <w:szCs w:val="17"/>
          <w:color w:val="auto"/>
        </w:rPr>
        <w:t>CURRENT REPORT</w:t>
      </w:r>
    </w:p>
    <w:p>
      <w:pPr>
        <w:spacing w:after="0" w:line="199" w:lineRule="exact"/>
        <w:rPr>
          <w:sz w:val="24"/>
          <w:szCs w:val="24"/>
          <w:color w:val="auto"/>
        </w:rPr>
      </w:pPr>
    </w:p>
    <w:p>
      <w:pPr>
        <w:jc w:val="center"/>
        <w:ind w:right="253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5"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Date of Report (Date of earliest event reported) May 9, 2003</w:t>
      </w:r>
    </w:p>
    <w:p>
      <w:pPr>
        <w:spacing w:after="0" w:line="391"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9819"/>
          </w:cols>
          <w:pgMar w:left="640" w:top="632" w:right="1440" w:bottom="1440" w:gutter="0" w:footer="0" w:header="0"/>
        </w:sectPr>
      </w:pPr>
    </w:p>
    <w:p>
      <w:pPr>
        <w:spacing w:after="0" w:line="196" w:lineRule="exact"/>
        <w:rPr>
          <w:sz w:val="24"/>
          <w:szCs w:val="24"/>
          <w:color w:val="auto"/>
        </w:rPr>
      </w:pPr>
    </w:p>
    <w:p>
      <w:pPr>
        <w:ind w:left="1120"/>
        <w:spacing w:after="0"/>
        <w:rPr>
          <w:sz w:val="20"/>
          <w:szCs w:val="20"/>
          <w:color w:val="auto"/>
        </w:rPr>
      </w:pPr>
      <w:r>
        <w:rPr>
          <w:rFonts w:ascii="Courier New" w:cs="Courier New" w:eastAsia="Courier New" w:hAnsi="Courier New"/>
          <w:sz w:val="17"/>
          <w:szCs w:val="17"/>
          <w:color w:val="auto"/>
        </w:rPr>
        <w:t>Maryland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1"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of incorporation)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1-07533</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52-0782497</w:t>
      </w:r>
    </w:p>
    <w:p>
      <w:pPr>
        <w:spacing w:after="0" w:line="2"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8" w:lineRule="exact"/>
        <w:rPr>
          <w:sz w:val="24"/>
          <w:szCs w:val="24"/>
          <w:color w:val="auto"/>
        </w:rPr>
      </w:pPr>
    </w:p>
    <w:p>
      <w:pPr>
        <w:sectPr>
          <w:pgSz w:w="11900" w:h="16838" w:orient="portrait"/>
          <w:cols w:equalWidth="0" w:num="3">
            <w:col w:w="3020" w:space="720"/>
            <w:col w:w="1320" w:space="720"/>
            <w:col w:w="4039"/>
          </w:cols>
          <w:pgMar w:left="640" w:top="632" w:right="1440" w:bottom="1440" w:gutter="0" w:footer="0" w:header="0"/>
          <w:type w:val="continuous"/>
        </w:sectPr>
      </w:pPr>
    </w:p>
    <w:p>
      <w:pPr>
        <w:ind w:left="320" w:right="900" w:hanging="403"/>
        <w:spacing w:after="0" w:line="269" w:lineRule="auto"/>
        <w:rPr>
          <w:sz w:val="20"/>
          <w:szCs w:val="20"/>
          <w:color w:val="auto"/>
        </w:rPr>
      </w:pPr>
      <w:r>
        <w:rPr>
          <w:rFonts w:ascii="Courier New" w:cs="Courier New" w:eastAsia="Courier New" w:hAnsi="Courier New"/>
          <w:sz w:val="16"/>
          <w:szCs w:val="16"/>
          <w:color w:val="auto"/>
        </w:rPr>
        <w:t>1626 East Jefferson Street, Rockville, Maryland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20852-4041</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7" w:lineRule="exact"/>
        <w:rPr>
          <w:sz w:val="24"/>
          <w:szCs w:val="24"/>
          <w:color w:val="auto"/>
        </w:rPr>
      </w:pPr>
    </w:p>
    <w:p>
      <w:pPr>
        <w:sectPr>
          <w:pgSz w:w="11900" w:h="16838" w:orient="portrait"/>
          <w:cols w:equalWidth="0" w:num="2">
            <w:col w:w="5560" w:space="720"/>
            <w:col w:w="3539"/>
          </w:cols>
          <w:pgMar w:left="640" w:top="632" w:right="1440" w:bottom="1440" w:gutter="0" w:footer="0" w:header="0"/>
          <w:type w:val="continuous"/>
        </w:sectPr>
      </w:pPr>
    </w:p>
    <w:p>
      <w:pPr>
        <w:ind w:left="520"/>
        <w:spacing w:after="0"/>
        <w:rPr>
          <w:sz w:val="20"/>
          <w:szCs w:val="20"/>
          <w:color w:val="auto"/>
        </w:rPr>
      </w:pPr>
      <w:r>
        <w:rPr>
          <w:rFonts w:ascii="Courier New" w:cs="Courier New" w:eastAsia="Courier New" w:hAnsi="Courier New"/>
          <w:sz w:val="16"/>
          <w:szCs w:val="16"/>
          <w:color w:val="auto"/>
        </w:rPr>
        <w:t>Registrant's telephone number including area code: 301/998-8100</w:t>
      </w:r>
    </w:p>
    <w:p>
      <w:pPr>
        <w:sectPr>
          <w:pgSz w:w="11900" w:h="16838" w:orient="portrait"/>
          <w:cols w:equalWidth="0" w:num="1">
            <w:col w:w="9819"/>
          </w:cols>
          <w:pgMar w:left="640" w:top="632"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Item 7. Financial Statements and Exhibits.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Exhibits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exhibits listed in the following index relate to an offering under the Registrant's Registration Statement on Form S-3 (No. 333-100819) and each is filed herewith for incorporation by reference in such Registration Statement. The following table constitutes the exhibit index to this Current Report on Form 8-K.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2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Description</w:t>
            </w:r>
          </w:p>
        </w:tc>
        <w:tc>
          <w:tcPr>
            <w:tcW w:w="3880" w:type="dxa"/>
            <w:vAlign w:val="bottom"/>
          </w:tcPr>
          <w:p>
            <w:pPr>
              <w:spacing w:after="0"/>
              <w:rPr>
                <w:sz w:val="16"/>
                <w:szCs w:val="16"/>
                <w:color w:val="auto"/>
              </w:rPr>
            </w:pPr>
          </w:p>
        </w:tc>
      </w:tr>
      <w:tr>
        <w:trPr>
          <w:trHeight w:val="389"/>
        </w:trPr>
        <w:tc>
          <w:tcPr>
            <w:tcW w:w="1320" w:type="dxa"/>
            <w:vAlign w:val="bottom"/>
          </w:tcPr>
          <w:p>
            <w:pPr>
              <w:spacing w:after="0"/>
              <w:rPr>
                <w:sz w:val="20"/>
                <w:szCs w:val="20"/>
                <w:color w:val="auto"/>
              </w:rPr>
            </w:pPr>
            <w:r>
              <w:rPr>
                <w:rFonts w:ascii="Courier New" w:cs="Courier New" w:eastAsia="Courier New" w:hAnsi="Courier New"/>
                <w:sz w:val="17"/>
                <w:szCs w:val="17"/>
                <w:color w:val="auto"/>
              </w:rPr>
              <w:t>1.01</w:t>
            </w:r>
          </w:p>
        </w:tc>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Underwriting Agreement,</w:t>
            </w:r>
          </w:p>
        </w:tc>
        <w:tc>
          <w:tcPr>
            <w:tcW w:w="3880" w:type="dxa"/>
            <w:vAlign w:val="bottom"/>
          </w:tcPr>
          <w:p>
            <w:pPr>
              <w:ind w:left="40"/>
              <w:spacing w:after="0"/>
              <w:rPr>
                <w:sz w:val="20"/>
                <w:szCs w:val="20"/>
                <w:color w:val="auto"/>
              </w:rPr>
            </w:pPr>
            <w:r>
              <w:rPr>
                <w:rFonts w:ascii="Courier New" w:cs="Courier New" w:eastAsia="Courier New" w:hAnsi="Courier New"/>
                <w:sz w:val="17"/>
                <w:szCs w:val="17"/>
                <w:color w:val="auto"/>
              </w:rPr>
              <w:t>dated May 9, 2003, by and among the</w:t>
            </w:r>
          </w:p>
        </w:tc>
      </w:tr>
      <w:tr>
        <w:trPr>
          <w:trHeight w:val="194"/>
        </w:trPr>
        <w:tc>
          <w:tcPr>
            <w:tcW w:w="1320" w:type="dxa"/>
            <w:vAlign w:val="bottom"/>
          </w:tcPr>
          <w:p>
            <w:pPr>
              <w:spacing w:after="0"/>
              <w:rPr>
                <w:sz w:val="16"/>
                <w:szCs w:val="16"/>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Registrant and Wachovia</w:t>
            </w:r>
          </w:p>
        </w:tc>
        <w:tc>
          <w:tcPr>
            <w:tcW w:w="3880" w:type="dxa"/>
            <w:vAlign w:val="bottom"/>
          </w:tcPr>
          <w:p>
            <w:pPr>
              <w:ind w:left="40"/>
              <w:spacing w:after="0"/>
              <w:rPr>
                <w:sz w:val="20"/>
                <w:szCs w:val="20"/>
                <w:color w:val="auto"/>
              </w:rPr>
            </w:pPr>
            <w:r>
              <w:rPr>
                <w:rFonts w:ascii="Courier New" w:cs="Courier New" w:eastAsia="Courier New" w:hAnsi="Courier New"/>
                <w:sz w:val="17"/>
                <w:szCs w:val="17"/>
                <w:color w:val="auto"/>
              </w:rPr>
              <w:t>Securities, Inc.</w:t>
            </w:r>
          </w:p>
        </w:tc>
      </w:tr>
      <w:tr>
        <w:trPr>
          <w:trHeight w:val="389"/>
        </w:trPr>
        <w:tc>
          <w:tcPr>
            <w:tcW w:w="1320" w:type="dxa"/>
            <w:vAlign w:val="bottom"/>
          </w:tcPr>
          <w:p>
            <w:pPr>
              <w:spacing w:after="0"/>
              <w:rPr>
                <w:sz w:val="20"/>
                <w:szCs w:val="20"/>
                <w:color w:val="auto"/>
              </w:rPr>
            </w:pPr>
            <w:r>
              <w:rPr>
                <w:rFonts w:ascii="Courier New" w:cs="Courier New" w:eastAsia="Courier New" w:hAnsi="Courier New"/>
                <w:sz w:val="17"/>
                <w:szCs w:val="17"/>
                <w:color w:val="auto"/>
              </w:rPr>
              <w:t>1.02</w:t>
            </w:r>
          </w:p>
        </w:tc>
        <w:tc>
          <w:tcPr>
            <w:tcW w:w="64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Pricing Agreement, dated May 9, 2003, by and between the</w:t>
            </w:r>
          </w:p>
        </w:tc>
      </w:tr>
      <w:tr>
        <w:trPr>
          <w:trHeight w:val="194"/>
        </w:trPr>
        <w:tc>
          <w:tcPr>
            <w:tcW w:w="1320" w:type="dxa"/>
            <w:vAlign w:val="bottom"/>
          </w:tcPr>
          <w:p>
            <w:pPr>
              <w:spacing w:after="0"/>
              <w:rPr>
                <w:sz w:val="16"/>
                <w:szCs w:val="16"/>
                <w:color w:val="auto"/>
              </w:rPr>
            </w:pPr>
          </w:p>
        </w:tc>
        <w:tc>
          <w:tcPr>
            <w:tcW w:w="64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Registrant and the Underwriter named therein.</w:t>
            </w:r>
          </w:p>
        </w:tc>
      </w:tr>
      <w:tr>
        <w:trPr>
          <w:trHeight w:val="389"/>
        </w:trPr>
        <w:tc>
          <w:tcPr>
            <w:tcW w:w="1320" w:type="dxa"/>
            <w:vAlign w:val="bottom"/>
          </w:tcPr>
          <w:p>
            <w:pPr>
              <w:spacing w:after="0"/>
              <w:rPr>
                <w:sz w:val="20"/>
                <w:szCs w:val="20"/>
                <w:color w:val="auto"/>
              </w:rPr>
            </w:pPr>
            <w:r>
              <w:rPr>
                <w:rFonts w:ascii="Courier New" w:cs="Courier New" w:eastAsia="Courier New" w:hAnsi="Courier New"/>
                <w:sz w:val="17"/>
                <w:szCs w:val="17"/>
                <w:color w:val="auto"/>
              </w:rPr>
              <w:t>4.01</w:t>
            </w:r>
          </w:p>
        </w:tc>
        <w:tc>
          <w:tcPr>
            <w:tcW w:w="6460" w:type="dxa"/>
            <w:vAlign w:val="bottom"/>
            <w:gridSpan w:val="2"/>
          </w:tcPr>
          <w:p>
            <w:pPr>
              <w:ind w:left="200"/>
              <w:spacing w:after="0"/>
              <w:rPr>
                <w:sz w:val="20"/>
                <w:szCs w:val="20"/>
                <w:color w:val="auto"/>
              </w:rPr>
            </w:pPr>
            <w:r>
              <w:rPr>
                <w:rFonts w:ascii="Courier New" w:cs="Courier New" w:eastAsia="Courier New" w:hAnsi="Courier New"/>
                <w:sz w:val="17"/>
                <w:szCs w:val="17"/>
                <w:color w:val="auto"/>
                <w:w w:val="98"/>
              </w:rPr>
              <w:t>Specimen Common Share certificate (previously filed as Exhibit</w:t>
            </w:r>
          </w:p>
        </w:tc>
      </w:tr>
      <w:tr>
        <w:trPr>
          <w:trHeight w:val="194"/>
        </w:trPr>
        <w:tc>
          <w:tcPr>
            <w:tcW w:w="1320" w:type="dxa"/>
            <w:vAlign w:val="bottom"/>
          </w:tcPr>
          <w:p>
            <w:pPr>
              <w:spacing w:after="0"/>
              <w:rPr>
                <w:sz w:val="16"/>
                <w:szCs w:val="16"/>
                <w:color w:val="auto"/>
              </w:rPr>
            </w:pPr>
          </w:p>
        </w:tc>
        <w:tc>
          <w:tcPr>
            <w:tcW w:w="646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4(i) to the Company's Annual Report on Form 10-K for the year</w:t>
            </w:r>
          </w:p>
        </w:tc>
      </w:tr>
      <w:tr>
        <w:trPr>
          <w:trHeight w:val="194"/>
        </w:trPr>
        <w:tc>
          <w:tcPr>
            <w:tcW w:w="1320" w:type="dxa"/>
            <w:vAlign w:val="bottom"/>
          </w:tcPr>
          <w:p>
            <w:pPr>
              <w:spacing w:after="0"/>
              <w:rPr>
                <w:sz w:val="16"/>
                <w:szCs w:val="16"/>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ended December 31, 1999</w:t>
            </w:r>
          </w:p>
        </w:tc>
        <w:tc>
          <w:tcPr>
            <w:tcW w:w="3880" w:type="dxa"/>
            <w:vAlign w:val="bottom"/>
          </w:tcPr>
          <w:p>
            <w:pPr>
              <w:ind w:left="40"/>
              <w:spacing w:after="0"/>
              <w:rPr>
                <w:sz w:val="20"/>
                <w:szCs w:val="20"/>
                <w:color w:val="auto"/>
              </w:rPr>
            </w:pPr>
            <w:r>
              <w:rPr>
                <w:rFonts w:ascii="Courier New" w:cs="Courier New" w:eastAsia="Courier New" w:hAnsi="Courier New"/>
                <w:sz w:val="17"/>
                <w:szCs w:val="17"/>
                <w:color w:val="auto"/>
              </w:rPr>
              <w:t>(File No. 1-07533) and incorporated</w:t>
            </w:r>
          </w:p>
        </w:tc>
      </w:tr>
      <w:tr>
        <w:trPr>
          <w:trHeight w:val="194"/>
        </w:trPr>
        <w:tc>
          <w:tcPr>
            <w:tcW w:w="1320" w:type="dxa"/>
            <w:vAlign w:val="bottom"/>
          </w:tcPr>
          <w:p>
            <w:pPr>
              <w:spacing w:after="0"/>
              <w:rPr>
                <w:sz w:val="16"/>
                <w:szCs w:val="16"/>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herein by reference).</w:t>
            </w:r>
          </w:p>
        </w:tc>
        <w:tc>
          <w:tcPr>
            <w:tcW w:w="3880" w:type="dxa"/>
            <w:vAlign w:val="bottom"/>
          </w:tcPr>
          <w:p>
            <w:pPr>
              <w:spacing w:after="0"/>
              <w:rPr>
                <w:sz w:val="16"/>
                <w:szCs w:val="16"/>
                <w:color w:val="auto"/>
              </w:rPr>
            </w:pPr>
          </w:p>
        </w:tc>
      </w:tr>
      <w:tr>
        <w:trPr>
          <w:trHeight w:val="389"/>
        </w:trPr>
        <w:tc>
          <w:tcPr>
            <w:tcW w:w="1320" w:type="dxa"/>
            <w:vAlign w:val="bottom"/>
          </w:tcPr>
          <w:p>
            <w:pPr>
              <w:spacing w:after="0"/>
              <w:rPr>
                <w:sz w:val="20"/>
                <w:szCs w:val="20"/>
                <w:color w:val="auto"/>
              </w:rPr>
            </w:pPr>
            <w:r>
              <w:rPr>
                <w:rFonts w:ascii="Courier New" w:cs="Courier New" w:eastAsia="Courier New" w:hAnsi="Courier New"/>
                <w:sz w:val="17"/>
                <w:szCs w:val="17"/>
                <w:color w:val="auto"/>
              </w:rPr>
              <w:t>5.01</w:t>
            </w:r>
          </w:p>
        </w:tc>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Opinion of Shaw Pittman</w:t>
            </w:r>
          </w:p>
        </w:tc>
        <w:tc>
          <w:tcPr>
            <w:tcW w:w="3880" w:type="dxa"/>
            <w:vAlign w:val="bottom"/>
          </w:tcPr>
          <w:p>
            <w:pPr>
              <w:ind w:left="40"/>
              <w:spacing w:after="0"/>
              <w:rPr>
                <w:sz w:val="20"/>
                <w:szCs w:val="20"/>
                <w:color w:val="auto"/>
              </w:rPr>
            </w:pPr>
            <w:r>
              <w:rPr>
                <w:rFonts w:ascii="Courier New" w:cs="Courier New" w:eastAsia="Courier New" w:hAnsi="Courier New"/>
                <w:sz w:val="17"/>
                <w:szCs w:val="17"/>
                <w:color w:val="auto"/>
              </w:rPr>
              <w:t>LLP relating to the legality of the</w:t>
            </w:r>
          </w:p>
        </w:tc>
      </w:tr>
      <w:tr>
        <w:trPr>
          <w:trHeight w:val="194"/>
        </w:trPr>
        <w:tc>
          <w:tcPr>
            <w:tcW w:w="1320" w:type="dxa"/>
            <w:vAlign w:val="bottom"/>
          </w:tcPr>
          <w:p>
            <w:pPr>
              <w:spacing w:after="0"/>
              <w:rPr>
                <w:sz w:val="16"/>
                <w:szCs w:val="16"/>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Common Shares.</w:t>
            </w:r>
          </w:p>
        </w:tc>
        <w:tc>
          <w:tcPr>
            <w:tcW w:w="3880" w:type="dxa"/>
            <w:vAlign w:val="bottom"/>
          </w:tcPr>
          <w:p>
            <w:pPr>
              <w:spacing w:after="0"/>
              <w:rPr>
                <w:sz w:val="16"/>
                <w:szCs w:val="16"/>
                <w:color w:val="auto"/>
              </w:rPr>
            </w:pPr>
          </w:p>
        </w:tc>
      </w:tr>
      <w:tr>
        <w:trPr>
          <w:trHeight w:val="389"/>
        </w:trPr>
        <w:tc>
          <w:tcPr>
            <w:tcW w:w="1320" w:type="dxa"/>
            <w:vAlign w:val="bottom"/>
          </w:tcPr>
          <w:p>
            <w:pPr>
              <w:spacing w:after="0"/>
              <w:rPr>
                <w:sz w:val="20"/>
                <w:szCs w:val="20"/>
                <w:color w:val="auto"/>
              </w:rPr>
            </w:pPr>
            <w:r>
              <w:rPr>
                <w:rFonts w:ascii="Courier New" w:cs="Courier New" w:eastAsia="Courier New" w:hAnsi="Courier New"/>
                <w:sz w:val="17"/>
                <w:szCs w:val="17"/>
                <w:color w:val="auto"/>
              </w:rPr>
              <w:t>8.01</w:t>
            </w:r>
          </w:p>
        </w:tc>
        <w:tc>
          <w:tcPr>
            <w:tcW w:w="2580" w:type="dxa"/>
            <w:vAlign w:val="bottom"/>
          </w:tcPr>
          <w:p>
            <w:pPr>
              <w:ind w:left="200"/>
              <w:spacing w:after="0"/>
              <w:rPr>
                <w:sz w:val="20"/>
                <w:szCs w:val="20"/>
                <w:color w:val="auto"/>
              </w:rPr>
            </w:pPr>
            <w:r>
              <w:rPr>
                <w:rFonts w:ascii="Courier New" w:cs="Courier New" w:eastAsia="Courier New" w:hAnsi="Courier New"/>
                <w:sz w:val="17"/>
                <w:szCs w:val="17"/>
                <w:color w:val="auto"/>
              </w:rPr>
              <w:t>Opinion of Shaw Pittman</w:t>
            </w:r>
          </w:p>
        </w:tc>
        <w:tc>
          <w:tcPr>
            <w:tcW w:w="3880" w:type="dxa"/>
            <w:vAlign w:val="bottom"/>
          </w:tcPr>
          <w:p>
            <w:pPr>
              <w:ind w:left="40"/>
              <w:spacing w:after="0"/>
              <w:rPr>
                <w:sz w:val="20"/>
                <w:szCs w:val="20"/>
                <w:color w:val="auto"/>
              </w:rPr>
            </w:pPr>
            <w:r>
              <w:rPr>
                <w:rFonts w:ascii="Courier New" w:cs="Courier New" w:eastAsia="Courier New" w:hAnsi="Courier New"/>
                <w:sz w:val="17"/>
                <w:szCs w:val="17"/>
                <w:color w:val="auto"/>
              </w:rPr>
              <w:t>LLP relating to material tax matters</w:t>
            </w:r>
          </w:p>
        </w:tc>
      </w:tr>
    </w:tbl>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relating to the Registrant.</w:t>
      </w:r>
    </w:p>
    <w:p>
      <w:pPr>
        <w:sectPr>
          <w:pgSz w:w="11900" w:h="16838" w:orient="portrait"/>
          <w:cols w:equalWidth="0" w:num="1">
            <w:col w:w="10219"/>
          </w:cols>
          <w:pgMar w:left="240" w:top="697" w:right="1440" w:bottom="1440" w:gutter="0" w:footer="0" w:header="0"/>
        </w:sectPr>
      </w:pPr>
    </w:p>
    <w:bookmarkStart w:id="2" w:name="page3"/>
    <w:bookmarkEnd w:id="2"/>
    <w:p>
      <w:pPr>
        <w:jc w:val="center"/>
        <w:ind w:right="2019"/>
        <w:spacing w:after="0"/>
        <w:rPr>
          <w:sz w:val="20"/>
          <w:szCs w:val="20"/>
          <w:color w:val="auto"/>
        </w:rPr>
      </w:pPr>
      <w:r>
        <w:rPr>
          <w:rFonts w:ascii="Courier New" w:cs="Courier New" w:eastAsia="Courier New" w:hAnsi="Courier New"/>
          <w:sz w:val="17"/>
          <w:szCs w:val="17"/>
          <w:color w:val="auto"/>
        </w:rPr>
        <w:t>SIGNATURE</w:t>
      </w:r>
    </w:p>
    <w:p>
      <w:pPr>
        <w:spacing w:after="0" w:line="199" w:lineRule="exact"/>
        <w:rPr>
          <w:sz w:val="20"/>
          <w:szCs w:val="20"/>
          <w:color w:val="auto"/>
        </w:rPr>
      </w:pPr>
    </w:p>
    <w:p>
      <w:pPr>
        <w:ind w:right="2119"/>
        <w:spacing w:after="0"/>
        <w:rPr>
          <w:sz w:val="20"/>
          <w:szCs w:val="20"/>
          <w:color w:val="auto"/>
        </w:rPr>
      </w:pPr>
      <w:r>
        <w:rPr>
          <w:rFonts w:ascii="Courier New" w:cs="Courier New" w:eastAsia="Courier New" w:hAnsi="Courier New"/>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98"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FEDERAL REALTY INVESTMENT TRUST</w:t>
      </w:r>
    </w:p>
    <w:p>
      <w:pPr>
        <w:sectPr>
          <w:pgSz w:w="11900" w:h="16838" w:orient="portrait"/>
          <w:cols w:equalWidth="0" w:num="1">
            <w:col w:w="10219"/>
          </w:cols>
          <w:pgMar w:left="240" w:top="697"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13, 2003</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Dawn M. Becker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Dawn M. Becker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1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and Secretary</w:t>
      </w:r>
    </w:p>
    <w:p>
      <w:pPr>
        <w:sectPr>
          <w:pgSz w:w="11900" w:h="16838" w:orient="portrait"/>
          <w:cols w:equalWidth="0" w:num="3">
            <w:col w:w="2920" w:space="720"/>
            <w:col w:w="300" w:space="320"/>
            <w:col w:w="5959"/>
          </w:cols>
          <w:pgMar w:left="240" w:top="697" w:right="1440" w:bottom="1440" w:gutter="0" w:footer="0" w:header="0"/>
          <w:type w:val="continuous"/>
        </w:sectPr>
      </w:pPr>
    </w:p>
    <w:bookmarkStart w:id="3" w:name="page4"/>
    <w:bookmarkEnd w:id="3"/>
    <w:p>
      <w:pPr>
        <w:jc w:val="right"/>
        <w:ind w:right="2119"/>
        <w:spacing w:after="0"/>
        <w:rPr>
          <w:sz w:val="20"/>
          <w:szCs w:val="20"/>
          <w:color w:val="auto"/>
        </w:rPr>
      </w:pPr>
      <w:r>
        <w:rPr>
          <w:rFonts w:ascii="Courier New" w:cs="Courier New" w:eastAsia="Courier New" w:hAnsi="Courier New"/>
          <w:sz w:val="17"/>
          <w:szCs w:val="17"/>
          <w:color w:val="auto"/>
        </w:rPr>
        <w:t>Exhibit 1.01</w:t>
      </w:r>
    </w:p>
    <w:p>
      <w:pPr>
        <w:spacing w:after="0" w:line="391"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196"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Common Shares and Preferred Shares</w:t>
      </w:r>
    </w:p>
    <w:p>
      <w:pPr>
        <w:spacing w:after="0" w:line="391"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Underwriting Agreement</w:t>
      </w:r>
    </w:p>
    <w:p>
      <w:pPr>
        <w:spacing w:after="0" w:line="196" w:lineRule="exact"/>
        <w:rPr>
          <w:sz w:val="20"/>
          <w:szCs w:val="20"/>
          <w:color w:val="auto"/>
        </w:rPr>
      </w:pPr>
    </w:p>
    <w:p>
      <w:pPr>
        <w:ind w:left="6880"/>
        <w:spacing w:after="0"/>
        <w:rPr>
          <w:sz w:val="20"/>
          <w:szCs w:val="20"/>
          <w:color w:val="auto"/>
        </w:rPr>
      </w:pPr>
      <w:r>
        <w:rPr>
          <w:rFonts w:ascii="Courier New" w:cs="Courier New" w:eastAsia="Courier New" w:hAnsi="Courier New"/>
          <w:sz w:val="17"/>
          <w:szCs w:val="17"/>
          <w:color w:val="auto"/>
        </w:rPr>
        <w:t>May 9, 2003</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WACHOVIA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Representative of the several Underwriters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St. Paul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Baltimore, Maryland 21202</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9"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From time to time Federal Realty Investment Trust, a Maryland real estate investment trust (the "Company"), proposes to enter into one or more Pricing Agreements (each a "Pricing Agreement") in substantially the form of Annex I hereto, with such additions and deletions as the parties thereto may determine, and, subject to the terms and conditions stated herein and therein, to issue and sell to the firms named in Schedule I to the applicable Pricing Agreement (such firms constituting the "Underwriters" with respect to such Pricing Agreement and the securities specified therein) certain of its shares of beneficial interest (the "Shares") specified in Schedule II to such Pricing Agreement (with respect to such Pricing Agreement, the "Designated Shares"). If specified in such Pricing Agreement, the Designated Shares may consist of a specified number of shares that the Underwriters, acting severally and not jointly, have agreed to purchase (the "Initial Shares") and a specified number of shares that the Underwriters, acting severally and not jointly, have the option to purchase to cover over allotments, if any (the "Option Shares"), in each case on the terms and subject to the conditions set forth in this Agreement and such Pricing Agreement. The Shares may include the Company's common shares of beneficial interest, par value $0.01 per share (the "Common Shares"), or preferred shares of beneficial interest, par value $0.01 per share (the "Preferred Shares").</w:t>
      </w:r>
    </w:p>
    <w:p>
      <w:pPr>
        <w:spacing w:after="0" w:line="187"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terms and rights of any particular issuance of Designated Shares shall be as specified in the Pricing Agreement relating thereto and in or pursuant to the resolutions of the board of trustees of the Company or a duly appointed committee thereof.</w:t>
      </w:r>
    </w:p>
    <w:p>
      <w:pPr>
        <w:spacing w:after="0" w:line="199" w:lineRule="exact"/>
        <w:rPr>
          <w:sz w:val="20"/>
          <w:szCs w:val="20"/>
          <w:color w:val="auto"/>
        </w:rPr>
      </w:pPr>
    </w:p>
    <w:p>
      <w:pPr>
        <w:ind w:right="2219" w:firstLine="509"/>
        <w:spacing w:after="0" w:line="241" w:lineRule="auto"/>
        <w:tabs>
          <w:tab w:leader="none" w:pos="80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Particular sales of Designated Shares may be made from time to time to the Underwriters of such Shares, for whom the firms designated as representatives of the Underwriters of such Shares in the Pricing Agreement relating thereto will act as representatives (the "Representatives"). The term "Representatives" also refers to a single firm acting as sole representative of the Underwriters and to Underwriters who act without any firm being</w:t>
      </w:r>
    </w:p>
    <w:p>
      <w:pPr>
        <w:sectPr>
          <w:pgSz w:w="11900" w:h="16838" w:orient="portrait"/>
          <w:cols w:equalWidth="0" w:num="1">
            <w:col w:w="10219"/>
          </w:cols>
          <w:pgMar w:left="240" w:top="528" w:right="1440" w:bottom="1440" w:gutter="0" w:footer="0" w:header="0"/>
        </w:sectPr>
      </w:pPr>
    </w:p>
    <w:bookmarkStart w:id="4" w:name="page5"/>
    <w:bookmarkEnd w:id="4"/>
    <w:p>
      <w:pPr>
        <w:ind w:right="2119"/>
        <w:spacing w:after="0" w:line="242" w:lineRule="auto"/>
        <w:rPr>
          <w:sz w:val="20"/>
          <w:szCs w:val="20"/>
          <w:color w:val="auto"/>
        </w:rPr>
      </w:pPr>
      <w:r>
        <w:rPr>
          <w:rFonts w:ascii="Courier New" w:cs="Courier New" w:eastAsia="Courier New" w:hAnsi="Courier New"/>
          <w:sz w:val="17"/>
          <w:szCs w:val="17"/>
          <w:color w:val="auto"/>
        </w:rPr>
        <w:t>designated as their representative. This Underwriting Agreement shall not be construed as an obligation of the Company to sell any of the Shares or as an obligation of any of the Underwriters to purchase any of the Shares. The obligation of the Company to issue and sell any of the Shares and the obligation of any of the Underwriters to purchase any of the Shares shall be evidenced by the Pricing Agreement with respect to the Designated Shares specified therein. Each Pricing Agreement shall specify the aggregate number of such Designated Shares (and, if applicable, the aggregate number of Initial Shares and Option Shares), the initial public offering price of such Designated Shares, the purchase price to the Underwriters of such Designated Shares, the names of the Underwriters of such Designated Shares, the names of the Representatives of such Underwriters and the number of such Designated Shares to be purchased by each Underwriter and shall set forth the date and time of delivery of such Designated Shares and payment therefor. The Pricing Agreement shall also specify (to the extent not set forth in the registration statement and prospectus with respect thereto) the terms of such Designated Shares.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Agreement and each Pricing Agreement shall be several and not joint.</w:t>
      </w:r>
    </w:p>
    <w:p>
      <w:pPr>
        <w:spacing w:after="0" w:line="200" w:lineRule="exact"/>
        <w:rPr>
          <w:sz w:val="20"/>
          <w:szCs w:val="20"/>
          <w:color w:val="auto"/>
        </w:rPr>
      </w:pPr>
    </w:p>
    <w:p>
      <w:pPr>
        <w:ind w:right="2539" w:firstLine="509"/>
        <w:spacing w:after="0" w:line="239" w:lineRule="auto"/>
        <w:tabs>
          <w:tab w:leader="none" w:pos="80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represents and warrants to, and agrees with, each of the Underwriters that:</w:t>
      </w:r>
    </w:p>
    <w:p>
      <w:pPr>
        <w:spacing w:after="0" w:line="199" w:lineRule="exact"/>
        <w:rPr>
          <w:rFonts w:ascii="Courier New" w:cs="Courier New" w:eastAsia="Courier New" w:hAnsi="Courier New"/>
          <w:sz w:val="17"/>
          <w:szCs w:val="17"/>
          <w:color w:val="auto"/>
        </w:rPr>
      </w:pPr>
    </w:p>
    <w:p>
      <w:pPr>
        <w:ind w:left="500" w:right="2119" w:firstLine="313"/>
        <w:spacing w:after="0" w:line="242" w:lineRule="auto"/>
        <w:tabs>
          <w:tab w:leader="none" w:pos="1208"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registration statement on Form S-3 (File No. 333-100819) in respect of the Shares has been filed with the Securities and Exchange Commission (the "Commission"); the Registration Statement (as defined below) and any post-effective amendments thereto, each in the form heretofore delivered or made available to the Representatives, excluding exhibits to such Registration Statement, but including all documents incorporated by reference in the prospectus contained therein, have been declared effective by the Commission in such form; other than a registration statement, if any, increasing the size of the offering (a "Rule 462(b) Registration Statement") filed pursuant to Rule 462(b) under the Securities Act of 1933, as amended (the "Act"), which became or will become effective upon filing, no other documents with respect to the Registration Statement have heretofore been filed or transmitted for filing with the Commission (other than prospectuses filed pursuant to Rule 424(b) under the Act, each in the form heretofore delivered to the Representatives); and no stop order suspending the effectiveness of the Registration Statement, any post-effective amendments thereto or the Rule 462(b) Registration Statement, if any, has been issued and no proceeding for that purpose has been initiated or threatened by the Commission (any preliminary prospectus included in the Registration Statement or filed with the Commission pursuant to Rule 424 under the Act is hereinafter called a "Preliminary Prospectus"); the various parts of the Registration Statement and the Rule 462(b) Registration Statement, if any, including all exhibits thereto and the documents incorporated by reference in the prospectus contained in the Registration Statement at the time such part of the registration statement became effective, each as amended at the time such part of the Registration Statement became effective or such part of the Rule 462(b) Registration Statement, if any, became or hereafter becomes effective, are hereinafter collectively called the "Registration Statement"; the prospectus relating to the Shares, in the form in which it has most</w:t>
      </w:r>
    </w:p>
    <w:p>
      <w:pPr>
        <w:spacing w:after="0" w:line="20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99" w:right="1440" w:bottom="1440" w:gutter="0" w:footer="0" w:header="0"/>
        </w:sectPr>
      </w:pPr>
    </w:p>
    <w:bookmarkStart w:id="5" w:name="page6"/>
    <w:bookmarkEnd w:id="5"/>
    <w:p>
      <w:pPr>
        <w:ind w:right="2119"/>
        <w:spacing w:after="0" w:line="242" w:lineRule="auto"/>
        <w:rPr>
          <w:sz w:val="20"/>
          <w:szCs w:val="20"/>
          <w:color w:val="auto"/>
        </w:rPr>
      </w:pPr>
      <w:r>
        <w:rPr>
          <w:rFonts w:ascii="Courier New" w:cs="Courier New" w:eastAsia="Courier New" w:hAnsi="Courier New"/>
          <w:sz w:val="17"/>
          <w:szCs w:val="17"/>
          <w:color w:val="auto"/>
        </w:rPr>
        <w:t>recently been filed, or transmitted for filing, with the Commission on or prior to the date of this Agreement, is hereinafter called the "Prospectus"; any reference herein to any Preliminary Prospectus or the Prospectus shall be deemed to refer to and include the documents incorporated by reference therein pursuant to Item 12 of Form S-3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any reference to any amendment to the Registration Statement shall be deemed to refer to and include any filing of the Company pursuant to Sections 13(a), 13(c), 14 or 15(d) of the Exchange Act after the effective date of the Registration Statement that is incorporated by reference in the Registration Statement; any reference to the Prospectus as amended or supplemented shall be deemed to refer to the Prospectus as amended or supplemented in relation to the applicable Designated Shares in the form in which it is filed with the Commission pursuant to Rule 424(b) under the Act in accordance with Section 5(a) hereof, including any documents incorporated by reference therein as of the date of such filing; all references herein to information which is "contained" or "included" in the Registration Statement, any Preliminary Prospectus, any Prospectus, any Prospectus as amended or supplemented or any Rule 434 Prospectus (and all references of like import) shall be deemed to mean and include all such information which is incorporated or deemed to be incorporated by reference therein; and if the Company elects to rely on Rule 434 under the Act, any reference to the Prospectus shall be deemed to include, without limitation, the form of prospectus and the abbreviated term sheet, taken together, provided to the Underwriters by the Company in reliance on Rule 434 under the Act (the "Rule 434 Prospectus"));</w:t>
      </w:r>
    </w:p>
    <w:p>
      <w:pPr>
        <w:spacing w:after="0" w:line="203" w:lineRule="exact"/>
        <w:rPr>
          <w:sz w:val="20"/>
          <w:szCs w:val="20"/>
          <w:color w:val="auto"/>
        </w:rPr>
      </w:pPr>
    </w:p>
    <w:p>
      <w:pPr>
        <w:ind w:right="2119" w:firstLine="313"/>
        <w:spacing w:after="0" w:line="242" w:lineRule="auto"/>
        <w:tabs>
          <w:tab w:leader="none" w:pos="70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in light of the circumstances under which they were made;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198"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719"/>
          </w:cols>
          <w:pgMar w:left="740" w:top="699" w:right="1440" w:bottom="1440" w:gutter="0" w:footer="0" w:header="0"/>
        </w:sectPr>
      </w:pPr>
    </w:p>
    <w:bookmarkStart w:id="6" w:name="page7"/>
    <w:bookmarkEnd w:id="6"/>
    <w:p>
      <w:pPr>
        <w:ind w:left="-313" w:right="2119" w:firstLine="313"/>
        <w:spacing w:after="0" w:line="242" w:lineRule="auto"/>
        <w:tabs>
          <w:tab w:leader="none" w:pos="39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and the Prospectus conform, and any further amendments or supplements to the Registration Statement or the Prospectus will conform, in all material respects to the requirements of the Act and the Trust Indenture Act of 1939, as amended (the "Trust Indenture Act"), and the respective rules and regulations of the Commission thereunder; and the Registration Statement and the Prospectus do not and will not, as of the applicable effective date as to the Registration Statement and any amendment thereto, as of the date of filing with the Commission of any Annual Report of the Company on Form 10-K in the case of the Registration Statement, and as of the applicable filing date as to the Prospectus and any amendment or supplement thereto, contain an untrue statement of a material fact or omit to state a material fact required to be stated therein or necessary to make the statements therein not misleading in light of the circumstances under which they were made; provided, however, that this representation and warranty shall not apply to any statements or omissions made in reliance upon and in conformity with information furnished in writing to the Company by an Underwriter of Designated Shares through the Representatives expressly for use in the Prospectus as amended or supplemented relating to such Shares;</w:t>
      </w:r>
    </w:p>
    <w:p>
      <w:pPr>
        <w:spacing w:after="0" w:line="199" w:lineRule="exact"/>
        <w:rPr>
          <w:rFonts w:ascii="Courier New" w:cs="Courier New" w:eastAsia="Courier New" w:hAnsi="Courier New"/>
          <w:sz w:val="17"/>
          <w:szCs w:val="17"/>
          <w:color w:val="auto"/>
        </w:rPr>
      </w:pPr>
    </w:p>
    <w:p>
      <w:pPr>
        <w:ind w:left="-313" w:right="2119" w:firstLine="313"/>
        <w:spacing w:after="0" w:line="242" w:lineRule="auto"/>
        <w:tabs>
          <w:tab w:leader="none" w:pos="39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Prospectus; the Company has interests in a number of entities (collectively, the "Entities"), identified on Annex III, which have been duly organized and are validly existing as corporations, partnerships, limited liability corporations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Prospectus; except as otherwise denoted in Annex III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 other ownership interests in the Entities are outstanding;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201" w:lineRule="exact"/>
        <w:rPr>
          <w:rFonts w:ascii="Courier New" w:cs="Courier New" w:eastAsia="Courier New" w:hAnsi="Courier New"/>
          <w:sz w:val="17"/>
          <w:szCs w:val="17"/>
          <w:color w:val="auto"/>
        </w:rPr>
      </w:pPr>
    </w:p>
    <w:p>
      <w:pPr>
        <w:ind w:left="-313" w:right="2119" w:firstLine="313"/>
        <w:spacing w:after="0" w:line="242" w:lineRule="auto"/>
        <w:tabs>
          <w:tab w:leader="none" w:pos="39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any of the Entities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date as of which information is given in the Prospectus, there has not been any change in the authorized, issued or outstanding capital shares of the Company (except for subsequent issuances, if any, of Common Shares pursuant to</w:t>
      </w:r>
    </w:p>
    <w:p>
      <w:pPr>
        <w:spacing w:after="0" w:line="195" w:lineRule="exact"/>
        <w:rPr>
          <w:sz w:val="20"/>
          <w:szCs w:val="20"/>
          <w:color w:val="auto"/>
        </w:rPr>
      </w:pPr>
    </w:p>
    <w:p>
      <w:pPr>
        <w:ind w:left="3127"/>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407"/>
          </w:cols>
          <w:pgMar w:left="1053" w:top="699" w:right="1440" w:bottom="1440" w:gutter="0" w:footer="0" w:header="0"/>
        </w:sectPr>
      </w:pPr>
    </w:p>
    <w:bookmarkStart w:id="7" w:name="page8"/>
    <w:bookmarkEnd w:id="7"/>
    <w:p>
      <w:pPr>
        <w:ind w:left="-9" w:right="2119" w:firstLine="9"/>
        <w:spacing w:after="0" w:line="242" w:lineRule="auto"/>
        <w:tabs>
          <w:tab w:leader="none" w:pos="39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Annex III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Prospectus;</w:t>
      </w:r>
    </w:p>
    <w:p>
      <w:pPr>
        <w:spacing w:after="0" w:line="198" w:lineRule="exact"/>
        <w:rPr>
          <w:rFonts w:ascii="Courier New" w:cs="Courier New" w:eastAsia="Courier New" w:hAnsi="Courier New"/>
          <w:sz w:val="17"/>
          <w:szCs w:val="17"/>
          <w:color w:val="auto"/>
        </w:rPr>
      </w:pPr>
    </w:p>
    <w:p>
      <w:pPr>
        <w:ind w:left="-9" w:right="2219" w:firstLine="313"/>
        <w:spacing w:after="0" w:line="241" w:lineRule="auto"/>
        <w:tabs>
          <w:tab w:leader="none" w:pos="699"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an authorized capitalization as set forth in the Prospectus,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200" w:lineRule="exact"/>
        <w:rPr>
          <w:rFonts w:ascii="Courier New" w:cs="Courier New" w:eastAsia="Courier New" w:hAnsi="Courier New"/>
          <w:sz w:val="17"/>
          <w:szCs w:val="17"/>
          <w:color w:val="auto"/>
        </w:rPr>
      </w:pPr>
    </w:p>
    <w:p>
      <w:pPr>
        <w:ind w:left="-9" w:right="2219" w:firstLine="313"/>
        <w:spacing w:after="0" w:line="242" w:lineRule="auto"/>
        <w:tabs>
          <w:tab w:leader="none" w:pos="699"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Designated Shares have been duly and validly authorized, and, when Designated Shares are issued and delivered pursuant to this Agreement and the Pricing Agreement with respect to such Designated Shares, such Designated Shares will be duly and validly issued and fully paid and non-assessable; the Designated Shares conform to the description thereof contained in the Registration Statement and the Prospectus as amended or supplemented with respect to such Designated Shares; except as set forth under the caption "Description of Shares of Beneficial Interest--Shareholder Liability" in the Prospectus, no holder of the Designated Shares is or will be subject to personal liability by reason of being such a holder; and the issuance of the Designated Shares is not subject to any preemptive or other similar rights of any securityholder of the Company;</w:t>
      </w:r>
    </w:p>
    <w:p>
      <w:pPr>
        <w:spacing w:after="0" w:line="197" w:lineRule="exact"/>
        <w:rPr>
          <w:rFonts w:ascii="Courier New" w:cs="Courier New" w:eastAsia="Courier New" w:hAnsi="Courier New"/>
          <w:sz w:val="17"/>
          <w:szCs w:val="17"/>
          <w:color w:val="auto"/>
        </w:rPr>
      </w:pPr>
    </w:p>
    <w:p>
      <w:pPr>
        <w:ind w:left="-9" w:right="2119" w:firstLine="313"/>
        <w:spacing w:after="0" w:line="242" w:lineRule="auto"/>
        <w:tabs>
          <w:tab w:leader="none" w:pos="699"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 and sale of the Designated Shares and the compliance by the Company with all of the provisions of this Agreement and any Pricing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or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Shares or the consummation by the Company of the transactions contemplated by this Agreement or any Pricing Agreement, except such as have been, or will have been prior to the Time of Delivery (as defined in Section 4 hereof), obtained under the Act, the Exchange Act and</w:t>
      </w:r>
    </w:p>
    <w:p>
      <w:pPr>
        <w:spacing w:after="0" w:line="198" w:lineRule="exact"/>
        <w:rPr>
          <w:sz w:val="20"/>
          <w:szCs w:val="20"/>
          <w:color w:val="auto"/>
        </w:rPr>
      </w:pPr>
    </w:p>
    <w:p>
      <w:pPr>
        <w:ind w:left="3431"/>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710"/>
          </w:cols>
          <w:pgMar w:left="749" w:top="699" w:right="1440" w:bottom="1440" w:gutter="0" w:footer="0" w:header="0"/>
        </w:sectPr>
      </w:pPr>
    </w:p>
    <w:bookmarkStart w:id="8" w:name="page9"/>
    <w:bookmarkEnd w:id="8"/>
    <w:p>
      <w:pPr>
        <w:ind w:right="2439"/>
        <w:spacing w:after="0" w:line="241" w:lineRule="auto"/>
        <w:rPr>
          <w:sz w:val="20"/>
          <w:szCs w:val="20"/>
          <w:color w:val="auto"/>
        </w:rPr>
      </w:pPr>
      <w:r>
        <w:rPr>
          <w:rFonts w:ascii="Courier New" w:cs="Courier New" w:eastAsia="Courier New" w:hAnsi="Courier New"/>
          <w:sz w:val="17"/>
          <w:szCs w:val="17"/>
          <w:color w:val="auto"/>
        </w:rPr>
        <w:t>the rules of the New York Stock Exchange (the "NYSE") and such consents, approvals, authorizations, registrations or qualifications as may be required under state securities or Blue Sky laws in connection with the purchase and distribution of the Shares by the Underwriters;</w:t>
      </w:r>
    </w:p>
    <w:p>
      <w:pPr>
        <w:spacing w:after="0" w:line="199" w:lineRule="exact"/>
        <w:rPr>
          <w:sz w:val="20"/>
          <w:szCs w:val="20"/>
          <w:color w:val="auto"/>
        </w:rPr>
      </w:pPr>
    </w:p>
    <w:p>
      <w:pPr>
        <w:ind w:right="2119" w:firstLine="313"/>
        <w:spacing w:after="0" w:line="258" w:lineRule="auto"/>
        <w:tabs>
          <w:tab w:leader="none" w:pos="70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set forth in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190" w:lineRule="exact"/>
        <w:rPr>
          <w:rFonts w:ascii="Courier New" w:cs="Courier New" w:eastAsia="Courier New" w:hAnsi="Courier New"/>
          <w:sz w:val="16"/>
          <w:szCs w:val="16"/>
          <w:color w:val="auto"/>
        </w:rPr>
      </w:pPr>
    </w:p>
    <w:p>
      <w:pPr>
        <w:ind w:right="2119" w:firstLine="313"/>
        <w:spacing w:after="0" w:line="258" w:lineRule="auto"/>
        <w:tabs>
          <w:tab w:leader="none" w:pos="70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financial statements of the Company and the Entities, together with related notes and schedules as set forth or incorporated by reference in the Registration Statement,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contained in the Prospectus present fairly the information shown therein and have been compiled on a basis consistent with the consolidated financial statements incorporated by reference therein;</w:t>
      </w:r>
    </w:p>
    <w:p>
      <w:pPr>
        <w:spacing w:after="0" w:line="189" w:lineRule="exact"/>
        <w:rPr>
          <w:rFonts w:ascii="Courier New" w:cs="Courier New" w:eastAsia="Courier New" w:hAnsi="Courier New"/>
          <w:sz w:val="16"/>
          <w:szCs w:val="16"/>
          <w:color w:val="auto"/>
        </w:rPr>
      </w:pPr>
    </w:p>
    <w:p>
      <w:pPr>
        <w:ind w:right="2119" w:firstLine="313"/>
        <w:spacing w:after="0" w:line="241" w:lineRule="auto"/>
        <w:tabs>
          <w:tab w:leader="none" w:pos="70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the Entities have good and marketable title to, or valid and enforceable leasehold estates in, all items of real and personal property referred to in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200" w:lineRule="exact"/>
        <w:rPr>
          <w:rFonts w:ascii="Courier New" w:cs="Courier New" w:eastAsia="Courier New" w:hAnsi="Courier New"/>
          <w:sz w:val="17"/>
          <w:szCs w:val="17"/>
          <w:color w:val="auto"/>
        </w:rPr>
      </w:pPr>
    </w:p>
    <w:p>
      <w:pPr>
        <w:ind w:right="2119" w:firstLine="313"/>
        <w:spacing w:after="0" w:line="241" w:lineRule="auto"/>
        <w:tabs>
          <w:tab w:leader="none" w:pos="70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the Entities have filed all federal, state, local and foreign income tax returns which have been required to be filed, or 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200" w:lineRule="exact"/>
        <w:rPr>
          <w:rFonts w:ascii="Courier New" w:cs="Courier New" w:eastAsia="Courier New" w:hAnsi="Courier New"/>
          <w:sz w:val="17"/>
          <w:szCs w:val="17"/>
          <w:color w:val="auto"/>
        </w:rPr>
      </w:pPr>
    </w:p>
    <w:p>
      <w:pPr>
        <w:ind w:right="2119" w:firstLine="313"/>
        <w:spacing w:after="0" w:line="241" w:lineRule="auto"/>
        <w:tabs>
          <w:tab w:leader="none" w:pos="70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200" w:lineRule="exact"/>
        <w:rPr>
          <w:rFonts w:ascii="Courier New" w:cs="Courier New" w:eastAsia="Courier New" w:hAnsi="Courier New"/>
          <w:sz w:val="17"/>
          <w:szCs w:val="17"/>
          <w:color w:val="auto"/>
        </w:rPr>
      </w:pPr>
    </w:p>
    <w:p>
      <w:pPr>
        <w:ind w:right="2119" w:firstLine="313"/>
        <w:spacing w:after="0" w:line="241" w:lineRule="auto"/>
        <w:tabs>
          <w:tab w:leader="none" w:pos="708"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 Thornton LLP, which audited the consolidated balance sheet of the Company and subsidiaries as of December 31, 2002 and the related consolidated statement of operations, common shareholders' equity, and cash flows for the year ended December 31, 2002 incorporated by reference in the Registration Statement and</w:t>
      </w:r>
    </w:p>
    <w:p>
      <w:pPr>
        <w:spacing w:after="0" w:line="198"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719"/>
          </w:cols>
          <w:pgMar w:left="740" w:top="699" w:right="1440" w:bottom="1440" w:gutter="0" w:footer="0" w:header="0"/>
        </w:sectPr>
      </w:pPr>
    </w:p>
    <w:bookmarkStart w:id="9" w:name="page10"/>
    <w:bookmarkEnd w:id="9"/>
    <w:p>
      <w:pPr>
        <w:ind w:right="2319"/>
        <w:spacing w:after="0" w:line="239" w:lineRule="auto"/>
        <w:rPr>
          <w:sz w:val="20"/>
          <w:szCs w:val="20"/>
          <w:color w:val="auto"/>
        </w:rPr>
      </w:pPr>
      <w:r>
        <w:rPr>
          <w:rFonts w:ascii="Courier New" w:cs="Courier New" w:eastAsia="Courier New" w:hAnsi="Courier New"/>
          <w:sz w:val="17"/>
          <w:szCs w:val="17"/>
          <w:color w:val="auto"/>
        </w:rPr>
        <w:t>Prospectus, are independent public accountants as required by the Act and the rules and regulations of the Commission promulgated thereunder;</w:t>
      </w:r>
    </w:p>
    <w:p>
      <w:pPr>
        <w:spacing w:after="0" w:line="200" w:lineRule="exact"/>
        <w:rPr>
          <w:sz w:val="20"/>
          <w:szCs w:val="20"/>
          <w:color w:val="auto"/>
        </w:rPr>
      </w:pPr>
    </w:p>
    <w:p>
      <w:pPr>
        <w:ind w:right="2219" w:firstLine="313"/>
        <w:spacing w:after="0" w:line="241" w:lineRule="auto"/>
        <w:tabs>
          <w:tab w:leader="none" w:pos="70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our knowledge, Arthur Andersen LLP, which audited the consolidated balance sheets of the Company and subsidiaries as of December 31, 2001 and the related consolidated statements of operations, common shareholders' equity, and cash flows for each of the years in the two-year period ended December 31, 2001 incorporated by reference in the Registration Statement and Prospectus, was, at all times until its replacement as the Company's auditor in June 2002, an independent public accountant as required by the Act and the rules and regulations of the Commission promulgated thereunder;</w:t>
      </w:r>
    </w:p>
    <w:p>
      <w:pPr>
        <w:spacing w:after="0" w:line="204" w:lineRule="exact"/>
        <w:rPr>
          <w:rFonts w:ascii="Courier New" w:cs="Courier New" w:eastAsia="Courier New" w:hAnsi="Courier New"/>
          <w:sz w:val="17"/>
          <w:szCs w:val="17"/>
          <w:color w:val="auto"/>
        </w:rPr>
      </w:pPr>
    </w:p>
    <w:p>
      <w:pPr>
        <w:ind w:right="2319" w:firstLine="313"/>
        <w:spacing w:after="0" w:line="241" w:lineRule="auto"/>
        <w:tabs>
          <w:tab w:leader="none" w:pos="70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conditions for use of registration statements on Form S-3 set forth in the General Instructions on Form S-3 have been satisfied and the Company is entitled to use such form for the transaction contemplated herein;</w:t>
      </w:r>
    </w:p>
    <w:p>
      <w:pPr>
        <w:spacing w:after="0" w:line="198" w:lineRule="exact"/>
        <w:rPr>
          <w:rFonts w:ascii="Courier New" w:cs="Courier New" w:eastAsia="Courier New" w:hAnsi="Courier New"/>
          <w:sz w:val="17"/>
          <w:szCs w:val="17"/>
          <w:color w:val="auto"/>
        </w:rPr>
      </w:pPr>
    </w:p>
    <w:p>
      <w:pPr>
        <w:ind w:right="2119" w:firstLine="313"/>
        <w:spacing w:after="0" w:line="242" w:lineRule="auto"/>
        <w:tabs>
          <w:tab w:leader="none" w:pos="70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 and</w:t>
      </w:r>
    </w:p>
    <w:p>
      <w:pPr>
        <w:spacing w:after="0" w:line="198" w:lineRule="exact"/>
        <w:rPr>
          <w:rFonts w:ascii="Courier New" w:cs="Courier New" w:eastAsia="Courier New" w:hAnsi="Courier New"/>
          <w:sz w:val="17"/>
          <w:szCs w:val="17"/>
          <w:color w:val="auto"/>
        </w:rPr>
      </w:pPr>
    </w:p>
    <w:p>
      <w:pPr>
        <w:ind w:right="2119" w:firstLine="313"/>
        <w:spacing w:after="0" w:line="241" w:lineRule="auto"/>
        <w:tabs>
          <w:tab w:leader="none" w:pos="708"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204" w:lineRule="exact"/>
        <w:rPr>
          <w:rFonts w:ascii="Courier New" w:cs="Courier New" w:eastAsia="Courier New" w:hAnsi="Courier New"/>
          <w:sz w:val="17"/>
          <w:szCs w:val="17"/>
          <w:color w:val="auto"/>
        </w:rPr>
      </w:pPr>
    </w:p>
    <w:p>
      <w:pPr>
        <w:ind w:left="-500" w:right="2119" w:firstLine="509"/>
        <w:spacing w:after="0" w:line="241" w:lineRule="auto"/>
        <w:tabs>
          <w:tab w:leader="none" w:pos="30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the execution of the Pricing Agreement applicable to any Designated Shares and authorization by the Representatives of the release of such Designated Shares, the several Underwriters propose to offer such Designated Shares for sale upon the terms and conditions set forth in the Prospectus as amended or supplemented.</w:t>
      </w:r>
    </w:p>
    <w:p>
      <w:pPr>
        <w:spacing w:after="0" w:line="199" w:lineRule="exact"/>
        <w:rPr>
          <w:rFonts w:ascii="Courier New" w:cs="Courier New" w:eastAsia="Courier New" w:hAnsi="Courier New"/>
          <w:sz w:val="17"/>
          <w:szCs w:val="17"/>
          <w:color w:val="auto"/>
        </w:rPr>
      </w:pPr>
    </w:p>
    <w:p>
      <w:pPr>
        <w:ind w:left="-500" w:right="2119" w:firstLine="509"/>
        <w:spacing w:after="0" w:line="241" w:lineRule="auto"/>
        <w:tabs>
          <w:tab w:leader="none" w:pos="30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for the Designated Shares to be purchased by each Underwriter pursuant to the Pricing Agreement relating thereto, in definitive form and in such authorized denominations and registered in such names as the Representatives may request upon at least twenty-four hours' prior notice to the Company, shall be delivered by or on behalf of the</w:t>
      </w:r>
    </w:p>
    <w:p>
      <w:pPr>
        <w:spacing w:after="0" w:line="198"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719"/>
          </w:cols>
          <w:pgMar w:left="740" w:top="699" w:right="1440" w:bottom="1440" w:gutter="0" w:footer="0" w:header="0"/>
        </w:sectPr>
      </w:pPr>
    </w:p>
    <w:bookmarkStart w:id="10" w:name="page11"/>
    <w:bookmarkEnd w:id="10"/>
    <w:p>
      <w:pPr>
        <w:ind w:right="2119"/>
        <w:spacing w:after="0" w:line="258" w:lineRule="auto"/>
        <w:rPr>
          <w:sz w:val="20"/>
          <w:szCs w:val="20"/>
          <w:color w:val="auto"/>
        </w:rPr>
      </w:pPr>
      <w:r>
        <w:rPr>
          <w:rFonts w:ascii="Courier New" w:cs="Courier New" w:eastAsia="Courier New" w:hAnsi="Courier New"/>
          <w:sz w:val="16"/>
          <w:szCs w:val="16"/>
          <w:color w:val="auto"/>
        </w:rPr>
        <w:t>Company to the Representatives for the account of such Underwriter,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at the place and time and date specified in or pursuant to such Pricing Agreement or at such other place and time and date as the Representatives and the Company may agree upon in writing. The time and date of delivery of and payment for the Initial Shares (or, if the applicable Pricing Agreement does not grant the Underwriters an option to purchase Option Shares, the Designated Shares) is herein called the "Time of Delivery" for such Shares, and, if the applicable Pricing Agreement grants the Underwriters an option to purchase Option Shares and if the Underwriters exercise such option, in whole or in part, the time and date of delivery of such Option Shares is hereinafter called the "Option Closing Time" for such Shares.</w:t>
      </w:r>
    </w:p>
    <w:p>
      <w:pPr>
        <w:spacing w:after="0" w:line="186" w:lineRule="exact"/>
        <w:rPr>
          <w:sz w:val="20"/>
          <w:szCs w:val="20"/>
          <w:color w:val="auto"/>
        </w:rPr>
      </w:pPr>
    </w:p>
    <w:p>
      <w:pPr>
        <w:ind w:left="820" w:hanging="311"/>
        <w:spacing w:after="0"/>
        <w:tabs>
          <w:tab w:leader="none" w:pos="8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agrees with each of the Underwriters of any Designated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Shares:</w:t>
      </w:r>
    </w:p>
    <w:p>
      <w:pPr>
        <w:spacing w:after="0" w:line="198" w:lineRule="exact"/>
        <w:rPr>
          <w:rFonts w:ascii="Courier New" w:cs="Courier New" w:eastAsia="Courier New" w:hAnsi="Courier New"/>
          <w:sz w:val="17"/>
          <w:szCs w:val="17"/>
          <w:color w:val="auto"/>
        </w:rPr>
      </w:pPr>
    </w:p>
    <w:p>
      <w:pPr>
        <w:ind w:left="500" w:right="2119" w:firstLine="313"/>
        <w:spacing w:after="0" w:line="242" w:lineRule="auto"/>
        <w:tabs>
          <w:tab w:leader="none" w:pos="1208"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Company does not elect to rely on Rule 434 under the Act, immediately following execution and delivery of the applicable Pricing Agreement, to prepare the Prospectus as amended and supplemented in relation to the applicable Designated Shares in a form approved by the Representatives and to file such Prospectus as amended or supplemented pursuant to Rule 424(b) under the Act not later than the Commission's close of business on the second business day following the execution and delivery of the Pricing Agreement relating to the applicable Designated Shares or, if applicable, such earlier time as may be required by Rule 424(b), or if the Company elects to rely on Rule 434 under the Act, immediately following execution and delivery of the applicable Pricing Agreement, to prepare an abbreviated term sheet relating to the Designated Shares in a form approved by the Representatives that complies with the requirements of Rule 434 under the Act and to file such form of Rule 434 Prospectus complying with Rule 434(c)(2) of the Act pursuant to Rule 424(b) under the Act not later than the Commission's close of business on the business day following the execution and delivery of the Pricing Agreement relating to the applicable Designated Shares or, if applicable, such earlier time as may be required by Rule 424(b); to make no further amendment or any supplement to the Registration Statement or Prospectus as amended or supplemented after the date of the Pricing Agreement relating to such Designated Shares and prior to the Time of Delivery for such Designated Shares (or, if the applicable Pricing Agreement provides for an over-allotment option, prior to the Option Closing Time or, if such over-allotment option is not exercised by the Underwriters, prior to the expiration of such over-allotment option) which shall be reasonably disapproved by the Representatives for such Designated Shares promptly after reasonable notice thereof; to advise the Representatives promptly of any such amendment or supplement after such Time of Delivery (or, if the applicable Pricing Agreement provides for an over-allotment option, after the Option Closing Time or, if such over-allotment option is not exercised by the Underwriters, after the expiration of such over-allotment option) and furnish the Representatives with copies thereof; to file promptly all reports and any definitive proxy or information statements required to be filed by the Company with the Commission pursuant to Section 13(a), 13(c), 14 or 15(d) of the Exchange Act for so long as the delivery of a prospectus is required in connection with the offering or sale of such</w:t>
      </w:r>
    </w:p>
    <w:p>
      <w:pPr>
        <w:spacing w:after="0" w:line="20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99" w:right="1440" w:bottom="1440" w:gutter="0" w:footer="0" w:header="0"/>
        </w:sectPr>
      </w:pPr>
    </w:p>
    <w:bookmarkStart w:id="11" w:name="page12"/>
    <w:bookmarkEnd w:id="11"/>
    <w:p>
      <w:pPr>
        <w:ind w:right="2119"/>
        <w:spacing w:after="0" w:line="242" w:lineRule="auto"/>
        <w:rPr>
          <w:sz w:val="20"/>
          <w:szCs w:val="20"/>
          <w:color w:val="auto"/>
        </w:rPr>
      </w:pPr>
      <w:r>
        <w:rPr>
          <w:rFonts w:ascii="Courier New" w:cs="Courier New" w:eastAsia="Courier New" w:hAnsi="Courier New"/>
          <w:sz w:val="17"/>
          <w:szCs w:val="17"/>
          <w:color w:val="auto"/>
        </w:rPr>
        <w:t>Designated Shares, and during such same period to advise the Representatives, promptly after it receives notice thereof, of the time when any amendment to the Registration Statement has been filed or becomes effective or any supplement to the Prospectus or any amended Prospectus has been filed with the Commission, of the issuance by the Commission of any stop order or of any order preventing or suspending the use of any Prospectus as amended or supplemented, of the suspension of the qualification of such Designated Shares for offering or sale in any jurisdiction, of the initiation or threatening of any proceeding for any such purpose, or of any request by the Commission for the amending or supplementing of the Registration Statement or Prospectus as amended or supplemented or for additional information; and, in the event of the issuance of any such stop order or of any such order preventing or suspending the use of any Prospectus as amended or supplemented relating to the Designated Shares or suspending any such qualification, to use promptly its best efforts to obtain its withdrawal;</w:t>
      </w:r>
    </w:p>
    <w:p>
      <w:pPr>
        <w:spacing w:after="0" w:line="199" w:lineRule="exact"/>
        <w:rPr>
          <w:sz w:val="20"/>
          <w:szCs w:val="20"/>
          <w:color w:val="auto"/>
        </w:rPr>
      </w:pPr>
    </w:p>
    <w:p>
      <w:pPr>
        <w:ind w:right="2219" w:firstLine="313"/>
        <w:spacing w:after="0" w:line="258" w:lineRule="auto"/>
        <w:tabs>
          <w:tab w:leader="none" w:pos="70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from time to time to take such action as the Representatives may reasonably request to qualify such Designated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Shares, provided that in connection therewith the Company shall not be required to qualify as a foreign corporation or to file a general consent to service of process in any jurisdiction;</w:t>
      </w:r>
    </w:p>
    <w:p>
      <w:pPr>
        <w:spacing w:after="0" w:line="190" w:lineRule="exact"/>
        <w:rPr>
          <w:rFonts w:ascii="Courier New" w:cs="Courier New" w:eastAsia="Courier New" w:hAnsi="Courier New"/>
          <w:sz w:val="16"/>
          <w:szCs w:val="16"/>
          <w:color w:val="auto"/>
        </w:rPr>
      </w:pPr>
    </w:p>
    <w:p>
      <w:pPr>
        <w:ind w:right="2119" w:firstLine="313"/>
        <w:spacing w:after="0" w:line="242" w:lineRule="auto"/>
        <w:tabs>
          <w:tab w:leader="none" w:pos="70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to furnish to the Underwriters in New York City with copies of the Prospectus, as amended or supplemented, in such quantities as the Representatives may reasonably request, and, if the delivery of a prospectus is required at any time in connection with the offering or sale of the Designated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as amended or supplemented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the Representatives and upon their request to file such document and to prepare and furnish without charge to each Underwriter and to any dealer in securities as many copies as the Representatives may from time to time reasonably request of an amended Prospectus or a supplement to the Prospectus which will correct such statement or omission or effect such compliance;</w:t>
      </w:r>
    </w:p>
    <w:p>
      <w:pPr>
        <w:spacing w:after="0" w:line="199" w:lineRule="exact"/>
        <w:rPr>
          <w:rFonts w:ascii="Courier New" w:cs="Courier New" w:eastAsia="Courier New" w:hAnsi="Courier New"/>
          <w:sz w:val="17"/>
          <w:szCs w:val="17"/>
          <w:color w:val="auto"/>
        </w:rPr>
      </w:pPr>
    </w:p>
    <w:p>
      <w:pPr>
        <w:ind w:right="2219" w:firstLine="313"/>
        <w:spacing w:after="0" w:line="259" w:lineRule="auto"/>
        <w:tabs>
          <w:tab w:leader="none" w:pos="70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its securityholders as soon as practicable, but in any event not later than eighteen months after the effective date of the Registration Statement (as defined in Rule 158(c)), an earnings statement of the Company (which need not be audited) complying with Section 11(a) of the Act and the rules and regulations of the Commission thereunder (including at the option of the Company Rule 158);</w:t>
      </w:r>
    </w:p>
    <w:p>
      <w:pPr>
        <w:spacing w:after="0" w:line="18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719"/>
          </w:cols>
          <w:pgMar w:left="740" w:top="699" w:right="1440" w:bottom="1440" w:gutter="0" w:footer="0" w:header="0"/>
        </w:sectPr>
      </w:pPr>
    </w:p>
    <w:bookmarkStart w:id="12" w:name="page13"/>
    <w:bookmarkEnd w:id="12"/>
    <w:p>
      <w:pPr>
        <w:ind w:right="2119" w:firstLine="515"/>
        <w:spacing w:after="0" w:line="257" w:lineRule="auto"/>
        <w:tabs>
          <w:tab w:leader="none" w:pos="91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beginning on and including the date of the Pricing Agreement for such Designated Shares and continuing through and including the 60/th/ day after the date of the Pricing Agreement, not to offer, sell, contract to sell, pledge or otherwise issue or dispose of (or enter into any transaction which is designed to, or might reasonably be expected to, result in the disposition (whether by actual disposition or effective economic disposition due to cash settlement or otherwise) by the Company), directly or indirectly, or establish or increase a put equivalent position or liquidate or decrease a call equivalent position with the meaning of Section 16 of the Exchange Act and the rules and regulations of the Commission promulgated thereunder with respect to, (i) if such Designated Shares are Common Shares, any Common Shares, any capital shares of the Company which are substantially similar to Common Shares or any securities convertible into or exercisable, exchangeable or redeemable for Common Shares or any capital shares of the Company which are substantially similar to Common Shares or (ii) if such Designated Shares are Preferred Shares, any such Preferred Shares, any capital shares of the Company which are substantially similar to such Preferred Shares or any securities convertible into or exercisable, exchangeable or redeemable for any such Preferred Shares or any capital shares of the Company which are substantially similar to such Preferred Shares, in each case without the prior written consent of the Representatives; provided, however, that the foregoing restrictions shall not prohibit the sale of such Designated Shares to the Underwriters pursuant to this Agreement and the applicable Pricing Agreement, and shall not prohibit the Company from issuing (A) Common Shares pursuant to (x) the Company's Dividend Reinvestment and Share Purchase Plan as in effect on the date of the applicable Pricing Agreement,</w:t>
      </w:r>
    </w:p>
    <w:p>
      <w:pPr>
        <w:spacing w:after="0" w:line="203" w:lineRule="exact"/>
        <w:rPr>
          <w:rFonts w:ascii="Courier New" w:cs="Courier New" w:eastAsia="Courier New" w:hAnsi="Courier New"/>
          <w:sz w:val="16"/>
          <w:szCs w:val="16"/>
          <w:color w:val="auto"/>
        </w:rPr>
      </w:pPr>
    </w:p>
    <w:p>
      <w:pPr>
        <w:ind w:right="2119" w:firstLine="9"/>
        <w:spacing w:after="0" w:line="257" w:lineRule="auto"/>
        <w:tabs>
          <w:tab w:leader="none" w:pos="40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the Company's employee or trustee benefit plans, including upon exercise of share options granted pursuant thereto, as such plans are in effect on the date of the applicable Pricing Agreement or (z) the exercise of contractual rights existing on the date of the applicable Pricing Agreement by current and former holders of partnership or other interests in certain of the "DownREIT" and other Entities listed in Annex III hereto which may result in the issuance of Common Shares by the Company, and (B) any securities (the "Acquisition Securities") convertible into or exercisable, exchangeable or redeemable for Common Shares as consideration for the acquisition of real property, provided, that the Acquisition Securities are not convertible, exercisable, exchangeable or redeemable for or into Common Shares prior to the day following the 60/th/ day after the date of the Pricing Agreement, and provided, further, that the Company shall not release, modify or waive the restriction set forth in this clause</w:t>
      </w:r>
    </w:p>
    <w:p>
      <w:pPr>
        <w:spacing w:after="0" w:line="5" w:lineRule="exact"/>
        <w:rPr>
          <w:rFonts w:ascii="Courier New" w:cs="Courier New" w:eastAsia="Courier New" w:hAnsi="Courier New"/>
          <w:sz w:val="16"/>
          <w:szCs w:val="16"/>
          <w:color w:val="auto"/>
        </w:rPr>
      </w:pPr>
    </w:p>
    <w:p>
      <w:pPr>
        <w:ind w:right="243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(B) with respect to the Acquisition Securities without the prior written consent of the Representatives.</w:t>
      </w:r>
    </w:p>
    <w:p>
      <w:pPr>
        <w:spacing w:after="0" w:line="199" w:lineRule="exact"/>
        <w:rPr>
          <w:rFonts w:ascii="Courier New" w:cs="Courier New" w:eastAsia="Courier New" w:hAnsi="Courier New"/>
          <w:sz w:val="16"/>
          <w:szCs w:val="16"/>
          <w:color w:val="auto"/>
        </w:rPr>
      </w:pPr>
    </w:p>
    <w:p>
      <w:pPr>
        <w:ind w:right="2739" w:firstLine="515"/>
        <w:spacing w:after="0"/>
        <w:tabs>
          <w:tab w:leader="none" w:pos="91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use the net proceeds received by it from the sale of the Designated Shares in the manner specified in the Prospectus under the caption "Use of Proceeds"; and</w:t>
      </w:r>
    </w:p>
    <w:p>
      <w:pPr>
        <w:spacing w:after="0" w:line="200" w:lineRule="exact"/>
        <w:rPr>
          <w:rFonts w:ascii="Courier New" w:cs="Courier New" w:eastAsia="Courier New" w:hAnsi="Courier New"/>
          <w:sz w:val="17"/>
          <w:szCs w:val="17"/>
          <w:color w:val="auto"/>
        </w:rPr>
      </w:pPr>
    </w:p>
    <w:p>
      <w:pPr>
        <w:ind w:right="2119" w:firstLine="515"/>
        <w:spacing w:after="0"/>
        <w:tabs>
          <w:tab w:leader="none" w:pos="91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qualify as a "real estate investment trust" under the Code, and to use its best efforts to continue to meet the requirements to qualify as a "real estate investment trust."</w:t>
      </w:r>
    </w:p>
    <w:p>
      <w:pPr>
        <w:spacing w:after="0" w:line="200" w:lineRule="exact"/>
        <w:rPr>
          <w:sz w:val="20"/>
          <w:szCs w:val="20"/>
          <w:color w:val="auto"/>
        </w:rPr>
      </w:pPr>
    </w:p>
    <w:p>
      <w:pPr>
        <w:jc w:val="both"/>
        <w:ind w:left="-500" w:right="2219" w:firstLine="509"/>
        <w:spacing w:after="0"/>
        <w:tabs>
          <w:tab w:leader="none" w:pos="30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covenants and agrees with the several Underwriters that the Company will pay or cause to be paid the following: (i) the fees, disbursements and expenses of</w:t>
      </w:r>
    </w:p>
    <w:p>
      <w:pPr>
        <w:spacing w:after="0" w:line="198"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719"/>
          </w:cols>
          <w:pgMar w:left="740" w:top="699" w:right="1440" w:bottom="1440" w:gutter="0" w:footer="0" w:header="0"/>
        </w:sectPr>
      </w:pPr>
    </w:p>
    <w:bookmarkStart w:id="13" w:name="page14"/>
    <w:bookmarkEnd w:id="13"/>
    <w:p>
      <w:pPr>
        <w:ind w:right="2119"/>
        <w:spacing w:after="0" w:line="258" w:lineRule="auto"/>
        <w:rPr>
          <w:sz w:val="20"/>
          <w:szCs w:val="20"/>
          <w:color w:val="auto"/>
        </w:rPr>
      </w:pPr>
      <w:r>
        <w:rPr>
          <w:rFonts w:ascii="Courier New" w:cs="Courier New" w:eastAsia="Courier New" w:hAnsi="Courier New"/>
          <w:sz w:val="16"/>
          <w:szCs w:val="16"/>
          <w:color w:val="auto"/>
        </w:rPr>
        <w:t>the Company's counsel and accountants in connection with the registration of the Shares under the Act and all other expenses in connection with the preparation, printing and filing of the Registration Statement, any Preliminary Prospectus and the Prospectus and amendments and supplements thereto (including each abbreviated term sheet delivered by the Company pursuant to Rule 434 under the Act) and the mailing and delivering of copies thereof to the Underwriters and dealers; (ii) the cost of printing or producing any Agreement Among Underwriters, this Agreement, any Pricing Agreement, any blue sky and legal investment surveys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and legal investment surveys; (iv) any filing fees incident to any required review by the National Association of Securities Dealers, Inc. of the terms of the sale of the Shares; (v) the cost of preparing certificates for the Shares; (vi) the costs and charges of any transfer agent or registrar or dividend disbursing agent; and (vii) all other costs and expenses incident to the performance of its obligations hereunder which are not otherwise specifically provided for in this Section. It is understood, however, that, except as provided in this Section, Section 8 and Section 11 hereof, the Underwriters will pay all of their own costs and expenses, including the fees of their counsel, transfer taxes on resale of any of the Shares by them, and any advertising expenses connected with any offers they may make.</w:t>
      </w:r>
    </w:p>
    <w:p>
      <w:pPr>
        <w:spacing w:after="0" w:line="380" w:lineRule="exact"/>
        <w:rPr>
          <w:sz w:val="20"/>
          <w:szCs w:val="20"/>
          <w:color w:val="auto"/>
        </w:rPr>
      </w:pPr>
    </w:p>
    <w:p>
      <w:pPr>
        <w:ind w:right="2119" w:firstLine="509"/>
        <w:spacing w:after="0" w:line="242" w:lineRule="auto"/>
        <w:tabs>
          <w:tab w:leader="none" w:pos="809"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the Underwriters of any Designated Shares under the Pricing Agreement relating to such Designated Shares shall be subject, in the discretion of the Representatives, to the condition that all representations and warranties and other statements of the Company in, or incorporated by reference from this Agreement into, the Pricing Agreement relating to such Designated Shares are, at and as of the Time of Delivery for such Designated Shares (and, if applicable, at and as of the Option Closing Time for any such Designated Shares) true and correct, to the condition that the Company shall have performed all of its obligations hereunder theretofore to be performed, and to the following additional conditions:</w:t>
      </w:r>
    </w:p>
    <w:p>
      <w:pPr>
        <w:spacing w:after="0" w:line="197" w:lineRule="exact"/>
        <w:rPr>
          <w:rFonts w:ascii="Courier New" w:cs="Courier New" w:eastAsia="Courier New" w:hAnsi="Courier New"/>
          <w:sz w:val="17"/>
          <w:szCs w:val="17"/>
          <w:color w:val="auto"/>
        </w:rPr>
      </w:pPr>
    </w:p>
    <w:p>
      <w:pPr>
        <w:ind w:left="500" w:right="2119" w:firstLine="313"/>
        <w:spacing w:after="0" w:line="242" w:lineRule="auto"/>
        <w:tabs>
          <w:tab w:leader="none" w:pos="1208"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Prospectus as amended or supplemented in relation to the applicable Designated Shares shall have been filed with the Commission pursuant to Rule 424(b) within the applicable time period prescribed for such filing by the rules and regulations under the Act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w:t>
      </w:r>
    </w:p>
    <w:p>
      <w:pPr>
        <w:spacing w:after="0" w:line="197" w:lineRule="exact"/>
        <w:rPr>
          <w:rFonts w:ascii="Courier New" w:cs="Courier New" w:eastAsia="Courier New" w:hAnsi="Courier New"/>
          <w:sz w:val="17"/>
          <w:szCs w:val="17"/>
          <w:color w:val="auto"/>
        </w:rPr>
      </w:pPr>
    </w:p>
    <w:p>
      <w:pPr>
        <w:ind w:left="500" w:right="2219" w:firstLine="313"/>
        <w:spacing w:after="0" w:line="242" w:lineRule="auto"/>
        <w:tabs>
          <w:tab w:leader="none" w:pos="1208"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Sidley Austin Brown &amp; Wood LLP, counsel for the Underwriters, shall have furnished to the Representatives such opinion or opinions, dated the Time of Delivery for such Designated Shares, with respect to the organization of the Company, the validity of the Designated Shares being delivered at such Time of Delivery, the Registration Statement, the Prospectus as amended or supplemented and other related matters as the Representatives may reasonably request, and such counsel shall have received such papers and information as they may reasonably request to enable them to pass upon such matters (in rendering such opinion, Sidley Austin Brown &amp; Wood LLP</w:t>
      </w:r>
    </w:p>
    <w:p>
      <w:pPr>
        <w:spacing w:after="0" w:line="19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9" w:right="1440" w:bottom="1440" w:gutter="0" w:footer="0" w:header="0"/>
        </w:sectPr>
      </w:pPr>
    </w:p>
    <w:bookmarkStart w:id="14" w:name="page15"/>
    <w:bookmarkEnd w:id="14"/>
    <w:p>
      <w:pPr>
        <w:ind w:right="2439"/>
        <w:spacing w:after="0" w:line="239" w:lineRule="auto"/>
        <w:rPr>
          <w:sz w:val="20"/>
          <w:szCs w:val="20"/>
          <w:color w:val="auto"/>
        </w:rPr>
      </w:pPr>
      <w:r>
        <w:rPr>
          <w:rFonts w:ascii="Courier New" w:cs="Courier New" w:eastAsia="Courier New" w:hAnsi="Courier New"/>
          <w:sz w:val="17"/>
          <w:szCs w:val="17"/>
          <w:color w:val="auto"/>
        </w:rPr>
        <w:t>may rely, as to all matters arising under or governed by the laws of the State of Maryland, on the opinion of Shaw Pittman LLP);</w:t>
      </w:r>
    </w:p>
    <w:p>
      <w:pPr>
        <w:spacing w:after="0" w:line="200" w:lineRule="exact"/>
        <w:rPr>
          <w:sz w:val="20"/>
          <w:szCs w:val="20"/>
          <w:color w:val="auto"/>
        </w:rPr>
      </w:pPr>
    </w:p>
    <w:p>
      <w:pPr>
        <w:ind w:right="2119" w:firstLine="515"/>
        <w:spacing w:after="0" w:line="241" w:lineRule="auto"/>
        <w:tabs>
          <w:tab w:leader="none" w:pos="91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Shaw Pittman LLP, counsel for the Company, shall have furnished to the Representatives their written opinion, dated the Time of Delivery for such Designated Shares, in form and substance satisfactory to the Representatives, to the effect set forth in Schedule A hereto;</w:t>
      </w:r>
    </w:p>
    <w:p>
      <w:pPr>
        <w:spacing w:after="0" w:line="198" w:lineRule="exact"/>
        <w:rPr>
          <w:rFonts w:ascii="Courier New" w:cs="Courier New" w:eastAsia="Courier New" w:hAnsi="Courier New"/>
          <w:sz w:val="17"/>
          <w:szCs w:val="17"/>
          <w:color w:val="auto"/>
        </w:rPr>
      </w:pPr>
    </w:p>
    <w:p>
      <w:pPr>
        <w:ind w:right="2119" w:firstLine="515"/>
        <w:spacing w:after="0" w:line="258" w:lineRule="auto"/>
        <w:tabs>
          <w:tab w:leader="none" w:pos="91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above opinion, the Representatives shall have received the opinion or opinions of Shaw Pittman LLP, Tax Counsel to the Company, dated the Time of Delivery for such Designated Shares, in form and substance satisfactory to the Representatives, to the effect that (1) the Company qualified as a real estate investment trust ("REIT") under the Code for its taxable years ending through and including December 31, 2002, (2) the Company is organized in conformity with the requirements for qualification as a REIT under the Code, and its current method of operation will enable it to meet the requirements for qualification as a REIT for the current taxable year and for future taxable years; and (3) the discussion in (x) the Prospectus under the caption "Federal Income Tax Consequences," and (y) the Company's Current Report on Form 8-K filed with the Commission on March 25, 2003 (hereafter, the "Company's Form 8-K")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Prospectus Supplement, to the extent that it discusses matters of law or legal conclusions or purports to describe certain provisions of the federal tax laws, is a correct summary of the matters discussed therein, and the opinions of such counsel appearing in the Prospectus under the caption "Federal Income Tax Consequences" are hereby confirmed;</w:t>
      </w:r>
    </w:p>
    <w:p>
      <w:pPr>
        <w:spacing w:after="0" w:line="379" w:lineRule="exact"/>
        <w:rPr>
          <w:rFonts w:ascii="Courier New" w:cs="Courier New" w:eastAsia="Courier New" w:hAnsi="Courier New"/>
          <w:sz w:val="16"/>
          <w:szCs w:val="16"/>
          <w:color w:val="auto"/>
        </w:rPr>
      </w:pPr>
    </w:p>
    <w:p>
      <w:pPr>
        <w:ind w:right="2119" w:firstLine="515"/>
        <w:spacing w:after="0" w:line="241" w:lineRule="auto"/>
        <w:tabs>
          <w:tab w:leader="none" w:pos="91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date of the Pricing Agreement for such Designated Shares and at the Time of Delivery for such Designated Shares, Grant Thornton LLP, the independent accountants of the Company, shall have furnished to the Underwriters a "comfort letter" in form and substance satisfactory to the Representatives;</w:t>
      </w:r>
    </w:p>
    <w:p>
      <w:pPr>
        <w:spacing w:after="0" w:line="199" w:lineRule="exact"/>
        <w:rPr>
          <w:rFonts w:ascii="Courier New" w:cs="Courier New" w:eastAsia="Courier New" w:hAnsi="Courier New"/>
          <w:sz w:val="17"/>
          <w:szCs w:val="17"/>
          <w:color w:val="auto"/>
        </w:rPr>
      </w:pPr>
    </w:p>
    <w:p>
      <w:pPr>
        <w:ind w:right="2219" w:firstLine="515"/>
        <w:spacing w:after="0" w:line="241" w:lineRule="auto"/>
        <w:tabs>
          <w:tab w:leader="none" w:pos="91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date of the Pricing Agreement for such Designated Securities and at the Time of Delivery for such Designated Securities the Chief Executive Officer or Chief Operating Officer and the Chief Financial Officer shall have furnished to the Representatives a certificate substantially in the form of Annex II hereto;</w:t>
      </w:r>
    </w:p>
    <w:p>
      <w:pPr>
        <w:spacing w:after="0" w:line="199" w:lineRule="exact"/>
        <w:rPr>
          <w:rFonts w:ascii="Courier New" w:cs="Courier New" w:eastAsia="Courier New" w:hAnsi="Courier New"/>
          <w:sz w:val="17"/>
          <w:szCs w:val="17"/>
          <w:color w:val="auto"/>
        </w:rPr>
      </w:pPr>
    </w:p>
    <w:p>
      <w:pPr>
        <w:ind w:right="2119" w:firstLine="515"/>
        <w:spacing w:after="0" w:line="241" w:lineRule="auto"/>
        <w:tabs>
          <w:tab w:leader="none" w:pos="91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as amended or</w:t>
      </w:r>
    </w:p>
    <w:p>
      <w:pPr>
        <w:spacing w:after="0" w:line="20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719"/>
          </w:cols>
          <w:pgMar w:left="740" w:top="699" w:right="1440" w:bottom="1440" w:gutter="0" w:footer="0" w:header="0"/>
        </w:sectPr>
      </w:pPr>
    </w:p>
    <w:bookmarkStart w:id="15" w:name="page16"/>
    <w:bookmarkEnd w:id="15"/>
    <w:p>
      <w:pPr>
        <w:ind w:right="2119"/>
        <w:spacing w:after="0" w:line="242" w:lineRule="auto"/>
        <w:rPr>
          <w:sz w:val="20"/>
          <w:szCs w:val="20"/>
          <w:color w:val="auto"/>
        </w:rPr>
      </w:pPr>
      <w:r>
        <w:rPr>
          <w:rFonts w:ascii="Courier New" w:cs="Courier New" w:eastAsia="Courier New" w:hAnsi="Courier New"/>
          <w:sz w:val="17"/>
          <w:szCs w:val="17"/>
          <w:color w:val="auto"/>
        </w:rPr>
        <w:t>supplemented there shall not have been any change in the authorized, issued or outstanding capital shares of the Company or increase in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as amended or supplemented, the effect of which, in any such case described in clause (i) or (ii), is in the judgment of the Representatives so material and adverse as to make it impracticable or inadvisable to proceed with the public offering or the delivery of the Designated Shares on the terms and in the manner contemplated in the Prospectus as amended or supplemented;</w:t>
      </w:r>
    </w:p>
    <w:p>
      <w:pPr>
        <w:spacing w:after="0" w:line="198" w:lineRule="exact"/>
        <w:rPr>
          <w:sz w:val="20"/>
          <w:szCs w:val="20"/>
          <w:color w:val="auto"/>
        </w:rPr>
      </w:pPr>
    </w:p>
    <w:p>
      <w:pPr>
        <w:ind w:right="2219" w:firstLine="515"/>
        <w:spacing w:after="0" w:line="257" w:lineRule="auto"/>
        <w:tabs>
          <w:tab w:leader="none" w:pos="91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after the date of the Pricing Agreement relating to the Designated Shares (i) no downgrading shall have occurred in the rating accorded the Company's debt securities or preferred shares by any "nationally recognized statistical rating organization," as that term is defined by the Commission for purposes of Rule 436(g)(2) under the Act and</w:t>
      </w:r>
    </w:p>
    <w:p>
      <w:pPr>
        <w:spacing w:after="0" w:line="1" w:lineRule="exact"/>
        <w:rPr>
          <w:rFonts w:ascii="Courier New" w:cs="Courier New" w:eastAsia="Courier New" w:hAnsi="Courier New"/>
          <w:sz w:val="16"/>
          <w:szCs w:val="16"/>
          <w:color w:val="auto"/>
        </w:rPr>
      </w:pPr>
    </w:p>
    <w:p>
      <w:pPr>
        <w:ind w:right="2219" w:firstLine="9"/>
        <w:spacing w:after="0"/>
        <w:tabs>
          <w:tab w:leader="none" w:pos="506"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such organization shall have publicly announced that it has under surveillance or review, with possible negative implications, its rating of any of the Company's debt securities or preferred shares;</w:t>
      </w:r>
    </w:p>
    <w:p>
      <w:pPr>
        <w:spacing w:after="0" w:line="200" w:lineRule="exact"/>
        <w:rPr>
          <w:rFonts w:ascii="Courier New" w:cs="Courier New" w:eastAsia="Courier New" w:hAnsi="Courier New"/>
          <w:sz w:val="17"/>
          <w:szCs w:val="17"/>
          <w:color w:val="auto"/>
        </w:rPr>
      </w:pPr>
    </w:p>
    <w:p>
      <w:pPr>
        <w:ind w:right="2119" w:firstLine="515"/>
        <w:spacing w:after="0" w:line="242" w:lineRule="auto"/>
        <w:tabs>
          <w:tab w:leader="none" w:pos="91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or after the date of the Pricing Agreement relating to the Designated Shares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or the delivery of the Designated Shares on the terms and in the manner contemplated in the Prospectus as amended or supplemented;</w:t>
      </w:r>
    </w:p>
    <w:p>
      <w:pPr>
        <w:spacing w:after="0" w:line="198" w:lineRule="exact"/>
        <w:rPr>
          <w:rFonts w:ascii="Courier New" w:cs="Courier New" w:eastAsia="Courier New" w:hAnsi="Courier New"/>
          <w:sz w:val="17"/>
          <w:szCs w:val="17"/>
          <w:color w:val="auto"/>
        </w:rPr>
      </w:pPr>
    </w:p>
    <w:p>
      <w:pPr>
        <w:ind w:right="2439" w:firstLine="515"/>
        <w:spacing w:after="0"/>
        <w:tabs>
          <w:tab w:leader="none" w:pos="91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complied with the provisions of Section 5(c) hereof with respect to the furnishing of Prospectuses as amended or supplemented;</w:t>
      </w:r>
    </w:p>
    <w:p>
      <w:pPr>
        <w:spacing w:after="0" w:line="200" w:lineRule="exact"/>
        <w:rPr>
          <w:rFonts w:ascii="Courier New" w:cs="Courier New" w:eastAsia="Courier New" w:hAnsi="Courier New"/>
          <w:sz w:val="17"/>
          <w:szCs w:val="17"/>
          <w:color w:val="auto"/>
        </w:rPr>
      </w:pPr>
    </w:p>
    <w:p>
      <w:pPr>
        <w:ind w:right="2119" w:firstLine="515"/>
        <w:spacing w:after="0" w:line="242" w:lineRule="auto"/>
        <w:tabs>
          <w:tab w:leader="none" w:pos="91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have furnished or caused to be furnished to the Representatives at the Time of Delivery for the Designated Shares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and as to such other matters as the Representatives may reasonably request;</w:t>
      </w:r>
    </w:p>
    <w:p>
      <w:pPr>
        <w:spacing w:after="0" w:line="19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9719"/>
          </w:cols>
          <w:pgMar w:left="740" w:top="699" w:right="1440" w:bottom="1440" w:gutter="0" w:footer="0" w:header="0"/>
        </w:sectPr>
      </w:pPr>
    </w:p>
    <w:bookmarkStart w:id="16" w:name="page17"/>
    <w:bookmarkEnd w:id="16"/>
    <w:p>
      <w:pPr>
        <w:ind w:left="-9" w:right="2219" w:firstLine="515"/>
        <w:spacing w:after="0" w:line="241" w:lineRule="auto"/>
        <w:tabs>
          <w:tab w:leader="none" w:pos="901"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or prior to the date of the Pricing Agreement, the Representatives shall have received an agreement substantially in the form of Annex IV hereto signed by each of the persons listed in Schedule III to such Pricing Agreement;</w:t>
      </w:r>
    </w:p>
    <w:p>
      <w:pPr>
        <w:spacing w:after="0" w:line="198" w:lineRule="exact"/>
        <w:rPr>
          <w:rFonts w:ascii="Courier New" w:cs="Courier New" w:eastAsia="Courier New" w:hAnsi="Courier New"/>
          <w:sz w:val="17"/>
          <w:szCs w:val="17"/>
          <w:color w:val="auto"/>
        </w:rPr>
      </w:pPr>
    </w:p>
    <w:p>
      <w:pPr>
        <w:ind w:left="-9" w:right="2219" w:firstLine="515"/>
        <w:spacing w:after="0" w:line="239" w:lineRule="auto"/>
        <w:tabs>
          <w:tab w:leader="none" w:pos="901"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Designated Shares shall have been approved for listing on the NYSE, subject to official notice of issuance; and</w:t>
      </w:r>
    </w:p>
    <w:p>
      <w:pPr>
        <w:spacing w:after="0" w:line="199" w:lineRule="exact"/>
        <w:rPr>
          <w:rFonts w:ascii="Courier New" w:cs="Courier New" w:eastAsia="Courier New" w:hAnsi="Courier New"/>
          <w:sz w:val="17"/>
          <w:szCs w:val="17"/>
          <w:color w:val="auto"/>
        </w:rPr>
      </w:pPr>
    </w:p>
    <w:p>
      <w:pPr>
        <w:ind w:left="-9" w:right="2119" w:firstLine="515"/>
        <w:spacing w:after="0" w:line="242" w:lineRule="auto"/>
        <w:tabs>
          <w:tab w:leader="none" w:pos="901"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Pricing Agreement with respect to the Designated Shares grants the Underwriters an option to purchase Option Shares from the Company and the Underwriters exercise such option to purchase all or any of the Option Shares, the obligations of the Underwriters to purchase such Option Shares at the Option Closing Time shall be subject to the further conditions that the Representatives shall have received legal opinions of Sidley Austin Brown &amp; Wood LLP and Shaw Pittman LLP, dated such Option Closing Time, relating to the Option Shares to be purchased and otherwise to the same effect as the respective opinions referred to in Sections 7(b), (c) and (d), a certificate from the Chief Financial Officer of the Company, dated such Option Closing Time, to the same effect as the certificate required to be delivered at the Time of Delivery pursuant to Section 7(f), a certificate or certificates of officers of the Company, dated such Option Closing Time, to the same effect as the certificates required pursuant to Section 7(k), and a "comfort letter," dated such Option Closing Time, from Grant Thornton LLP in the same form and substance as the letter furnished to the Underwriters at the Time of Delivery except that the "specified date" in such letter shall be a date not more than five days prior to such Option Closing Time, and that all of the foregoing are satisfactory to the Representatives.</w:t>
      </w:r>
    </w:p>
    <w:p>
      <w:pPr>
        <w:spacing w:after="0" w:line="199" w:lineRule="exact"/>
        <w:rPr>
          <w:rFonts w:ascii="Courier New" w:cs="Courier New" w:eastAsia="Courier New" w:hAnsi="Courier New"/>
          <w:sz w:val="17"/>
          <w:szCs w:val="17"/>
          <w:color w:val="auto"/>
        </w:rPr>
      </w:pPr>
    </w:p>
    <w:p>
      <w:pPr>
        <w:ind w:left="-509" w:right="2119" w:firstLine="509"/>
        <w:spacing w:after="0" w:line="257" w:lineRule="auto"/>
        <w:tabs>
          <w:tab w:leader="none" w:pos="50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Shares,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the Registration Statement, the Prospectus as amended or supplemented and any other prospectus relating to the Shares, or any such amendment or supplement in reliance upon and in conformity with written information furnished to the Company by any Underwriter of Designated Shares through the Representatives expressly for use in the Prospectus as amended or supplemented relating to such Shares; and provided, further, that this indemnity agreement with respect to any Preliminary Prospectus shall not inure to the benefit of any Underwriter from whom the person asserting any such losses,</w:t>
      </w:r>
    </w:p>
    <w:p>
      <w:pPr>
        <w:spacing w:after="0" w:line="396" w:lineRule="exact"/>
        <w:rPr>
          <w:sz w:val="20"/>
          <w:szCs w:val="20"/>
          <w:color w:val="auto"/>
        </w:rPr>
      </w:pPr>
    </w:p>
    <w:p>
      <w:pPr>
        <w:ind w:left="3431"/>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9710"/>
          </w:cols>
          <w:pgMar w:left="749" w:top="699" w:right="1440" w:bottom="1440" w:gutter="0" w:footer="0" w:header="0"/>
        </w:sectPr>
      </w:pPr>
    </w:p>
    <w:bookmarkStart w:id="17" w:name="page18"/>
    <w:bookmarkEnd w:id="17"/>
    <w:p>
      <w:pPr>
        <w:ind w:right="2319"/>
        <w:spacing w:after="0" w:line="242" w:lineRule="auto"/>
        <w:rPr>
          <w:sz w:val="20"/>
          <w:szCs w:val="20"/>
          <w:color w:val="auto"/>
        </w:rPr>
      </w:pPr>
      <w:r>
        <w:rPr>
          <w:rFonts w:ascii="Courier New" w:cs="Courier New" w:eastAsia="Courier New" w:hAnsi="Courier New"/>
          <w:sz w:val="17"/>
          <w:szCs w:val="17"/>
          <w:color w:val="auto"/>
        </w:rPr>
        <w:t>claims, damages or liabilities purchased Designated Shares, if a copy of the Prospectus as amended or supplemented relating to the Designated Shares (excluding documents incorporated or deemed to be incorporated by reference therein) was not sent or given by or on behalf of such Underwriter to such person, if such is required by the Act or the rules and regulations of the Commission thereunder, at or prior to the written confirmation of the sale of such Designated Shares to such person and if the Prospectus as amended or supplemented relating to the Designated Shares would have corrected the defect giving rise to such loss, claim, damage or liability, except that this proviso shall not be applicable if such defect shall have been corrected in a document which is incorporated or deemed to be incorporated by reference in the Prospectus as amended or supplemented relating to the Designated Shares.</w:t>
      </w:r>
    </w:p>
    <w:p>
      <w:pPr>
        <w:spacing w:after="0" w:line="198" w:lineRule="exact"/>
        <w:rPr>
          <w:sz w:val="20"/>
          <w:szCs w:val="20"/>
          <w:color w:val="auto"/>
        </w:rPr>
      </w:pPr>
    </w:p>
    <w:p>
      <w:pPr>
        <w:ind w:right="2119" w:firstLine="509"/>
        <w:spacing w:after="0" w:line="242" w:lineRule="auto"/>
        <w:tabs>
          <w:tab w:leader="none" w:pos="91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the Registration Statement, the Prospectus as amended or supplemented and any other prospectus relating to the Shares, or any amendment or supplement thereto (including the information deemed to be a part of the Registration Statement pursuant to Rule 434 under the Act, if applicable),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the Registration Statement, the Prospectus as amended or supplemented and any other prospectus relating to the Shares,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98" w:lineRule="exact"/>
        <w:rPr>
          <w:rFonts w:ascii="Courier New" w:cs="Courier New" w:eastAsia="Courier New" w:hAnsi="Courier New"/>
          <w:sz w:val="17"/>
          <w:szCs w:val="17"/>
          <w:color w:val="auto"/>
        </w:rPr>
      </w:pPr>
    </w:p>
    <w:p>
      <w:pPr>
        <w:ind w:left="920" w:hanging="411"/>
        <w:spacing w:after="0"/>
        <w:tabs>
          <w:tab w:leader="none" w:pos="92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after receipt by an indemnified party under subsection (a) or</w:t>
      </w:r>
    </w:p>
    <w:p>
      <w:pPr>
        <w:spacing w:after="0" w:line="4" w:lineRule="exact"/>
        <w:rPr>
          <w:rFonts w:ascii="Courier New" w:cs="Courier New" w:eastAsia="Courier New" w:hAnsi="Courier New"/>
          <w:sz w:val="17"/>
          <w:szCs w:val="17"/>
          <w:color w:val="auto"/>
        </w:rPr>
      </w:pPr>
    </w:p>
    <w:p>
      <w:pPr>
        <w:ind w:right="2119" w:firstLine="4"/>
        <w:spacing w:after="0" w:line="242" w:lineRule="auto"/>
        <w:tabs>
          <w:tab w:leader="none" w:pos="404"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99" w:right="1440" w:bottom="1440" w:gutter="0" w:footer="0" w:header="0"/>
        </w:sectPr>
      </w:pPr>
    </w:p>
    <w:bookmarkStart w:id="18" w:name="page19"/>
    <w:bookmarkEnd w:id="18"/>
    <w:p>
      <w:pPr>
        <w:ind w:right="2119"/>
        <w:spacing w:after="0" w:line="241" w:lineRule="auto"/>
        <w:rPr>
          <w:sz w:val="20"/>
          <w:szCs w:val="20"/>
          <w:color w:val="auto"/>
        </w:rPr>
      </w:pPr>
      <w:r>
        <w:rPr>
          <w:rFonts w:ascii="Courier New" w:cs="Courier New" w:eastAsia="Courier New" w:hAnsi="Courier New"/>
          <w:sz w:val="17"/>
          <w:szCs w:val="17"/>
          <w:color w:val="auto"/>
        </w:rPr>
        <w:t>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compromises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204" w:lineRule="exact"/>
        <w:rPr>
          <w:sz w:val="20"/>
          <w:szCs w:val="20"/>
          <w:color w:val="auto"/>
        </w:rPr>
      </w:pPr>
    </w:p>
    <w:p>
      <w:pPr>
        <w:ind w:right="2119" w:firstLine="509"/>
        <w:spacing w:after="0" w:line="257" w:lineRule="auto"/>
        <w:tabs>
          <w:tab w:leader="none" w:pos="91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indemnification provided for in this Section 8 is unavailable to or insufficient to hold harmless an indemnified party under subsection (a) or</w:t>
      </w:r>
    </w:p>
    <w:p>
      <w:pPr>
        <w:ind w:right="2119" w:firstLine="4"/>
        <w:spacing w:after="0" w:line="242" w:lineRule="auto"/>
        <w:tabs>
          <w:tab w:leader="none" w:pos="404"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Shares on the other from the offering of the Designated Shares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Shares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w:t>
      </w:r>
    </w:p>
    <w:p>
      <w:pPr>
        <w:spacing w:after="0" w:line="20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699" w:right="1440" w:bottom="1440" w:gutter="0" w:footer="0" w:header="0"/>
        </w:sectPr>
      </w:pPr>
    </w:p>
    <w:bookmarkStart w:id="19" w:name="page20"/>
    <w:bookmarkEnd w:id="19"/>
    <w:p>
      <w:pPr>
        <w:jc w:val="both"/>
        <w:ind w:right="2119"/>
        <w:spacing w:after="0"/>
        <w:rPr>
          <w:sz w:val="20"/>
          <w:szCs w:val="20"/>
          <w:color w:val="auto"/>
        </w:rPr>
      </w:pPr>
      <w:r>
        <w:rPr>
          <w:rFonts w:ascii="Courier New" w:cs="Courier New" w:eastAsia="Courier New" w:hAnsi="Courier New"/>
          <w:sz w:val="17"/>
          <w:szCs w:val="17"/>
          <w:color w:val="auto"/>
        </w:rPr>
        <w:t>Designated Shares in this subsection (d) to contribute are several in proportion to their respective underwriting obligations with respect to such Shares and not joint.</w:t>
      </w:r>
    </w:p>
    <w:p>
      <w:pPr>
        <w:spacing w:after="0" w:line="200" w:lineRule="exact"/>
        <w:rPr>
          <w:sz w:val="20"/>
          <w:szCs w:val="20"/>
          <w:color w:val="auto"/>
        </w:rPr>
      </w:pPr>
    </w:p>
    <w:p>
      <w:pPr>
        <w:ind w:right="2119" w:firstLine="509"/>
        <w:spacing w:after="0" w:line="241" w:lineRule="auto"/>
        <w:tabs>
          <w:tab w:leader="none" w:pos="91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204" w:lineRule="exact"/>
        <w:rPr>
          <w:sz w:val="20"/>
          <w:szCs w:val="20"/>
          <w:color w:val="auto"/>
        </w:rPr>
      </w:pPr>
    </w:p>
    <w:p>
      <w:pPr>
        <w:ind w:right="2119" w:firstLine="509"/>
        <w:spacing w:after="0" w:line="242" w:lineRule="auto"/>
        <w:tabs>
          <w:tab w:leader="none" w:pos="91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If any Underwriter shall default in its obligation to purchase the Designated Shares which it has agreed to purchase at the Time of Delivery or, if applicable, at the Option Closing Time under the Pricing Agreement relating to such Designated Shares, the Representatives may in their discretion arrange for themselves or another party or other parties to purchase such Designated Shares on the terms contained herein. If within thirty-six hours after such default by any Underwriter the Representatives do not arrange for the purchase of such Designated Shares, then the Company shall be entitled to a further period of thirty-six hours within which to procure another party or other parties satisfactory to the Representatives to purchase such Designated Shares on such terms. In the event that, within the respective prescribed period, the Representatives notify the Company that they have so arranged for the purchase of such Designated Shares, or the Company notifies the Representatives that it has so arranged for the purchase of such Designated Shares, the Representatives or the Company shall have the right to postpone the Time of Delivery or the Option Closing Time, as the case may be, for such Designated Shares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Agreement shall include any person substituted under this Section with like effect as if such person had originally been a party to the Pricing Agreement with respect to such Designated Shares.</w:t>
      </w:r>
    </w:p>
    <w:p>
      <w:pPr>
        <w:spacing w:after="0" w:line="201" w:lineRule="exact"/>
        <w:rPr>
          <w:sz w:val="20"/>
          <w:szCs w:val="20"/>
          <w:color w:val="auto"/>
        </w:rPr>
      </w:pPr>
    </w:p>
    <w:p>
      <w:pPr>
        <w:ind w:right="2119" w:firstLine="509"/>
        <w:spacing w:after="0" w:line="242" w:lineRule="auto"/>
        <w:tabs>
          <w:tab w:leader="none" w:pos="91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after giving effect to any arrangements for the purchase of the Designated Shares of a defaulting Underwriter or Underwriters by the Representatives and the Company as provided in subsection (a) above, the aggregate number of such Designated Shares which remains unpurchased does not exceed one-tenth of the aggregate number of Designated Shares to be purchased at the Time of Delivery or the Option Closing Time, as the case may be, then the Company shall have the right to require each non-defaulting Underwriter to purchase the number of Designated Shares which such Underwriter agreed to purchase at the Time of Delivery or such Option Closing Time, as the case may be, under the Pricing Agreement relating to such Designated Shares and, in addition, to require each non-defaulting Underwriter to purchase its pro rata share (based on the number of Designated Shares which such Underwriter agreed to purchase under such Pricing Agreement) of the Designated Shares of such defaulting Underwriter or Underwriters for which such arrangements have not been made; but nothing herein shall relieve a defaulting Underwriter from liability for its default.</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99" w:right="1440" w:bottom="1440" w:gutter="0" w:footer="0" w:header="0"/>
        </w:sectPr>
      </w:pPr>
    </w:p>
    <w:bookmarkStart w:id="20" w:name="page21"/>
    <w:bookmarkEnd w:id="20"/>
    <w:p>
      <w:pPr>
        <w:ind w:right="2119" w:firstLine="509"/>
        <w:spacing w:after="0" w:line="242" w:lineRule="auto"/>
        <w:tabs>
          <w:tab w:leader="none" w:pos="91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after giving effect to any arrangements for the purchase of the Designated Shares of a defaulting Underwriter or Underwriters by the Representatives and the Company as provided in subsection (a) above, the aggregate number of Designated Shares which remains unpurchased exceeds one-tenth of the aggregate number of the Designated Shares to be purchased at the Time of Delivery or the Option Closing Time, as the case may be, as referred to in subsection (b) above, or if the Company shall not exercise the right described in subsection (b) above to require non-defaulting Underwriters to purchase Designated Shares of a defaulting Underwriter or Underwriters, then, in the case of a failure to purchase Designated Shares at the Time of Delivery, the Pricing Agreement relating to such Designated Shares shall thereupon terminate, without liability on the part of any non-defaulting Underwriter or the Company, except for the expenses to be borne by the Company and the Underwriters as provided in Section 6 hereof and the indemnity and contribution agreements in Section 8 hereof or, in the case of a failure to purchase Designated Shares at an Option Closing Time which is after the Time of Delivery, the several obligations of the Underwriters to purchase and the obligation of the Company to sell such Designated Shares at such Option Closing Time shall terminate without liability on the part of any non-defaulting Underwriter or the Company, but in any such case nothing herein shall relieve a defaulting Underwriter from liability for its default.</w:t>
      </w:r>
    </w:p>
    <w:p>
      <w:pPr>
        <w:spacing w:after="0" w:line="200" w:lineRule="exact"/>
        <w:rPr>
          <w:sz w:val="20"/>
          <w:szCs w:val="20"/>
          <w:color w:val="auto"/>
        </w:rPr>
      </w:pPr>
    </w:p>
    <w:p>
      <w:pPr>
        <w:ind w:right="2119" w:firstLine="509"/>
        <w:spacing w:after="0" w:line="241" w:lineRule="auto"/>
        <w:tabs>
          <w:tab w:leader="none" w:pos="91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Shares.</w:t>
      </w:r>
    </w:p>
    <w:p>
      <w:pPr>
        <w:spacing w:after="0" w:line="203" w:lineRule="exact"/>
        <w:rPr>
          <w:rFonts w:ascii="Courier New" w:cs="Courier New" w:eastAsia="Courier New" w:hAnsi="Courier New"/>
          <w:sz w:val="17"/>
          <w:szCs w:val="17"/>
          <w:color w:val="auto"/>
        </w:rPr>
      </w:pPr>
    </w:p>
    <w:p>
      <w:pPr>
        <w:ind w:right="2219" w:firstLine="509"/>
        <w:spacing w:after="0" w:line="242" w:lineRule="auto"/>
        <w:tabs>
          <w:tab w:leader="none" w:pos="91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Pricing Agreement shall be terminated pursuant to Section 9 hereof, the Company shall not then be under any liability to any Underwriter with respect to the Designated Shares covered by such Pricing Agreement except as provided in Section 6 and Section 8 hereof. If this Agreement shall be terminated as a result of any of the conditions set forth in Section 7 (other than clause (i), (iii) or (iv) of Section 7(i) hereto)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Shares, but the Company shall then be under no further liability to any Underwriter with respect to such Designated Shares except as provided in Section 6 and Section 8 hereof.</w:t>
      </w:r>
    </w:p>
    <w:p>
      <w:pPr>
        <w:spacing w:after="0" w:line="197" w:lineRule="exact"/>
        <w:rPr>
          <w:rFonts w:ascii="Courier New" w:cs="Courier New" w:eastAsia="Courier New" w:hAnsi="Courier New"/>
          <w:sz w:val="17"/>
          <w:szCs w:val="17"/>
          <w:color w:val="auto"/>
        </w:rPr>
      </w:pPr>
    </w:p>
    <w:p>
      <w:pPr>
        <w:ind w:right="2319" w:firstLine="509"/>
        <w:spacing w:after="0" w:line="241" w:lineRule="auto"/>
        <w:tabs>
          <w:tab w:leader="none" w:pos="91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all dealings hereunder, the Representatives of the Underwriters of Designated Shares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201"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w:t>
      </w: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9" w:right="1440" w:bottom="1440" w:gutter="0" w:footer="0" w:header="0"/>
        </w:sectPr>
      </w:pPr>
    </w:p>
    <w:bookmarkStart w:id="21" w:name="page22"/>
    <w:bookmarkEnd w:id="21"/>
    <w:p>
      <w:pPr>
        <w:ind w:right="2219"/>
        <w:spacing w:after="0" w:line="242" w:lineRule="auto"/>
        <w:rPr>
          <w:sz w:val="20"/>
          <w:szCs w:val="20"/>
          <w:color w:val="auto"/>
        </w:rPr>
      </w:pPr>
      <w:r>
        <w:rPr>
          <w:rFonts w:ascii="Courier New" w:cs="Courier New" w:eastAsia="Courier New" w:hAnsi="Courier New"/>
          <w:sz w:val="17"/>
          <w:szCs w:val="17"/>
          <w:color w:val="auto"/>
        </w:rPr>
        <w:t>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97" w:lineRule="exact"/>
        <w:rPr>
          <w:sz w:val="20"/>
          <w:szCs w:val="20"/>
          <w:color w:val="auto"/>
        </w:rPr>
      </w:pPr>
    </w:p>
    <w:p>
      <w:pPr>
        <w:ind w:right="2119" w:firstLine="509"/>
        <w:spacing w:after="0" w:line="241" w:lineRule="auto"/>
        <w:tabs>
          <w:tab w:leader="none" w:pos="91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each Pricing Agreement shall be binding upon, and inure solely to the benefit of, the Underwriters, the Company and, to the extent provided in Section 8 and Section 10 hereof, the officers of the Company who signed the Registration Statement, trustees of the Company and each person who controls the Company or any Underwriter, and their respective heirs, executors, administrators, successors and assigns, and no other person shall acquire or have any right under or by virtue of this Agreement or any such Pricing Agreement. No purchaser of any of the Shares from any Underwriter shall be deemed a successor or assign by reason merely of such purchase.</w:t>
      </w:r>
    </w:p>
    <w:p>
      <w:pPr>
        <w:spacing w:after="0" w:line="204" w:lineRule="exact"/>
        <w:rPr>
          <w:rFonts w:ascii="Courier New" w:cs="Courier New" w:eastAsia="Courier New" w:hAnsi="Courier New"/>
          <w:sz w:val="17"/>
          <w:szCs w:val="17"/>
          <w:color w:val="auto"/>
        </w:rPr>
      </w:pPr>
    </w:p>
    <w:p>
      <w:pPr>
        <w:ind w:right="2119" w:firstLine="509"/>
        <w:spacing w:after="0"/>
        <w:tabs>
          <w:tab w:leader="none" w:pos="91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 shall be of the essence of each Pricing Agreement. As used herein, "business day" shall mean any day when the Commission's office in Washington, D.C. is open for business.</w:t>
      </w:r>
    </w:p>
    <w:p>
      <w:pPr>
        <w:spacing w:after="0" w:line="200" w:lineRule="exact"/>
        <w:rPr>
          <w:rFonts w:ascii="Courier New" w:cs="Courier New" w:eastAsia="Courier New" w:hAnsi="Courier New"/>
          <w:sz w:val="17"/>
          <w:szCs w:val="17"/>
          <w:color w:val="auto"/>
        </w:rPr>
      </w:pPr>
    </w:p>
    <w:p>
      <w:pPr>
        <w:ind w:right="2639" w:firstLine="509"/>
        <w:spacing w:after="0" w:line="239" w:lineRule="auto"/>
        <w:tabs>
          <w:tab w:leader="none" w:pos="91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each Pricing Agreement shall be governed by and construed in accordance with the laws of the State of New York.</w:t>
      </w:r>
    </w:p>
    <w:p>
      <w:pPr>
        <w:spacing w:after="0" w:line="199" w:lineRule="exact"/>
        <w:rPr>
          <w:rFonts w:ascii="Courier New" w:cs="Courier New" w:eastAsia="Courier New" w:hAnsi="Courier New"/>
          <w:sz w:val="17"/>
          <w:szCs w:val="17"/>
          <w:color w:val="auto"/>
        </w:rPr>
      </w:pPr>
    </w:p>
    <w:p>
      <w:pPr>
        <w:ind w:right="2119" w:firstLine="509"/>
        <w:spacing w:after="0" w:line="241" w:lineRule="auto"/>
        <w:tabs>
          <w:tab w:leader="none" w:pos="91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97"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[REMAINDER OF THIS PAGE INTENTIONALLY LEFT BLANK]</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9" w:right="1440" w:bottom="1440" w:gutter="0" w:footer="0" w:header="0"/>
        </w:sectPr>
      </w:pPr>
    </w:p>
    <w:bookmarkStart w:id="22" w:name="page23"/>
    <w:bookmarkEnd w:id="22"/>
    <w:p>
      <w:pPr>
        <w:ind w:right="2219" w:firstLine="505"/>
        <w:spacing w:after="0" w:line="239" w:lineRule="auto"/>
        <w:rPr>
          <w:sz w:val="20"/>
          <w:szCs w:val="20"/>
          <w:color w:val="auto"/>
        </w:rPr>
      </w:pPr>
      <w:r>
        <w:rPr>
          <w:rFonts w:ascii="Courier New" w:cs="Courier New" w:eastAsia="Courier New" w:hAnsi="Courier New"/>
          <w:sz w:val="17"/>
          <w:szCs w:val="17"/>
          <w:color w:val="auto"/>
        </w:rPr>
        <w:t>If the foregoing is in accordance with your understanding, please sign and return this Agreement to us.</w:t>
      </w:r>
    </w:p>
    <w:p>
      <w:pPr>
        <w:spacing w:after="0" w:line="39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Very truly yours,</w:t>
      </w:r>
    </w:p>
    <w:p>
      <w:pPr>
        <w:spacing w:after="0" w:line="196"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39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7"/>
          <w:szCs w:val="17"/>
          <w:color w:val="auto"/>
        </w:rPr>
        <w:t>By: /s/ LARRY E. FINGER</w:t>
      </w:r>
    </w:p>
    <w:p>
      <w:pPr>
        <w:spacing w:after="0" w:line="2"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Name: Larry E. Finger</w:t>
      </w:r>
    </w:p>
    <w:p>
      <w:pPr>
        <w:spacing w:after="0" w:line="2"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Title: Senior Vice President,</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Chief Financial Officer</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and Treasurer</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 as of the date hereof:</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WACHOVIA SECURITIES, INC.</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MARK E. WAXMAN</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Name: Mark E. Waxman</w:t>
      </w:r>
    </w:p>
    <w:p>
      <w:pPr>
        <w:spacing w:after="0" w:line="2"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Title: Director</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9" w:right="1440" w:bottom="1440" w:gutter="0" w:footer="0" w:header="0"/>
        </w:sectPr>
      </w:pPr>
    </w:p>
    <w:bookmarkStart w:id="23" w:name="page24"/>
    <w:bookmarkEnd w:id="23"/>
    <w:p>
      <w:pPr>
        <w:jc w:val="right"/>
        <w:ind w:right="2119"/>
        <w:spacing w:after="0"/>
        <w:rPr>
          <w:sz w:val="20"/>
          <w:szCs w:val="20"/>
          <w:color w:val="auto"/>
        </w:rPr>
      </w:pPr>
      <w:r>
        <w:rPr>
          <w:rFonts w:ascii="Courier New" w:cs="Courier New" w:eastAsia="Courier New" w:hAnsi="Courier New"/>
          <w:sz w:val="17"/>
          <w:szCs w:val="17"/>
          <w:color w:val="auto"/>
        </w:rPr>
        <w:t>ANNEX I</w:t>
      </w:r>
    </w:p>
    <w:p>
      <w:pPr>
        <w:spacing w:after="0" w:line="196"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Pricing Agreement</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 2003</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WACHOVIA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representative of the several Underwriters named in Schedule I hereto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St. Paul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Baltimore, Maryland 21202</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Federal Realty Investment Trust, a Maryland real estate investment trust (the "Company"), proposes, subject to the terms and conditions stated herein and in the Underwriting Agreement, dated May 9, 2003 (the "Underwriting Agreement"), between the Company on the one hand and Wachovia Securities, Inc., on the other hand, to issue and sell to the Underwriters named in Schedule I hereto (the "Underwriters") the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 designated to act on behalf of the Representatives pursuant to Section 12 of the Underwriting Agreement is Wachovia Securities, Inc., and the Representatives designated to act on behalf of each of the Underwriters of the Designated Shares pursuant to Section 12 of the Underwriting Agreement and the address of the Representatives referred to in such Section 12 are set forth in Schedule II hereto.</w:t>
      </w:r>
    </w:p>
    <w:p>
      <w:pPr>
        <w:spacing w:after="0" w:line="202" w:lineRule="exact"/>
        <w:rPr>
          <w:sz w:val="20"/>
          <w:szCs w:val="20"/>
          <w:color w:val="auto"/>
        </w:rPr>
      </w:pPr>
    </w:p>
    <w:p>
      <w:pPr>
        <w:ind w:right="2439" w:firstLine="910"/>
        <w:spacing w:after="0"/>
        <w:rPr>
          <w:sz w:val="20"/>
          <w:szCs w:val="20"/>
          <w:color w:val="auto"/>
        </w:rPr>
      </w:pPr>
      <w:r>
        <w:rPr>
          <w:rFonts w:ascii="Courier New" w:cs="Courier New" w:eastAsia="Courier New" w:hAnsi="Courier New"/>
          <w:sz w:val="17"/>
          <w:szCs w:val="17"/>
          <w:color w:val="auto"/>
        </w:rPr>
        <w:t>A supplement to the Prospectus relating to the Designated Shares, in the form heretofore delivered to you, is now proposed to be filed with the Commission.</w:t>
      </w:r>
    </w:p>
    <w:p>
      <w:pPr>
        <w:spacing w:after="0" w:line="200"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I-1</w:t>
      </w:r>
    </w:p>
    <w:p>
      <w:pPr>
        <w:sectPr>
          <w:pgSz w:w="11900" w:h="16838" w:orient="portrait"/>
          <w:cols w:equalWidth="0" w:num="1">
            <w:col w:w="10219"/>
          </w:cols>
          <w:pgMar w:left="240" w:top="697" w:right="1440" w:bottom="1440" w:gutter="0" w:footer="0" w:header="0"/>
        </w:sectPr>
      </w:pPr>
    </w:p>
    <w:bookmarkStart w:id="24" w:name="page25"/>
    <w:bookmarkEnd w:id="24"/>
    <w:p>
      <w:pPr>
        <w:ind w:right="2219"/>
        <w:spacing w:after="0"/>
        <w:rPr>
          <w:sz w:val="20"/>
          <w:szCs w:val="20"/>
          <w:color w:val="auto"/>
        </w:rPr>
      </w:pPr>
      <w:r>
        <w:rPr>
          <w:rFonts w:ascii="Courier New" w:cs="Courier New" w:eastAsia="Courier New" w:hAnsi="Courier New"/>
          <w:sz w:val="17"/>
          <w:szCs w:val="17"/>
          <w:color w:val="auto"/>
        </w:rPr>
        <w:t>forth in Schedule II hereto, the number of Initial Shares (as defined in Schedule II hereto) set forth opposite the name of such Underwriter in Schedule I hereto.</w:t>
      </w:r>
    </w:p>
    <w:p>
      <w:pPr>
        <w:spacing w:after="0" w:line="200"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 addition, subject to the terms and conditions set forth herein and in the Underwriting Agreement incorporated herein by reference, the Company hereby grants an option to the Underwriters to purchase, severally and not jointly, up to the number of Option Shares (as defined in Schedule II hereto) specified in Schedule II hereto at the place and purchase price to the Underwriters set forth in Schedule II hereto and at the Option Closing Time specified by the Representatives as provided below. The option hereby granted will expire at 11:59 p.m. (New York City time) on the 30th day after the date of this Pricing Agreement and may be exercised once, in whole or in part, for the purpose of covering over-allotments which may be made in connection with the offering and distribution of the Initial Shares upon notice by the Representatives to the Company setting forth the number of Option Shares as to which the several Underwriters are then exercising the option and the Option Closing Time for such Option Shares. Any such Option Closing Time shall be determined by the Representatives but shall not be later than seven full business days after the exercise of such option nor in any event prior to the Time of Delivery. If the option is exercised as to all or any portion of the Option Shares, each of the Underwriters, acting severally and not jointly, will be obligated to purchase that proportion of the total number of Option Shares then being purchased which the number of Initial Shares set forth in Schedule II hereto opposite the name of such Underwriter bears to the total number of Initial Shares (subject in each case to such adjustments as the Representatives in their discretion shall make to eliminate any sales or purchases of fractional shares), and the Company shall be obligated to issue and sell such Option Shares to the several Underwriters, in each case subject to the terms and conditions set forth herein and in the Underwriting Agreement incorporated by reference herein.</w:t>
      </w:r>
    </w:p>
    <w:p>
      <w:pPr>
        <w:spacing w:after="0" w:line="201" w:lineRule="exact"/>
        <w:rPr>
          <w:sz w:val="20"/>
          <w:szCs w:val="20"/>
          <w:color w:val="auto"/>
        </w:rPr>
      </w:pPr>
    </w:p>
    <w:p>
      <w:pPr>
        <w:ind w:right="2439" w:firstLine="505"/>
        <w:spacing w:after="0" w:line="239" w:lineRule="auto"/>
        <w:rPr>
          <w:sz w:val="20"/>
          <w:szCs w:val="20"/>
          <w:color w:val="auto"/>
        </w:rPr>
      </w:pPr>
      <w:r>
        <w:rPr>
          <w:rFonts w:ascii="Courier New" w:cs="Courier New" w:eastAsia="Courier New" w:hAnsi="Courier New"/>
          <w:sz w:val="17"/>
          <w:szCs w:val="17"/>
          <w:color w:val="auto"/>
        </w:rPr>
        <w:t>The obligations of the Underwriters under this Pricing Agreement and the Underwriting Agreement incorporated herein are several and not joint.</w:t>
      </w:r>
    </w:p>
    <w:p>
      <w:pPr>
        <w:spacing w:after="0" w:line="200" w:lineRule="exact"/>
        <w:rPr>
          <w:sz w:val="20"/>
          <w:szCs w:val="20"/>
          <w:color w:val="auto"/>
        </w:rPr>
      </w:pPr>
    </w:p>
    <w:p>
      <w:pPr>
        <w:ind w:right="2539" w:firstLine="505"/>
        <w:spacing w:after="0" w:line="239" w:lineRule="auto"/>
        <w:rPr>
          <w:sz w:val="20"/>
          <w:szCs w:val="20"/>
          <w:color w:val="auto"/>
        </w:rPr>
      </w:pPr>
      <w:r>
        <w:rPr>
          <w:rFonts w:ascii="Courier New" w:cs="Courier New" w:eastAsia="Courier New" w:hAnsi="Courier New"/>
          <w:sz w:val="17"/>
          <w:szCs w:val="17"/>
          <w:color w:val="auto"/>
        </w:rPr>
        <w:t>This Pricing Agreement shall be governed by and construed in accordance with the laws of the State of New York.</w:t>
      </w:r>
    </w:p>
    <w:p>
      <w:pPr>
        <w:spacing w:after="0" w:line="198"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[REMAINDER OF THIS PAGE INTENTIONALLY LEFT BLANK]</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I-2</w:t>
      </w:r>
    </w:p>
    <w:p>
      <w:pPr>
        <w:sectPr>
          <w:pgSz w:w="11900" w:h="16838" w:orient="portrait"/>
          <w:cols w:equalWidth="0" w:num="1">
            <w:col w:w="10219"/>
          </w:cols>
          <w:pgMar w:left="240" w:top="699" w:right="1440" w:bottom="1440" w:gutter="0" w:footer="0" w:header="0"/>
        </w:sectPr>
      </w:pPr>
    </w:p>
    <w:bookmarkStart w:id="25" w:name="page26"/>
    <w:bookmarkEnd w:id="25"/>
    <w:p>
      <w:pPr>
        <w:ind w:right="2219" w:firstLine="505"/>
        <w:spacing w:after="0" w:line="241" w:lineRule="auto"/>
        <w:rPr>
          <w:sz w:val="20"/>
          <w:szCs w:val="20"/>
          <w:color w:val="auto"/>
        </w:rPr>
      </w:pPr>
      <w:r>
        <w:rPr>
          <w:rFonts w:ascii="Courier New" w:cs="Courier New" w:eastAsia="Courier New" w:hAnsi="Courier New"/>
          <w:sz w:val="17"/>
          <w:szCs w:val="17"/>
          <w:color w:val="auto"/>
        </w:rPr>
        <w:t>If the foregoing is in accordance with your understanding, please sign and return this Pricing Agreement to us, and upon acceptance hereof by you, on behalf of each of the Underwriters, this Pricing Agreement and such acceptance hereof, including the provisions of the Underwriting Agreement incorporated herein by reference, shall constitute a binding agreement between each of the Underwriters and the Company.</w:t>
      </w:r>
    </w:p>
    <w:p>
      <w:pPr>
        <w:spacing w:after="0" w:line="199"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Very truly yours,</w:t>
      </w:r>
    </w:p>
    <w:p>
      <w:pPr>
        <w:spacing w:after="0" w:line="196"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FEDERAL REALTY INVESTMENT TRUST</w:t>
      </w:r>
    </w:p>
    <w:p>
      <w:pPr>
        <w:spacing w:after="0" w:line="393"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By:__________________________________</w:t>
      </w:r>
    </w:p>
    <w:p>
      <w:pPr>
        <w:spacing w:after="0" w:line="11"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Name:</w:t>
      </w:r>
    </w:p>
    <w:p>
      <w:pPr>
        <w:spacing w:after="0" w:line="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Title: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 as of the date hereof:</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WACHOVIA SECURITIES, INC.,</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On its own behalf and as Representative</w:t>
      </w: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of the several Underwriters</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By:______________________________________</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Name:</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Title:</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I-3</w:t>
      </w:r>
    </w:p>
    <w:p>
      <w:pPr>
        <w:sectPr>
          <w:pgSz w:w="11900" w:h="16838" w:orient="portrait"/>
          <w:cols w:equalWidth="0" w:num="1">
            <w:col w:w="10219"/>
          </w:cols>
          <w:pgMar w:left="240" w:top="699" w:right="1440" w:bottom="1440" w:gutter="0" w:footer="0" w:header="0"/>
        </w:sectPr>
      </w:pPr>
    </w:p>
    <w:bookmarkStart w:id="26" w:name="page27"/>
    <w:bookmarkEnd w:id="26"/>
    <w:p>
      <w:pPr>
        <w:ind w:left="3540"/>
        <w:spacing w:after="0"/>
        <w:rPr>
          <w:sz w:val="20"/>
          <w:szCs w:val="20"/>
          <w:color w:val="auto"/>
        </w:rPr>
      </w:pPr>
      <w:r>
        <w:rPr>
          <w:rFonts w:ascii="Courier New" w:cs="Courier New" w:eastAsia="Courier New" w:hAnsi="Courier New"/>
          <w:sz w:val="16"/>
          <w:szCs w:val="16"/>
          <w:color w:val="auto"/>
        </w:rPr>
        <w:t>SCHEDULE I</w:t>
      </w:r>
    </w:p>
    <w:p>
      <w:pPr>
        <w:sectPr>
          <w:pgSz w:w="11900" w:h="16838" w:orient="portrait"/>
          <w:cols w:equalWidth="0" w:num="1">
            <w:col w:w="10219"/>
          </w:cols>
          <w:pgMar w:left="240" w:top="699"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Underwriter</w:t>
      </w:r>
    </w:p>
    <w:p>
      <w:pPr>
        <w:spacing w:after="0" w:line="13"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Number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Initial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Purchased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140" w:space="720"/>
            <w:col w:w="5359"/>
          </w:cols>
          <w:pgMar w:left="240" w:top="699"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Wachovia Securities, Inc.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.,000</w:t>
      </w:r>
    </w:p>
    <w:p>
      <w:pPr>
        <w:spacing w:after="0" w:line="200" w:lineRule="exact"/>
        <w:rPr>
          <w:sz w:val="20"/>
          <w:szCs w:val="20"/>
          <w:color w:val="auto"/>
        </w:rPr>
      </w:pPr>
    </w:p>
    <w:p>
      <w:pPr>
        <w:sectPr>
          <w:pgSz w:w="11900" w:h="16838" w:orient="portrait"/>
          <w:cols w:equalWidth="0" w:num="2">
            <w:col w:w="4660" w:space="700"/>
            <w:col w:w="4859"/>
          </w:cols>
          <w:pgMar w:left="240" w:top="699" w:right="1440" w:bottom="1440" w:gutter="0" w:footer="0" w:header="0"/>
          <w:type w:val="continuous"/>
        </w:sectPr>
      </w:pP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Total ...................................</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.,000</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4660" w:space="500"/>
            <w:col w:w="5059"/>
          </w:cols>
          <w:pgMar w:left="240" w:top="699" w:right="1440" w:bottom="1440" w:gutter="0" w:footer="0" w:header="0"/>
          <w:type w:val="continuous"/>
        </w:sectPr>
      </w:pPr>
    </w:p>
    <w:bookmarkStart w:id="27" w:name="page28"/>
    <w:bookmarkEnd w:id="27"/>
    <w:p>
      <w:pPr>
        <w:ind w:left="3540"/>
        <w:spacing w:after="0"/>
        <w:rPr>
          <w:sz w:val="20"/>
          <w:szCs w:val="20"/>
          <w:color w:val="auto"/>
        </w:rPr>
      </w:pPr>
      <w:r>
        <w:rPr>
          <w:rFonts w:ascii="Courier New" w:cs="Courier New" w:eastAsia="Courier New" w:hAnsi="Courier New"/>
          <w:sz w:val="17"/>
          <w:szCs w:val="17"/>
          <w:color w:val="auto"/>
        </w:rPr>
        <w:t>SCHEDULE II</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of Designated Shares: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of Designated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100"/>
        <w:spacing w:after="0" w:line="239" w:lineRule="auto"/>
        <w:rPr>
          <w:sz w:val="20"/>
          <w:szCs w:val="20"/>
          <w:color w:val="auto"/>
        </w:rPr>
      </w:pPr>
      <w:r>
        <w:rPr>
          <w:rFonts w:ascii="Courier New" w:cs="Courier New" w:eastAsia="Courier New" w:hAnsi="Courier New"/>
          <w:sz w:val="17"/>
          <w:szCs w:val="17"/>
          <w:color w:val="auto"/>
        </w:rPr>
        <w:t>Initial Offering Price to Public Per Share for Designated Shares</w:t>
      </w:r>
    </w:p>
    <w:p>
      <w:pPr>
        <w:spacing w:after="0" w:line="200" w:lineRule="exact"/>
        <w:rPr>
          <w:sz w:val="20"/>
          <w:szCs w:val="20"/>
          <w:color w:val="auto"/>
        </w:rPr>
      </w:pPr>
    </w:p>
    <w:p>
      <w:pPr>
        <w:ind w:right="100"/>
        <w:spacing w:after="0" w:line="239" w:lineRule="auto"/>
        <w:rPr>
          <w:sz w:val="20"/>
          <w:szCs w:val="20"/>
          <w:color w:val="auto"/>
        </w:rPr>
      </w:pPr>
      <w:r>
        <w:rPr>
          <w:rFonts w:ascii="Courier New" w:cs="Courier New" w:eastAsia="Courier New" w:hAnsi="Courier New"/>
          <w:sz w:val="17"/>
          <w:szCs w:val="17"/>
          <w:color w:val="auto"/>
        </w:rPr>
        <w:t>Purchase Price per Share for Designated Shares to be Paid by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Specified funds for payment of purchase price:</w:t>
      </w:r>
    </w:p>
    <w:p>
      <w:pPr>
        <w:spacing w:after="0" w:line="199" w:lineRule="exact"/>
        <w:rPr>
          <w:sz w:val="20"/>
          <w:szCs w:val="20"/>
          <w:color w:val="auto"/>
        </w:rPr>
      </w:pPr>
    </w:p>
    <w:p>
      <w:pPr>
        <w:spacing w:after="0" w:line="239" w:lineRule="auto"/>
        <w:rPr>
          <w:sz w:val="20"/>
          <w:szCs w:val="20"/>
          <w:color w:val="auto"/>
        </w:rPr>
      </w:pPr>
      <w:r>
        <w:rPr>
          <w:rFonts w:ascii="Courier New" w:cs="Courier New" w:eastAsia="Courier New" w:hAnsi="Courier New"/>
          <w:sz w:val="17"/>
          <w:szCs w:val="17"/>
          <w:color w:val="auto"/>
        </w:rPr>
        <w:t>Liquidation Preference Per Share for Designated Shares, if applicable: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Dividend Payment Dates, if applicable: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 provisions, if applicable: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Sinking fund requirements, if applicable: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Names and addresses of Representatives: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0"/>
        <w:spacing w:after="0"/>
        <w:tabs>
          <w:tab w:leader="none" w:pos="1900" w:val="left"/>
        </w:tabs>
        <w:rPr>
          <w:sz w:val="20"/>
          <w:szCs w:val="20"/>
          <w:color w:val="auto"/>
        </w:rPr>
      </w:pPr>
      <w:r>
        <w:rPr>
          <w:rFonts w:ascii="Courier New" w:cs="Courier New" w:eastAsia="Courier New" w:hAnsi="Courier New"/>
          <w:sz w:val="17"/>
          <w:szCs w:val="17"/>
          <w:color w:val="auto"/>
        </w:rPr>
        <w:t>________ shares.</w:t>
      </w:r>
      <w:r>
        <w:rPr>
          <w:sz w:val="20"/>
          <w:szCs w:val="20"/>
          <w:color w:val="auto"/>
        </w:rPr>
        <w:tab/>
      </w:r>
      <w:r>
        <w:rPr>
          <w:rFonts w:ascii="Courier New" w:cs="Courier New" w:eastAsia="Courier New" w:hAnsi="Courier New"/>
          <w:sz w:val="16"/>
          <w:szCs w:val="16"/>
          <w:color w:val="auto"/>
        </w:rPr>
        <w:t>The Designated Shares consist of 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aggregate of ______ Designated Shares (the "Initial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that the Underwriters have agreed, severally and not jointly, to purchase and that the Company has agreed to sell and an aggregate of up to ______ Designated Shares</w:t>
      </w:r>
    </w:p>
    <w:p>
      <w:pPr>
        <w:spacing w:after="0" w:line="6" w:lineRule="exact"/>
        <w:rPr>
          <w:sz w:val="20"/>
          <w:szCs w:val="20"/>
          <w:color w:val="auto"/>
        </w:rPr>
      </w:pPr>
    </w:p>
    <w:p>
      <w:pPr>
        <w:spacing w:after="0" w:line="241" w:lineRule="auto"/>
        <w:rPr>
          <w:sz w:val="20"/>
          <w:szCs w:val="20"/>
          <w:color w:val="auto"/>
        </w:rPr>
      </w:pPr>
      <w:r>
        <w:rPr>
          <w:rFonts w:ascii="Courier New" w:cs="Courier New" w:eastAsia="Courier New" w:hAnsi="Courier New"/>
          <w:sz w:val="17"/>
          <w:szCs w:val="17"/>
          <w:color w:val="auto"/>
        </w:rPr>
        <w:t>(the "Option Shares") that the Underwriters have the option to purchase, severally and not jointly, from the Company, all subject to the terms and conditions set forth in this Pricing Agreement and the Underwriting Agreement incorporated by reference herein.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 per share.</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 per share; provided, however, that the purchase</w:t>
      </w:r>
    </w:p>
    <w:p>
      <w:pPr>
        <w:spacing w:after="0" w:line="4" w:lineRule="exact"/>
        <w:rPr>
          <w:sz w:val="20"/>
          <w:szCs w:val="20"/>
          <w:color w:val="auto"/>
        </w:rPr>
      </w:pPr>
    </w:p>
    <w:p>
      <w:pPr>
        <w:spacing w:after="0" w:line="241" w:lineRule="auto"/>
        <w:rPr>
          <w:sz w:val="20"/>
          <w:szCs w:val="20"/>
          <w:color w:val="auto"/>
        </w:rPr>
      </w:pPr>
      <w:r>
        <w:rPr>
          <w:rFonts w:ascii="Courier New" w:cs="Courier New" w:eastAsia="Courier New" w:hAnsi="Courier New"/>
          <w:sz w:val="17"/>
          <w:szCs w:val="17"/>
          <w:color w:val="auto"/>
        </w:rPr>
        <w:t>price per share for any Option Shares purchased by the Underwriters shall be reduced by an amount per share equal to the aggregate amount per share of any dividends or distributions declared, paid or payable with respect to the Initial Shares but not payable with respect to such Option Shares.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Wire transfer of immediately available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Wachovia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St. Paul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Baltimore, Maryland 21202</w:t>
      </w:r>
    </w:p>
    <w:p>
      <w:pPr>
        <w:sectPr>
          <w:pgSz w:w="11900" w:h="16838" w:orient="portrait"/>
          <w:cols w:equalWidth="0" w:num="2">
            <w:col w:w="4760" w:space="500"/>
            <w:col w:w="5960"/>
          </w:cols>
          <w:pgMar w:left="240" w:top="697" w:right="439"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Address for Notices, etc.: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Wachovia Securities, Inc.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St. Paul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Baltimore, Maryland 21202</w:t>
      </w:r>
    </w:p>
    <w:p>
      <w:pPr>
        <w:spacing w:after="0" w:line="200" w:lineRule="exact"/>
        <w:rPr>
          <w:sz w:val="20"/>
          <w:szCs w:val="20"/>
          <w:color w:val="auto"/>
        </w:rPr>
      </w:pPr>
    </w:p>
    <w:p>
      <w:pPr>
        <w:sectPr>
          <w:pgSz w:w="11900" w:h="16838" w:orient="portrait"/>
          <w:cols w:equalWidth="0" w:num="2">
            <w:col w:w="3020" w:space="720"/>
            <w:col w:w="6479"/>
          </w:cols>
          <w:pgMar w:left="240" w:top="699" w:right="1440" w:bottom="144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Terms:</w:t>
      </w:r>
    </w:p>
    <w:p>
      <w:pPr>
        <w:sectPr>
          <w:pgSz w:w="11900" w:h="16838" w:orient="portrait"/>
          <w:cols w:equalWidth="0" w:num="1">
            <w:col w:w="10219"/>
          </w:cols>
          <w:pgMar w:left="240" w:top="699" w:right="1440"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of Delivery:</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9:00 a.m. (New York City time) on _________</w:t>
      </w:r>
    </w:p>
    <w:p>
      <w:pPr>
        <w:spacing w:after="0" w:line="200" w:lineRule="exact"/>
        <w:rPr>
          <w:sz w:val="20"/>
          <w:szCs w:val="20"/>
          <w:color w:val="auto"/>
        </w:rPr>
      </w:pPr>
    </w:p>
    <w:p>
      <w:pPr>
        <w:sectPr>
          <w:pgSz w:w="11900" w:h="16838" w:orient="portrait"/>
          <w:cols w:equalWidth="0" w:num="2">
            <w:col w:w="3020" w:space="720"/>
            <w:col w:w="6479"/>
          </w:cols>
          <w:pgMar w:left="240" w:top="699"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Closing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Sidley Austin Brown &amp; Wood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555 California Street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Francisco, California 94104</w:t>
      </w:r>
    </w:p>
    <w:p>
      <w:pPr>
        <w:spacing w:after="0" w:line="200" w:lineRule="exact"/>
        <w:rPr>
          <w:sz w:val="20"/>
          <w:szCs w:val="20"/>
          <w:color w:val="auto"/>
        </w:rPr>
      </w:pPr>
    </w:p>
    <w:p>
      <w:pPr>
        <w:sectPr>
          <w:pgSz w:w="11900" w:h="16838" w:orient="portrait"/>
          <w:cols w:equalWidth="0" w:num="2">
            <w:col w:w="3020" w:space="720"/>
            <w:col w:w="6479"/>
          </w:cols>
          <w:pgMar w:left="240" w:top="699" w:right="1440" w:bottom="1440" w:gutter="0" w:footer="0" w:header="0"/>
          <w:type w:val="continuous"/>
        </w:sectPr>
      </w:pPr>
    </w:p>
    <w:p>
      <w:pPr>
        <w:spacing w:after="0" w:line="8" w:lineRule="exact"/>
        <w:rPr>
          <w:sz w:val="20"/>
          <w:szCs w:val="20"/>
          <w:color w:val="auto"/>
        </w:rPr>
      </w:pPr>
    </w:p>
    <w:p>
      <w:pPr>
        <w:spacing w:after="0" w:line="239" w:lineRule="auto"/>
        <w:rPr>
          <w:sz w:val="20"/>
          <w:szCs w:val="20"/>
          <w:color w:val="auto"/>
        </w:rPr>
      </w:pPr>
      <w:r>
        <w:rPr>
          <w:rFonts w:ascii="Courier New" w:cs="Courier New" w:eastAsia="Courier New" w:hAnsi="Courier New"/>
          <w:sz w:val="17"/>
          <w:szCs w:val="17"/>
          <w:color w:val="auto"/>
        </w:rPr>
        <w:t>Place of Delivery of Designated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New York, New York</w:t>
      </w:r>
    </w:p>
    <w:p>
      <w:pPr>
        <w:spacing w:after="0" w:line="402" w:lineRule="exact"/>
        <w:rPr>
          <w:sz w:val="20"/>
          <w:szCs w:val="20"/>
          <w:color w:val="auto"/>
        </w:rPr>
      </w:pPr>
    </w:p>
    <w:p>
      <w:pPr>
        <w:sectPr>
          <w:pgSz w:w="11900" w:h="16838" w:orient="portrait"/>
          <w:cols w:equalWidth="0" w:num="2">
            <w:col w:w="3140" w:space="600"/>
            <w:col w:w="6479"/>
          </w:cols>
          <w:pgMar w:left="240" w:top="699" w:right="1440" w:bottom="1440" w:gutter="0" w:footer="0" w:header="0"/>
          <w:type w:val="continuous"/>
        </w:sectPr>
      </w:pPr>
    </w:p>
    <w:p>
      <w:pPr>
        <w:ind w:left="40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99" w:right="1440" w:bottom="1440" w:gutter="0" w:footer="0" w:header="0"/>
          <w:type w:val="continuous"/>
        </w:sectPr>
      </w:pPr>
    </w:p>
    <w:bookmarkStart w:id="29" w:name="page30"/>
    <w:bookmarkEnd w:id="29"/>
    <w:p>
      <w:pPr>
        <w:jc w:val="center"/>
        <w:ind w:right="2139"/>
        <w:spacing w:after="0"/>
        <w:rPr>
          <w:sz w:val="20"/>
          <w:szCs w:val="20"/>
          <w:color w:val="auto"/>
        </w:rPr>
      </w:pPr>
      <w:r>
        <w:rPr>
          <w:rFonts w:ascii="Courier New" w:cs="Courier New" w:eastAsia="Courier New" w:hAnsi="Courier New"/>
          <w:sz w:val="17"/>
          <w:szCs w:val="17"/>
          <w:color w:val="auto"/>
        </w:rPr>
        <w:t>SCHEDULE III</w:t>
      </w:r>
    </w:p>
    <w:p>
      <w:pPr>
        <w:spacing w:after="0" w:line="196"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7"/>
          <w:szCs w:val="17"/>
          <w:color w:val="auto"/>
        </w:rPr>
        <w:t>List of Persons Subject to Lock-Up</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S. Ordan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C. Wood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Larry E. Finger</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97" w:right="1440" w:bottom="1440" w:gutter="0" w:footer="0" w:header="0"/>
        </w:sectPr>
      </w:pPr>
    </w:p>
    <w:bookmarkStart w:id="30" w:name="page31"/>
    <w:bookmarkEnd w:id="30"/>
    <w:p>
      <w:pPr>
        <w:jc w:val="right"/>
        <w:ind w:right="2119"/>
        <w:spacing w:after="0"/>
        <w:rPr>
          <w:sz w:val="20"/>
          <w:szCs w:val="20"/>
          <w:color w:val="auto"/>
        </w:rPr>
      </w:pPr>
      <w:r>
        <w:rPr>
          <w:rFonts w:ascii="Courier New" w:cs="Courier New" w:eastAsia="Courier New" w:hAnsi="Courier New"/>
          <w:sz w:val="17"/>
          <w:szCs w:val="17"/>
          <w:color w:val="auto"/>
        </w:rPr>
        <w:t>SCHEDULE A</w:t>
      </w:r>
    </w:p>
    <w:p>
      <w:pPr>
        <w:spacing w:after="0" w:line="199"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6"/>
          <w:szCs w:val="16"/>
          <w:color w:val="auto"/>
        </w:rPr>
        <w:t>[Not filed with this Current Report]</w:t>
      </w: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9019"/>
          </w:cols>
          <w:pgMar w:left="1440" w:top="697" w:right="1440" w:bottom="1440" w:gutter="0" w:footer="0" w:header="0"/>
        </w:sectPr>
      </w:pPr>
    </w:p>
    <w:bookmarkStart w:id="31" w:name="page32"/>
    <w:bookmarkEnd w:id="31"/>
    <w:p>
      <w:pPr>
        <w:jc w:val="right"/>
        <w:ind w:right="2119"/>
        <w:spacing w:after="0"/>
        <w:rPr>
          <w:sz w:val="20"/>
          <w:szCs w:val="20"/>
          <w:color w:val="auto"/>
        </w:rPr>
      </w:pPr>
      <w:r>
        <w:rPr>
          <w:rFonts w:ascii="Courier New" w:cs="Courier New" w:eastAsia="Courier New" w:hAnsi="Courier New"/>
          <w:sz w:val="17"/>
          <w:szCs w:val="17"/>
          <w:color w:val="auto"/>
        </w:rPr>
        <w:t>ANNEX II</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CERTIFICATE OF THE PRESIDENT AND CHIEF EXECUTIVE OFFICER</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AND CHIEF FINANCIAL OFFICER</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PURSUANT TO SECTION 7(f) OF THE UNDERWRITING AGREEMENT</w:t>
      </w:r>
    </w:p>
    <w:p>
      <w:pPr>
        <w:spacing w:after="0" w:line="199"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I, Donald C. Wood, the President and Chief Executive Officer and a Trustee, and I, Larry E. Finger, the Senior Vice President and Chief Financial Officer, of Federal Realty Investment Trust, certify that:</w:t>
      </w:r>
    </w:p>
    <w:p>
      <w:pPr>
        <w:spacing w:after="0" w:line="200" w:lineRule="exact"/>
        <w:rPr>
          <w:sz w:val="20"/>
          <w:szCs w:val="20"/>
          <w:color w:val="auto"/>
        </w:rPr>
      </w:pPr>
    </w:p>
    <w:p>
      <w:pPr>
        <w:ind w:left="500" w:right="2319" w:firstLine="515"/>
        <w:spacing w:after="0" w:line="241" w:lineRule="auto"/>
        <w:tabs>
          <w:tab w:leader="none" w:pos="1511"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Annual Report on Form 10-K for the year ended December 31, 2002 and the Quarterly Report on Form 10-Q for the fiscal quarter ended March 31, 2003 (each individually a "Report" and collectively, the "Reports"), and the Current Report on Form 8-K filed with the Securities and Exchange Commission on March 25, 2003, fully comply with the requirements of Section 13(a) or 15(d) of the Securities and Exchange Act of 1934; and</w:t>
      </w:r>
    </w:p>
    <w:p>
      <w:pPr>
        <w:spacing w:after="0" w:line="201" w:lineRule="exact"/>
        <w:rPr>
          <w:rFonts w:ascii="Courier New" w:cs="Courier New" w:eastAsia="Courier New" w:hAnsi="Courier New"/>
          <w:sz w:val="17"/>
          <w:szCs w:val="17"/>
          <w:color w:val="auto"/>
        </w:rPr>
      </w:pPr>
    </w:p>
    <w:p>
      <w:pPr>
        <w:ind w:left="500" w:right="2219" w:firstLine="515"/>
        <w:spacing w:after="0" w:line="241" w:lineRule="auto"/>
        <w:tabs>
          <w:tab w:leader="none" w:pos="1511"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contained in each Report fairly presents, in all material respects, the financial condition and results of operations of Federal Realty Investment Trust as of its date of filing with the Securities and Exchange Commission.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9, 2003</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__________________________________________________</w:t>
      </w:r>
    </w:p>
    <w:p>
      <w:pPr>
        <w:spacing w:after="0" w:line="11"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Donald C. Wood</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and Trustee</w:t>
      </w:r>
    </w:p>
    <w:p>
      <w:pPr>
        <w:spacing w:after="0" w:line="200" w:lineRule="exact"/>
        <w:rPr>
          <w:sz w:val="20"/>
          <w:szCs w:val="20"/>
          <w:color w:val="auto"/>
        </w:rPr>
      </w:pPr>
    </w:p>
    <w:p>
      <w:pPr>
        <w:spacing w:after="0" w:line="38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__________________________________________________</w:t>
      </w:r>
    </w:p>
    <w:p>
      <w:pPr>
        <w:spacing w:after="0" w:line="11"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Larry E. Finger</w:t>
      </w:r>
    </w:p>
    <w:p>
      <w:pPr>
        <w:spacing w:after="0" w:line="4"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Senior Vice President, Chief Financial Officer and</w:t>
      </w:r>
    </w:p>
    <w:p>
      <w:pPr>
        <w:spacing w:after="0" w:line="11"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Treasurer</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697"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3"/>
        </w:trPr>
        <w:tc>
          <w:tcPr>
            <w:tcW w:w="8540" w:type="dxa"/>
            <w:vAlign w:val="bottom"/>
          </w:tcPr>
          <w:p>
            <w:pPr>
              <w:ind w:left="7180"/>
              <w:spacing w:after="0"/>
              <w:rPr>
                <w:sz w:val="20"/>
                <w:szCs w:val="20"/>
                <w:color w:val="auto"/>
              </w:rPr>
            </w:pPr>
            <w:r>
              <w:rPr>
                <w:rFonts w:ascii="Courier New" w:cs="Courier New" w:eastAsia="Courier New" w:hAnsi="Courier New"/>
                <w:sz w:val="17"/>
                <w:szCs w:val="17"/>
                <w:color w:val="auto"/>
              </w:rPr>
              <w:t>ANNEX III</w:t>
            </w:r>
          </w:p>
        </w:tc>
        <w:tc>
          <w:tcPr>
            <w:tcW w:w="66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583"/>
        </w:trPr>
        <w:tc>
          <w:tcPr>
            <w:tcW w:w="8540" w:type="dxa"/>
            <w:vAlign w:val="bottom"/>
          </w:tcPr>
          <w:p>
            <w:pPr>
              <w:spacing w:after="0"/>
              <w:rPr>
                <w:sz w:val="24"/>
                <w:szCs w:val="24"/>
                <w:color w:val="auto"/>
              </w:rPr>
            </w:pPr>
          </w:p>
        </w:tc>
        <w:tc>
          <w:tcPr>
            <w:tcW w:w="298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Company's Direct or</w:t>
            </w:r>
          </w:p>
        </w:tc>
      </w:tr>
      <w:tr>
        <w:trPr>
          <w:trHeight w:val="194"/>
        </w:trPr>
        <w:tc>
          <w:tcPr>
            <w:tcW w:w="8540" w:type="dxa"/>
            <w:vAlign w:val="bottom"/>
          </w:tcPr>
          <w:p>
            <w:pPr>
              <w:spacing w:after="0"/>
              <w:rPr>
                <w:sz w:val="16"/>
                <w:szCs w:val="16"/>
                <w:color w:val="auto"/>
              </w:rPr>
            </w:pPr>
          </w:p>
        </w:tc>
        <w:tc>
          <w:tcPr>
            <w:tcW w:w="2980" w:type="dxa"/>
            <w:vAlign w:val="bottom"/>
            <w:gridSpan w:val="2"/>
          </w:tcPr>
          <w:p>
            <w:pPr>
              <w:ind w:left="560"/>
              <w:spacing w:after="0"/>
              <w:rPr>
                <w:sz w:val="20"/>
                <w:szCs w:val="20"/>
                <w:color w:val="auto"/>
              </w:rPr>
            </w:pPr>
            <w:r>
              <w:rPr>
                <w:rFonts w:ascii="Courier New" w:cs="Courier New" w:eastAsia="Courier New" w:hAnsi="Courier New"/>
                <w:sz w:val="17"/>
                <w:szCs w:val="17"/>
                <w:color w:val="auto"/>
              </w:rPr>
              <w:t>Indirect Ownership</w:t>
            </w: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FEDERAL REALTY INVESTMENT TRUST</w:t>
            </w:r>
          </w:p>
        </w:tc>
        <w:tc>
          <w:tcPr>
            <w:tcW w:w="660" w:type="dxa"/>
            <w:vAlign w:val="bottom"/>
          </w:tcPr>
          <w:p>
            <w:pPr>
              <w:spacing w:after="0"/>
              <w:rPr>
                <w:sz w:val="16"/>
                <w:szCs w:val="16"/>
                <w:color w:val="auto"/>
              </w:rPr>
            </w:pPr>
          </w:p>
        </w:tc>
        <w:tc>
          <w:tcPr>
            <w:tcW w:w="2320" w:type="dxa"/>
            <w:vAlign w:val="bottom"/>
          </w:tcPr>
          <w:p>
            <w:pPr>
              <w:ind w:left="400"/>
              <w:spacing w:after="0"/>
              <w:rPr>
                <w:sz w:val="20"/>
                <w:szCs w:val="20"/>
                <w:color w:val="auto"/>
              </w:rPr>
            </w:pPr>
            <w:r>
              <w:rPr>
                <w:rFonts w:ascii="Courier New" w:cs="Courier New" w:eastAsia="Courier New" w:hAnsi="Courier New"/>
                <w:sz w:val="17"/>
                <w:szCs w:val="17"/>
                <w:color w:val="auto"/>
              </w:rPr>
              <w:t>Interest</w:t>
            </w: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980" w:type="dxa"/>
            <w:vAlign w:val="bottom"/>
            <w:gridSpan w:val="2"/>
          </w:tcPr>
          <w:p>
            <w:pPr>
              <w:ind w:left="46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8540" w:type="dxa"/>
            <w:vAlign w:val="bottom"/>
          </w:tcPr>
          <w:p>
            <w:pPr>
              <w:spacing w:after="0"/>
              <w:rPr>
                <w:sz w:val="20"/>
                <w:szCs w:val="20"/>
                <w:color w:val="auto"/>
              </w:rPr>
            </w:pPr>
            <w:r>
              <w:rPr>
                <w:rFonts w:ascii="Courier New" w:cs="Courier New" w:eastAsia="Courier New" w:hAnsi="Courier New"/>
                <w:sz w:val="17"/>
                <w:szCs w:val="17"/>
                <w:color w:val="auto"/>
              </w:rPr>
              <w:t>FR Associates Limited Partnership ("FR")</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99%</w:t>
            </w:r>
          </w:p>
        </w:tc>
        <w:tc>
          <w:tcPr>
            <w:tcW w:w="2320" w:type="dxa"/>
            <w:vAlign w:val="bottom"/>
          </w:tcPr>
          <w:p>
            <w:pPr>
              <w:spacing w:after="0"/>
              <w:rPr>
                <w:sz w:val="24"/>
                <w:szCs w:val="24"/>
                <w:color w:val="auto"/>
              </w:rPr>
            </w:pP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Andorra Associates</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99%</w:t>
            </w:r>
          </w:p>
        </w:tc>
        <w:tc>
          <w:tcPr>
            <w:tcW w:w="2320" w:type="dxa"/>
            <w:vAlign w:val="bottom"/>
          </w:tcPr>
          <w:p>
            <w:pPr>
              <w:spacing w:after="0"/>
              <w:rPr>
                <w:sz w:val="20"/>
                <w:szCs w:val="20"/>
                <w:color w:val="auto"/>
              </w:rPr>
            </w:pPr>
            <w:r>
              <w:rPr>
                <w:rFonts w:ascii="Courier New" w:cs="Courier New" w:eastAsia="Courier New" w:hAnsi="Courier New"/>
                <w:sz w:val="17"/>
                <w:szCs w:val="17"/>
                <w:color w:val="auto"/>
              </w:rPr>
              <w:t>(1% FR)</w:t>
            </w: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Governor Plaza Associates</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99%</w:t>
            </w:r>
          </w:p>
        </w:tc>
        <w:tc>
          <w:tcPr>
            <w:tcW w:w="2320" w:type="dxa"/>
            <w:vAlign w:val="bottom"/>
          </w:tcPr>
          <w:p>
            <w:pPr>
              <w:spacing w:after="0"/>
              <w:rPr>
                <w:sz w:val="20"/>
                <w:szCs w:val="20"/>
                <w:color w:val="auto"/>
              </w:rPr>
            </w:pPr>
            <w:r>
              <w:rPr>
                <w:rFonts w:ascii="Courier New" w:cs="Courier New" w:eastAsia="Courier New" w:hAnsi="Courier New"/>
                <w:sz w:val="17"/>
                <w:szCs w:val="17"/>
                <w:color w:val="auto"/>
              </w:rPr>
              <w:t>(1% FR)</w:t>
            </w: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Shopping Center Associates</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99%</w:t>
            </w:r>
          </w:p>
        </w:tc>
        <w:tc>
          <w:tcPr>
            <w:tcW w:w="2320" w:type="dxa"/>
            <w:vAlign w:val="bottom"/>
          </w:tcPr>
          <w:p>
            <w:pPr>
              <w:spacing w:after="0"/>
              <w:rPr>
                <w:sz w:val="20"/>
                <w:szCs w:val="20"/>
                <w:color w:val="auto"/>
              </w:rPr>
            </w:pPr>
            <w:r>
              <w:rPr>
                <w:rFonts w:ascii="Courier New" w:cs="Courier New" w:eastAsia="Courier New" w:hAnsi="Courier New"/>
                <w:sz w:val="17"/>
                <w:szCs w:val="17"/>
                <w:color w:val="auto"/>
              </w:rPr>
              <w:t>(1% FR)</w:t>
            </w: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Berman Enterprises II Limited Partnership</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99%</w:t>
            </w:r>
          </w:p>
        </w:tc>
        <w:tc>
          <w:tcPr>
            <w:tcW w:w="2320" w:type="dxa"/>
            <w:vAlign w:val="bottom"/>
          </w:tcPr>
          <w:p>
            <w:pPr>
              <w:spacing w:after="0"/>
              <w:rPr>
                <w:sz w:val="20"/>
                <w:szCs w:val="20"/>
                <w:color w:val="auto"/>
              </w:rPr>
            </w:pPr>
            <w:r>
              <w:rPr>
                <w:rFonts w:ascii="Courier New" w:cs="Courier New" w:eastAsia="Courier New" w:hAnsi="Courier New"/>
                <w:sz w:val="17"/>
                <w:szCs w:val="17"/>
                <w:color w:val="auto"/>
              </w:rPr>
              <w:t>(1% FR)</w:t>
            </w: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FRIT Escondido Promenade, LLC</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70%</w:t>
            </w:r>
          </w:p>
        </w:tc>
        <w:tc>
          <w:tcPr>
            <w:tcW w:w="2320" w:type="dxa"/>
            <w:vAlign w:val="bottom"/>
          </w:tcPr>
          <w:p>
            <w:pPr>
              <w:spacing w:after="0"/>
              <w:rPr>
                <w:sz w:val="16"/>
                <w:szCs w:val="16"/>
                <w:color w:val="auto"/>
              </w:rPr>
            </w:pP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FRIT Leasing &amp; Development Services, Inc.</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100% voting stock</w:t>
            </w: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Congressional Plaza Associates</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55.7065%</w:t>
            </w: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FR Pike 7 Limited Partnership (DownREIT)</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99%</w:t>
            </w:r>
          </w:p>
        </w:tc>
        <w:tc>
          <w:tcPr>
            <w:tcW w:w="2320" w:type="dxa"/>
            <w:vAlign w:val="bottom"/>
          </w:tcPr>
          <w:p>
            <w:pPr>
              <w:spacing w:after="0"/>
              <w:rPr>
                <w:sz w:val="16"/>
                <w:szCs w:val="16"/>
                <w:color w:val="auto"/>
              </w:rPr>
            </w:pP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Federal Realty Partners L.P. (Master DownREIT- 531,724 units outstanding - 429,904</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40 units (FedRP Inc.)</w:t>
            </w: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units have been redeemed)</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40 units (FRLP Inc.)</w:t>
            </w: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Federal Realty Partners, Inc.</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100% voting stock</w:t>
            </w: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Loehmann's Plaza Limited Partnership (DownREIT - 250,000 units outstanding)</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60,000 units (FedRP Inc.)</w:t>
            </w: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FRLP, Inc.</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100% voting stock</w:t>
            </w: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FR Leesburg Plaza, LLC</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w w:val="93"/>
              </w:rPr>
              <w:t>100%</w:t>
            </w:r>
          </w:p>
        </w:tc>
        <w:tc>
          <w:tcPr>
            <w:tcW w:w="2320" w:type="dxa"/>
            <w:vAlign w:val="bottom"/>
          </w:tcPr>
          <w:p>
            <w:pPr>
              <w:spacing w:after="0"/>
              <w:rPr>
                <w:sz w:val="16"/>
                <w:szCs w:val="16"/>
                <w:color w:val="auto"/>
              </w:rPr>
            </w:pP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FR Leesburg Plaza, LP (DownREIT-352,500 total units issued - 7,816 units have</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214,500 units (LLC)</w:t>
            </w: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been redeemed)</w:t>
            </w:r>
          </w:p>
        </w:tc>
        <w:tc>
          <w:tcPr>
            <w:tcW w:w="66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FRIT Property Services, Inc. (f/k/a Terranomics Retail Services, Inc. f/k/a TRS</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100% nonvoting stock</w:t>
            </w: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Acquisition, Inc.)</w:t>
            </w:r>
          </w:p>
        </w:tc>
        <w:tc>
          <w:tcPr>
            <w:tcW w:w="66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Federal Realty Management Services, Inc.</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100% voting stock</w:t>
            </w: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FR Federal Plaza, Inc.</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100% voting stock</w:t>
            </w: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FR Federal Plaza, LLC</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100% (FedPlaza Inc.)</w:t>
            </w: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Street Retail, Inc.</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100% voting stock</w:t>
            </w:r>
          </w:p>
        </w:tc>
      </w:tr>
      <w:tr>
        <w:trPr>
          <w:trHeight w:val="389"/>
        </w:trPr>
        <w:tc>
          <w:tcPr>
            <w:tcW w:w="8540" w:type="dxa"/>
            <w:vAlign w:val="bottom"/>
          </w:tcPr>
          <w:p>
            <w:pPr>
              <w:spacing w:after="0"/>
              <w:rPr>
                <w:sz w:val="20"/>
                <w:szCs w:val="20"/>
                <w:color w:val="auto"/>
              </w:rPr>
            </w:pPr>
            <w:r>
              <w:rPr>
                <w:rFonts w:ascii="Courier New" w:cs="Courier New" w:eastAsia="Courier New" w:hAnsi="Courier New"/>
                <w:sz w:val="17"/>
                <w:szCs w:val="17"/>
                <w:color w:val="auto"/>
              </w:rPr>
              <w:t>STREET RETAIL, INC. ("SRI")</w:t>
            </w:r>
          </w:p>
        </w:tc>
        <w:tc>
          <w:tcPr>
            <w:tcW w:w="6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6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389"/>
        </w:trPr>
        <w:tc>
          <w:tcPr>
            <w:tcW w:w="8540" w:type="dxa"/>
            <w:vAlign w:val="bottom"/>
          </w:tcPr>
          <w:p>
            <w:pPr>
              <w:spacing w:after="0"/>
              <w:rPr>
                <w:sz w:val="20"/>
                <w:szCs w:val="20"/>
                <w:color w:val="auto"/>
              </w:rPr>
            </w:pPr>
            <w:r>
              <w:rPr>
                <w:rFonts w:ascii="Courier New" w:cs="Courier New" w:eastAsia="Courier New" w:hAnsi="Courier New"/>
                <w:sz w:val="17"/>
                <w:szCs w:val="17"/>
                <w:color w:val="auto"/>
              </w:rPr>
              <w:t>SRI Old Town, LLC</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w w:val="93"/>
              </w:rPr>
              <w:t>100%</w:t>
            </w:r>
          </w:p>
        </w:tc>
        <w:tc>
          <w:tcPr>
            <w:tcW w:w="2320" w:type="dxa"/>
            <w:vAlign w:val="bottom"/>
          </w:tcPr>
          <w:p>
            <w:pPr>
              <w:spacing w:after="0"/>
              <w:rPr>
                <w:sz w:val="24"/>
                <w:szCs w:val="24"/>
                <w:color w:val="auto"/>
              </w:rPr>
            </w:pP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Street Retail Forest Hills I, LLC</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w w:val="93"/>
              </w:rPr>
              <w:t>100%</w:t>
            </w:r>
          </w:p>
        </w:tc>
        <w:tc>
          <w:tcPr>
            <w:tcW w:w="2320" w:type="dxa"/>
            <w:vAlign w:val="bottom"/>
          </w:tcPr>
          <w:p>
            <w:pPr>
              <w:spacing w:after="0"/>
              <w:rPr>
                <w:sz w:val="16"/>
                <w:szCs w:val="16"/>
                <w:color w:val="auto"/>
              </w:rPr>
            </w:pP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Street Retail Forest Hills II, LLC</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w w:val="93"/>
              </w:rPr>
              <w:t>100%</w:t>
            </w:r>
          </w:p>
        </w:tc>
        <w:tc>
          <w:tcPr>
            <w:tcW w:w="2320" w:type="dxa"/>
            <w:vAlign w:val="bottom"/>
          </w:tcPr>
          <w:p>
            <w:pPr>
              <w:spacing w:after="0"/>
              <w:rPr>
                <w:sz w:val="16"/>
                <w:szCs w:val="16"/>
                <w:color w:val="auto"/>
              </w:rPr>
            </w:pP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Street Retail Tempe I, LLC</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85%</w:t>
            </w:r>
          </w:p>
        </w:tc>
        <w:tc>
          <w:tcPr>
            <w:tcW w:w="2320" w:type="dxa"/>
            <w:vAlign w:val="bottom"/>
          </w:tcPr>
          <w:p>
            <w:pPr>
              <w:spacing w:after="0"/>
              <w:rPr>
                <w:sz w:val="16"/>
                <w:szCs w:val="16"/>
                <w:color w:val="auto"/>
              </w:rPr>
            </w:pPr>
          </w:p>
        </w:tc>
      </w:tr>
      <w:tr>
        <w:trPr>
          <w:trHeight w:val="194"/>
        </w:trPr>
        <w:tc>
          <w:tcPr>
            <w:tcW w:w="8540" w:type="dxa"/>
            <w:vAlign w:val="bottom"/>
          </w:tcPr>
          <w:p>
            <w:pPr>
              <w:spacing w:after="0"/>
              <w:rPr>
                <w:sz w:val="20"/>
                <w:szCs w:val="20"/>
                <w:color w:val="auto"/>
              </w:rPr>
            </w:pPr>
            <w:r>
              <w:rPr>
                <w:rFonts w:ascii="Courier New" w:cs="Courier New" w:eastAsia="Courier New" w:hAnsi="Courier New"/>
                <w:sz w:val="17"/>
                <w:szCs w:val="17"/>
                <w:color w:val="auto"/>
              </w:rPr>
              <w:t>Street Retail West GP, Inc. ("SRWGP")</w:t>
            </w:r>
          </w:p>
        </w:tc>
        <w:tc>
          <w:tcPr>
            <w:tcW w:w="298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100% voting stock</w:t>
            </w: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Street Retail West I, L.P.</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90%</w:t>
            </w:r>
          </w:p>
        </w:tc>
        <w:tc>
          <w:tcPr>
            <w:tcW w:w="2320" w:type="dxa"/>
            <w:vAlign w:val="bottom"/>
          </w:tcPr>
          <w:p>
            <w:pPr>
              <w:spacing w:after="0"/>
              <w:rPr>
                <w:sz w:val="20"/>
                <w:szCs w:val="20"/>
                <w:color w:val="auto"/>
              </w:rPr>
            </w:pPr>
            <w:r>
              <w:rPr>
                <w:rFonts w:ascii="Courier New" w:cs="Courier New" w:eastAsia="Courier New" w:hAnsi="Courier New"/>
                <w:sz w:val="17"/>
                <w:szCs w:val="17"/>
                <w:color w:val="auto"/>
              </w:rPr>
              <w:t>(10% SRI)</w:t>
            </w: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Street Retail West II, L.P.</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90%</w:t>
            </w:r>
          </w:p>
        </w:tc>
        <w:tc>
          <w:tcPr>
            <w:tcW w:w="2320" w:type="dxa"/>
            <w:vAlign w:val="bottom"/>
          </w:tcPr>
          <w:p>
            <w:pPr>
              <w:spacing w:after="0"/>
              <w:rPr>
                <w:sz w:val="20"/>
                <w:szCs w:val="20"/>
                <w:color w:val="auto"/>
              </w:rPr>
            </w:pPr>
            <w:r>
              <w:rPr>
                <w:rFonts w:ascii="Courier New" w:cs="Courier New" w:eastAsia="Courier New" w:hAnsi="Courier New"/>
                <w:sz w:val="17"/>
                <w:szCs w:val="17"/>
                <w:color w:val="auto"/>
              </w:rPr>
              <w:t>(10% SRI)</w:t>
            </w: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Street Retail West 3, L.P.</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90%</w:t>
            </w:r>
          </w:p>
        </w:tc>
        <w:tc>
          <w:tcPr>
            <w:tcW w:w="2320" w:type="dxa"/>
            <w:vAlign w:val="bottom"/>
          </w:tcPr>
          <w:p>
            <w:pPr>
              <w:spacing w:after="0"/>
              <w:rPr>
                <w:sz w:val="20"/>
                <w:szCs w:val="20"/>
                <w:color w:val="auto"/>
              </w:rPr>
            </w:pPr>
            <w:r>
              <w:rPr>
                <w:rFonts w:ascii="Courier New" w:cs="Courier New" w:eastAsia="Courier New" w:hAnsi="Courier New"/>
                <w:sz w:val="17"/>
                <w:szCs w:val="17"/>
                <w:color w:val="auto"/>
              </w:rPr>
              <w:t>(10% SRI)</w:t>
            </w: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Street Retail West 4, L.P.</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90%</w:t>
            </w:r>
          </w:p>
        </w:tc>
        <w:tc>
          <w:tcPr>
            <w:tcW w:w="2320" w:type="dxa"/>
            <w:vAlign w:val="bottom"/>
          </w:tcPr>
          <w:p>
            <w:pPr>
              <w:spacing w:after="0"/>
              <w:rPr>
                <w:sz w:val="16"/>
                <w:szCs w:val="16"/>
                <w:color w:val="auto"/>
              </w:rPr>
            </w:pP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Street Retail West 6, L.P.</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90%</w:t>
            </w:r>
          </w:p>
        </w:tc>
        <w:tc>
          <w:tcPr>
            <w:tcW w:w="2320" w:type="dxa"/>
            <w:vAlign w:val="bottom"/>
          </w:tcPr>
          <w:p>
            <w:pPr>
              <w:spacing w:after="0"/>
              <w:rPr>
                <w:sz w:val="16"/>
                <w:szCs w:val="16"/>
                <w:color w:val="auto"/>
              </w:rPr>
            </w:pP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Street Retail West 7, L.P.</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90%</w:t>
            </w:r>
          </w:p>
        </w:tc>
        <w:tc>
          <w:tcPr>
            <w:tcW w:w="2320" w:type="dxa"/>
            <w:vAlign w:val="bottom"/>
          </w:tcPr>
          <w:p>
            <w:pPr>
              <w:spacing w:after="0"/>
              <w:rPr>
                <w:sz w:val="16"/>
                <w:szCs w:val="16"/>
                <w:color w:val="auto"/>
              </w:rPr>
            </w:pPr>
          </w:p>
        </w:tc>
      </w:tr>
      <w:tr>
        <w:trPr>
          <w:trHeight w:val="194"/>
        </w:trPr>
        <w:tc>
          <w:tcPr>
            <w:tcW w:w="8540" w:type="dxa"/>
            <w:vAlign w:val="bottom"/>
          </w:tcPr>
          <w:p>
            <w:pPr>
              <w:ind w:left="500"/>
              <w:spacing w:after="0"/>
              <w:rPr>
                <w:sz w:val="20"/>
                <w:szCs w:val="20"/>
                <w:color w:val="auto"/>
              </w:rPr>
            </w:pPr>
            <w:r>
              <w:rPr>
                <w:rFonts w:ascii="Courier New" w:cs="Courier New" w:eastAsia="Courier New" w:hAnsi="Courier New"/>
                <w:sz w:val="17"/>
                <w:szCs w:val="17"/>
                <w:color w:val="auto"/>
              </w:rPr>
              <w:t>Street Retail West 10, L.P.</w:t>
            </w:r>
          </w:p>
        </w:tc>
        <w:tc>
          <w:tcPr>
            <w:tcW w:w="660" w:type="dxa"/>
            <w:vAlign w:val="bottom"/>
          </w:tcPr>
          <w:p>
            <w:pPr>
              <w:ind w:left="260"/>
              <w:spacing w:after="0"/>
              <w:rPr>
                <w:sz w:val="20"/>
                <w:szCs w:val="20"/>
                <w:color w:val="auto"/>
              </w:rPr>
            </w:pPr>
            <w:r>
              <w:rPr>
                <w:rFonts w:ascii="Courier New" w:cs="Courier New" w:eastAsia="Courier New" w:hAnsi="Courier New"/>
                <w:sz w:val="17"/>
                <w:szCs w:val="17"/>
                <w:color w:val="auto"/>
              </w:rPr>
              <w:t>90%</w:t>
            </w:r>
          </w:p>
        </w:tc>
        <w:tc>
          <w:tcPr>
            <w:tcW w:w="2320" w:type="dxa"/>
            <w:vAlign w:val="bottom"/>
          </w:tcPr>
          <w:p>
            <w:pPr>
              <w:spacing w:after="0"/>
              <w:rPr>
                <w:sz w:val="16"/>
                <w:szCs w:val="16"/>
                <w:color w:val="auto"/>
              </w:rPr>
            </w:pPr>
          </w:p>
        </w:tc>
      </w:tr>
    </w:tbl>
    <w:p>
      <w:pPr>
        <w:spacing w:after="0" w:line="391"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III-1</w:t>
      </w:r>
    </w:p>
    <w:p>
      <w:pPr>
        <w:sectPr>
          <w:pgSz w:w="11900" w:h="16838" w:orient="portrait"/>
          <w:cols w:equalWidth="0" w:num="1">
            <w:col w:w="11520"/>
          </w:cols>
          <w:pgMar w:left="240" w:top="697" w:right="1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3"/>
        </w:trPr>
        <w:tc>
          <w:tcPr>
            <w:tcW w:w="6620" w:type="dxa"/>
            <w:vAlign w:val="bottom"/>
          </w:tcPr>
          <w:p>
            <w:pPr>
              <w:spacing w:after="0"/>
              <w:rPr>
                <w:sz w:val="20"/>
                <w:szCs w:val="20"/>
                <w:color w:val="auto"/>
              </w:rPr>
            </w:pPr>
            <w:r>
              <w:rPr>
                <w:rFonts w:ascii="Courier New" w:cs="Courier New" w:eastAsia="Courier New" w:hAnsi="Courier New"/>
                <w:sz w:val="17"/>
                <w:szCs w:val="17"/>
                <w:color w:val="auto"/>
              </w:rPr>
              <w:t>Street Retail San Antonio, LP</w:t>
            </w:r>
          </w:p>
        </w:tc>
        <w:tc>
          <w:tcPr>
            <w:tcW w:w="4800" w:type="dxa"/>
            <w:vAlign w:val="bottom"/>
            <w:gridSpan w:val="2"/>
          </w:tcPr>
          <w:p>
            <w:pPr>
              <w:ind w:left="2180"/>
              <w:spacing w:after="0"/>
              <w:rPr>
                <w:sz w:val="20"/>
                <w:szCs w:val="20"/>
                <w:color w:val="auto"/>
              </w:rPr>
            </w:pPr>
            <w:r>
              <w:rPr>
                <w:rFonts w:ascii="Courier New" w:cs="Courier New" w:eastAsia="Courier New" w:hAnsi="Courier New"/>
                <w:sz w:val="17"/>
                <w:szCs w:val="17"/>
                <w:color w:val="auto"/>
              </w:rPr>
              <w:t>.1% (SRI San Anton)</w:t>
            </w:r>
          </w:p>
        </w:tc>
      </w:tr>
      <w:tr>
        <w:trPr>
          <w:trHeight w:val="194"/>
        </w:trPr>
        <w:tc>
          <w:tcPr>
            <w:tcW w:w="6620" w:type="dxa"/>
            <w:vAlign w:val="bottom"/>
          </w:tcPr>
          <w:p>
            <w:pPr>
              <w:spacing w:after="0"/>
              <w:rPr>
                <w:sz w:val="16"/>
                <w:szCs w:val="16"/>
                <w:color w:val="auto"/>
              </w:rPr>
            </w:pPr>
          </w:p>
        </w:tc>
        <w:tc>
          <w:tcPr>
            <w:tcW w:w="4800" w:type="dxa"/>
            <w:vAlign w:val="bottom"/>
            <w:gridSpan w:val="2"/>
          </w:tcPr>
          <w:p>
            <w:pPr>
              <w:ind w:left="2180"/>
              <w:spacing w:after="0"/>
              <w:rPr>
                <w:sz w:val="20"/>
                <w:szCs w:val="20"/>
                <w:color w:val="auto"/>
              </w:rPr>
            </w:pPr>
            <w:r>
              <w:rPr>
                <w:rFonts w:ascii="Courier New" w:cs="Courier New" w:eastAsia="Courier New" w:hAnsi="Courier New"/>
                <w:sz w:val="17"/>
                <w:szCs w:val="17"/>
                <w:color w:val="auto"/>
              </w:rPr>
              <w:t>99.9% (SRI Texas)</w:t>
            </w:r>
          </w:p>
        </w:tc>
      </w:tr>
      <w:tr>
        <w:trPr>
          <w:trHeight w:val="194"/>
        </w:trPr>
        <w:tc>
          <w:tcPr>
            <w:tcW w:w="6620" w:type="dxa"/>
            <w:vAlign w:val="bottom"/>
          </w:tcPr>
          <w:p>
            <w:pPr>
              <w:spacing w:after="0"/>
              <w:rPr>
                <w:sz w:val="20"/>
                <w:szCs w:val="20"/>
                <w:color w:val="auto"/>
              </w:rPr>
            </w:pPr>
            <w:r>
              <w:rPr>
                <w:rFonts w:ascii="Courier New" w:cs="Courier New" w:eastAsia="Courier New" w:hAnsi="Courier New"/>
                <w:sz w:val="17"/>
                <w:szCs w:val="17"/>
                <w:color w:val="auto"/>
              </w:rPr>
              <w:t>SRI San Antonio, Inc. (f/k/a Dim Sum, Inc.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rPr>
              <w:t>100%</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voting stock</w:t>
            </w:r>
          </w:p>
        </w:tc>
      </w:tr>
      <w:tr>
        <w:trPr>
          <w:trHeight w:val="194"/>
        </w:trPr>
        <w:tc>
          <w:tcPr>
            <w:tcW w:w="6620" w:type="dxa"/>
            <w:vAlign w:val="bottom"/>
          </w:tcPr>
          <w:p>
            <w:pPr>
              <w:ind w:left="500"/>
              <w:spacing w:after="0"/>
              <w:rPr>
                <w:sz w:val="20"/>
                <w:szCs w:val="20"/>
                <w:color w:val="auto"/>
              </w:rPr>
            </w:pPr>
            <w:r>
              <w:rPr>
                <w:rFonts w:ascii="Courier New" w:cs="Courier New" w:eastAsia="Courier New" w:hAnsi="Courier New"/>
                <w:sz w:val="17"/>
                <w:szCs w:val="17"/>
                <w:color w:val="auto"/>
              </w:rPr>
              <w:t>f/k/a FR Acquisition Holding Co., Inc.)</w:t>
            </w:r>
          </w:p>
        </w:tc>
        <w:tc>
          <w:tcPr>
            <w:tcW w:w="268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94"/>
        </w:trPr>
        <w:tc>
          <w:tcPr>
            <w:tcW w:w="6620" w:type="dxa"/>
            <w:vAlign w:val="bottom"/>
          </w:tcPr>
          <w:p>
            <w:pPr>
              <w:spacing w:after="0"/>
              <w:rPr>
                <w:sz w:val="20"/>
                <w:szCs w:val="20"/>
                <w:color w:val="auto"/>
              </w:rPr>
            </w:pPr>
            <w:r>
              <w:rPr>
                <w:rFonts w:ascii="Courier New" w:cs="Courier New" w:eastAsia="Courier New" w:hAnsi="Courier New"/>
                <w:sz w:val="17"/>
                <w:szCs w:val="17"/>
                <w:color w:val="auto"/>
              </w:rPr>
              <w:t>SRI Texas, Inc.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rPr>
              <w:t>100%</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voting stock</w:t>
            </w:r>
          </w:p>
        </w:tc>
      </w:tr>
      <w:tr>
        <w:trPr>
          <w:trHeight w:val="194"/>
        </w:trPr>
        <w:tc>
          <w:tcPr>
            <w:tcW w:w="6620" w:type="dxa"/>
            <w:vAlign w:val="bottom"/>
          </w:tcPr>
          <w:p>
            <w:pPr>
              <w:spacing w:after="0"/>
              <w:rPr>
                <w:sz w:val="20"/>
                <w:szCs w:val="20"/>
                <w:color w:val="auto"/>
              </w:rPr>
            </w:pPr>
            <w:r>
              <w:rPr>
                <w:rFonts w:ascii="Courier New" w:cs="Courier New" w:eastAsia="Courier New" w:hAnsi="Courier New"/>
                <w:sz w:val="17"/>
                <w:szCs w:val="17"/>
                <w:color w:val="auto"/>
              </w:rPr>
              <w:t>JS&amp;DB, Inc.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rPr>
              <w:t>100%</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voting stock</w:t>
            </w:r>
          </w:p>
        </w:tc>
      </w:tr>
      <w:tr>
        <w:trPr>
          <w:trHeight w:val="194"/>
        </w:trPr>
        <w:tc>
          <w:tcPr>
            <w:tcW w:w="6620" w:type="dxa"/>
            <w:vAlign w:val="bottom"/>
          </w:tcPr>
          <w:p>
            <w:pPr>
              <w:spacing w:after="0"/>
              <w:rPr>
                <w:sz w:val="20"/>
                <w:szCs w:val="20"/>
                <w:color w:val="auto"/>
              </w:rPr>
            </w:pPr>
            <w:r>
              <w:rPr>
                <w:rFonts w:ascii="Courier New" w:cs="Courier New" w:eastAsia="Courier New" w:hAnsi="Courier New"/>
                <w:sz w:val="17"/>
                <w:szCs w:val="17"/>
                <w:color w:val="auto"/>
              </w:rPr>
              <w:t>SRI Holding Company, Inc.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rPr>
              <w:t>100%</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nonvoting stock</w:t>
            </w:r>
          </w:p>
        </w:tc>
      </w:tr>
      <w:tr>
        <w:trPr>
          <w:trHeight w:val="194"/>
        </w:trPr>
        <w:tc>
          <w:tcPr>
            <w:tcW w:w="6620" w:type="dxa"/>
            <w:vAlign w:val="bottom"/>
          </w:tcPr>
          <w:p>
            <w:pPr>
              <w:ind w:left="500"/>
              <w:spacing w:after="0"/>
              <w:rPr>
                <w:sz w:val="20"/>
                <w:szCs w:val="20"/>
                <w:color w:val="auto"/>
              </w:rPr>
            </w:pPr>
            <w:r>
              <w:rPr>
                <w:rFonts w:ascii="Courier New" w:cs="Courier New" w:eastAsia="Courier New" w:hAnsi="Courier New"/>
                <w:sz w:val="17"/>
                <w:szCs w:val="17"/>
                <w:color w:val="auto"/>
              </w:rPr>
              <w:t>Street Retail West 9, L.P.</w:t>
            </w:r>
          </w:p>
        </w:tc>
        <w:tc>
          <w:tcPr>
            <w:tcW w:w="4800" w:type="dxa"/>
            <w:vAlign w:val="bottom"/>
            <w:gridSpan w:val="2"/>
          </w:tcPr>
          <w:p>
            <w:pPr>
              <w:ind w:left="2180"/>
              <w:spacing w:after="0"/>
              <w:rPr>
                <w:sz w:val="20"/>
                <w:szCs w:val="20"/>
                <w:color w:val="auto"/>
              </w:rPr>
            </w:pPr>
            <w:r>
              <w:rPr>
                <w:rFonts w:ascii="Courier New" w:cs="Courier New" w:eastAsia="Courier New" w:hAnsi="Courier New"/>
                <w:sz w:val="17"/>
                <w:szCs w:val="17"/>
                <w:color w:val="auto"/>
              </w:rPr>
              <w:t>90% (SRI Holding)</w:t>
            </w:r>
          </w:p>
        </w:tc>
      </w:tr>
      <w:tr>
        <w:trPr>
          <w:trHeight w:val="194"/>
        </w:trPr>
        <w:tc>
          <w:tcPr>
            <w:tcW w:w="6620" w:type="dxa"/>
            <w:vAlign w:val="bottom"/>
          </w:tcPr>
          <w:p>
            <w:pPr>
              <w:spacing w:after="0"/>
              <w:rPr>
                <w:sz w:val="20"/>
                <w:szCs w:val="20"/>
                <w:color w:val="auto"/>
              </w:rPr>
            </w:pPr>
            <w:r>
              <w:rPr>
                <w:rFonts w:ascii="Courier New" w:cs="Courier New" w:eastAsia="Courier New" w:hAnsi="Courier New"/>
                <w:sz w:val="17"/>
                <w:szCs w:val="17"/>
                <w:color w:val="auto"/>
              </w:rPr>
              <w:t>FRIT San Jose Town and Country Village, LLC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rPr>
              <w:t>100%</w:t>
            </w:r>
          </w:p>
        </w:tc>
        <w:tc>
          <w:tcPr>
            <w:tcW w:w="2120" w:type="dxa"/>
            <w:vAlign w:val="bottom"/>
          </w:tcPr>
          <w:p>
            <w:pPr>
              <w:spacing w:after="0"/>
              <w:rPr>
                <w:sz w:val="16"/>
                <w:szCs w:val="16"/>
                <w:color w:val="auto"/>
              </w:rPr>
            </w:pPr>
          </w:p>
        </w:tc>
      </w:tr>
      <w:tr>
        <w:trPr>
          <w:trHeight w:val="194"/>
        </w:trPr>
        <w:tc>
          <w:tcPr>
            <w:tcW w:w="6620" w:type="dxa"/>
            <w:vAlign w:val="bottom"/>
          </w:tcPr>
          <w:p>
            <w:pPr>
              <w:ind w:left="500"/>
              <w:spacing w:after="0"/>
              <w:rPr>
                <w:sz w:val="20"/>
                <w:szCs w:val="20"/>
                <w:color w:val="auto"/>
              </w:rPr>
            </w:pPr>
            <w:r>
              <w:rPr>
                <w:rFonts w:ascii="Courier New" w:cs="Courier New" w:eastAsia="Courier New" w:hAnsi="Courier New"/>
                <w:sz w:val="17"/>
                <w:szCs w:val="17"/>
                <w:color w:val="auto"/>
              </w:rPr>
              <w:t>San Jose Residential, Inc.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rPr>
              <w:t>100%</w:t>
            </w:r>
          </w:p>
        </w:tc>
        <w:tc>
          <w:tcPr>
            <w:tcW w:w="2120" w:type="dxa"/>
            <w:vAlign w:val="bottom"/>
          </w:tcPr>
          <w:p>
            <w:pPr>
              <w:spacing w:after="0"/>
              <w:rPr>
                <w:sz w:val="20"/>
                <w:szCs w:val="20"/>
                <w:color w:val="auto"/>
              </w:rPr>
            </w:pPr>
            <w:r>
              <w:rPr>
                <w:rFonts w:ascii="Courier New" w:cs="Courier New" w:eastAsia="Courier New" w:hAnsi="Courier New"/>
                <w:sz w:val="17"/>
                <w:szCs w:val="17"/>
                <w:color w:val="auto"/>
                <w:w w:val="98"/>
              </w:rPr>
              <w:t>nonvoting stock (LLC)</w:t>
            </w:r>
          </w:p>
        </w:tc>
      </w:tr>
      <w:tr>
        <w:trPr>
          <w:trHeight w:val="194"/>
        </w:trPr>
        <w:tc>
          <w:tcPr>
            <w:tcW w:w="6620" w:type="dxa"/>
            <w:vAlign w:val="bottom"/>
          </w:tcPr>
          <w:p>
            <w:pPr>
              <w:spacing w:after="0"/>
              <w:rPr>
                <w:sz w:val="20"/>
                <w:szCs w:val="20"/>
                <w:color w:val="auto"/>
              </w:rPr>
            </w:pPr>
            <w:r>
              <w:rPr>
                <w:rFonts w:ascii="Courier New" w:cs="Courier New" w:eastAsia="Courier New" w:hAnsi="Courier New"/>
                <w:sz w:val="17"/>
                <w:szCs w:val="17"/>
                <w:color w:val="auto"/>
              </w:rPr>
              <w:t>Santana Row Services, Inc.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rPr>
              <w:t>100%</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voting</w:t>
            </w:r>
          </w:p>
        </w:tc>
      </w:tr>
      <w:tr>
        <w:trPr>
          <w:trHeight w:val="194"/>
        </w:trPr>
        <w:tc>
          <w:tcPr>
            <w:tcW w:w="6620" w:type="dxa"/>
            <w:vAlign w:val="bottom"/>
          </w:tcPr>
          <w:p>
            <w:pPr>
              <w:spacing w:after="0"/>
              <w:rPr>
                <w:sz w:val="20"/>
                <w:szCs w:val="20"/>
                <w:color w:val="auto"/>
              </w:rPr>
            </w:pPr>
            <w:r>
              <w:rPr>
                <w:rFonts w:ascii="Courier New" w:cs="Courier New" w:eastAsia="Courier New" w:hAnsi="Courier New"/>
                <w:sz w:val="17"/>
                <w:szCs w:val="17"/>
                <w:color w:val="auto"/>
              </w:rPr>
              <w:t>Santana Row ROF, Inc.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rPr>
              <w:t>100%</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voting</w:t>
            </w:r>
          </w:p>
        </w:tc>
      </w:tr>
      <w:tr>
        <w:trPr>
          <w:trHeight w:val="194"/>
        </w:trPr>
        <w:tc>
          <w:tcPr>
            <w:tcW w:w="6620" w:type="dxa"/>
            <w:vAlign w:val="bottom"/>
          </w:tcPr>
          <w:p>
            <w:pPr>
              <w:ind w:left="500"/>
              <w:spacing w:after="0"/>
              <w:rPr>
                <w:sz w:val="20"/>
                <w:szCs w:val="20"/>
                <w:color w:val="auto"/>
              </w:rPr>
            </w:pPr>
            <w:r>
              <w:rPr>
                <w:rFonts w:ascii="Courier New" w:cs="Courier New" w:eastAsia="Courier New" w:hAnsi="Courier New"/>
                <w:sz w:val="17"/>
                <w:szCs w:val="17"/>
                <w:color w:val="auto"/>
              </w:rPr>
              <w:t>La Rive Gauche San Jose, LLC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w w:val="94"/>
              </w:rPr>
              <w:t>37.5%</w:t>
            </w:r>
          </w:p>
        </w:tc>
        <w:tc>
          <w:tcPr>
            <w:tcW w:w="2120" w:type="dxa"/>
            <w:vAlign w:val="bottom"/>
          </w:tcPr>
          <w:p>
            <w:pPr>
              <w:spacing w:after="0"/>
              <w:rPr>
                <w:sz w:val="16"/>
                <w:szCs w:val="16"/>
                <w:color w:val="auto"/>
              </w:rPr>
            </w:pPr>
          </w:p>
        </w:tc>
      </w:tr>
      <w:tr>
        <w:trPr>
          <w:trHeight w:val="194"/>
        </w:trPr>
        <w:tc>
          <w:tcPr>
            <w:tcW w:w="6620" w:type="dxa"/>
            <w:vAlign w:val="bottom"/>
          </w:tcPr>
          <w:p>
            <w:pPr>
              <w:ind w:left="500"/>
              <w:spacing w:after="0"/>
              <w:rPr>
                <w:sz w:val="20"/>
                <w:szCs w:val="20"/>
                <w:color w:val="auto"/>
              </w:rPr>
            </w:pPr>
            <w:r>
              <w:rPr>
                <w:rFonts w:ascii="Courier New" w:cs="Courier New" w:eastAsia="Courier New" w:hAnsi="Courier New"/>
                <w:sz w:val="17"/>
                <w:szCs w:val="17"/>
                <w:color w:val="auto"/>
              </w:rPr>
              <w:t>Straits Santana Row, LLC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rPr>
              <w:t>90%</w:t>
            </w:r>
          </w:p>
        </w:tc>
        <w:tc>
          <w:tcPr>
            <w:tcW w:w="2120" w:type="dxa"/>
            <w:vAlign w:val="bottom"/>
          </w:tcPr>
          <w:p>
            <w:pPr>
              <w:spacing w:after="0"/>
              <w:rPr>
                <w:sz w:val="16"/>
                <w:szCs w:val="16"/>
                <w:color w:val="auto"/>
              </w:rPr>
            </w:pPr>
          </w:p>
        </w:tc>
      </w:tr>
      <w:tr>
        <w:trPr>
          <w:trHeight w:val="194"/>
        </w:trPr>
        <w:tc>
          <w:tcPr>
            <w:tcW w:w="6620" w:type="dxa"/>
            <w:vAlign w:val="bottom"/>
          </w:tcPr>
          <w:p>
            <w:pPr>
              <w:ind w:left="500"/>
              <w:spacing w:after="0"/>
              <w:rPr>
                <w:sz w:val="20"/>
                <w:szCs w:val="20"/>
                <w:color w:val="auto"/>
              </w:rPr>
            </w:pPr>
            <w:r>
              <w:rPr>
                <w:rFonts w:ascii="Courier New" w:cs="Courier New" w:eastAsia="Courier New" w:hAnsi="Courier New"/>
                <w:sz w:val="17"/>
                <w:szCs w:val="17"/>
                <w:color w:val="auto"/>
              </w:rPr>
              <w:t>Blowfish SR, LLC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rPr>
              <w:t>30%</w:t>
            </w:r>
          </w:p>
        </w:tc>
        <w:tc>
          <w:tcPr>
            <w:tcW w:w="2120" w:type="dxa"/>
            <w:vAlign w:val="bottom"/>
          </w:tcPr>
          <w:p>
            <w:pPr>
              <w:spacing w:after="0"/>
              <w:rPr>
                <w:sz w:val="16"/>
                <w:szCs w:val="16"/>
                <w:color w:val="auto"/>
              </w:rPr>
            </w:pPr>
          </w:p>
        </w:tc>
      </w:tr>
      <w:tr>
        <w:trPr>
          <w:trHeight w:val="194"/>
        </w:trPr>
        <w:tc>
          <w:tcPr>
            <w:tcW w:w="6620" w:type="dxa"/>
            <w:vAlign w:val="bottom"/>
          </w:tcPr>
          <w:p>
            <w:pPr>
              <w:ind w:left="500"/>
              <w:spacing w:after="0"/>
              <w:rPr>
                <w:sz w:val="20"/>
                <w:szCs w:val="20"/>
                <w:color w:val="auto"/>
              </w:rPr>
            </w:pPr>
            <w:r>
              <w:rPr>
                <w:rFonts w:ascii="Courier New" w:cs="Courier New" w:eastAsia="Courier New" w:hAnsi="Courier New"/>
                <w:sz w:val="17"/>
                <w:szCs w:val="17"/>
                <w:color w:val="auto"/>
              </w:rPr>
              <w:t>Village Cafe Santana Row, LLC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w w:val="94"/>
              </w:rPr>
              <w:t>49.3%</w:t>
            </w:r>
          </w:p>
        </w:tc>
        <w:tc>
          <w:tcPr>
            <w:tcW w:w="2120" w:type="dxa"/>
            <w:vAlign w:val="bottom"/>
          </w:tcPr>
          <w:p>
            <w:pPr>
              <w:spacing w:after="0"/>
              <w:rPr>
                <w:sz w:val="16"/>
                <w:szCs w:val="16"/>
                <w:color w:val="auto"/>
              </w:rPr>
            </w:pPr>
          </w:p>
        </w:tc>
      </w:tr>
      <w:tr>
        <w:trPr>
          <w:trHeight w:val="194"/>
        </w:trPr>
        <w:tc>
          <w:tcPr>
            <w:tcW w:w="6620" w:type="dxa"/>
            <w:vAlign w:val="bottom"/>
          </w:tcPr>
          <w:p>
            <w:pPr>
              <w:ind w:left="500"/>
              <w:spacing w:after="0"/>
              <w:rPr>
                <w:sz w:val="20"/>
                <w:szCs w:val="20"/>
                <w:color w:val="auto"/>
              </w:rPr>
            </w:pPr>
            <w:r>
              <w:rPr>
                <w:rFonts w:ascii="Courier New" w:cs="Courier New" w:eastAsia="Courier New" w:hAnsi="Courier New"/>
                <w:sz w:val="17"/>
                <w:szCs w:val="17"/>
                <w:color w:val="auto"/>
              </w:rPr>
              <w:t>Yankee Pier Santana Row, LLC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rPr>
              <w:t>75%</w:t>
            </w:r>
          </w:p>
        </w:tc>
        <w:tc>
          <w:tcPr>
            <w:tcW w:w="2120" w:type="dxa"/>
            <w:vAlign w:val="bottom"/>
          </w:tcPr>
          <w:p>
            <w:pPr>
              <w:spacing w:after="0"/>
              <w:rPr>
                <w:sz w:val="16"/>
                <w:szCs w:val="16"/>
                <w:color w:val="auto"/>
              </w:rPr>
            </w:pPr>
          </w:p>
        </w:tc>
      </w:tr>
      <w:tr>
        <w:trPr>
          <w:trHeight w:val="194"/>
        </w:trPr>
        <w:tc>
          <w:tcPr>
            <w:tcW w:w="6620" w:type="dxa"/>
            <w:vAlign w:val="bottom"/>
          </w:tcPr>
          <w:p>
            <w:pPr>
              <w:ind w:left="500"/>
              <w:spacing w:after="0"/>
              <w:rPr>
                <w:sz w:val="20"/>
                <w:szCs w:val="20"/>
                <w:color w:val="auto"/>
              </w:rPr>
            </w:pPr>
            <w:r>
              <w:rPr>
                <w:rFonts w:ascii="Courier New" w:cs="Courier New" w:eastAsia="Courier New" w:hAnsi="Courier New"/>
                <w:sz w:val="17"/>
                <w:szCs w:val="17"/>
                <w:color w:val="auto"/>
              </w:rPr>
              <w:t>Pizza Antica, LLC</w:t>
            </w:r>
          </w:p>
        </w:tc>
        <w:tc>
          <w:tcPr>
            <w:tcW w:w="2680" w:type="dxa"/>
            <w:vAlign w:val="bottom"/>
          </w:tcPr>
          <w:p>
            <w:pPr>
              <w:ind w:left="2180"/>
              <w:spacing w:after="0"/>
              <w:rPr>
                <w:sz w:val="20"/>
                <w:szCs w:val="20"/>
                <w:color w:val="auto"/>
              </w:rPr>
            </w:pPr>
            <w:r>
              <w:rPr>
                <w:rFonts w:ascii="Courier New" w:cs="Courier New" w:eastAsia="Courier New" w:hAnsi="Courier New"/>
                <w:sz w:val="17"/>
                <w:szCs w:val="17"/>
                <w:color w:val="auto"/>
              </w:rPr>
              <w:t>20%</w:t>
            </w:r>
          </w:p>
        </w:tc>
        <w:tc>
          <w:tcPr>
            <w:tcW w:w="2120" w:type="dxa"/>
            <w:vAlign w:val="bottom"/>
          </w:tcPr>
          <w:p>
            <w:pPr>
              <w:spacing w:after="0"/>
              <w:rPr>
                <w:sz w:val="16"/>
                <w:szCs w:val="16"/>
                <w:color w:val="auto"/>
              </w:rPr>
            </w:pP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Santana Row Association, a California non-profit mutual benefit corporation</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III-2</w:t>
      </w:r>
    </w:p>
    <w:p>
      <w:pPr>
        <w:sectPr>
          <w:pgSz w:w="11900" w:h="16838" w:orient="portrait"/>
          <w:cols w:equalWidth="0" w:num="1">
            <w:col w:w="11420"/>
          </w:cols>
          <w:pgMar w:left="240" w:top="1086" w:right="239" w:bottom="1440" w:gutter="0" w:footer="0" w:header="0"/>
        </w:sectPr>
      </w:pPr>
    </w:p>
    <w:bookmarkStart w:id="34" w:name="page35"/>
    <w:bookmarkEnd w:id="34"/>
    <w:p>
      <w:pPr>
        <w:jc w:val="right"/>
        <w:ind w:right="2119"/>
        <w:spacing w:after="0"/>
        <w:rPr>
          <w:sz w:val="20"/>
          <w:szCs w:val="20"/>
          <w:color w:val="auto"/>
        </w:rPr>
      </w:pPr>
      <w:r>
        <w:rPr>
          <w:rFonts w:ascii="Courier New" w:cs="Courier New" w:eastAsia="Courier New" w:hAnsi="Courier New"/>
          <w:sz w:val="17"/>
          <w:szCs w:val="17"/>
          <w:color w:val="auto"/>
        </w:rPr>
        <w:t>ANNEX IV</w:t>
      </w:r>
    </w:p>
    <w:p>
      <w:pPr>
        <w:spacing w:after="0" w:line="196"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[Form of Lock-Up Agreement]</w:t>
      </w:r>
    </w:p>
    <w:p>
      <w:pPr>
        <w:spacing w:after="0" w:line="196"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Public Offering of Common Shares</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May 9, 2003</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Wachovia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Representative of the several Underwriters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St. Paul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Baltimore, MD 21202</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9" w:lineRule="exact"/>
        <w:rPr>
          <w:sz w:val="20"/>
          <w:szCs w:val="20"/>
          <w:color w:val="auto"/>
        </w:rPr>
      </w:pPr>
    </w:p>
    <w:p>
      <w:pPr>
        <w:ind w:right="2539" w:firstLine="505"/>
        <w:spacing w:after="0" w:line="259" w:lineRule="auto"/>
        <w:rPr>
          <w:sz w:val="20"/>
          <w:szCs w:val="20"/>
          <w:color w:val="auto"/>
        </w:rPr>
      </w:pPr>
      <w:r>
        <w:rPr>
          <w:rFonts w:ascii="Courier New" w:cs="Courier New" w:eastAsia="Courier New" w:hAnsi="Courier New"/>
          <w:sz w:val="16"/>
          <w:szCs w:val="16"/>
          <w:color w:val="auto"/>
        </w:rPr>
        <w:t>This letter is being delivered to you in connection with the proposed Pricing Agreement dated as of May 9, 2003 (the "Agreement"), between Federal Realty Investment Trust, a Maryland real estate investment trust (the "Company"), and you, relating to an underwritten public offering of the Company's common shares of beneficial interest, par value $0.01 (the "Common Shares"). [Note: If the Designated Shares are Preferred Shares, change references from "Common Shares" to "Preferred Shares," as appropriate.]</w:t>
      </w:r>
    </w:p>
    <w:p>
      <w:pPr>
        <w:spacing w:after="0" w:line="186"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In order to induce you to enter into the Agreement, the undersigned will not, without the prior written consent of Wachovia Securities, Inc., offer, sell, contract to sell, pledge or otherwise dispose of (or enter into any transaction that is designed to, or might reasonably be expected to, result in the disposition of (whether by actual disposition or effective economic disposition due to cash settlement or otherwise) by the undersigned),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capital shares of the Company or any securities convertible into or exercisable, redeemable or exchangeable for such capital shares (in each case whether now owned or hereinafter acquired by the Company), or publicly announce an intention to effect any such transaction, for a period beginning on and including the date of the Agreement through and including the date which is 60 days after the date of the Agreement; provided, however, that nothing contained herein shall prohibit the exercise of stock options by the undersigned under the Company's stock option plans for employees or trustees or other purchases by the undersigned of capital shares of the Company or any securities convertible into or exercisable, redeemable or exchangeable for such capital shares under the Company's stock purchase plan for employees or</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IV-1</w:t>
      </w:r>
    </w:p>
    <w:p>
      <w:pPr>
        <w:sectPr>
          <w:pgSz w:w="11900" w:h="16838" w:orient="portrait"/>
          <w:cols w:equalWidth="0" w:num="1">
            <w:col w:w="10219"/>
          </w:cols>
          <w:pgMar w:left="240" w:top="697" w:right="1440" w:bottom="1440" w:gutter="0" w:footer="0" w:header="0"/>
        </w:sectPr>
      </w:pPr>
    </w:p>
    <w:bookmarkStart w:id="35" w:name="page36"/>
    <w:bookmarkEnd w:id="35"/>
    <w:p>
      <w:pPr>
        <w:ind w:right="2119"/>
        <w:spacing w:after="0" w:line="257" w:lineRule="auto"/>
        <w:rPr>
          <w:sz w:val="20"/>
          <w:szCs w:val="20"/>
          <w:color w:val="auto"/>
        </w:rPr>
      </w:pPr>
      <w:r>
        <w:rPr>
          <w:rFonts w:ascii="Courier New" w:cs="Courier New" w:eastAsia="Courier New" w:hAnsi="Courier New"/>
          <w:sz w:val="16"/>
          <w:szCs w:val="16"/>
          <w:color w:val="auto"/>
        </w:rPr>
        <w:t>trustees, in each case as such plans are in effect on the date of the Agreement (provided that the undersigned understands and agrees that any and all capital shares of the Company and securities convertible into or exercisable, redeemable or exchangeable for such capital shares that the undersigned acquires on or after the date of this agreement (including, without limitation, upon the exercise of stock options or purchases under the Company's stock purchase plan for employees or trustees) shall be subject to the terms and provisions of this Agreement and, without limitation to the foregoing, the undersigned further understands and agrees that the undersigned will not transfer, sell or otherwise dispose of, directly or indirectly (including, without limitation, through a broker or dealer), any capital shares of the Company or any securities convertible into or exercisable, redeemable or exchangeable for such capital shares in payment of all or any portion of the exercise price of any such stock options exercised by the undersigned under any such stock option plans or in payment of all or any portion of the purchase price of any such capital shares or other securities purchased by the undersigned under any such stock purchase plans or otherwise effect a so-called "cashless" exercise or purchase); provided, further, however, that the undersigned may donate any capital shares of the Company or any securities convertible into or exercisable, redeemable or exchangeable for such capital shares to members of the undersigned's immediate family, to a trust the beneficiaries of which are exclusively the undersigned or members of the undersigned's immediate family or to charitable or educational organizations without the prior written consent of Wachovia Securities, Inc. if, in each case (i) such donation is a bona fide gift, (ii) the undersigned provides written notice of such gift to Wachovia Securities, Inc. no later than three business days prior to such gift, and (iii) the donee executes and delivers to Wachovia Securities, Inc., prior to or contemporaneously with such gift, a letter agreement, in form and substance reasonably satisfactory to Wachovia Securities, Inc., in substantially the form of this letter agreement; [The following clause to be included only in the lock-up agreement dated on or about May 9, 2003 signed by Mr. Mark S. Ordan - and provided, further, however, that the undersigned may transfer any capital shares of the Company to any person as part of a settlement of divorce entered into prior to the date of this letter agreement, without notice to, or the consent of, Wachovia Securities, Inc.] For purposes of this paragraph, "immediate family" shall mean a spouse, lineal descendent, father, mother, brother or sister of the transferor.</w:t>
      </w:r>
    </w:p>
    <w:p>
      <w:pPr>
        <w:spacing w:after="0" w:line="200" w:lineRule="exact"/>
        <w:rPr>
          <w:sz w:val="20"/>
          <w:szCs w:val="20"/>
          <w:color w:val="auto"/>
        </w:rPr>
      </w:pPr>
    </w:p>
    <w:p>
      <w:pPr>
        <w:spacing w:after="0" w:line="201" w:lineRule="exact"/>
        <w:rPr>
          <w:sz w:val="20"/>
          <w:szCs w:val="20"/>
          <w:color w:val="auto"/>
        </w:rPr>
      </w:pPr>
    </w:p>
    <w:p>
      <w:pPr>
        <w:ind w:right="2439" w:firstLine="505"/>
        <w:spacing w:after="0"/>
        <w:rPr>
          <w:sz w:val="20"/>
          <w:szCs w:val="20"/>
          <w:color w:val="auto"/>
        </w:rPr>
      </w:pPr>
      <w:r>
        <w:rPr>
          <w:rFonts w:ascii="Courier New" w:cs="Courier New" w:eastAsia="Courier New" w:hAnsi="Courier New"/>
          <w:sz w:val="17"/>
          <w:szCs w:val="17"/>
          <w:color w:val="auto"/>
        </w:rPr>
        <w:t>If for any reason the Agreement shall be terminated prior to the Time of Delivery (as defined in the Agreement), the agreement set forth above shall likewise be terminated.</w:t>
      </w:r>
    </w:p>
    <w:p>
      <w:pPr>
        <w:spacing w:after="0" w:line="198"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[Signature Page Immediately Follows]</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IV-2</w:t>
      </w:r>
    </w:p>
    <w:p>
      <w:pPr>
        <w:sectPr>
          <w:pgSz w:w="11900" w:h="16838" w:orient="portrait"/>
          <w:cols w:equalWidth="0" w:num="1">
            <w:col w:w="10219"/>
          </w:cols>
          <w:pgMar w:left="240" w:top="699" w:right="1440" w:bottom="1440" w:gutter="0" w:footer="0" w:header="0"/>
        </w:sectPr>
      </w:pPr>
    </w:p>
    <w:bookmarkStart w:id="36" w:name="page37"/>
    <w:bookmarkEnd w:id="36"/>
    <w:p>
      <w:pPr>
        <w:ind w:right="2219" w:firstLine="505"/>
        <w:spacing w:after="0" w:line="239" w:lineRule="auto"/>
        <w:rPr>
          <w:sz w:val="20"/>
          <w:szCs w:val="20"/>
          <w:color w:val="auto"/>
        </w:rPr>
      </w:pPr>
      <w:r>
        <w:rPr>
          <w:rFonts w:ascii="Courier New" w:cs="Courier New" w:eastAsia="Courier New" w:hAnsi="Courier New"/>
          <w:sz w:val="17"/>
          <w:szCs w:val="17"/>
          <w:color w:val="auto"/>
        </w:rPr>
        <w:t>In witness whereof, the undersigned has executed and delivered this letter agreement as of the day and year set forth above.</w:t>
      </w:r>
    </w:p>
    <w:p>
      <w:pPr>
        <w:spacing w:after="0" w:line="198" w:lineRule="exact"/>
        <w:rPr>
          <w:sz w:val="20"/>
          <w:szCs w:val="20"/>
          <w:color w:val="auto"/>
        </w:rPr>
      </w:pPr>
    </w:p>
    <w:p>
      <w:pPr>
        <w:ind w:left="4560"/>
        <w:spacing w:after="0"/>
        <w:rPr>
          <w:sz w:val="20"/>
          <w:szCs w:val="20"/>
          <w:color w:val="auto"/>
        </w:rPr>
      </w:pPr>
      <w:r>
        <w:rPr>
          <w:rFonts w:ascii="Courier New" w:cs="Courier New" w:eastAsia="Courier New" w:hAnsi="Courier New"/>
          <w:sz w:val="17"/>
          <w:szCs w:val="17"/>
          <w:color w:val="auto"/>
        </w:rPr>
        <w:t>Yours very truly,</w:t>
      </w:r>
    </w:p>
    <w:p>
      <w:pPr>
        <w:spacing w:after="0" w:line="393"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11" w:lineRule="exact"/>
        <w:rPr>
          <w:sz w:val="20"/>
          <w:szCs w:val="20"/>
          <w:color w:val="auto"/>
        </w:rPr>
      </w:pPr>
    </w:p>
    <w:p>
      <w:pPr>
        <w:jc w:val="center"/>
        <w:spacing w:after="0"/>
        <w:rPr>
          <w:sz w:val="20"/>
          <w:szCs w:val="20"/>
          <w:color w:val="auto"/>
        </w:rPr>
      </w:pPr>
      <w:r>
        <w:rPr>
          <w:rFonts w:ascii="Courier New" w:cs="Courier New" w:eastAsia="Courier New" w:hAnsi="Courier New"/>
          <w:sz w:val="17"/>
          <w:szCs w:val="17"/>
          <w:color w:val="auto"/>
        </w:rPr>
        <w:t>Print Name:</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IV-3</w:t>
      </w:r>
    </w:p>
    <w:p>
      <w:pPr>
        <w:sectPr>
          <w:pgSz w:w="11900" w:h="16838" w:orient="portrait"/>
          <w:cols w:equalWidth="0" w:num="1">
            <w:col w:w="10219"/>
          </w:cols>
          <w:pgMar w:left="240" w:top="699" w:right="1440" w:bottom="1440" w:gutter="0" w:footer="0" w:header="0"/>
        </w:sectPr>
      </w:pPr>
    </w:p>
    <w:bookmarkStart w:id="37" w:name="page38"/>
    <w:bookmarkEnd w:id="37"/>
    <w:p>
      <w:pPr>
        <w:jc w:val="right"/>
        <w:ind w:right="2119"/>
        <w:spacing w:after="0"/>
        <w:rPr>
          <w:sz w:val="20"/>
          <w:szCs w:val="20"/>
          <w:color w:val="auto"/>
        </w:rPr>
      </w:pPr>
      <w:r>
        <w:rPr>
          <w:rFonts w:ascii="Courier New" w:cs="Courier New" w:eastAsia="Courier New" w:hAnsi="Courier New"/>
          <w:sz w:val="17"/>
          <w:szCs w:val="17"/>
          <w:color w:val="auto"/>
        </w:rPr>
        <w:t>Exhibit 1.02</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Pricing Agreement</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May 9, 2003</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WACHOVIA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representative of the Underwriter named in Schedule I hereto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St. Paul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Baltimore, Maryland 21202</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Federal Realty Investment Trust, a Maryland real estate investment trust (the "Company"), proposes, subject to the terms and conditions stated herein and in the Underwriting Agreement, dated May 9, 2003 (the "Underwriting Agreement"), between the Company on the one hand and Wachovia Securities, Inc., on the other hand, to issue and sell to the Underwriter named in Schedule I hereto (the "Underwriter") the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 designated to act on behalf of the Underwriter of the Designated Shares pursuant to Section 12 of the Underwriting Agreement and the address of the Representative referred to in such Section 12 are set forth in Schedule II hereto.</w:t>
      </w:r>
    </w:p>
    <w:p>
      <w:pPr>
        <w:spacing w:after="0" w:line="201" w:lineRule="exact"/>
        <w:rPr>
          <w:sz w:val="20"/>
          <w:szCs w:val="20"/>
          <w:color w:val="auto"/>
        </w:rPr>
      </w:pPr>
    </w:p>
    <w:p>
      <w:pPr>
        <w:ind w:right="2439" w:firstLine="910"/>
        <w:spacing w:after="0"/>
        <w:rPr>
          <w:sz w:val="20"/>
          <w:szCs w:val="20"/>
          <w:color w:val="auto"/>
        </w:rPr>
      </w:pPr>
      <w:r>
        <w:rPr>
          <w:rFonts w:ascii="Courier New" w:cs="Courier New" w:eastAsia="Courier New" w:hAnsi="Courier New"/>
          <w:sz w:val="17"/>
          <w:szCs w:val="17"/>
          <w:color w:val="auto"/>
        </w:rPr>
        <w:t>A supplement to the Prospectus relating to the Designated Shares, in the form heretofore delivered to you, is now proposed to be filed with the Commission.</w:t>
      </w:r>
    </w:p>
    <w:p>
      <w:pPr>
        <w:spacing w:after="0" w:line="200"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Subject to the terms and conditions set forth herein and in the Underwriting Agreement incorporated herein by reference, the Company agrees to issue and sell to the Underwriter, and the Underwriter agrees to purchase from the Company, at the Time of Delivery and place and at the purchase price to the Underwriter set forth in Schedule II hereto, the number of Initial Shares (as defined in Schedule II hereto) set forth opposite the name of such Underwriter in Schedule I hereto.</w:t>
      </w:r>
    </w:p>
    <w:p>
      <w:pPr>
        <w:spacing w:after="0" w:line="202" w:lineRule="exact"/>
        <w:rPr>
          <w:sz w:val="20"/>
          <w:szCs w:val="20"/>
          <w:color w:val="auto"/>
        </w:rPr>
      </w:pPr>
    </w:p>
    <w:p>
      <w:pPr>
        <w:ind w:right="2319" w:firstLine="910"/>
        <w:spacing w:after="0" w:line="241" w:lineRule="auto"/>
        <w:rPr>
          <w:sz w:val="20"/>
          <w:szCs w:val="20"/>
          <w:color w:val="auto"/>
        </w:rPr>
      </w:pPr>
      <w:r>
        <w:rPr>
          <w:rFonts w:ascii="Courier New" w:cs="Courier New" w:eastAsia="Courier New" w:hAnsi="Courier New"/>
          <w:sz w:val="17"/>
          <w:szCs w:val="17"/>
          <w:color w:val="auto"/>
        </w:rPr>
        <w:t>In addition, subject to the terms and conditions set forth herein and in the Underwriting Agreement incorporated herein by reference, the Company hereby grants an option to the Underwriter to purchase up to the number of Option Shares (as defined in Schedule II hereto)</w:t>
      </w:r>
    </w:p>
    <w:p>
      <w:pPr>
        <w:spacing w:after="0" w:line="197"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I-1</w:t>
      </w:r>
    </w:p>
    <w:p>
      <w:pPr>
        <w:sectPr>
          <w:pgSz w:w="11900" w:h="16838" w:orient="portrait"/>
          <w:cols w:equalWidth="0" w:num="1">
            <w:col w:w="10219"/>
          </w:cols>
          <w:pgMar w:left="240" w:top="528" w:right="1440" w:bottom="1440" w:gutter="0" w:footer="0" w:header="0"/>
        </w:sectPr>
      </w:pPr>
    </w:p>
    <w:bookmarkStart w:id="38" w:name="page39"/>
    <w:bookmarkEnd w:id="38"/>
    <w:p>
      <w:pPr>
        <w:ind w:right="2119"/>
        <w:spacing w:after="0" w:line="242" w:lineRule="auto"/>
        <w:rPr>
          <w:sz w:val="20"/>
          <w:szCs w:val="20"/>
          <w:color w:val="auto"/>
        </w:rPr>
      </w:pPr>
      <w:r>
        <w:rPr>
          <w:rFonts w:ascii="Courier New" w:cs="Courier New" w:eastAsia="Courier New" w:hAnsi="Courier New"/>
          <w:sz w:val="17"/>
          <w:szCs w:val="17"/>
          <w:color w:val="auto"/>
        </w:rPr>
        <w:t>specified in Schedule II hereto at the place and purchase price to the Underwriter set forth in Schedule II hereto and at the Option Closing Time specified by the Representative as provided below. The option hereby granted will expire at 11:59 p.m. (New York City time) on the 30th day after the date of this Pricing Agreement and may be exercised once, in whole or in part, for the purpose of covering over-allotments which may be made in connection with the offering and distribution of the Initial Shares upon notice by the Representative to the Company setting forth the number of Option Shares as to which the Underwriter is then exercising the option and the Option Closing Time for such Option Shares. Any such Option Closing Time shall be determined by the Representative but shall not be later than seven full business days after the exercise of such option nor in any event prior to the Time of Delivery. If the option is exercised as to all or any portion of the Option Shares, the Underwriter will be obligated to purchase that number of Option Shares and the Company shall be obligated to issue and sell such Option Shares to the Underwriter, in each case subject to the terms and conditions set forth herein and in the Underwriting Agreement incorporated by reference herein.</w:t>
      </w:r>
    </w:p>
    <w:p>
      <w:pPr>
        <w:spacing w:after="0" w:line="199" w:lineRule="exact"/>
        <w:rPr>
          <w:sz w:val="20"/>
          <w:szCs w:val="20"/>
          <w:color w:val="auto"/>
        </w:rPr>
      </w:pPr>
    </w:p>
    <w:p>
      <w:pPr>
        <w:ind w:right="2119" w:firstLine="910"/>
        <w:spacing w:after="0" w:line="239" w:lineRule="auto"/>
        <w:rPr>
          <w:sz w:val="20"/>
          <w:szCs w:val="20"/>
          <w:color w:val="auto"/>
        </w:rPr>
      </w:pPr>
      <w:r>
        <w:rPr>
          <w:rFonts w:ascii="Courier New" w:cs="Courier New" w:eastAsia="Courier New" w:hAnsi="Courier New"/>
          <w:sz w:val="17"/>
          <w:szCs w:val="17"/>
          <w:color w:val="auto"/>
        </w:rPr>
        <w:t>This Pricing Agreement shall be governed by and construed in accordance with the laws of the State of New York.</w:t>
      </w:r>
    </w:p>
    <w:p>
      <w:pPr>
        <w:spacing w:after="0" w:line="198"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[REMAINDER OF THIS PAGE INTENTIONALLY LEFT BLANK]</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I-2</w:t>
      </w:r>
    </w:p>
    <w:p>
      <w:pPr>
        <w:sectPr>
          <w:pgSz w:w="11900" w:h="16838" w:orient="portrait"/>
          <w:cols w:equalWidth="0" w:num="1">
            <w:col w:w="10219"/>
          </w:cols>
          <w:pgMar w:left="240" w:top="699" w:right="1440" w:bottom="1440" w:gutter="0" w:footer="0" w:header="0"/>
        </w:sectPr>
      </w:pPr>
    </w:p>
    <w:bookmarkStart w:id="39" w:name="page40"/>
    <w:bookmarkEnd w:id="39"/>
    <w:p>
      <w:pPr>
        <w:ind w:right="2119" w:firstLine="910"/>
        <w:spacing w:after="0" w:line="241" w:lineRule="auto"/>
        <w:rPr>
          <w:sz w:val="20"/>
          <w:szCs w:val="20"/>
          <w:color w:val="auto"/>
        </w:rPr>
      </w:pPr>
      <w:r>
        <w:rPr>
          <w:rFonts w:ascii="Courier New" w:cs="Courier New" w:eastAsia="Courier New" w:hAnsi="Courier New"/>
          <w:sz w:val="17"/>
          <w:szCs w:val="17"/>
          <w:color w:val="auto"/>
        </w:rPr>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 and the Company.</w:t>
      </w:r>
    </w:p>
    <w:p>
      <w:pPr>
        <w:spacing w:after="0" w:line="19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Very truly yours,</w:t>
      </w:r>
    </w:p>
    <w:p>
      <w:pPr>
        <w:spacing w:after="0" w:line="196"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FEDERAL REALTY INVESTMENT TRUST</w:t>
      </w:r>
    </w:p>
    <w:p>
      <w:pPr>
        <w:spacing w:after="0" w:line="391"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By:/s/ DONALD C. WOOD</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Name: Donald C. Wood</w:t>
      </w:r>
    </w:p>
    <w:p>
      <w:pPr>
        <w:spacing w:after="0" w:line="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Title: President and Chief Executive Officer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Accepted as of the date hereof:</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WACHOVIA SECURITIES, INC.,</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By:/s/ MARK E. WAXMAN</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Name: Mark E. Waxman</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Title: Director</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I-3</w:t>
      </w:r>
    </w:p>
    <w:p>
      <w:pPr>
        <w:sectPr>
          <w:pgSz w:w="11900" w:h="16838" w:orient="portrait"/>
          <w:cols w:equalWidth="0" w:num="1">
            <w:col w:w="10219"/>
          </w:cols>
          <w:pgMar w:left="240" w:top="699" w:right="1440" w:bottom="1440" w:gutter="0" w:footer="0" w:header="0"/>
        </w:sectPr>
      </w:pPr>
    </w:p>
    <w:bookmarkStart w:id="40" w:name="page41"/>
    <w:bookmarkEnd w:id="40"/>
    <w:p>
      <w:pPr>
        <w:ind w:left="3540"/>
        <w:spacing w:after="0"/>
        <w:rPr>
          <w:sz w:val="20"/>
          <w:szCs w:val="20"/>
          <w:color w:val="auto"/>
        </w:rPr>
      </w:pPr>
      <w:r>
        <w:rPr>
          <w:rFonts w:ascii="Courier New" w:cs="Courier New" w:eastAsia="Courier New" w:hAnsi="Courier New"/>
          <w:sz w:val="16"/>
          <w:szCs w:val="16"/>
          <w:color w:val="auto"/>
        </w:rPr>
        <w:t>SCHEDULE I</w:t>
      </w:r>
    </w:p>
    <w:p>
      <w:pPr>
        <w:sectPr>
          <w:pgSz w:w="11900" w:h="16838" w:orient="portrait"/>
          <w:cols w:equalWidth="0" w:num="1">
            <w:col w:w="10920"/>
          </w:cols>
          <w:pgMar w:left="240" w:top="699"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Underwriter</w:t>
      </w:r>
    </w:p>
    <w:p>
      <w:pPr>
        <w:spacing w:after="0" w:line="1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Number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Initial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Purchased</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8680" w:space="720"/>
            <w:col w:w="1520"/>
          </w:cols>
          <w:pgMar w:left="240" w:top="699" w:right="7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Wachovia Securities, Inc.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2,814,126</w:t>
      </w:r>
    </w:p>
    <w:p>
      <w:pPr>
        <w:spacing w:after="0" w:line="200" w:lineRule="exact"/>
        <w:rPr>
          <w:sz w:val="20"/>
          <w:szCs w:val="20"/>
          <w:color w:val="auto"/>
        </w:rPr>
      </w:pPr>
    </w:p>
    <w:p>
      <w:pPr>
        <w:sectPr>
          <w:pgSz w:w="11900" w:h="16838" w:orient="portrait"/>
          <w:cols w:equalWidth="0" w:num="2">
            <w:col w:w="9000" w:space="720"/>
            <w:col w:w="1200"/>
          </w:cols>
          <w:pgMar w:left="240" w:top="699" w:right="739" w:bottom="1440" w:gutter="0" w:footer="0" w:header="0"/>
          <w:type w:val="continuous"/>
        </w:sectPr>
      </w:pPr>
    </w:p>
    <w:p>
      <w:pPr>
        <w:spacing w:after="0" w:line="8"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Total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2,814,126</w:t>
      </w:r>
    </w:p>
    <w:p>
      <w:pPr>
        <w:sectPr>
          <w:pgSz w:w="11900" w:h="16838" w:orient="portrait"/>
          <w:cols w:equalWidth="0" w:num="2">
            <w:col w:w="9000" w:space="720"/>
            <w:col w:w="1200"/>
          </w:cols>
          <w:pgMar w:left="240" w:top="699" w:right="739" w:bottom="1440" w:gutter="0" w:footer="0" w:header="0"/>
          <w:type w:val="continuous"/>
        </w:sectPr>
      </w:pPr>
    </w:p>
    <w:bookmarkStart w:id="41" w:name="page42"/>
    <w:bookmarkEnd w:id="41"/>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 of Designated Shares: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of Designated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69" w:lineRule="auto"/>
        <w:rPr>
          <w:sz w:val="20"/>
          <w:szCs w:val="20"/>
          <w:color w:val="auto"/>
        </w:rPr>
      </w:pPr>
      <w:r>
        <w:rPr>
          <w:rFonts w:ascii="Courier New" w:cs="Courier New" w:eastAsia="Courier New" w:hAnsi="Courier New"/>
          <w:sz w:val="16"/>
          <w:szCs w:val="16"/>
          <w:color w:val="auto"/>
        </w:rPr>
        <w:t>Initial Offering Price to Public Per Share for Designated Shares</w:t>
      </w:r>
    </w:p>
    <w:p>
      <w:pPr>
        <w:spacing w:after="0" w:line="177" w:lineRule="exact"/>
        <w:rPr>
          <w:sz w:val="20"/>
          <w:szCs w:val="20"/>
          <w:color w:val="auto"/>
        </w:rPr>
      </w:pPr>
    </w:p>
    <w:p>
      <w:pPr>
        <w:jc w:val="both"/>
        <w:ind w:right="400"/>
        <w:spacing w:after="0"/>
        <w:rPr>
          <w:sz w:val="20"/>
          <w:szCs w:val="20"/>
          <w:color w:val="auto"/>
        </w:rPr>
      </w:pPr>
      <w:r>
        <w:rPr>
          <w:rFonts w:ascii="Courier New" w:cs="Courier New" w:eastAsia="Courier New" w:hAnsi="Courier New"/>
          <w:sz w:val="17"/>
          <w:szCs w:val="17"/>
          <w:color w:val="auto"/>
        </w:rPr>
        <w:t>Purchase Price per Share for Designated Shares to be Paid by the Underwriter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SCHEDULE II</w:t>
      </w:r>
    </w:p>
    <w:p>
      <w:pPr>
        <w:spacing w:after="0" w:line="19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Common Shares of Beneficial Interest</w:t>
      </w:r>
    </w:p>
    <w:p>
      <w:pPr>
        <w:spacing w:after="0" w:line="199" w:lineRule="exact"/>
        <w:rPr>
          <w:sz w:val="20"/>
          <w:szCs w:val="20"/>
          <w:color w:val="auto"/>
        </w:rPr>
      </w:pPr>
    </w:p>
    <w:p>
      <w:pPr>
        <w:ind w:left="400" w:right="2119"/>
        <w:spacing w:after="0" w:line="242" w:lineRule="auto"/>
        <w:rPr>
          <w:sz w:val="20"/>
          <w:szCs w:val="20"/>
          <w:color w:val="auto"/>
        </w:rPr>
      </w:pPr>
      <w:r>
        <w:rPr>
          <w:rFonts w:ascii="Courier New" w:cs="Courier New" w:eastAsia="Courier New" w:hAnsi="Courier New"/>
          <w:sz w:val="17"/>
          <w:szCs w:val="17"/>
          <w:color w:val="auto"/>
        </w:rPr>
        <w:t>3,236,244 shares. The Designated Shares consist of an aggregate of 2,814,126 Designated Shares (the "Initial Shares") that the Underwriter has agreed to purchase and that the Company has agreed to sell and an aggregate of up to 422,118 Designated Shares (the "Option Shares") that the Underwriter has the option to purchase from the Company, all subject to the terms and conditions set forth in this Pricing Agreement and the Underwriting Agreement incorporated by reference herein.</w:t>
      </w:r>
    </w:p>
    <w:p>
      <w:pPr>
        <w:spacing w:after="0" w:line="19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$30.90 per share.</w:t>
      </w:r>
    </w:p>
    <w:p>
      <w:pPr>
        <w:spacing w:after="0" w:line="393" w:lineRule="exact"/>
        <w:rPr>
          <w:sz w:val="20"/>
          <w:szCs w:val="20"/>
          <w:color w:val="auto"/>
        </w:rPr>
      </w:pPr>
    </w:p>
    <w:p>
      <w:pPr>
        <w:ind w:left="400" w:right="2119"/>
        <w:spacing w:after="0" w:line="242" w:lineRule="auto"/>
        <w:rPr>
          <w:sz w:val="20"/>
          <w:szCs w:val="20"/>
          <w:color w:val="auto"/>
        </w:rPr>
      </w:pPr>
      <w:r>
        <w:rPr>
          <w:rFonts w:ascii="Courier New" w:cs="Courier New" w:eastAsia="Courier New" w:hAnsi="Courier New"/>
          <w:sz w:val="17"/>
          <w:szCs w:val="17"/>
          <w:color w:val="auto"/>
        </w:rPr>
        <w:t>$30.457 per share; provided, however, that the purchase price per share for any Option Shares purchased by the Underwriter shall be reduced by an amount per share equal to the aggregate amount per share of any dividends or distributions declared, paid or payable with respect to the Initial Shares but not payable with respect to such Option Shares.</w:t>
      </w:r>
    </w:p>
    <w:p>
      <w:pPr>
        <w:spacing w:after="0" w:line="200" w:lineRule="exact"/>
        <w:rPr>
          <w:sz w:val="20"/>
          <w:szCs w:val="20"/>
          <w:color w:val="auto"/>
        </w:rPr>
      </w:pPr>
    </w:p>
    <w:p>
      <w:pPr>
        <w:sectPr>
          <w:pgSz w:w="11900" w:h="16838" w:orient="portrait"/>
          <w:cols w:equalWidth="0" w:num="2">
            <w:col w:w="3240" w:space="300"/>
            <w:col w:w="6679"/>
          </w:cols>
          <w:pgMar w:left="240" w:top="697" w:right="1440"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rPr>
              <w:t>Specified funds for payment of</w:t>
            </w:r>
          </w:p>
        </w:tc>
        <w:tc>
          <w:tcPr>
            <w:tcW w:w="4560" w:type="dxa"/>
            <w:vAlign w:val="bottom"/>
            <w:gridSpan w:val="3"/>
          </w:tcPr>
          <w:p>
            <w:pPr>
              <w:ind w:left="400"/>
              <w:spacing w:after="0"/>
              <w:rPr>
                <w:sz w:val="20"/>
                <w:szCs w:val="20"/>
                <w:color w:val="auto"/>
              </w:rPr>
            </w:pPr>
            <w:r>
              <w:rPr>
                <w:rFonts w:ascii="Courier New" w:cs="Courier New" w:eastAsia="Courier New" w:hAnsi="Courier New"/>
                <w:sz w:val="17"/>
                <w:szCs w:val="17"/>
                <w:color w:val="auto"/>
              </w:rPr>
              <w:t>Wire transfer of immediately available</w:t>
            </w: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purchase price:</w:t>
            </w:r>
          </w:p>
        </w:tc>
        <w:tc>
          <w:tcPr>
            <w:tcW w:w="2540" w:type="dxa"/>
            <w:vAlign w:val="bottom"/>
          </w:tcPr>
          <w:p>
            <w:pPr>
              <w:ind w:left="400"/>
              <w:spacing w:after="0"/>
              <w:rPr>
                <w:sz w:val="20"/>
                <w:szCs w:val="20"/>
                <w:color w:val="auto"/>
              </w:rPr>
            </w:pPr>
            <w:r>
              <w:rPr>
                <w:rFonts w:ascii="Courier New" w:cs="Courier New" w:eastAsia="Courier New" w:hAnsi="Courier New"/>
                <w:sz w:val="17"/>
                <w:szCs w:val="17"/>
                <w:color w:val="auto"/>
              </w:rPr>
              <w:t>funds.</w:t>
            </w:r>
          </w:p>
        </w:tc>
        <w:tc>
          <w:tcPr>
            <w:tcW w:w="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89"/>
        </w:trPr>
        <w:tc>
          <w:tcPr>
            <w:tcW w:w="3540" w:type="dxa"/>
            <w:vAlign w:val="bottom"/>
          </w:tcPr>
          <w:p>
            <w:pPr>
              <w:spacing w:after="0"/>
              <w:rPr>
                <w:sz w:val="20"/>
                <w:szCs w:val="20"/>
                <w:color w:val="auto"/>
              </w:rPr>
            </w:pPr>
            <w:r>
              <w:rPr>
                <w:rFonts w:ascii="Courier New" w:cs="Courier New" w:eastAsia="Courier New" w:hAnsi="Courier New"/>
                <w:sz w:val="17"/>
                <w:szCs w:val="17"/>
                <w:color w:val="auto"/>
              </w:rPr>
              <w:t>Names and addresses of</w:t>
            </w:r>
          </w:p>
        </w:tc>
        <w:tc>
          <w:tcPr>
            <w:tcW w:w="3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Wachovia Securities, Inc.</w:t>
            </w:r>
          </w:p>
        </w:tc>
        <w:tc>
          <w:tcPr>
            <w:tcW w:w="1480" w:type="dxa"/>
            <w:vAlign w:val="bottom"/>
          </w:tcPr>
          <w:p>
            <w:pPr>
              <w:spacing w:after="0"/>
              <w:rPr>
                <w:sz w:val="24"/>
                <w:szCs w:val="24"/>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Representative:</w:t>
            </w:r>
          </w:p>
        </w:tc>
        <w:tc>
          <w:tcPr>
            <w:tcW w:w="2540" w:type="dxa"/>
            <w:vAlign w:val="bottom"/>
          </w:tcPr>
          <w:p>
            <w:pPr>
              <w:ind w:left="400"/>
              <w:spacing w:after="0"/>
              <w:rPr>
                <w:sz w:val="20"/>
                <w:szCs w:val="20"/>
                <w:color w:val="auto"/>
              </w:rPr>
            </w:pPr>
            <w:r>
              <w:rPr>
                <w:rFonts w:ascii="Courier New" w:cs="Courier New" w:eastAsia="Courier New" w:hAnsi="Courier New"/>
                <w:sz w:val="17"/>
                <w:szCs w:val="17"/>
                <w:color w:val="auto"/>
              </w:rPr>
              <w:t>7 St. Paul Street</w:t>
            </w:r>
          </w:p>
        </w:tc>
        <w:tc>
          <w:tcPr>
            <w:tcW w:w="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3540" w:type="dxa"/>
            <w:vAlign w:val="bottom"/>
          </w:tcPr>
          <w:p>
            <w:pPr>
              <w:spacing w:after="0"/>
              <w:rPr>
                <w:sz w:val="16"/>
                <w:szCs w:val="16"/>
                <w:color w:val="auto"/>
              </w:rPr>
            </w:pPr>
          </w:p>
        </w:tc>
        <w:tc>
          <w:tcPr>
            <w:tcW w:w="2540" w:type="dxa"/>
            <w:vAlign w:val="bottom"/>
          </w:tcPr>
          <w:p>
            <w:pPr>
              <w:ind w:left="400"/>
              <w:spacing w:after="0"/>
              <w:rPr>
                <w:sz w:val="20"/>
                <w:szCs w:val="20"/>
                <w:color w:val="auto"/>
              </w:rPr>
            </w:pPr>
            <w:r>
              <w:rPr>
                <w:rFonts w:ascii="Courier New" w:cs="Courier New" w:eastAsia="Courier New" w:hAnsi="Courier New"/>
                <w:sz w:val="17"/>
                <w:szCs w:val="17"/>
                <w:color w:val="auto"/>
              </w:rPr>
              <w:t>Baltimore, Maryland</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w w:val="94"/>
              </w:rPr>
              <w:t>21202</w:t>
            </w:r>
          </w:p>
        </w:tc>
        <w:tc>
          <w:tcPr>
            <w:tcW w:w="1480" w:type="dxa"/>
            <w:vAlign w:val="bottom"/>
          </w:tcPr>
          <w:p>
            <w:pPr>
              <w:spacing w:after="0"/>
              <w:rPr>
                <w:sz w:val="16"/>
                <w:szCs w:val="16"/>
                <w:color w:val="auto"/>
              </w:rPr>
            </w:pPr>
          </w:p>
        </w:tc>
      </w:tr>
      <w:tr>
        <w:trPr>
          <w:trHeight w:val="389"/>
        </w:trPr>
        <w:tc>
          <w:tcPr>
            <w:tcW w:w="3540" w:type="dxa"/>
            <w:vAlign w:val="bottom"/>
          </w:tcPr>
          <w:p>
            <w:pPr>
              <w:spacing w:after="0"/>
              <w:rPr>
                <w:sz w:val="20"/>
                <w:szCs w:val="20"/>
                <w:color w:val="auto"/>
              </w:rPr>
            </w:pPr>
            <w:r>
              <w:rPr>
                <w:rFonts w:ascii="Courier New" w:cs="Courier New" w:eastAsia="Courier New" w:hAnsi="Courier New"/>
                <w:sz w:val="17"/>
                <w:szCs w:val="17"/>
                <w:color w:val="auto"/>
              </w:rPr>
              <w:t>Address for Notices, etc.:</w:t>
            </w:r>
          </w:p>
        </w:tc>
        <w:tc>
          <w:tcPr>
            <w:tcW w:w="3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Wachovia Securities, Inc.</w:t>
            </w:r>
          </w:p>
        </w:tc>
        <w:tc>
          <w:tcPr>
            <w:tcW w:w="1480" w:type="dxa"/>
            <w:vAlign w:val="bottom"/>
          </w:tcPr>
          <w:p>
            <w:pPr>
              <w:spacing w:after="0"/>
              <w:rPr>
                <w:sz w:val="24"/>
                <w:szCs w:val="24"/>
                <w:color w:val="auto"/>
              </w:rPr>
            </w:pPr>
          </w:p>
        </w:tc>
      </w:tr>
      <w:tr>
        <w:trPr>
          <w:trHeight w:val="194"/>
        </w:trPr>
        <w:tc>
          <w:tcPr>
            <w:tcW w:w="3540" w:type="dxa"/>
            <w:vAlign w:val="bottom"/>
          </w:tcPr>
          <w:p>
            <w:pPr>
              <w:spacing w:after="0"/>
              <w:rPr>
                <w:sz w:val="16"/>
                <w:szCs w:val="16"/>
                <w:color w:val="auto"/>
              </w:rPr>
            </w:pPr>
          </w:p>
        </w:tc>
        <w:tc>
          <w:tcPr>
            <w:tcW w:w="2540" w:type="dxa"/>
            <w:vAlign w:val="bottom"/>
          </w:tcPr>
          <w:p>
            <w:pPr>
              <w:ind w:left="400"/>
              <w:spacing w:after="0"/>
              <w:rPr>
                <w:sz w:val="20"/>
                <w:szCs w:val="20"/>
                <w:color w:val="auto"/>
              </w:rPr>
            </w:pPr>
            <w:r>
              <w:rPr>
                <w:rFonts w:ascii="Courier New" w:cs="Courier New" w:eastAsia="Courier New" w:hAnsi="Courier New"/>
                <w:sz w:val="17"/>
                <w:szCs w:val="17"/>
                <w:color w:val="auto"/>
              </w:rPr>
              <w:t>7 St. Paul Street</w:t>
            </w:r>
          </w:p>
        </w:tc>
        <w:tc>
          <w:tcPr>
            <w:tcW w:w="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3540" w:type="dxa"/>
            <w:vAlign w:val="bottom"/>
          </w:tcPr>
          <w:p>
            <w:pPr>
              <w:spacing w:after="0"/>
              <w:rPr>
                <w:sz w:val="16"/>
                <w:szCs w:val="16"/>
                <w:color w:val="auto"/>
              </w:rPr>
            </w:pPr>
          </w:p>
        </w:tc>
        <w:tc>
          <w:tcPr>
            <w:tcW w:w="2540" w:type="dxa"/>
            <w:vAlign w:val="bottom"/>
          </w:tcPr>
          <w:p>
            <w:pPr>
              <w:ind w:left="400"/>
              <w:spacing w:after="0"/>
              <w:rPr>
                <w:sz w:val="20"/>
                <w:szCs w:val="20"/>
                <w:color w:val="auto"/>
              </w:rPr>
            </w:pPr>
            <w:r>
              <w:rPr>
                <w:rFonts w:ascii="Courier New" w:cs="Courier New" w:eastAsia="Courier New" w:hAnsi="Courier New"/>
                <w:sz w:val="17"/>
                <w:szCs w:val="17"/>
                <w:color w:val="auto"/>
              </w:rPr>
              <w:t>Baltimore, Maryland</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w w:val="94"/>
              </w:rPr>
              <w:t>21202</w:t>
            </w:r>
          </w:p>
        </w:tc>
        <w:tc>
          <w:tcPr>
            <w:tcW w:w="1480" w:type="dxa"/>
            <w:vAlign w:val="bottom"/>
          </w:tcPr>
          <w:p>
            <w:pPr>
              <w:spacing w:after="0"/>
              <w:rPr>
                <w:sz w:val="16"/>
                <w:szCs w:val="16"/>
                <w:color w:val="auto"/>
              </w:rPr>
            </w:pPr>
          </w:p>
        </w:tc>
      </w:tr>
      <w:tr>
        <w:trPr>
          <w:trHeight w:val="389"/>
        </w:trPr>
        <w:tc>
          <w:tcPr>
            <w:tcW w:w="3540" w:type="dxa"/>
            <w:vAlign w:val="bottom"/>
          </w:tcPr>
          <w:p>
            <w:pPr>
              <w:spacing w:after="0"/>
              <w:rPr>
                <w:sz w:val="20"/>
                <w:szCs w:val="20"/>
                <w:color w:val="auto"/>
              </w:rPr>
            </w:pPr>
            <w:r>
              <w:rPr>
                <w:rFonts w:ascii="Courier New" w:cs="Courier New" w:eastAsia="Courier New" w:hAnsi="Courier New"/>
                <w:sz w:val="17"/>
                <w:szCs w:val="17"/>
                <w:color w:val="auto"/>
              </w:rPr>
              <w:t>Time of Delivery:</w:t>
            </w:r>
          </w:p>
        </w:tc>
        <w:tc>
          <w:tcPr>
            <w:tcW w:w="4560" w:type="dxa"/>
            <w:vAlign w:val="bottom"/>
            <w:gridSpan w:val="3"/>
          </w:tcPr>
          <w:p>
            <w:pPr>
              <w:ind w:left="400"/>
              <w:spacing w:after="0"/>
              <w:rPr>
                <w:sz w:val="20"/>
                <w:szCs w:val="20"/>
                <w:color w:val="auto"/>
              </w:rPr>
            </w:pPr>
            <w:r>
              <w:rPr>
                <w:rFonts w:ascii="Courier New" w:cs="Courier New" w:eastAsia="Courier New" w:hAnsi="Courier New"/>
                <w:sz w:val="17"/>
                <w:szCs w:val="17"/>
                <w:color w:val="auto"/>
                <w:w w:val="98"/>
              </w:rPr>
              <w:t>9:00 a.m. (New York City time) on May 14,</w:t>
            </w:r>
          </w:p>
        </w:tc>
      </w:tr>
      <w:tr>
        <w:trPr>
          <w:trHeight w:val="194"/>
        </w:trPr>
        <w:tc>
          <w:tcPr>
            <w:tcW w:w="3540" w:type="dxa"/>
            <w:vAlign w:val="bottom"/>
          </w:tcPr>
          <w:p>
            <w:pPr>
              <w:spacing w:after="0"/>
              <w:rPr>
                <w:sz w:val="16"/>
                <w:szCs w:val="16"/>
                <w:color w:val="auto"/>
              </w:rPr>
            </w:pPr>
          </w:p>
        </w:tc>
        <w:tc>
          <w:tcPr>
            <w:tcW w:w="2540" w:type="dxa"/>
            <w:vAlign w:val="bottom"/>
          </w:tcPr>
          <w:p>
            <w:pPr>
              <w:ind w:left="400"/>
              <w:spacing w:after="0"/>
              <w:rPr>
                <w:sz w:val="20"/>
                <w:szCs w:val="20"/>
                <w:color w:val="auto"/>
              </w:rPr>
            </w:pPr>
            <w:r>
              <w:rPr>
                <w:rFonts w:ascii="Courier New" w:cs="Courier New" w:eastAsia="Courier New" w:hAnsi="Courier New"/>
                <w:sz w:val="17"/>
                <w:szCs w:val="17"/>
                <w:color w:val="auto"/>
              </w:rPr>
              <w:t>2003</w:t>
            </w:r>
          </w:p>
        </w:tc>
        <w:tc>
          <w:tcPr>
            <w:tcW w:w="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89"/>
        </w:trPr>
        <w:tc>
          <w:tcPr>
            <w:tcW w:w="3540" w:type="dxa"/>
            <w:vAlign w:val="bottom"/>
          </w:tcPr>
          <w:p>
            <w:pPr>
              <w:spacing w:after="0"/>
              <w:rPr>
                <w:sz w:val="20"/>
                <w:szCs w:val="20"/>
                <w:color w:val="auto"/>
              </w:rPr>
            </w:pPr>
            <w:r>
              <w:rPr>
                <w:rFonts w:ascii="Courier New" w:cs="Courier New" w:eastAsia="Courier New" w:hAnsi="Courier New"/>
                <w:sz w:val="17"/>
                <w:szCs w:val="17"/>
                <w:color w:val="auto"/>
              </w:rPr>
              <w:t>Closing Location:</w:t>
            </w:r>
          </w:p>
        </w:tc>
        <w:tc>
          <w:tcPr>
            <w:tcW w:w="3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Sidley Austin Brown &amp; Wood</w:t>
            </w:r>
          </w:p>
        </w:tc>
        <w:tc>
          <w:tcPr>
            <w:tcW w:w="1480" w:type="dxa"/>
            <w:vAlign w:val="bottom"/>
          </w:tcPr>
          <w:p>
            <w:pPr>
              <w:ind w:left="60"/>
              <w:spacing w:after="0"/>
              <w:rPr>
                <w:sz w:val="20"/>
                <w:szCs w:val="20"/>
                <w:color w:val="auto"/>
              </w:rPr>
            </w:pPr>
            <w:r>
              <w:rPr>
                <w:rFonts w:ascii="Courier New" w:cs="Courier New" w:eastAsia="Courier New" w:hAnsi="Courier New"/>
                <w:sz w:val="17"/>
                <w:szCs w:val="17"/>
                <w:color w:val="auto"/>
              </w:rPr>
              <w:t>LLP</w:t>
            </w:r>
          </w:p>
        </w:tc>
      </w:tr>
      <w:tr>
        <w:trPr>
          <w:trHeight w:val="194"/>
        </w:trPr>
        <w:tc>
          <w:tcPr>
            <w:tcW w:w="3540" w:type="dxa"/>
            <w:vAlign w:val="bottom"/>
          </w:tcPr>
          <w:p>
            <w:pPr>
              <w:spacing w:after="0"/>
              <w:rPr>
                <w:sz w:val="16"/>
                <w:szCs w:val="16"/>
                <w:color w:val="auto"/>
              </w:rPr>
            </w:pPr>
          </w:p>
        </w:tc>
        <w:tc>
          <w:tcPr>
            <w:tcW w:w="2540" w:type="dxa"/>
            <w:vAlign w:val="bottom"/>
          </w:tcPr>
          <w:p>
            <w:pPr>
              <w:ind w:left="400"/>
              <w:spacing w:after="0"/>
              <w:rPr>
                <w:sz w:val="20"/>
                <w:szCs w:val="20"/>
                <w:color w:val="auto"/>
              </w:rPr>
            </w:pPr>
            <w:r>
              <w:rPr>
                <w:rFonts w:ascii="Courier New" w:cs="Courier New" w:eastAsia="Courier New" w:hAnsi="Courier New"/>
                <w:sz w:val="17"/>
                <w:szCs w:val="17"/>
                <w:color w:val="auto"/>
                <w:w w:val="98"/>
              </w:rPr>
              <w:t>555 California Street</w:t>
            </w:r>
          </w:p>
        </w:tc>
        <w:tc>
          <w:tcPr>
            <w:tcW w:w="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4"/>
        </w:trPr>
        <w:tc>
          <w:tcPr>
            <w:tcW w:w="3540" w:type="dxa"/>
            <w:vAlign w:val="bottom"/>
          </w:tcPr>
          <w:p>
            <w:pPr>
              <w:spacing w:after="0"/>
              <w:rPr>
                <w:sz w:val="16"/>
                <w:szCs w:val="16"/>
                <w:color w:val="auto"/>
              </w:rPr>
            </w:pPr>
          </w:p>
        </w:tc>
        <w:tc>
          <w:tcPr>
            <w:tcW w:w="308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San Francisco, California</w:t>
            </w:r>
          </w:p>
        </w:tc>
        <w:tc>
          <w:tcPr>
            <w:tcW w:w="1480" w:type="dxa"/>
            <w:vAlign w:val="bottom"/>
          </w:tcPr>
          <w:p>
            <w:pPr>
              <w:ind w:left="60"/>
              <w:spacing w:after="0"/>
              <w:rPr>
                <w:sz w:val="20"/>
                <w:szCs w:val="20"/>
                <w:color w:val="auto"/>
              </w:rPr>
            </w:pPr>
            <w:r>
              <w:rPr>
                <w:rFonts w:ascii="Courier New" w:cs="Courier New" w:eastAsia="Courier New" w:hAnsi="Courier New"/>
                <w:sz w:val="17"/>
                <w:szCs w:val="17"/>
                <w:color w:val="auto"/>
              </w:rPr>
              <w:t>94104</w:t>
            </w:r>
          </w:p>
        </w:tc>
      </w:tr>
      <w:tr>
        <w:trPr>
          <w:trHeight w:val="389"/>
        </w:trPr>
        <w:tc>
          <w:tcPr>
            <w:tcW w:w="3540" w:type="dxa"/>
            <w:vAlign w:val="bottom"/>
          </w:tcPr>
          <w:p>
            <w:pPr>
              <w:spacing w:after="0"/>
              <w:rPr>
                <w:sz w:val="20"/>
                <w:szCs w:val="20"/>
                <w:color w:val="auto"/>
              </w:rPr>
            </w:pPr>
            <w:r>
              <w:rPr>
                <w:rFonts w:ascii="Courier New" w:cs="Courier New" w:eastAsia="Courier New" w:hAnsi="Courier New"/>
                <w:sz w:val="17"/>
                <w:szCs w:val="17"/>
                <w:color w:val="auto"/>
              </w:rPr>
              <w:t>Place of Delivery of Designated</w:t>
            </w:r>
          </w:p>
        </w:tc>
        <w:tc>
          <w:tcPr>
            <w:tcW w:w="2540" w:type="dxa"/>
            <w:vAlign w:val="bottom"/>
          </w:tcPr>
          <w:p>
            <w:pPr>
              <w:ind w:left="400"/>
              <w:spacing w:after="0"/>
              <w:rPr>
                <w:sz w:val="20"/>
                <w:szCs w:val="20"/>
                <w:color w:val="auto"/>
              </w:rPr>
            </w:pPr>
            <w:r>
              <w:rPr>
                <w:rFonts w:ascii="Courier New" w:cs="Courier New" w:eastAsia="Courier New" w:hAnsi="Courier New"/>
                <w:sz w:val="17"/>
                <w:szCs w:val="17"/>
                <w:color w:val="auto"/>
              </w:rPr>
              <w:t>New York, New York</w:t>
            </w:r>
          </w:p>
        </w:tc>
        <w:tc>
          <w:tcPr>
            <w:tcW w:w="5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4"/>
        </w:trPr>
        <w:tc>
          <w:tcPr>
            <w:tcW w:w="3540" w:type="dxa"/>
            <w:vAlign w:val="bottom"/>
          </w:tcPr>
          <w:p>
            <w:pPr>
              <w:spacing w:after="0"/>
              <w:rPr>
                <w:sz w:val="20"/>
                <w:szCs w:val="20"/>
                <w:color w:val="auto"/>
              </w:rPr>
            </w:pPr>
            <w:r>
              <w:rPr>
                <w:rFonts w:ascii="Courier New" w:cs="Courier New" w:eastAsia="Courier New" w:hAnsi="Courier New"/>
                <w:sz w:val="17"/>
                <w:szCs w:val="17"/>
                <w:color w:val="auto"/>
              </w:rPr>
              <w:t>Shares:</w:t>
            </w:r>
          </w:p>
        </w:tc>
        <w:tc>
          <w:tcPr>
            <w:tcW w:w="2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80" w:type="dxa"/>
            <w:vAlign w:val="bottom"/>
          </w:tcPr>
          <w:p>
            <w:pPr>
              <w:spacing w:after="0"/>
              <w:rPr>
                <w:sz w:val="16"/>
                <w:szCs w:val="16"/>
                <w:color w:val="auto"/>
              </w:rPr>
            </w:pPr>
          </w:p>
        </w:tc>
      </w:tr>
    </w:tbl>
    <w:p>
      <w:pPr>
        <w:sectPr>
          <w:pgSz w:w="11900" w:h="16838" w:orient="portrait"/>
          <w:cols w:equalWidth="0" w:num="1">
            <w:col w:w="10219"/>
          </w:cols>
          <w:pgMar w:left="240" w:top="697" w:right="1440" w:bottom="1440" w:gutter="0" w:footer="0" w:header="0"/>
          <w:type w:val="continuous"/>
        </w:sectPr>
      </w:pPr>
    </w:p>
    <w:bookmarkStart w:id="42" w:name="page43"/>
    <w:bookmarkEnd w:id="42"/>
    <w:p>
      <w:pPr>
        <w:jc w:val="center"/>
        <w:ind w:right="2139"/>
        <w:spacing w:after="0"/>
        <w:rPr>
          <w:sz w:val="20"/>
          <w:szCs w:val="20"/>
          <w:color w:val="auto"/>
        </w:rPr>
      </w:pPr>
      <w:r>
        <w:rPr>
          <w:rFonts w:ascii="Courier New" w:cs="Courier New" w:eastAsia="Courier New" w:hAnsi="Courier New"/>
          <w:sz w:val="17"/>
          <w:szCs w:val="17"/>
          <w:color w:val="auto"/>
        </w:rPr>
        <w:t>SCHEDULE III</w:t>
      </w:r>
    </w:p>
    <w:p>
      <w:pPr>
        <w:spacing w:after="0" w:line="196" w:lineRule="exact"/>
        <w:rPr>
          <w:sz w:val="20"/>
          <w:szCs w:val="20"/>
          <w:color w:val="auto"/>
        </w:rPr>
      </w:pPr>
    </w:p>
    <w:p>
      <w:pPr>
        <w:jc w:val="right"/>
        <w:ind w:right="4459"/>
        <w:spacing w:after="0"/>
        <w:rPr>
          <w:sz w:val="20"/>
          <w:szCs w:val="20"/>
          <w:color w:val="auto"/>
        </w:rPr>
      </w:pPr>
      <w:r>
        <w:rPr>
          <w:rFonts w:ascii="Courier New" w:cs="Courier New" w:eastAsia="Courier New" w:hAnsi="Courier New"/>
          <w:sz w:val="17"/>
          <w:szCs w:val="17"/>
          <w:color w:val="auto"/>
        </w:rPr>
        <w:t>List of Persons Subject to Lock-Up</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 S. Ordan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Donald C. Wood</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Larry E. Finger</w:t>
      </w:r>
    </w:p>
    <w:p>
      <w:pPr>
        <w:spacing w:after="0" w:line="19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IV-1</w:t>
      </w:r>
    </w:p>
    <w:p>
      <w:pPr>
        <w:sectPr>
          <w:pgSz w:w="11900" w:h="16838" w:orient="portrait"/>
          <w:cols w:equalWidth="0" w:num="1">
            <w:col w:w="10219"/>
          </w:cols>
          <w:pgMar w:left="240" w:top="697" w:right="1440" w:bottom="1440" w:gutter="0" w:footer="0" w:header="0"/>
        </w:sectPr>
      </w:pPr>
    </w:p>
    <w:bookmarkStart w:id="43" w:name="page44"/>
    <w:bookmarkEnd w:id="43"/>
    <w:p>
      <w:pPr>
        <w:jc w:val="right"/>
        <w:ind w:right="2119"/>
        <w:spacing w:after="0"/>
        <w:rPr>
          <w:sz w:val="20"/>
          <w:szCs w:val="20"/>
          <w:color w:val="auto"/>
        </w:rPr>
      </w:pPr>
      <w:r>
        <w:rPr>
          <w:rFonts w:ascii="Courier New" w:cs="Courier New" w:eastAsia="Courier New" w:hAnsi="Courier New"/>
          <w:sz w:val="17"/>
          <w:szCs w:val="17"/>
          <w:color w:val="auto"/>
        </w:rPr>
        <w:t>Exhibit 5.01</w:t>
      </w:r>
    </w:p>
    <w:p>
      <w:pPr>
        <w:spacing w:after="0" w:line="39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May 9, 2003</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1626 East Jefferson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Rockville, Maryland 20852-4041</w:t>
      </w:r>
    </w:p>
    <w:p>
      <w:pPr>
        <w:spacing w:after="0" w:line="199" w:lineRule="exact"/>
        <w:rPr>
          <w:sz w:val="20"/>
          <w:szCs w:val="20"/>
          <w:color w:val="auto"/>
        </w:rPr>
      </w:pPr>
    </w:p>
    <w:p>
      <w:pPr>
        <w:ind w:left="1420" w:right="2119" w:hanging="599"/>
        <w:spacing w:after="0" w:line="239" w:lineRule="auto"/>
        <w:tabs>
          <w:tab w:leader="none" w:pos="1400" w:val="left"/>
        </w:tabs>
        <w:rPr>
          <w:sz w:val="20"/>
          <w:szCs w:val="20"/>
          <w:color w:val="auto"/>
        </w:rPr>
      </w:pPr>
      <w:r>
        <w:rPr>
          <w:rFonts w:ascii="Courier New" w:cs="Courier New" w:eastAsia="Courier New" w:hAnsi="Courier New"/>
          <w:sz w:val="17"/>
          <w:szCs w:val="17"/>
          <w:color w:val="auto"/>
        </w:rPr>
        <w:t>Re:</w:t>
        <w:tab/>
        <w:t>Federal Realty Investment Trust Registration Statement on Form S-3 Underwritten Public Offering of Up to 3,236,245 Common Shares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We have acted as counsel to Federal Realty Investment Trust, a Maryland real estate investment trust (the "Company"), in connection with the filing with the Securities and Exchange Commission under the Securities Act of 1933, as amended, of a prospectus supplement to the prospectus contained in the registration statement on Form S-3, No. 333-100819 (collectively, the "Registration Statement"), which was declared effective on November 6, 2002. The prospectus supplement and prospectus together are herein referred to as the "Prospectus." The Prospectus relates to the public offering of up to 3,236,245 common shares of beneficial interest, par value $.01 per share (the "Shares"), of the Company, pursuant to the terms of an underwriting agreement dated as of May 9, 2003 by and between the Company and the underwriter named therein (the "Underwriting Agreement") and the related pricing agreement dated May 9, 2003 by and between the Company and the underwriter named therein (the "Pricing Agreement").</w:t>
      </w:r>
    </w:p>
    <w:p>
      <w:pPr>
        <w:spacing w:after="0" w:line="198" w:lineRule="exact"/>
        <w:rPr>
          <w:sz w:val="20"/>
          <w:szCs w:val="20"/>
          <w:color w:val="auto"/>
        </w:rPr>
      </w:pPr>
    </w:p>
    <w:p>
      <w:pPr>
        <w:ind w:right="2839" w:firstLine="910"/>
        <w:spacing w:after="0" w:line="239" w:lineRule="auto"/>
        <w:rPr>
          <w:sz w:val="20"/>
          <w:szCs w:val="20"/>
          <w:color w:val="auto"/>
        </w:rPr>
      </w:pPr>
      <w:r>
        <w:rPr>
          <w:rFonts w:ascii="Courier New" w:cs="Courier New" w:eastAsia="Courier New" w:hAnsi="Courier New"/>
          <w:sz w:val="17"/>
          <w:szCs w:val="17"/>
          <w:color w:val="auto"/>
        </w:rPr>
        <w:t>For the purposes of this opinion, we have examined copies of the following documents:</w:t>
      </w:r>
    </w:p>
    <w:p>
      <w:pPr>
        <w:spacing w:after="0" w:line="200" w:lineRule="exact"/>
        <w:rPr>
          <w:sz w:val="20"/>
          <w:szCs w:val="20"/>
          <w:color w:val="auto"/>
        </w:rPr>
      </w:pPr>
    </w:p>
    <w:p>
      <w:pPr>
        <w:ind w:left="1620" w:right="2219" w:hanging="706"/>
        <w:spacing w:after="0"/>
        <w:tabs>
          <w:tab w:leader="none" w:pos="16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Declaration of Trust of the Company as certified by the Maryland State Department of Assessments and Taxation on May 5, 2003 (the "Declaration of Trust");</w:t>
      </w:r>
    </w:p>
    <w:p>
      <w:pPr>
        <w:spacing w:after="0" w:line="197" w:lineRule="exact"/>
        <w:rPr>
          <w:rFonts w:ascii="Courier New" w:cs="Courier New" w:eastAsia="Courier New" w:hAnsi="Courier New"/>
          <w:sz w:val="17"/>
          <w:szCs w:val="17"/>
          <w:color w:val="auto"/>
        </w:rPr>
      </w:pPr>
    </w:p>
    <w:p>
      <w:pPr>
        <w:ind w:left="1620" w:hanging="706"/>
        <w:spacing w:after="0"/>
        <w:tabs>
          <w:tab w:leader="none" w:pos="16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Amended and Restated Bylaws of the Company (the "Bylaws");</w:t>
      </w:r>
    </w:p>
    <w:p>
      <w:pPr>
        <w:spacing w:after="0" w:line="198" w:lineRule="exact"/>
        <w:rPr>
          <w:rFonts w:ascii="Courier New" w:cs="Courier New" w:eastAsia="Courier New" w:hAnsi="Courier New"/>
          <w:sz w:val="17"/>
          <w:szCs w:val="17"/>
          <w:color w:val="auto"/>
        </w:rPr>
      </w:pPr>
    </w:p>
    <w:p>
      <w:pPr>
        <w:ind w:left="1620" w:right="2119" w:hanging="706"/>
        <w:spacing w:after="0"/>
        <w:tabs>
          <w:tab w:leader="none" w:pos="16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Articles of Incorporation of Street Retail, Inc., a Maryland corporation ("SRI") as certified by the Maryland State Department of Assessments and Taxation on May 5, 2003;</w:t>
      </w:r>
    </w:p>
    <w:p>
      <w:pPr>
        <w:sectPr>
          <w:pgSz w:w="11900" w:h="16838" w:orient="portrait"/>
          <w:cols w:equalWidth="0" w:num="1">
            <w:col w:w="10219"/>
          </w:cols>
          <w:pgMar w:left="240" w:top="528"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9, 2003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196" w:lineRule="exact"/>
        <w:rPr>
          <w:sz w:val="20"/>
          <w:szCs w:val="20"/>
          <w:color w:val="auto"/>
        </w:rPr>
      </w:pPr>
    </w:p>
    <w:p>
      <w:pPr>
        <w:ind w:left="1720" w:hanging="806"/>
        <w:spacing w:after="0"/>
        <w:tabs>
          <w:tab w:leader="none" w:pos="17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Bylaws, as amended, of SRI;</w:t>
      </w:r>
    </w:p>
    <w:p>
      <w:pPr>
        <w:spacing w:after="0" w:line="196" w:lineRule="exact"/>
        <w:rPr>
          <w:rFonts w:ascii="Courier New" w:cs="Courier New" w:eastAsia="Courier New" w:hAnsi="Courier New"/>
          <w:sz w:val="17"/>
          <w:szCs w:val="17"/>
          <w:color w:val="auto"/>
        </w:rPr>
      </w:pPr>
    </w:p>
    <w:p>
      <w:pPr>
        <w:ind w:left="1720" w:hanging="806"/>
        <w:spacing w:after="0"/>
        <w:tabs>
          <w:tab w:leader="none" w:pos="17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w:t>
      </w:r>
    </w:p>
    <w:p>
      <w:pPr>
        <w:spacing w:after="0" w:line="196" w:lineRule="exact"/>
        <w:rPr>
          <w:rFonts w:ascii="Courier New" w:cs="Courier New" w:eastAsia="Courier New" w:hAnsi="Courier New"/>
          <w:sz w:val="17"/>
          <w:szCs w:val="17"/>
          <w:color w:val="auto"/>
        </w:rPr>
      </w:pPr>
    </w:p>
    <w:p>
      <w:pPr>
        <w:ind w:left="1720" w:hanging="806"/>
        <w:spacing w:after="0"/>
        <w:tabs>
          <w:tab w:leader="none" w:pos="17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Prospectus;</w:t>
      </w:r>
    </w:p>
    <w:p>
      <w:pPr>
        <w:spacing w:after="0" w:line="196" w:lineRule="exact"/>
        <w:rPr>
          <w:rFonts w:ascii="Courier New" w:cs="Courier New" w:eastAsia="Courier New" w:hAnsi="Courier New"/>
          <w:sz w:val="17"/>
          <w:szCs w:val="17"/>
          <w:color w:val="auto"/>
        </w:rPr>
      </w:pPr>
    </w:p>
    <w:p>
      <w:pPr>
        <w:ind w:left="1720" w:hanging="806"/>
        <w:spacing w:after="0"/>
        <w:tabs>
          <w:tab w:leader="none" w:pos="17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Underwriting Agreement;</w:t>
      </w:r>
    </w:p>
    <w:p>
      <w:pPr>
        <w:spacing w:after="0" w:line="196" w:lineRule="exact"/>
        <w:rPr>
          <w:rFonts w:ascii="Courier New" w:cs="Courier New" w:eastAsia="Courier New" w:hAnsi="Courier New"/>
          <w:sz w:val="17"/>
          <w:szCs w:val="17"/>
          <w:color w:val="auto"/>
        </w:rPr>
      </w:pPr>
    </w:p>
    <w:p>
      <w:pPr>
        <w:ind w:left="1720" w:hanging="806"/>
        <w:spacing w:after="0"/>
        <w:tabs>
          <w:tab w:leader="none" w:pos="17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Pricing Agreement;</w:t>
      </w:r>
    </w:p>
    <w:p>
      <w:pPr>
        <w:spacing w:after="0" w:line="198" w:lineRule="exact"/>
        <w:rPr>
          <w:rFonts w:ascii="Courier New" w:cs="Courier New" w:eastAsia="Courier New" w:hAnsi="Courier New"/>
          <w:sz w:val="17"/>
          <w:szCs w:val="17"/>
          <w:color w:val="auto"/>
        </w:rPr>
      </w:pPr>
    </w:p>
    <w:p>
      <w:pPr>
        <w:ind w:left="1720" w:right="2439" w:hanging="806"/>
        <w:spacing w:after="0" w:line="241" w:lineRule="auto"/>
        <w:tabs>
          <w:tab w:leader="none" w:pos="17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minutes of the Pricing Committee of the Board of Trustees of the Company, dated May 9, 2003, with respect to the offering of the Shares, and minutes of the Board of Trustees of the Company with respect to the offering of the Shares, dated May 7, 2003;</w:t>
      </w:r>
    </w:p>
    <w:p>
      <w:pPr>
        <w:spacing w:after="0" w:line="199" w:lineRule="exact"/>
        <w:rPr>
          <w:rFonts w:ascii="Courier New" w:cs="Courier New" w:eastAsia="Courier New" w:hAnsi="Courier New"/>
          <w:sz w:val="17"/>
          <w:szCs w:val="17"/>
          <w:color w:val="auto"/>
        </w:rPr>
      </w:pPr>
    </w:p>
    <w:p>
      <w:pPr>
        <w:ind w:left="1720" w:right="2439" w:hanging="806"/>
        <w:spacing w:after="0" w:line="241" w:lineRule="auto"/>
        <w:tabs>
          <w:tab w:leader="none" w:pos="17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minutes of the Board of Trustees of the Company, dated October 29, 2002, with respect to the Registration Statement (together with the minutes described in (ix), above, the "Resolutions");</w:t>
      </w:r>
    </w:p>
    <w:p>
      <w:pPr>
        <w:spacing w:after="0" w:line="198" w:lineRule="exact"/>
        <w:rPr>
          <w:rFonts w:ascii="Courier New" w:cs="Courier New" w:eastAsia="Courier New" w:hAnsi="Courier New"/>
          <w:sz w:val="17"/>
          <w:szCs w:val="17"/>
          <w:color w:val="auto"/>
        </w:rPr>
      </w:pPr>
    </w:p>
    <w:p>
      <w:pPr>
        <w:ind w:left="1720" w:right="2219" w:hanging="806"/>
        <w:spacing w:after="0" w:line="239" w:lineRule="auto"/>
        <w:tabs>
          <w:tab w:leader="none" w:pos="17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copy of the specimen certificate for the Shares to be issued pursuant to the Underwriting Agreement;</w:t>
      </w:r>
    </w:p>
    <w:p>
      <w:pPr>
        <w:spacing w:after="0" w:line="199" w:lineRule="exact"/>
        <w:rPr>
          <w:rFonts w:ascii="Courier New" w:cs="Courier New" w:eastAsia="Courier New" w:hAnsi="Courier New"/>
          <w:sz w:val="17"/>
          <w:szCs w:val="17"/>
          <w:color w:val="auto"/>
        </w:rPr>
      </w:pPr>
    </w:p>
    <w:p>
      <w:pPr>
        <w:ind w:left="1720" w:right="2319" w:hanging="806"/>
        <w:spacing w:after="0" w:line="239" w:lineRule="auto"/>
        <w:tabs>
          <w:tab w:leader="none" w:pos="17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documents incorporated by reference into the Registration Statement;</w:t>
      </w:r>
    </w:p>
    <w:p>
      <w:pPr>
        <w:spacing w:after="0" w:line="199" w:lineRule="exact"/>
        <w:rPr>
          <w:rFonts w:ascii="Courier New" w:cs="Courier New" w:eastAsia="Courier New" w:hAnsi="Courier New"/>
          <w:sz w:val="17"/>
          <w:szCs w:val="17"/>
          <w:color w:val="auto"/>
        </w:rPr>
      </w:pPr>
    </w:p>
    <w:p>
      <w:pPr>
        <w:ind w:left="1720" w:right="2119" w:hanging="806"/>
        <w:spacing w:after="0" w:line="239" w:lineRule="auto"/>
        <w:tabs>
          <w:tab w:leader="none" w:pos="17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of good standing from the states where the Company and SRI are qualified to do business; and</w:t>
      </w:r>
    </w:p>
    <w:p>
      <w:pPr>
        <w:spacing w:after="0" w:line="199" w:lineRule="exact"/>
        <w:rPr>
          <w:rFonts w:ascii="Courier New" w:cs="Courier New" w:eastAsia="Courier New" w:hAnsi="Courier New"/>
          <w:sz w:val="17"/>
          <w:szCs w:val="17"/>
          <w:color w:val="auto"/>
        </w:rPr>
      </w:pPr>
    </w:p>
    <w:p>
      <w:pPr>
        <w:jc w:val="both"/>
        <w:ind w:left="1720" w:right="2119" w:hanging="806"/>
        <w:spacing w:after="0"/>
        <w:tabs>
          <w:tab w:leader="none" w:pos="172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documents, corporate records, certificates of public officials and other instruments as we have deemed necessary for the purposes of rendering this opinion.</w:t>
      </w:r>
    </w:p>
    <w:p>
      <w:pPr>
        <w:spacing w:after="0" w:line="200"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w:t>
      </w:r>
    </w:p>
    <w:p>
      <w:pPr>
        <w:sectPr>
          <w:pgSz w:w="11900" w:h="16838" w:orient="portrait"/>
          <w:cols w:equalWidth="0" w:num="1">
            <w:col w:w="10219"/>
          </w:cols>
          <w:pgMar w:left="240" w:top="69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9, 2003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3</w:t>
      </w:r>
    </w:p>
    <w:p>
      <w:pPr>
        <w:spacing w:after="0" w:line="393"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In connection with the opinions expressed below, we have assumed that, at and prior to the time of the sale and delivery of Shares pursuant to the Registration Statement, (i) the Resolutions have not been amended, modified or rescinded, (ii) the Registration Statement has been declared effective and no stop order suspending the effectiveness of the Registration Statement has been issued and no proceedings with respect thereto have been commenced or threatened, and (iii) there has not occurred any change in law materially adversely affecting the power of the Company to offer and sell the Shares or the validity of the Shares. We have also assumed that the offering, sale and delivery of Shares will not at the time of such offering, sale and delivery violate or conflict with (1) the Declaration of Trust, as then amended, restated and supplemented, and Bylaws, as then amended, restated and supplemented, of the Company, (2) any provision of any license, indenture, instrument, mortgage, contract, document or agreement to which the Company is then a party or by which the Company is then bound, or (3) any law or regulation or any decree, judgment or order then applicable to the Company. We have further assumed that the number of Shares to be offered and sold pursuant to the Registration Statement will not at the time of such offering and sale exceed the amount of such class of capital shares authorized in the Declaration of Trust, as then amended, restated or supplemented, and unissued (and not otherwise reserved for issuance) at such time.</w:t>
      </w:r>
    </w:p>
    <w:p>
      <w:pPr>
        <w:spacing w:after="0" w:line="200" w:lineRule="exact"/>
        <w:rPr>
          <w:sz w:val="20"/>
          <w:szCs w:val="20"/>
          <w:color w:val="auto"/>
        </w:rPr>
      </w:pPr>
    </w:p>
    <w:p>
      <w:pPr>
        <w:ind w:right="2639" w:firstLine="910"/>
        <w:spacing w:after="0" w:line="241" w:lineRule="auto"/>
        <w:rPr>
          <w:sz w:val="20"/>
          <w:szCs w:val="20"/>
          <w:color w:val="auto"/>
        </w:rPr>
      </w:pPr>
      <w:r>
        <w:rPr>
          <w:rFonts w:ascii="Courier New" w:cs="Courier New" w:eastAsia="Courier New" w:hAnsi="Courier New"/>
          <w:sz w:val="17"/>
          <w:szCs w:val="17"/>
          <w:color w:val="auto"/>
        </w:rPr>
        <w:t>Based upon, subject to and limited by the foregoing, we are of the opinion that the Shares, when sold, issued and delivered by the Company in accordance with the terms of the Underwriting Agreement and the Pricing Agreement, will be validly issued, fully paid and nonassessable.</w:t>
      </w:r>
    </w:p>
    <w:p>
      <w:pPr>
        <w:spacing w:after="0" w:line="199"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Certain members of our firm are members of the Bar of the State of Maryland (though we do not have an office in Maryland), and this opinion is limited to the laws of the United States and the General Corporation Law of Maryland. Our opinion is rendered only with respect to the laws and the rules, regulations and orders thereunder that are currently in effect. We assume no obligation to advise you of any changes in the foregoing subsequent to the delivery of this opinion. This opinion has been prepared solely for your use in connection with the filing of the Prospectus to the Registration Statement, and should not be quoted in whole or in part or otherwise be referred to, nor otherwise be filed with or furnished to, any governmental agency or other person or entity, without our express prior written consent.</w:t>
      </w:r>
    </w:p>
    <w:p>
      <w:pPr>
        <w:spacing w:after="0" w:line="197" w:lineRule="exact"/>
        <w:rPr>
          <w:sz w:val="20"/>
          <w:szCs w:val="20"/>
          <w:color w:val="auto"/>
        </w:rPr>
      </w:pPr>
    </w:p>
    <w:p>
      <w:pPr>
        <w:ind w:right="2439" w:firstLine="910"/>
        <w:spacing w:after="0" w:line="241" w:lineRule="auto"/>
        <w:rPr>
          <w:sz w:val="20"/>
          <w:szCs w:val="20"/>
          <w:color w:val="auto"/>
        </w:rPr>
      </w:pPr>
      <w:r>
        <w:rPr>
          <w:rFonts w:ascii="Courier New" w:cs="Courier New" w:eastAsia="Courier New" w:hAnsi="Courier New"/>
          <w:sz w:val="17"/>
          <w:szCs w:val="17"/>
          <w:color w:val="auto"/>
        </w:rPr>
        <w:t>We hereby consent to the filing of this opinion as an exhibit to the Registration Statement and to the use of our name in the Prospectus under the caption "Legal Matters." The giving of this consent, however, does not constitute an admission that we</w:t>
      </w:r>
    </w:p>
    <w:p>
      <w:pPr>
        <w:sectPr>
          <w:pgSz w:w="11900" w:h="16838" w:orient="portrait"/>
          <w:cols w:equalWidth="0" w:num="1">
            <w:col w:w="10219"/>
          </w:cols>
          <w:pgMar w:left="240" w:top="69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9, 2003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4</w:t>
      </w:r>
    </w:p>
    <w:p>
      <w:pPr>
        <w:spacing w:after="0" w:line="393" w:lineRule="exact"/>
        <w:rPr>
          <w:sz w:val="20"/>
          <w:szCs w:val="20"/>
          <w:color w:val="auto"/>
        </w:rPr>
      </w:pPr>
    </w:p>
    <w:p>
      <w:pPr>
        <w:jc w:val="both"/>
        <w:ind w:right="2539"/>
        <w:spacing w:after="0"/>
        <w:rPr>
          <w:sz w:val="20"/>
          <w:szCs w:val="20"/>
          <w:color w:val="auto"/>
        </w:rPr>
      </w:pPr>
      <w:r>
        <w:rPr>
          <w:rFonts w:ascii="Courier New" w:cs="Courier New" w:eastAsia="Courier New" w:hAnsi="Courier New"/>
          <w:sz w:val="17"/>
          <w:szCs w:val="17"/>
          <w:color w:val="auto"/>
        </w:rPr>
        <w:t>are "experts" within the meaning of Section 11 of the Securities Act of 1933 (the "Act"), as amended, or within the category of persons whose consent is required by Section 7 of the Act.</w:t>
      </w:r>
    </w:p>
    <w:p>
      <w:pPr>
        <w:spacing w:after="0" w:line="19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Very truly yours,</w:t>
      </w:r>
    </w:p>
    <w:p>
      <w:pPr>
        <w:spacing w:after="0" w:line="200" w:lineRule="exact"/>
        <w:rPr>
          <w:sz w:val="20"/>
          <w:szCs w:val="20"/>
          <w:color w:val="auto"/>
        </w:rPr>
      </w:pPr>
    </w:p>
    <w:p>
      <w:pPr>
        <w:spacing w:after="0" w:line="385"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 SHAW PITTMAN LLP</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SHAW PITTMAN LLP</w:t>
      </w:r>
    </w:p>
    <w:p>
      <w:pPr>
        <w:sectPr>
          <w:pgSz w:w="11900" w:h="16838" w:orient="portrait"/>
          <w:cols w:equalWidth="0" w:num="1">
            <w:col w:w="10219"/>
          </w:cols>
          <w:pgMar w:left="240" w:top="697" w:right="1440" w:bottom="1440" w:gutter="0" w:footer="0" w:header="0"/>
        </w:sectPr>
      </w:pPr>
    </w:p>
    <w:bookmarkStart w:id="47" w:name="page48"/>
    <w:bookmarkEnd w:id="47"/>
    <w:p>
      <w:pPr>
        <w:jc w:val="right"/>
        <w:ind w:right="2119"/>
        <w:spacing w:after="0"/>
        <w:rPr>
          <w:sz w:val="20"/>
          <w:szCs w:val="20"/>
          <w:color w:val="auto"/>
        </w:rPr>
      </w:pPr>
      <w:r>
        <w:rPr>
          <w:rFonts w:ascii="Courier New" w:cs="Courier New" w:eastAsia="Courier New" w:hAnsi="Courier New"/>
          <w:sz w:val="17"/>
          <w:szCs w:val="17"/>
          <w:color w:val="auto"/>
        </w:rPr>
        <w:t>Exhibit 8.01</w:t>
      </w:r>
    </w:p>
    <w:p>
      <w:pPr>
        <w:spacing w:after="0" w:line="196"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May 9, 2003</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1626 East Jefferson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Rockville, Maryland 20852</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9" w:lineRule="exact"/>
        <w:rPr>
          <w:sz w:val="20"/>
          <w:szCs w:val="20"/>
          <w:color w:val="auto"/>
        </w:rPr>
      </w:pPr>
    </w:p>
    <w:p>
      <w:pPr>
        <w:ind w:right="2219" w:firstLine="910"/>
        <w:spacing w:after="0" w:line="241" w:lineRule="auto"/>
        <w:rPr>
          <w:sz w:val="20"/>
          <w:szCs w:val="20"/>
          <w:color w:val="auto"/>
        </w:rPr>
      </w:pPr>
      <w:r>
        <w:rPr>
          <w:rFonts w:ascii="Courier New" w:cs="Courier New" w:eastAsia="Courier New" w:hAnsi="Courier New"/>
          <w:sz w:val="17"/>
          <w:szCs w:val="17"/>
          <w:color w:val="auto"/>
        </w:rPr>
        <w:t>You have requested certain opinions regarding the application of U.S. federal income tax laws to Federal Realty Investment Trust (the "Company") in connection with the offer and sale of common shares of beneficial interest, par value $.01 per share, pursuant to a registration statement on Form S-3, including the prospectus dated May 9, 2003 (the "Prospectus"), the prospectus supplement dated May 9, 2003 (the "Prospectus Supplement"), and all amendments, exhibits and documents related thereto (the "Registration Statement") with the Securities and Exchange Commission (the "Commission").</w:t>
      </w:r>
    </w:p>
    <w:p>
      <w:pPr>
        <w:spacing w:after="0" w:line="203" w:lineRule="exact"/>
        <w:rPr>
          <w:sz w:val="20"/>
          <w:szCs w:val="20"/>
          <w:color w:val="auto"/>
        </w:rPr>
      </w:pPr>
    </w:p>
    <w:p>
      <w:pPr>
        <w:ind w:right="2219" w:firstLine="910"/>
        <w:spacing w:after="0" w:line="257" w:lineRule="auto"/>
        <w:rPr>
          <w:sz w:val="20"/>
          <w:szCs w:val="20"/>
          <w:color w:val="auto"/>
        </w:rPr>
      </w:pPr>
      <w:r>
        <w:rPr>
          <w:rFonts w:ascii="Courier New" w:cs="Courier New" w:eastAsia="Courier New" w:hAnsi="Courier New"/>
          <w:sz w:val="16"/>
          <w:szCs w:val="16"/>
          <w:color w:val="auto"/>
        </w:rPr>
        <w:t>In rendering the following opinions, we have examined such statutes, regulations, records, certificates and other documents as we have considered necessary or appropriate as a basis for such opinions, including the following:</w:t>
      </w:r>
    </w:p>
    <w:p>
      <w:pPr>
        <w:spacing w:after="0" w:line="1" w:lineRule="exact"/>
        <w:rPr>
          <w:sz w:val="20"/>
          <w:szCs w:val="20"/>
          <w:color w:val="auto"/>
        </w:rPr>
      </w:pPr>
    </w:p>
    <w:p>
      <w:pPr>
        <w:ind w:right="2119" w:firstLine="4"/>
        <w:spacing w:after="0" w:line="242" w:lineRule="auto"/>
        <w:tabs>
          <w:tab w:leader="none" w:pos="404"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Registration Statement, (2) the Declaration of Trust of the Company, as amended, restated or supplemented (the "Declaration of Trust"), (3) certain written representations of the Company contained in a letter to us dated as of the date hereof, (4) copies of the representative leases entered into by the Company as of the date hereof, and (5) such other documents or information as we have deemed necessary to render the opinions set forth in this letter. In our review, we have assumed, with your consent, that the documents listed above that we reviewed in proposed form will be executed in substantially the same form, all of the representations and statements set forth in such documents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0219"/>
          </w:cols>
          <w:pgMar w:left="240" w:top="528"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9, 2003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97" w:lineRule="exact"/>
        <w:rPr>
          <w:sz w:val="20"/>
          <w:szCs w:val="20"/>
          <w:color w:val="auto"/>
        </w:rPr>
      </w:pPr>
    </w:p>
    <w:p>
      <w:pPr>
        <w:ind w:right="2119" w:firstLine="910"/>
        <w:spacing w:after="0" w:line="258" w:lineRule="auto"/>
        <w:rPr>
          <w:sz w:val="20"/>
          <w:szCs w:val="20"/>
          <w:color w:val="auto"/>
        </w:rPr>
      </w:pPr>
      <w:r>
        <w:rPr>
          <w:rFonts w:ascii="Courier New" w:cs="Courier New" w:eastAsia="Courier New" w:hAnsi="Courier New"/>
          <w:sz w:val="16"/>
          <w:szCs w:val="16"/>
          <w:color w:val="auto"/>
        </w:rPr>
        <w:t>Based upon and subject to the foregoing and to the qualifications below, we are of the opinion that (i) the Company qualified as a real estate investment trust, or REIT, under the Code for each of its taxable years ending before January 1, 2003, (ii) the Company is organized in conformity with the requirements for qualification as a REIT under the Code, and its current method of operation will enable it to meet the requirements for qualification as a REIT for the current taxable year and for future taxable years; and (iii) the discussions in (w) the Prospectus Supplement under the caption, "Risk Factors," specifically the discussion of the Company's status as a REIT, (x) the Prospectus under the caption "Federal Income Tax Consequences," and (y) the Company's Current Report on Form 8-K filed with the Commission on March 25, 2003 (hereafter, the "Company's Form 8-K")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discussions are part of, or incorporated by reference into, the Prospectus Supplement, to the extent that they address matters of law or legal conclusions or purports to describe certain provisions of the federal tax laws, are correct summaries of the matters addressed therein, and the opinions of such counsel appearing in the Prospectus under the caption "Federal Income Tax Consequences" are hereby confirmed.</w:t>
      </w:r>
    </w:p>
    <w:p>
      <w:pPr>
        <w:spacing w:after="0" w:line="186" w:lineRule="exact"/>
        <w:rPr>
          <w:sz w:val="20"/>
          <w:szCs w:val="20"/>
          <w:color w:val="auto"/>
        </w:rPr>
      </w:pPr>
    </w:p>
    <w:p>
      <w:pPr>
        <w:ind w:right="2119" w:firstLine="910"/>
        <w:spacing w:after="0" w:line="242" w:lineRule="auto"/>
        <w:rPr>
          <w:sz w:val="20"/>
          <w:szCs w:val="20"/>
          <w:color w:val="auto"/>
        </w:rPr>
      </w:pPr>
      <w:r>
        <w:rPr>
          <w:rFonts w:ascii="Courier New" w:cs="Courier New" w:eastAsia="Courier New" w:hAnsi="Courier New"/>
          <w:sz w:val="17"/>
          <w:szCs w:val="17"/>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w:t>
      </w:r>
    </w:p>
    <w:p>
      <w:pPr>
        <w:sectPr>
          <w:pgSz w:w="11900" w:h="16838" w:orient="portrait"/>
          <w:cols w:equalWidth="0" w:num="1">
            <w:col w:w="10219"/>
          </w:cols>
          <w:pgMar w:left="240" w:top="697"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7"/>
          <w:szCs w:val="17"/>
          <w:color w:val="auto"/>
        </w:rPr>
        <w:t>Federal Realty Investment Trust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9, 2003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3</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necessary to achieve and maintain its status as a REIT. We assume no obligation to update the opinions set forth in this letter. We believe that the conclusions expressed herein, if challenged by the IRS, would be sustained in court. Because our positions are not binding upon the IRS or the courts, however, there can be no assurance that contrary positions may not be successfully asserted by the IRS.</w:t>
      </w:r>
    </w:p>
    <w:p>
      <w:pPr>
        <w:spacing w:after="0" w:line="201" w:lineRule="exact"/>
        <w:rPr>
          <w:sz w:val="20"/>
          <w:szCs w:val="20"/>
          <w:color w:val="auto"/>
        </w:rPr>
      </w:pPr>
    </w:p>
    <w:p>
      <w:pPr>
        <w:ind w:right="2319" w:firstLine="910"/>
        <w:spacing w:after="0"/>
        <w:rPr>
          <w:sz w:val="20"/>
          <w:szCs w:val="20"/>
          <w:color w:val="auto"/>
        </w:rPr>
      </w:pPr>
      <w:r>
        <w:rPr>
          <w:rFonts w:ascii="Courier New" w:cs="Courier New" w:eastAsia="Courier New" w:hAnsi="Courier New"/>
          <w:sz w:val="17"/>
          <w:szCs w:val="17"/>
          <w:color w:val="auto"/>
        </w:rPr>
        <w:t>The foregoing opinions are limited to the specific matters covered thereby and should not be interpreted to imply the undersigned has offered its opinion on any other matter.</w:t>
      </w:r>
    </w:p>
    <w:p>
      <w:pPr>
        <w:spacing w:after="0" w:line="200"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We hereby consent to the filing of this opinion as an exhibit to the Registration Statement. The giving of this consent, however, does not constitute an admission that we are "experts" within the meaning of Section 11 of the Securities Act of 1933 (the "Act"), as amended, or within the category of persons whose consent is required by Section 7 of the Act.</w:t>
      </w:r>
    </w:p>
    <w:p>
      <w:pPr>
        <w:spacing w:after="0" w:line="392" w:lineRule="exact"/>
        <w:rPr>
          <w:sz w:val="20"/>
          <w:szCs w:val="20"/>
          <w:color w:val="auto"/>
        </w:rPr>
      </w:pPr>
    </w:p>
    <w:tbl>
      <w:tblPr>
        <w:tblLayout w:type="fixed"/>
        <w:tblInd w:w="3240" w:type="dxa"/>
        <w:tblCellMar>
          <w:top w:w="0" w:type="dxa"/>
          <w:left w:w="0" w:type="dxa"/>
          <w:bottom w:w="0" w:type="dxa"/>
          <w:right w:w="0" w:type="dxa"/>
        </w:tblCellMar>
      </w:tblP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Very</w:t>
            </w:r>
          </w:p>
        </w:tc>
        <w:tc>
          <w:tcPr>
            <w:tcW w:w="27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truly yours,</w:t>
            </w:r>
          </w:p>
        </w:tc>
      </w:tr>
      <w:tr>
        <w:trPr>
          <w:trHeight w:val="389"/>
        </w:trPr>
        <w:tc>
          <w:tcPr>
            <w:tcW w:w="460" w:type="dxa"/>
            <w:vAlign w:val="bottom"/>
          </w:tcPr>
          <w:p>
            <w:pPr>
              <w:spacing w:after="0"/>
              <w:rPr>
                <w:sz w:val="20"/>
                <w:szCs w:val="20"/>
                <w:color w:val="auto"/>
              </w:rPr>
            </w:pPr>
            <w:r>
              <w:rPr>
                <w:rFonts w:ascii="Courier New" w:cs="Courier New" w:eastAsia="Courier New" w:hAnsi="Courier New"/>
                <w:sz w:val="17"/>
                <w:szCs w:val="17"/>
                <w:color w:val="auto"/>
              </w:rPr>
              <w:t>SHAW</w:t>
            </w:r>
          </w:p>
        </w:tc>
        <w:tc>
          <w:tcPr>
            <w:tcW w:w="800" w:type="dxa"/>
            <w:vAlign w:val="bottom"/>
          </w:tcPr>
          <w:p>
            <w:pPr>
              <w:ind w:left="40"/>
              <w:spacing w:after="0"/>
              <w:rPr>
                <w:sz w:val="20"/>
                <w:szCs w:val="20"/>
                <w:color w:val="auto"/>
              </w:rPr>
            </w:pPr>
            <w:r>
              <w:rPr>
                <w:rFonts w:ascii="Courier New" w:cs="Courier New" w:eastAsia="Courier New" w:hAnsi="Courier New"/>
                <w:sz w:val="17"/>
                <w:szCs w:val="17"/>
                <w:color w:val="auto"/>
              </w:rPr>
              <w:t>PITTMAN</w:t>
            </w:r>
          </w:p>
        </w:tc>
        <w:tc>
          <w:tcPr>
            <w:tcW w:w="1980" w:type="dxa"/>
            <w:vAlign w:val="bottom"/>
          </w:tcPr>
          <w:p>
            <w:pPr>
              <w:ind w:left="60"/>
              <w:spacing w:after="0"/>
              <w:rPr>
                <w:sz w:val="20"/>
                <w:szCs w:val="20"/>
                <w:color w:val="auto"/>
              </w:rPr>
            </w:pPr>
            <w:r>
              <w:rPr>
                <w:rFonts w:ascii="Courier New" w:cs="Courier New" w:eastAsia="Courier New" w:hAnsi="Courier New"/>
                <w:sz w:val="17"/>
                <w:szCs w:val="17"/>
                <w:color w:val="auto"/>
              </w:rPr>
              <w:t>LLP</w:t>
            </w:r>
          </w:p>
        </w:tc>
      </w:tr>
      <w:tr>
        <w:trPr>
          <w:trHeight w:val="583"/>
        </w:trPr>
        <w:tc>
          <w:tcPr>
            <w:tcW w:w="46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27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/s/ CHARLES B. TEMKIN, P.C.</w:t>
            </w:r>
          </w:p>
        </w:tc>
      </w:tr>
      <w:tr>
        <w:trPr>
          <w:trHeight w:val="194"/>
        </w:trPr>
        <w:tc>
          <w:tcPr>
            <w:tcW w:w="460" w:type="dxa"/>
            <w:vAlign w:val="bottom"/>
          </w:tcPr>
          <w:p>
            <w:pPr>
              <w:spacing w:after="0"/>
              <w:rPr>
                <w:sz w:val="16"/>
                <w:szCs w:val="16"/>
                <w:color w:val="auto"/>
              </w:rPr>
            </w:pPr>
          </w:p>
        </w:tc>
        <w:tc>
          <w:tcPr>
            <w:tcW w:w="27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46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Courier New" w:cs="Courier New" w:eastAsia="Courier New" w:hAnsi="Courier New"/>
                <w:sz w:val="17"/>
                <w:szCs w:val="17"/>
                <w:color w:val="auto"/>
              </w:rPr>
              <w:t>Charles</w:t>
            </w:r>
          </w:p>
        </w:tc>
        <w:tc>
          <w:tcPr>
            <w:tcW w:w="1980" w:type="dxa"/>
            <w:vAlign w:val="bottom"/>
          </w:tcPr>
          <w:p>
            <w:pPr>
              <w:ind w:left="60"/>
              <w:spacing w:after="0"/>
              <w:rPr>
                <w:sz w:val="20"/>
                <w:szCs w:val="20"/>
                <w:color w:val="auto"/>
              </w:rPr>
            </w:pPr>
            <w:r>
              <w:rPr>
                <w:rFonts w:ascii="Courier New" w:cs="Courier New" w:eastAsia="Courier New" w:hAnsi="Courier New"/>
                <w:sz w:val="17"/>
                <w:szCs w:val="17"/>
                <w:color w:val="auto"/>
              </w:rPr>
              <w:t>B. Temkin, P.C.</w:t>
            </w:r>
          </w:p>
        </w:tc>
      </w:tr>
    </w:tbl>
    <w:p>
      <w:pPr>
        <w:spacing w:after="0" w:line="1" w:lineRule="exact"/>
        <w:rPr>
          <w:sz w:val="20"/>
          <w:szCs w:val="20"/>
          <w:color w:val="auto"/>
        </w:rPr>
      </w:pPr>
    </w:p>
    <w:sectPr>
      <w:pgSz w:w="11900" w:h="16838" w:orient="portrait"/>
      <w:cols w:equalWidth="0" w:num="1">
        <w:col w:w="10219"/>
      </w:cols>
      <w:pgMar w:left="240" w:top="6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decimal"/>
      <w:start w:val="2"/>
    </w:lvl>
    <w:lvl w:ilvl="1">
      <w:lvlJc w:val="left"/>
      <w:lvlText w:val="(%2)"/>
      <w:numFmt w:val="lowerLetter"/>
      <w:start w:val="1"/>
    </w:lvl>
  </w:abstractNum>
  <w:abstractNum w:abstractNumId="2">
    <w:nsid w:val="431BD7B7"/>
    <w:multiLevelType w:val="hybridMultilevel"/>
    <w:lvl w:ilvl="0">
      <w:lvlJc w:val="left"/>
      <w:lvlText w:val="(%1)"/>
      <w:numFmt w:val="lowerLetter"/>
      <w:start w:val="2"/>
    </w:lvl>
  </w:abstractNum>
  <w:abstractNum w:abstractNumId="3">
    <w:nsid w:val="3F2DBA31"/>
    <w:multiLevelType w:val="hybridMultilevel"/>
    <w:lvl w:ilvl="0">
      <w:lvlJc w:val="left"/>
      <w:lvlText w:val="(%1)"/>
      <w:numFmt w:val="lowerLetter"/>
      <w:start w:val="3"/>
    </w:lvl>
  </w:abstractNum>
  <w:abstractNum w:abstractNumId="4">
    <w:nsid w:val="7C83E458"/>
    <w:multiLevelType w:val="hybridMultilevel"/>
    <w:lvl w:ilvl="0">
      <w:lvlJc w:val="left"/>
      <w:lvlText w:val="(%1)"/>
      <w:numFmt w:val="lowerLetter"/>
      <w:start w:val="24"/>
    </w:lvl>
    <w:lvl w:ilvl="1">
      <w:lvlJc w:val="left"/>
      <w:lvlText w:val="(%2)"/>
      <w:numFmt w:val="lowerLetter"/>
      <w:start w:val="6"/>
    </w:lvl>
  </w:abstractNum>
  <w:abstractNum w:abstractNumId="5">
    <w:nsid w:val="257130A3"/>
    <w:multiLevelType w:val="hybridMultilevel"/>
    <w:lvl w:ilvl="0">
      <w:lvlJc w:val="left"/>
      <w:lvlText w:val="(%1)"/>
      <w:numFmt w:val="lowerLetter"/>
      <w:start w:val="9"/>
    </w:lvl>
  </w:abstractNum>
  <w:abstractNum w:abstractNumId="6">
    <w:nsid w:val="62BBD95A"/>
    <w:multiLevelType w:val="hybridMultilevel"/>
    <w:lvl w:ilvl="0">
      <w:lvlJc w:val="left"/>
      <w:lvlText w:val="%1"/>
      <w:numFmt w:val="decimal"/>
      <w:start w:val="1"/>
    </w:lvl>
    <w:lvl w:ilvl="1">
      <w:lvlJc w:val="left"/>
      <w:lvlText w:val="(%2)"/>
      <w:numFmt w:val="lowerLetter"/>
      <w:start w:val="15"/>
    </w:lvl>
  </w:abstractNum>
  <w:abstractNum w:abstractNumId="7">
    <w:nsid w:val="436C6125"/>
    <w:multiLevelType w:val="hybridMultilevel"/>
    <w:lvl w:ilvl="0">
      <w:lvlJc w:val="left"/>
      <w:lvlText w:val="%1."/>
      <w:numFmt w:val="decimal"/>
      <w:start w:val="3"/>
    </w:lvl>
    <w:lvl w:ilvl="1">
      <w:lvlJc w:val="left"/>
      <w:lvlText w:val="%2"/>
      <w:numFmt w:val="lowerLetter"/>
      <w:start w:val="1"/>
    </w:lvl>
  </w:abstractNum>
  <w:abstractNum w:abstractNumId="8">
    <w:nsid w:val="628C895D"/>
    <w:multiLevelType w:val="hybridMultilevel"/>
    <w:lvl w:ilvl="0">
      <w:lvlJc w:val="left"/>
      <w:lvlText w:val="%1."/>
      <w:numFmt w:val="decimal"/>
      <w:start w:val="5"/>
    </w:lvl>
    <w:lvl w:ilvl="1">
      <w:lvlJc w:val="left"/>
      <w:lvlText w:val="(%2)"/>
      <w:numFmt w:val="lowerLetter"/>
      <w:start w:val="1"/>
    </w:lvl>
  </w:abstractNum>
  <w:abstractNum w:abstractNumId="9">
    <w:nsid w:val="333AB105"/>
    <w:multiLevelType w:val="hybridMultilevel"/>
    <w:lvl w:ilvl="0">
      <w:lvlJc w:val="left"/>
      <w:lvlText w:val="(%1)"/>
      <w:numFmt w:val="lowerLetter"/>
      <w:start w:val="2"/>
    </w:lvl>
  </w:abstractNum>
  <w:abstractNum w:abstractNumId="10">
    <w:nsid w:val="721DA317"/>
    <w:multiLevelType w:val="hybridMultilevel"/>
    <w:lvl w:ilvl="0">
      <w:lvlJc w:val="left"/>
      <w:lvlText w:val="%1"/>
      <w:numFmt w:val="lowerLetter"/>
      <w:start w:val="1"/>
    </w:lvl>
    <w:lvl w:ilvl="1">
      <w:lvlJc w:val="left"/>
      <w:lvlText w:val="(%2)"/>
      <w:numFmt w:val="lowerLetter"/>
      <w:start w:val="5"/>
    </w:lvl>
  </w:abstractNum>
  <w:abstractNum w:abstractNumId="11">
    <w:nsid w:val="2443A858"/>
    <w:multiLevelType w:val="hybridMultilevel"/>
    <w:lvl w:ilvl="0">
      <w:lvlJc w:val="left"/>
      <w:lvlText w:val="(%1)"/>
      <w:numFmt w:val="lowerLetter"/>
      <w:start w:val="25"/>
    </w:lvl>
    <w:lvl w:ilvl="1">
      <w:lvlJc w:val="left"/>
      <w:lvlText w:val="(%2)"/>
      <w:numFmt w:val="lowerLetter"/>
      <w:start w:val="6"/>
    </w:lvl>
  </w:abstractNum>
  <w:abstractNum w:abstractNumId="12">
    <w:nsid w:val="2D1D5AE9"/>
    <w:multiLevelType w:val="hybridMultilevel"/>
    <w:lvl w:ilvl="0">
      <w:lvlJc w:val="left"/>
      <w:lvlText w:val="%1."/>
      <w:numFmt w:val="decimal"/>
      <w:start w:val="6"/>
    </w:lvl>
  </w:abstractNum>
  <w:abstractNum w:abstractNumId="13">
    <w:nsid w:val="6763845E"/>
    <w:multiLevelType w:val="hybridMultilevel"/>
    <w:lvl w:ilvl="0">
      <w:lvlJc w:val="left"/>
      <w:lvlText w:val="%1."/>
      <w:numFmt w:val="decimal"/>
      <w:start w:val="7"/>
    </w:lvl>
    <w:lvl w:ilvl="1">
      <w:lvlJc w:val="left"/>
      <w:lvlText w:val="(%2)"/>
      <w:numFmt w:val="lowerLetter"/>
      <w:start w:val="1"/>
    </w:lvl>
  </w:abstractNum>
  <w:abstractNum w:abstractNumId="14">
    <w:nsid w:val="75A2A8D4"/>
    <w:multiLevelType w:val="hybridMultilevel"/>
    <w:lvl w:ilvl="0">
      <w:lvlJc w:val="left"/>
      <w:lvlText w:val="(%1)"/>
      <w:numFmt w:val="lowerLetter"/>
      <w:start w:val="3"/>
    </w:lvl>
  </w:abstractNum>
  <w:abstractNum w:abstractNumId="15">
    <w:nsid w:val="8EDBDAB"/>
    <w:multiLevelType w:val="hybridMultilevel"/>
    <w:lvl w:ilvl="0">
      <w:lvlJc w:val="left"/>
      <w:lvlText w:val="%1"/>
      <w:numFmt w:val="lowerLetter"/>
      <w:start w:val="1"/>
    </w:lvl>
    <w:lvl w:ilvl="1">
      <w:lvlJc w:val="left"/>
      <w:lvlText w:val="(%2)"/>
      <w:numFmt w:val="lowerLetter"/>
      <w:start w:val="8"/>
    </w:lvl>
  </w:abstractNum>
  <w:abstractNum w:abstractNumId="16">
    <w:nsid w:val="79838CB2"/>
    <w:multiLevelType w:val="hybridMultilevel"/>
    <w:lvl w:ilvl="0">
      <w:lvlJc w:val="left"/>
      <w:lvlText w:val="(%1)"/>
      <w:numFmt w:val="lowerLetter"/>
      <w:start w:val="35"/>
    </w:lvl>
    <w:lvl w:ilvl="1">
      <w:lvlJc w:val="left"/>
      <w:lvlText w:val="(%2)"/>
      <w:numFmt w:val="lowerLetter"/>
      <w:start w:val="9"/>
    </w:lvl>
  </w:abstractNum>
  <w:abstractNum w:abstractNumId="17">
    <w:nsid w:val="4353D0CD"/>
    <w:multiLevelType w:val="hybridMultilevel"/>
    <w:lvl w:ilvl="0">
      <w:lvlJc w:val="left"/>
      <w:lvlText w:val="%1"/>
      <w:numFmt w:val="decimal"/>
      <w:start w:val="1"/>
    </w:lvl>
    <w:lvl w:ilvl="1">
      <w:lvlJc w:val="left"/>
      <w:lvlText w:val="(%2)"/>
      <w:numFmt w:val="lowerLetter"/>
      <w:start w:val="12"/>
    </w:lvl>
  </w:abstractNum>
  <w:abstractNum w:abstractNumId="18">
    <w:nsid w:val="B03E0C6"/>
    <w:multiLevelType w:val="hybridMultilevel"/>
    <w:lvl w:ilvl="0">
      <w:lvlJc w:val="left"/>
      <w:lvlText w:val="%1."/>
      <w:numFmt w:val="decimal"/>
      <w:start w:val="8"/>
    </w:lvl>
    <w:lvl w:ilvl="1">
      <w:lvlJc w:val="left"/>
      <w:lvlText w:val="%2"/>
      <w:numFmt w:val="lowerLetter"/>
      <w:start w:val="1"/>
    </w:lvl>
  </w:abstractNum>
  <w:abstractNum w:abstractNumId="19">
    <w:nsid w:val="189A769B"/>
    <w:multiLevelType w:val="hybridMultilevel"/>
    <w:lvl w:ilvl="0">
      <w:lvlJc w:val="left"/>
      <w:lvlText w:val="%1"/>
      <w:numFmt w:val="lowerLetter"/>
      <w:start w:val="1"/>
    </w:lvl>
    <w:lvl w:ilvl="1">
      <w:lvlJc w:val="left"/>
      <w:lvlText w:val="(%2)"/>
      <w:numFmt w:val="lowerLetter"/>
      <w:start w:val="2"/>
    </w:lvl>
  </w:abstractNum>
  <w:abstractNum w:abstractNumId="20">
    <w:nsid w:val="54E49EB4"/>
    <w:multiLevelType w:val="hybridMultilevel"/>
    <w:lvl w:ilvl="0">
      <w:lvlJc w:val="left"/>
      <w:lvlText w:val="(%1)"/>
      <w:numFmt w:val="lowerLetter"/>
      <w:start w:val="2"/>
    </w:lvl>
    <w:lvl w:ilvl="1">
      <w:lvlJc w:val="left"/>
      <w:lvlText w:val="%2"/>
      <w:numFmt w:val="lowerLetter"/>
      <w:start w:val="1"/>
    </w:lvl>
  </w:abstractNum>
  <w:abstractNum w:abstractNumId="21">
    <w:nsid w:val="71F32454"/>
    <w:multiLevelType w:val="hybridMultilevel"/>
    <w:lvl w:ilvl="0">
      <w:lvlJc w:val="left"/>
      <w:lvlText w:val="%1"/>
      <w:numFmt w:val="lowerLetter"/>
      <w:start w:val="1"/>
    </w:lvl>
    <w:lvl w:ilvl="1">
      <w:lvlJc w:val="left"/>
      <w:lvlText w:val="(%2)"/>
      <w:numFmt w:val="lowerLetter"/>
      <w:start w:val="4"/>
    </w:lvl>
  </w:abstractNum>
  <w:abstractNum w:abstractNumId="22">
    <w:nsid w:val="2CA88611"/>
    <w:multiLevelType w:val="hybridMultilevel"/>
    <w:lvl w:ilvl="0">
      <w:lvlJc w:val="left"/>
      <w:lvlText w:val="(%1)"/>
      <w:numFmt w:val="lowerLetter"/>
      <w:start w:val="2"/>
    </w:lvl>
    <w:lvl w:ilvl="1">
      <w:lvlJc w:val="left"/>
      <w:lvlText w:val="%2"/>
      <w:numFmt w:val="lowerLetter"/>
      <w:start w:val="1"/>
    </w:lvl>
  </w:abstractNum>
  <w:abstractNum w:abstractNumId="23">
    <w:nsid w:val="836C40E"/>
    <w:multiLevelType w:val="hybridMultilevel"/>
    <w:lvl w:ilvl="0">
      <w:lvlJc w:val="left"/>
      <w:lvlText w:val="(%1)"/>
      <w:numFmt w:val="lowerLetter"/>
      <w:start w:val="5"/>
    </w:lvl>
  </w:abstractNum>
  <w:abstractNum w:abstractNumId="24">
    <w:nsid w:val="2901D82"/>
    <w:multiLevelType w:val="hybridMultilevel"/>
    <w:lvl w:ilvl="0">
      <w:lvlJc w:val="left"/>
      <w:lvlText w:val="%1."/>
      <w:numFmt w:val="decimal"/>
      <w:start w:val="9"/>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1)"/>
      <w:numFmt w:val="lowerLetter"/>
      <w:start w:val="3"/>
    </w:lvl>
  </w:abstractNum>
  <w:abstractNum w:abstractNumId="27">
    <w:nsid w:val="1E7FF521"/>
    <w:multiLevelType w:val="hybridMultilevel"/>
    <w:lvl w:ilvl="0">
      <w:lvlJc w:val="left"/>
      <w:lvlText w:val="%1."/>
      <w:numFmt w:val="decimal"/>
      <w:start w:val="10"/>
    </w:lvl>
  </w:abstractNum>
  <w:abstractNum w:abstractNumId="28">
    <w:nsid w:val="7C3DBD3D"/>
    <w:multiLevelType w:val="hybridMultilevel"/>
    <w:lvl w:ilvl="0">
      <w:lvlJc w:val="left"/>
      <w:lvlText w:val="%1."/>
      <w:numFmt w:val="decimal"/>
      <w:start w:val="13"/>
    </w:lvl>
  </w:abstractNum>
  <w:abstractNum w:abstractNumId="29">
    <w:nsid w:val="737B8DDC"/>
    <w:multiLevelType w:val="hybridMultilevel"/>
    <w:lvl w:ilvl="0">
      <w:lvlJc w:val="left"/>
      <w:lvlText w:val="(%1)"/>
      <w:numFmt w:val="lowerRoman"/>
      <w:start w:val="1"/>
    </w:lvl>
  </w:abstractNum>
  <w:abstractNum w:abstractNumId="30">
    <w:nsid w:val="6CEAF087"/>
    <w:multiLevelType w:val="hybridMultilevel"/>
    <w:lvl w:ilvl="0">
      <w:lvlJc w:val="left"/>
      <w:lvlText w:val="(%1)"/>
      <w:numFmt w:val="lowerRoman"/>
      <w:start w:val="1"/>
    </w:lvl>
  </w:abstractNum>
  <w:abstractNum w:abstractNumId="31">
    <w:nsid w:val="22221A70"/>
    <w:multiLevelType w:val="hybridMultilevel"/>
    <w:lvl w:ilvl="0">
      <w:lvlJc w:val="left"/>
      <w:lvlText w:val="(%1)"/>
      <w:numFmt w:val="lowerRoman"/>
      <w:start w:val="4"/>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2019-12-12T09:27:19Z</dcterms:created>
  <dcterms:modified xsi:type="dcterms:W3CDTF">2019-12-12T09:27:19Z</dcterms:modified>
</cp:coreProperties>
</file>