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April 20, 2016</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26" w:lineRule="exact"/>
        <w:rPr>
          <w:sz w:val="20"/>
          <w:szCs w:val="20"/>
          <w:color w:val="auto"/>
        </w:rPr>
      </w:pPr>
    </w:p>
    <w:p>
      <w:pPr>
        <w:ind w:right="60"/>
        <w:spacing w:after="0" w:line="254" w:lineRule="auto"/>
        <w:rPr>
          <w:sz w:val="20"/>
          <w:szCs w:val="20"/>
          <w:color w:val="auto"/>
        </w:rPr>
      </w:pPr>
      <w:r>
        <w:rPr>
          <w:rFonts w:ascii="Arial" w:cs="Arial" w:eastAsia="Arial" w:hAnsi="Arial"/>
          <w:sz w:val="22"/>
          <w:szCs w:val="22"/>
          <w:color w:val="auto"/>
        </w:rPr>
        <w:t xml:space="preserve">On April 20, 2016, Federal Realty Investment Trust (the “Trust”) entered into an amendment (the “Third Amendment”) to its Term Loan Agreement dated as of November 22, 2011, as amended by that certain First Amendment to Term Loan Agreement dated as of April 22, 2013 and that certain Second Amendment to Term Loan Agreement dated as of August 28, 2014 (the “Term Loan Agreement”), </w:t>
      </w:r>
      <w:r>
        <w:rPr>
          <w:rFonts w:ascii="Arial" w:cs="Arial" w:eastAsia="Arial" w:hAnsi="Arial"/>
          <w:sz w:val="19"/>
          <w:szCs w:val="19"/>
          <w:color w:val="auto"/>
        </w:rPr>
        <w:t>by and among the Trust, as Borrower, each of the lenders party thereto and PNC Bank, National Association, as Administrative</w:t>
      </w:r>
      <w:r>
        <w:rPr>
          <w:rFonts w:ascii="Arial" w:cs="Arial" w:eastAsia="Arial" w:hAnsi="Arial"/>
          <w:sz w:val="22"/>
          <w:szCs w:val="22"/>
          <w:color w:val="auto"/>
        </w:rPr>
        <w:t xml:space="preserve"> </w:t>
      </w:r>
      <w:r>
        <w:rPr>
          <w:rFonts w:ascii="Arial" w:cs="Arial" w:eastAsia="Arial" w:hAnsi="Arial"/>
          <w:sz w:val="19"/>
          <w:szCs w:val="19"/>
          <w:color w:val="auto"/>
        </w:rPr>
        <w:t>Agent.</w:t>
      </w:r>
      <w:r>
        <w:rPr>
          <w:rFonts w:ascii="Arial" w:cs="Arial" w:eastAsia="Arial" w:hAnsi="Arial"/>
          <w:sz w:val="21"/>
          <w:szCs w:val="21"/>
          <w:color w:val="auto"/>
        </w:rPr>
        <w:t>. The Third Amendment makes certain changes to the Trust's financial maintenance and other covenants as described more</w:t>
      </w:r>
      <w:r>
        <w:rPr>
          <w:rFonts w:ascii="Arial" w:cs="Arial" w:eastAsia="Arial" w:hAnsi="Arial"/>
          <w:sz w:val="19"/>
          <w:szCs w:val="19"/>
          <w:color w:val="auto"/>
        </w:rPr>
        <w:t xml:space="preserve"> </w:t>
      </w:r>
      <w:r>
        <w:rPr>
          <w:rFonts w:ascii="Arial" w:cs="Arial" w:eastAsia="Arial" w:hAnsi="Arial"/>
          <w:sz w:val="21"/>
          <w:szCs w:val="21"/>
          <w:color w:val="auto"/>
        </w:rPr>
        <w:t>fully therein.</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The foregoing does not constitute a complete summary of the terms of the Third Amendment, which is attached hereto as Exhibit 10.1 and incorporated hereunder by reference, or the Term Loan Agreement, which was attached as Exhibit 10.1 to the Trust's Current Report on Form 8-K filed with the Securities and Exchange Commission on November 28, 2011, or the First Amendment to Term Loan Agreement, which was attached as Exhibit 10.40 to the Trust’s Quarterly Report on Form 10-Q filed with the Securities and Exchange Commission on May 1, 2013, or the Second Amendment to Term Loan Agreement, which was attached as Exhibit 10.1 to the Trust’s Current Report on Form 8-K filed with the Securities and Exchange Commission on September 2, 2014. The description contained herein of the terms of the Third Amendment is qualified in its entirety by reference to the Third Amendment.</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Exhibits are included in the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380" w:type="dxa"/>
            <w:vAlign w:val="bottom"/>
          </w:tcPr>
          <w:p>
            <w:pPr>
              <w:spacing w:after="0"/>
              <w:rPr>
                <w:sz w:val="18"/>
                <w:szCs w:val="18"/>
                <w:color w:val="auto"/>
              </w:rPr>
            </w:pPr>
          </w:p>
        </w:tc>
        <w:tc>
          <w:tcPr>
            <w:tcW w:w="8620" w:type="dxa"/>
            <w:vAlign w:val="bottom"/>
            <w:gridSpan w:val="3"/>
          </w:tcPr>
          <w:p>
            <w:pPr>
              <w:ind w:left="3700"/>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546"/>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20" w:type="dxa"/>
            <w:vAlign w:val="bottom"/>
            <w:gridSpan w:val="3"/>
          </w:tcPr>
          <w:p>
            <w:pPr>
              <w:ind w:left="400"/>
              <w:spacing w:after="0"/>
              <w:rPr>
                <w:sz w:val="20"/>
                <w:szCs w:val="20"/>
                <w:color w:val="auto"/>
              </w:rPr>
            </w:pPr>
            <w:r>
              <w:rPr>
                <w:rFonts w:ascii="Arial" w:cs="Arial" w:eastAsia="Arial" w:hAnsi="Arial"/>
                <w:sz w:val="18"/>
                <w:szCs w:val="18"/>
                <w:color w:val="auto"/>
                <w:w w:val="90"/>
              </w:rPr>
              <w:t>Third Amendment to Term Loan Agreement, dated as of April 20, 2016, by and among Federal Realty Investment</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8620" w:type="dxa"/>
            <w:vAlign w:val="bottom"/>
            <w:gridSpan w:val="3"/>
          </w:tcPr>
          <w:p>
            <w:pPr>
              <w:ind w:left="400"/>
              <w:spacing w:after="0"/>
              <w:rPr>
                <w:sz w:val="20"/>
                <w:szCs w:val="20"/>
                <w:color w:val="auto"/>
              </w:rPr>
            </w:pPr>
            <w:r>
              <w:rPr>
                <w:rFonts w:ascii="Arial" w:cs="Arial" w:eastAsia="Arial" w:hAnsi="Arial"/>
                <w:sz w:val="18"/>
                <w:szCs w:val="18"/>
                <w:color w:val="auto"/>
              </w:rPr>
              <w:t>Trust, each of the Lenders party thereto, and PNC Bank, National Association, as Administrative Agent</w:t>
            </w:r>
          </w:p>
        </w:tc>
      </w:tr>
    </w:tbl>
    <w:p>
      <w:pPr>
        <w:sectPr>
          <w:pgSz w:w="11900" w:h="16838" w:orient="portrait"/>
          <w:cols w:equalWidth="0" w:num="1">
            <w:col w:w="11400"/>
          </w:cols>
          <w:pgMar w:left="240" w:top="585" w:right="2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April 26, 2016</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280"/>
          </w:cols>
          <w:pgMar w:left="240" w:top="58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Execution Version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THIRD AMENDMENT TO TERM LOAN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This THIRD AMENDMENT TO TERM LOAN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April 20, 2016, by and among FEDERAL REALTY INVESTMENT TRUST, a real estate investment trust formed under the laws of the State of Maryland (the “</w:t>
      </w:r>
      <w:r>
        <w:rPr>
          <w:rFonts w:ascii="Arial" w:cs="Arial" w:eastAsia="Arial" w:hAnsi="Arial"/>
          <w:sz w:val="18"/>
          <w:szCs w:val="18"/>
          <w:u w:val="single" w:color="auto"/>
          <w:color w:val="auto"/>
        </w:rPr>
        <w:t>Borrower</w:t>
      </w:r>
      <w:r>
        <w:rPr>
          <w:rFonts w:ascii="Arial" w:cs="Arial" w:eastAsia="Arial" w:hAnsi="Arial"/>
          <w:sz w:val="18"/>
          <w:szCs w:val="18"/>
          <w:color w:val="auto"/>
        </w:rPr>
        <w:t>”), each of the Lenders party hereto and PNC BANK, NATIONAL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the Lenders, the Administrative Agent and certain other parties have entered into that certain Term Loan Agreement dated as of November 22, 2011 (as amended and as in effect immediately prior to the effectiveness of this Amendment,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Borrower, the Lenders and the Administrative Agent desire to amend certain provisions of the Credit Agreement on the terms and conditions contained herein.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by the parties hereto, the parties hereto agree as follows: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Specific Amendments to Credit Agreement</w:t>
      </w:r>
      <w:r>
        <w:rPr>
          <w:rFonts w:ascii="Arial" w:cs="Arial" w:eastAsia="Arial" w:hAnsi="Arial"/>
          <w:sz w:val="18"/>
          <w:szCs w:val="18"/>
          <w:color w:val="auto"/>
        </w:rPr>
        <w:t>. Upon the effectiveness of this Amendment, the parties hereto agree that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Credit Agreement shall be amended as follows:</w:t>
      </w:r>
    </w:p>
    <w:p>
      <w:pPr>
        <w:spacing w:after="0" w:line="213" w:lineRule="exact"/>
        <w:rPr>
          <w:sz w:val="20"/>
          <w:szCs w:val="20"/>
          <w:color w:val="auto"/>
        </w:rPr>
      </w:pPr>
    </w:p>
    <w:p>
      <w:pPr>
        <w:jc w:val="both"/>
        <w:ind w:left="660" w:firstLine="645"/>
        <w:spacing w:after="0" w:line="274" w:lineRule="auto"/>
        <w:tabs>
          <w:tab w:leader="none" w:pos="2156"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Credit Agreement is amended by restating the definitions of “Adjusted Total Asset Value”, “Capitalization Rate”, “Defaulting Lender”, “Development Property”, “Eligible Property”, “LIBOR”, “Mandatorily Redeemable Stock”, “Occupancy Rate”, “Post-Default Rate”, “Total Asset Value”, “Unencumbered Adjusted NOI” and “Unencumbered Asset Value” set forth in Section 1.1. in its entirety as follows:</w:t>
      </w:r>
    </w:p>
    <w:p>
      <w:pPr>
        <w:spacing w:after="0" w:line="173" w:lineRule="exact"/>
        <w:rPr>
          <w:sz w:val="20"/>
          <w:szCs w:val="20"/>
          <w:color w:val="auto"/>
        </w:rPr>
      </w:pPr>
    </w:p>
    <w:p>
      <w:pPr>
        <w:jc w:val="both"/>
        <w:ind w:left="66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Adjusted Total Asset Value</w:t>
      </w:r>
      <w:r>
        <w:rPr>
          <w:rFonts w:ascii="Arial" w:cs="Arial" w:eastAsia="Arial" w:hAnsi="Arial"/>
          <w:sz w:val="20"/>
          <w:szCs w:val="20"/>
          <w:color w:val="auto"/>
        </w:rPr>
        <w:t>” means Total Asset Value determined exclusive of assets that are owned by Excluded Subsidiaries and Unconsolidated Affiliates.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Capitalization Rate</w:t>
      </w:r>
      <w:r>
        <w:rPr>
          <w:rFonts w:ascii="Arial" w:cs="Arial" w:eastAsia="Arial" w:hAnsi="Arial"/>
          <w:sz w:val="20"/>
          <w:szCs w:val="20"/>
          <w:color w:val="auto"/>
        </w:rPr>
        <w:t>” means 6.25%.</w:t>
      </w:r>
    </w:p>
    <w:p>
      <w:pPr>
        <w:spacing w:after="0" w:line="216"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subject to Section 3.9.(d), any Lender that (a) has failed to (i) fund all or any portion of its Loan within 2 Business Days of the date such Loan was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 (ii) pay to the Administrative Agent or any other Lender any other amount required to be paid by it hereunder within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in order to be effective</w:t>
      </w:r>
    </w:p>
    <w:p>
      <w:pPr>
        <w:sectPr>
          <w:pgSz w:w="11900" w:h="16838" w:orient="portrait"/>
          <w:cols w:equalWidth="0" w:num="1">
            <w:col w:w="11420"/>
          </w:cols>
          <w:pgMar w:left="240" w:top="798" w:right="2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t>to exclude such Lender from being a “Defaulting Lender” hereunder with respect to such requested funding) cannot be satisfied), or</w:t>
      </w:r>
    </w:p>
    <w:p>
      <w:pPr>
        <w:spacing w:after="0" w:line="39" w:lineRule="exact"/>
        <w:rPr>
          <w:sz w:val="20"/>
          <w:szCs w:val="20"/>
          <w:color w:val="auto"/>
        </w:rPr>
      </w:pPr>
    </w:p>
    <w:p>
      <w:pPr>
        <w:jc w:val="both"/>
        <w:ind w:left="4" w:hanging="4"/>
        <w:spacing w:after="0" w:line="269" w:lineRule="auto"/>
        <w:tabs>
          <w:tab w:leader="none" w:pos="273"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(c) above shall be conclusive and binding absent manifest error, and such Lender shall be deemed to be a Defaulting Lender (subject to Section 3.9.(d)) upon delivery of written notice of such determination to the Borrower and each Lender.</w:t>
      </w:r>
    </w:p>
    <w:p>
      <w:pPr>
        <w:spacing w:after="0" w:line="168" w:lineRule="exact"/>
        <w:rPr>
          <w:sz w:val="20"/>
          <w:szCs w:val="20"/>
          <w:color w:val="auto"/>
        </w:rPr>
      </w:pPr>
    </w:p>
    <w:p>
      <w:pPr>
        <w:jc w:val="both"/>
        <w:ind w:left="4"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Development Property</w:t>
      </w:r>
      <w:r>
        <w:rPr>
          <w:rFonts w:ascii="Arial" w:cs="Arial" w:eastAsia="Arial" w:hAnsi="Arial"/>
          <w:sz w:val="20"/>
          <w:szCs w:val="20"/>
          <w:color w:val="auto"/>
        </w:rPr>
        <w:t>” means a Property that is not yet a Retail Property, an Office Property or a Multifamily Property but is being developed, or will have development commencing within 12 months of any date of determination, to become one. A Development Property will cease to constitute a Development Property upon the earlier to occur of (a) the date that is six months past substantial completion of such Property and (b) achieving an Occupancy Rate of 85.0%.</w:t>
      </w:r>
    </w:p>
    <w:p>
      <w:pPr>
        <w:spacing w:after="0" w:line="184"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Property</w:t>
      </w:r>
      <w:r>
        <w:rPr>
          <w:rFonts w:ascii="Arial" w:cs="Arial" w:eastAsia="Arial" w:hAnsi="Arial"/>
          <w:sz w:val="18"/>
          <w:szCs w:val="18"/>
          <w:color w:val="auto"/>
        </w:rPr>
        <w:t>” means a Property which satisfies all of the following requirements: (a) such Property is a Retail Property, an Office Property or a Multifamily Property; (b) neither such Property, nor any interest of the Borrower, any Subsidiary or any Unconsolidated Affiliate therein (and if such Property is owned by a Subsidiary or Unconsolidated Affiliate, none of the Borrower’s direct or indirect ownership interests in such Subsidiary or Unconsolidated Affiliate) is subject to any (i) Lien other than (x) Permitted Liens (excluding Permitted Liens of the type described in clauses (g) and (h) of the definition thereof) and (y) in the case of a Property leased under a Ground Lease, the interest of the lessor under such Ground Lease (regardless of whether the lessee’s obligations under such Ground Lease constitute Capitalized Lease Obligations) or (ii)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74"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the Interest Period for any LIBOR Loan, the interest rate per annum determined by the Administrative Agent by dividing (the resulting quotient rounded upwards, if necessary, to the nearest 1/100th of 1% per annum) (a) the rate which appears on the Bloomberg Page BBAM1 (or on such other substitute Bloomberg page that displays rates at which US dollar deposits are offered by leading banks in the London interbank deposit market), or the rate which is quoted by another source selected by the Administrative Agent as an authorized information vendor for the purpose of displaying rates at which US dollar deposits are offered by leading banks in the London interbank deposit market (for purposes of this definition, an “</w:t>
      </w:r>
      <w:r>
        <w:rPr>
          <w:rFonts w:ascii="Arial" w:cs="Arial" w:eastAsia="Arial" w:hAnsi="Arial"/>
          <w:sz w:val="18"/>
          <w:szCs w:val="18"/>
          <w:b w:val="1"/>
          <w:bCs w:val="1"/>
          <w:color w:val="auto"/>
        </w:rPr>
        <w:t>Alternate Source</w:t>
      </w:r>
      <w:r>
        <w:rPr>
          <w:rFonts w:ascii="Arial" w:cs="Arial" w:eastAsia="Arial" w:hAnsi="Arial"/>
          <w:sz w:val="18"/>
          <w:szCs w:val="18"/>
          <w:color w:val="auto"/>
        </w:rPr>
        <w:t>”), at approximately 11:00 a.m., London time, two (2) Business Days prior to the commencement of such Interest Period as the London interbank offered rate for Dollars for an amount comparable to such LIBOR Loan and having a borrowing date and a maturity comparable to such Interest Period (or if there shall at any time, for any reason, no longer exist a Bloomberg Page BBAM1 (or any substitute page) or any Alternate Source, a comparable replacement rate determined by the Administrative Agent at such time</w:t>
      </w:r>
    </w:p>
    <w:p>
      <w:pPr>
        <w:sectPr>
          <w:pgSz w:w="11900" w:h="16838" w:orient="portrait"/>
          <w:cols w:equalWidth="0" w:num="1">
            <w:col w:w="10764"/>
          </w:cols>
          <w:pgMar w:left="896" w:top="582" w:right="239" w:bottom="1440" w:gutter="0" w:footer="0" w:header="0"/>
        </w:sectPr>
      </w:pPr>
    </w:p>
    <w:bookmarkStart w:id="5" w:name="page6"/>
    <w:bookmarkEnd w:id="5"/>
    <w:p>
      <w:pPr>
        <w:jc w:val="both"/>
        <w:ind w:left="4"/>
        <w:spacing w:after="0" w:line="263" w:lineRule="auto"/>
        <w:rPr>
          <w:sz w:val="20"/>
          <w:szCs w:val="20"/>
          <w:color w:val="auto"/>
        </w:rPr>
      </w:pPr>
      <w:r>
        <w:rPr>
          <w:rFonts w:ascii="Arial" w:cs="Arial" w:eastAsia="Arial" w:hAnsi="Arial"/>
          <w:sz w:val="19"/>
          <w:szCs w:val="19"/>
          <w:color w:val="auto"/>
        </w:rPr>
        <w:t>(which determination shall be conclusive absent manifest error)), by (b) a number equal to 1.00 minus the LIBOR Reserve Percentage. LIBOR shall be adjusted with respect to any LIBOR Loan that is outstanding on the effective date of any change in the LIBOR Reserve Percentage as of such effective date. The Administrative Agent shall give prompt notice to the Borrower of LIBOR as determined or adjusted in accordance herewith, which determination shall be conclusive absent manifest error.</w:t>
      </w:r>
    </w:p>
    <w:p>
      <w:pPr>
        <w:spacing w:after="0" w:line="171"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Mandatorily Redeemable Stock</w:t>
      </w:r>
      <w:r>
        <w:rPr>
          <w:rFonts w:ascii="Arial" w:cs="Arial" w:eastAsia="Arial" w:hAnsi="Arial"/>
          <w:sz w:val="18"/>
          <w:szCs w:val="18"/>
          <w:color w:val="auto"/>
        </w:rPr>
        <w:t>” means, with respect to a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w:t>
      </w:r>
    </w:p>
    <w:p>
      <w:pPr>
        <w:spacing w:after="0" w:line="2" w:lineRule="exact"/>
        <w:rPr>
          <w:sz w:val="20"/>
          <w:szCs w:val="20"/>
          <w:color w:val="auto"/>
        </w:rPr>
      </w:pPr>
    </w:p>
    <w:p>
      <w:pPr>
        <w:jc w:val="both"/>
        <w:ind w:left="4" w:hanging="4"/>
        <w:spacing w:after="0" w:line="270" w:lineRule="auto"/>
        <w:tabs>
          <w:tab w:leader="none" w:pos="298"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convertible into or exchangeable or exercisable for Indebtedness or Mandatorily Redeemable Stock, or (c) is redeemable at the option of the holder thereof, in whole or in part (other than an Equity Interest which is redeemable solely in exchange for common stock or other equivalent common Equity Interests including “downREIT” units that are convertible to common Equity Interests of the Borrower or cash solely at the option of the Borrower); in each case, on or prior to the Maturity Date. For purposes of this definition, Equity Interests in any of the following Subsidiaries which the Borrower is obligated to acquire pursuant to currently existing agreements (as in effect on the Third Amendment Date) with the holders of such Equity Interest shall not be considered to be Mandatorily Redeemable Stock: Congressional Plaza Associates, LLC; NVI-Avenue, LLC; Shrewsbury Commons LP; Route 35 Shrewsbury LP; Sea Girt LP; 35 West LLC; San Antonio Center II, LLC; and Federal Realty Partners L.P.</w:t>
      </w:r>
    </w:p>
    <w:p>
      <w:pPr>
        <w:spacing w:after="0" w:line="168" w:lineRule="exact"/>
        <w:rPr>
          <w:sz w:val="20"/>
          <w:szCs w:val="20"/>
          <w:color w:val="auto"/>
        </w:rPr>
      </w:pPr>
    </w:p>
    <w:p>
      <w:pPr>
        <w:jc w:val="both"/>
        <w:ind w:left="4"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Occupancy Rate</w:t>
      </w:r>
      <w:r>
        <w:rPr>
          <w:rFonts w:ascii="Arial" w:cs="Arial" w:eastAsia="Arial" w:hAnsi="Arial"/>
          <w:sz w:val="20"/>
          <w:szCs w:val="20"/>
          <w:color w:val="auto"/>
        </w:rPr>
        <w:t xml:space="preserve">” means, with respect to a Property at any time, the ratio, expressed as a percentage, of (a) the net rentable square footage of such Property for which the Borrower, a Subsidiary or, to the extent applicable, an Unconsolidated Affiliate, is collecting rent to (b) the total square footage of such Property available for lease; </w:t>
      </w:r>
      <w:r>
        <w:rPr>
          <w:rFonts w:ascii="Arial" w:cs="Arial" w:eastAsia="Arial" w:hAnsi="Arial"/>
          <w:sz w:val="20"/>
          <w:szCs w:val="20"/>
          <w:i w:val="1"/>
          <w:iCs w:val="1"/>
          <w:color w:val="auto"/>
        </w:rPr>
        <w:t>provided</w:t>
      </w:r>
      <w:r>
        <w:rPr>
          <w:rFonts w:ascii="Arial" w:cs="Arial" w:eastAsia="Arial" w:hAnsi="Arial"/>
          <w:sz w:val="20"/>
          <w:szCs w:val="20"/>
          <w:color w:val="auto"/>
        </w:rPr>
        <w:t>, that, in the case of a Multifamily Property, “Occupancy Rate” means the ratio, expressed as a percentage, of (a) the net rentable units of such Multifamily Property for which the Borrower, a Subsidiary or, to the extent applicable, an Unconsolidated Affiliate is collecting rent to (b) the total units of such Multifamily Property available for lease.</w:t>
      </w:r>
    </w:p>
    <w:p>
      <w:pPr>
        <w:spacing w:after="0" w:line="185"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Post-Default Rate</w:t>
      </w:r>
      <w:r>
        <w:rPr>
          <w:rFonts w:ascii="Arial" w:cs="Arial" w:eastAsia="Arial" w:hAnsi="Arial"/>
          <w:sz w:val="20"/>
          <w:szCs w:val="20"/>
          <w:color w:val="auto"/>
        </w:rPr>
        <w:t xml:space="preserve">” means, in respect of any principal of any Loan, the rate otherwise applicable plus an additional four percent (4.0%) per annum and with respect to any other Obligation, a rate per annum equal to the Base Rate as in effect from time to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for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four percent (4.0%).</w:t>
      </w:r>
    </w:p>
    <w:p>
      <w:pPr>
        <w:spacing w:after="0" w:line="178"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Asset Value</w:t>
      </w:r>
      <w:r>
        <w:rPr>
          <w:rFonts w:ascii="Arial" w:cs="Arial" w:eastAsia="Arial" w:hAnsi="Arial"/>
          <w:sz w:val="18"/>
          <w:szCs w:val="18"/>
          <w:color w:val="auto"/>
        </w:rPr>
        <w:t xml:space="preserve">” means the sum of all of the following of the Borrower and its Subsidiaries on a consolidated basis determined in accordance with GAAP applied on a consistent basis: (a) cash and cash equivalents,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with respect to each Stabilized Property owned by the Borrower or any Subsidiary, (i) EBITDA attributable to such Property for the fiscal quarter most recently ended (adjusted for acquisitions and dispositions) times (ii) 4, divided by (iii) the Capitalization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GAAP book value of Properties acquired during the most recent quarter,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Construction-in-Process,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the GAAP book value of accounts receivables from tenants (limited to rent, common area maintenance fees, taxes, insurance and other reimbursable expenses collected in the normal course of business net of bad debt expense and adjusted to exclude the impact of straight lining),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the GAAP book value of Unimproved Land, Mortgage Receivables and other promissory notes. The annualized EBITDA from each Stabilized Property cannot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 In addition, to the extent (A) the amount of Total Asset Value attributable to Investments in Unconsolidated Affiliates and other Persons that are not Subsidiaries and Investments in Subsidiaries that own Non-Controlled Properties would exceed 20.0% of Total Asset Value, such excess shall be</w:t>
      </w:r>
    </w:p>
    <w:p>
      <w:pPr>
        <w:sectPr>
          <w:pgSz w:w="11900" w:h="16838" w:orient="portrait"/>
          <w:cols w:equalWidth="0" w:num="1">
            <w:col w:w="10764"/>
          </w:cols>
          <w:pgMar w:left="896" w:top="582" w:right="23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9"/>
          <w:szCs w:val="19"/>
          <w:color w:val="auto"/>
        </w:rPr>
        <w:t>excluded from Total Asset Value, (B) the amount of Total Asset Value attributable to Mortgage Receivables would exceed 5.0% of Total Asset Value, such excess shall be excluded from Total Asset Value, (C) the amount of Total Asset Value attributable to Construction-in-Process would exceed 15.0% of Total Asset Value, such excess shall be excluded from Total Asset Value, (D) the amount of Total Asset Value attributable to Unimproved Land (calculated on the basis of acquisition cost) would exceed 5.0% of Total Asset Value, such excess shall be excluded from Total Asset Value, (E) the amount of Total Asset Value attributable to Investments in Persons (other than Investments in Subsidiaries and Unconsolidated Affiliates) would exceed 5.0% of Total Asset Value, such excess shall be excluded from Total Asset Value and (F) the amount of Total Asset Value attributable to assets of the types referred to in the immediately preceding clauses (B) through (E) would exceed 20.0% of Total Asset Value in the aggregate, such excess shall be excluded from Total Asset Value.</w:t>
      </w:r>
    </w:p>
    <w:p>
      <w:pPr>
        <w:spacing w:after="0" w:line="17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Unencumbered Adjusted NOI</w:t>
      </w:r>
      <w:r>
        <w:rPr>
          <w:rFonts w:ascii="Arial" w:cs="Arial" w:eastAsia="Arial" w:hAnsi="Arial"/>
          <w:sz w:val="18"/>
          <w:szCs w:val="18"/>
          <w:color w:val="auto"/>
        </w:rPr>
        <w:t>” means the aggregate Net Operating Income from each (i) Wholly Owned Property; (ii) Controlled Property; and (iii) Non-Controlled Property (limited as set forth below) all of which are Stabilized Properties and have been owned for the entire period and as adjusted for any non-recurring items during the reporting period. The Unencumbered Adjusted NOI for each Property cannot be less than zero. For purposes of this definition, Net Operating Income from Non Controlled Properties is limited to the following properties: Congressional Plaza, Congressional Plaza Apartments and Escondido Promenade.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Unencumbered Asset Value</w:t>
      </w:r>
      <w:r>
        <w:rPr>
          <w:rFonts w:ascii="Arial" w:cs="Arial" w:eastAsia="Arial" w:hAnsi="Arial"/>
          <w:sz w:val="19"/>
          <w:szCs w:val="19"/>
          <w:color w:val="auto"/>
        </w:rPr>
        <w:t>” means (a) the annualized most recent reporting period Unencumbered Adjusted NOI divided by the Capitalization Rate, plus (b) the GAAP book value of all assets acquired during the most recent quarter which assets are not subject to any Liens other than Permitted Liens (excluding Permitted Liens of the type described in clauses (g) and (h) of the definition thereof) or subject to any Negative Pledge, plus (c) the GAAP book value of Development Properties that satisfy the requirements of clauses (b) through (d) of the definition of the term “Eligible Property”. For purposes of this definition, to the extent that more than 20% of Unencumbered Asset Value would be attributable to Controlled Properties, Non-Controlled Properties and Development Properties such excess shall be excluded.</w:t>
      </w:r>
    </w:p>
    <w:p>
      <w:pPr>
        <w:spacing w:after="0" w:line="192" w:lineRule="exact"/>
        <w:rPr>
          <w:sz w:val="20"/>
          <w:szCs w:val="20"/>
          <w:color w:val="auto"/>
        </w:rPr>
      </w:pPr>
    </w:p>
    <w:p>
      <w:pPr>
        <w:jc w:val="both"/>
        <w:ind w:firstLine="645"/>
        <w:spacing w:after="0" w:line="293" w:lineRule="auto"/>
        <w:tabs>
          <w:tab w:leader="none" w:pos="1506" w:val="left"/>
        </w:tabs>
        <w:numPr>
          <w:ilvl w:val="0"/>
          <w:numId w:val="5"/>
        </w:numPr>
        <w:rPr>
          <w:rFonts w:ascii="Arial" w:cs="Arial" w:eastAsia="Arial" w:hAnsi="Arial"/>
          <w:sz w:val="17"/>
          <w:szCs w:val="17"/>
          <w:color w:val="auto"/>
        </w:rPr>
      </w:pPr>
      <w:r>
        <w:rPr>
          <w:rFonts w:ascii="Arial" w:cs="Arial" w:eastAsia="Arial" w:hAnsi="Arial"/>
          <w:sz w:val="19"/>
          <w:szCs w:val="19"/>
          <w:color w:val="auto"/>
        </w:rPr>
        <w:t>The Credit Agreement is further amended by adding the following definitions of “Anti-Corruption Laws”, “Bail-In Action”, “Bail-In Legislation”, “EEA Financial Institution”, “EEA Member Country”, “EEA Resolution Authority”, “EU Bail-In Legislation Schedule”, “Material Acquisition”, “Sanctioned Country”, “Sanctioned Person”, “Sanctions”, “Third Amendment Date” and “Write Down and Conversion Powers”, to Section 1.1. thereof in the appropriate alphabetical location:</w:t>
      </w:r>
    </w:p>
    <w:p>
      <w:pPr>
        <w:spacing w:after="0" w:line="15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Anti-Corruption Laws</w:t>
      </w:r>
      <w:r>
        <w:rPr>
          <w:rFonts w:ascii="Arial" w:cs="Arial" w:eastAsia="Arial" w:hAnsi="Arial"/>
          <w:sz w:val="20"/>
          <w:szCs w:val="20"/>
          <w:color w:val="auto"/>
        </w:rPr>
        <w:t>” means all Applicable Laws of any jurisdiction concerning or relating to bribery, corruption or money laundering, including without limitation, the Foreign Corrupt Practices Act of 1977, as amended.</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EEA Financial Institution</w:t>
      </w:r>
      <w:r>
        <w:rPr>
          <w:rFonts w:ascii="Arial" w:cs="Arial" w:eastAsia="Arial" w:hAnsi="Arial"/>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ectPr>
          <w:pgSz w:w="11900" w:h="16838" w:orient="portrait"/>
          <w:cols w:equalWidth="0" w:num="1">
            <w:col w:w="10760"/>
          </w:cols>
          <w:pgMar w:left="900" w:top="582" w:right="239" w:bottom="1440" w:gutter="0" w:footer="0" w:header="0"/>
        </w:sectPr>
      </w:pPr>
    </w:p>
    <w:bookmarkStart w:id="7" w:name="page8"/>
    <w:bookmarkEnd w:id="7"/>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Acquisition</w:t>
      </w:r>
      <w:r>
        <w:rPr>
          <w:rFonts w:ascii="Arial" w:cs="Arial" w:eastAsia="Arial" w:hAnsi="Arial"/>
          <w:sz w:val="19"/>
          <w:szCs w:val="19"/>
          <w:color w:val="auto"/>
        </w:rPr>
        <w:t>” means any acquisition by the Borrower or any Subsidiary in which the GAAP book value of the assets acquired exceed 10.0% of the consolidated total assets of the Borrower and its Subsidiaries determined under GAAP as of the last day of the most recently ending fiscal quarter of the Borrower for which financial statements are publicly available.</w:t>
      </w:r>
    </w:p>
    <w:p>
      <w:pPr>
        <w:spacing w:after="0" w:line="15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Sanctioned Country</w:t>
      </w:r>
      <w:r>
        <w:rPr>
          <w:rFonts w:ascii="Arial" w:cs="Arial" w:eastAsia="Arial" w:hAnsi="Arial"/>
          <w:sz w:val="20"/>
          <w:szCs w:val="20"/>
          <w:color w:val="auto"/>
        </w:rPr>
        <w:t>” means, at any time, a country or territory which is, or whose government is, the subject or target of any Sanctions.</w:t>
      </w:r>
    </w:p>
    <w:p>
      <w:pPr>
        <w:spacing w:after="0" w:line="16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at any time, (a) any Person listed in any Sanctions-related list of designated Persons maintained by any Governmental Authority of the United States of America, including without limitation, OFAC or the U.S. Department of State, or by the United Nations Security Council, the European Union or any other Governmental Authority, (b) any Person located, operating, organized or resident in a Sanctioned Country, (c) an agency, political subdivision or instrumentality of the government of a Sanctioned County or (d) any Person Controlled by any Person or agency described in any of the preceding clauses (a) through (c).</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Sanctions</w:t>
      </w:r>
      <w:r>
        <w:rPr>
          <w:rFonts w:ascii="Arial" w:cs="Arial" w:eastAsia="Arial" w:hAnsi="Arial"/>
          <w:sz w:val="20"/>
          <w:szCs w:val="20"/>
          <w:color w:val="auto"/>
        </w:rPr>
        <w:t>” means any sanctions or trade embargoes imposed, administered or enforced by any Governmental Authority of the United States of America, including without limitation, OFAC or the U.S. Department of State, or by the United Nations Security Council, the European Union or any other Governmental Authority.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Amendment Date</w:t>
      </w:r>
      <w:r>
        <w:rPr>
          <w:rFonts w:ascii="Arial" w:cs="Arial" w:eastAsia="Arial" w:hAnsi="Arial"/>
          <w:sz w:val="20"/>
          <w:szCs w:val="20"/>
          <w:color w:val="auto"/>
        </w:rPr>
        <w:t>” means April 20, 2016.</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97" w:lineRule="exact"/>
        <w:rPr>
          <w:sz w:val="20"/>
          <w:szCs w:val="20"/>
          <w:color w:val="auto"/>
        </w:rPr>
      </w:pPr>
    </w:p>
    <w:p>
      <w:pPr>
        <w:ind w:right="20" w:firstLine="645"/>
        <w:spacing w:after="0" w:line="289" w:lineRule="auto"/>
        <w:tabs>
          <w:tab w:leader="none" w:pos="1496" w:val="left"/>
        </w:tabs>
        <w:numPr>
          <w:ilvl w:val="0"/>
          <w:numId w:val="6"/>
        </w:numPr>
        <w:rPr>
          <w:rFonts w:ascii="Arial" w:cs="Arial" w:eastAsia="Arial" w:hAnsi="Arial"/>
          <w:sz w:val="18"/>
          <w:szCs w:val="18"/>
          <w:color w:val="auto"/>
        </w:rPr>
      </w:pPr>
      <w:r>
        <w:rPr>
          <w:rFonts w:ascii="Arial" w:cs="Arial" w:eastAsia="Arial" w:hAnsi="Arial"/>
          <w:sz w:val="20"/>
          <w:szCs w:val="20"/>
          <w:color w:val="auto"/>
        </w:rPr>
        <w:t>The Credit Agreement is further amended by deleting the following definitions of “Specified Non-Wholly Owned Subsidiaries”, “Tangible Net Worth” and “Total Budgeted Cost”.</w:t>
      </w:r>
    </w:p>
    <w:p>
      <w:pPr>
        <w:spacing w:after="0" w:line="175" w:lineRule="exact"/>
        <w:rPr>
          <w:rFonts w:ascii="Arial" w:cs="Arial" w:eastAsia="Arial" w:hAnsi="Arial"/>
          <w:sz w:val="18"/>
          <w:szCs w:val="18"/>
          <w:color w:val="auto"/>
        </w:rPr>
      </w:pPr>
    </w:p>
    <w:p>
      <w:pPr>
        <w:ind w:firstLine="645"/>
        <w:spacing w:after="0" w:line="289" w:lineRule="auto"/>
        <w:tabs>
          <w:tab w:leader="none" w:pos="1506" w:val="left"/>
        </w:tabs>
        <w:numPr>
          <w:ilvl w:val="0"/>
          <w:numId w:val="6"/>
        </w:numPr>
        <w:rPr>
          <w:rFonts w:ascii="Arial" w:cs="Arial" w:eastAsia="Arial" w:hAnsi="Arial"/>
          <w:sz w:val="18"/>
          <w:szCs w:val="18"/>
          <w:color w:val="auto"/>
        </w:rPr>
      </w:pPr>
      <w:r>
        <w:rPr>
          <w:rFonts w:ascii="Arial" w:cs="Arial" w:eastAsia="Arial" w:hAnsi="Arial"/>
          <w:sz w:val="20"/>
          <w:szCs w:val="20"/>
          <w:color w:val="auto"/>
        </w:rPr>
        <w:t>The Credit Agreement is further amended by deleting the third sentence of Section 1.2. thereof and restating the second sentence of Section 1.2. thereof in its entirety as follows:</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Notwithstanding the preceding sentence, (i)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(ii) for purposes of calculating the covenants contained in Section 9.1., any obligations of a Person under a lease (whether existing on the Effective Date or entered into thereafter) that is not (or would not be) required to be classified or accounted for as a Capitalized Lease Obligation on a balance sheet of such Person prepared in accordance with GAAP as in effect on the Effective Date shall not be treated as a Capitalized Lease Obligation pursuant</w:t>
      </w:r>
    </w:p>
    <w:p>
      <w:pPr>
        <w:sectPr>
          <w:pgSz w:w="11900" w:h="16838" w:orient="portrait"/>
          <w:cols w:equalWidth="0" w:num="1">
            <w:col w:w="10760"/>
          </w:cols>
          <w:pgMar w:left="900" w:top="792" w:right="2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t>to the Loan Documents solely as a result of changes in the application of, or the adoption of changes in, GAAP after the Effective Date.</w:t>
      </w:r>
    </w:p>
    <w:p>
      <w:pPr>
        <w:spacing w:after="0" w:line="252" w:lineRule="exact"/>
        <w:rPr>
          <w:sz w:val="20"/>
          <w:szCs w:val="20"/>
          <w:color w:val="auto"/>
        </w:rPr>
      </w:pPr>
    </w:p>
    <w:p>
      <w:pPr>
        <w:ind w:left="1504" w:hanging="855"/>
        <w:spacing w:after="0"/>
        <w:tabs>
          <w:tab w:leader="none" w:pos="1504" w:val="left"/>
        </w:tabs>
        <w:numPr>
          <w:ilvl w:val="1"/>
          <w:numId w:val="7"/>
        </w:numPr>
        <w:rPr>
          <w:rFonts w:ascii="Arial" w:cs="Arial" w:eastAsia="Arial" w:hAnsi="Arial"/>
          <w:sz w:val="16"/>
          <w:szCs w:val="16"/>
          <w:color w:val="auto"/>
        </w:rPr>
      </w:pPr>
      <w:r>
        <w:rPr>
          <w:rFonts w:ascii="Arial" w:cs="Arial" w:eastAsia="Arial" w:hAnsi="Arial"/>
          <w:sz w:val="18"/>
          <w:szCs w:val="18"/>
          <w:color w:val="auto"/>
        </w:rPr>
        <w:t>The Credit Agreement is further amended by adding the following Section 3.10.(e) immediately after Section 3.10.</w:t>
      </w:r>
    </w:p>
    <w:p>
      <w:pPr>
        <w:spacing w:after="0" w:line="49" w:lineRule="exact"/>
        <w:rPr>
          <w:rFonts w:ascii="Arial" w:cs="Arial" w:eastAsia="Arial" w:hAnsi="Arial"/>
          <w:sz w:val="16"/>
          <w:szCs w:val="16"/>
          <w:color w:val="auto"/>
        </w:rPr>
      </w:pPr>
    </w:p>
    <w:p>
      <w:pPr>
        <w:ind w:left="284" w:hanging="284"/>
        <w:spacing w:after="0"/>
        <w:tabs>
          <w:tab w:leader="none" w:pos="284"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thereof:</w:t>
      </w:r>
    </w:p>
    <w:p>
      <w:pPr>
        <w:spacing w:after="0" w:line="229" w:lineRule="exact"/>
        <w:rPr>
          <w:rFonts w:ascii="Arial" w:cs="Arial" w:eastAsia="Arial" w:hAnsi="Arial"/>
          <w:sz w:val="20"/>
          <w:szCs w:val="20"/>
          <w:color w:val="auto"/>
        </w:rPr>
      </w:pPr>
    </w:p>
    <w:p>
      <w:pPr>
        <w:jc w:val="both"/>
        <w:ind w:left="644" w:firstLine="653"/>
        <w:spacing w:after="0" w:line="246" w:lineRule="auto"/>
        <w:tabs>
          <w:tab w:leader="none" w:pos="1759" w:val="left"/>
        </w:tabs>
        <w:numPr>
          <w:ilvl w:val="2"/>
          <w:numId w:val="8"/>
        </w:numPr>
        <w:rPr>
          <w:rFonts w:ascii="Arial" w:cs="Arial" w:eastAsia="Arial" w:hAnsi="Arial"/>
          <w:sz w:val="20"/>
          <w:szCs w:val="20"/>
          <w:color w:val="auto"/>
        </w:rPr>
      </w:pPr>
      <w:r>
        <w:rPr>
          <w:rFonts w:ascii="Arial" w:cs="Arial" w:eastAsia="Arial" w:hAnsi="Arial"/>
          <w:sz w:val="20"/>
          <w:szCs w:val="20"/>
          <w:u w:val="single" w:color="auto"/>
          <w:color w:val="auto"/>
        </w:rPr>
        <w:t>FATCA Determination</w:t>
      </w:r>
      <w:r>
        <w:rPr>
          <w:rFonts w:ascii="Arial" w:cs="Arial" w:eastAsia="Arial" w:hAnsi="Arial"/>
          <w:sz w:val="20"/>
          <w:szCs w:val="20"/>
          <w:color w:val="auto"/>
        </w:rPr>
        <w:t>. For purposes of determining withholding Taxes imposed under FATCA, from and after the Third Amendment Date, the Borrower and the Administrative Agent shall treat (and the Lenders hereby authorize the Administrative Agent to treat) the Agreement as not qualifying as a “grandfathered obligation” within the meaning of Treasury Regulation Section 1.1471-2(b)(2)(i).</w:t>
      </w:r>
    </w:p>
    <w:p>
      <w:pPr>
        <w:spacing w:after="0" w:line="205" w:lineRule="exact"/>
        <w:rPr>
          <w:rFonts w:ascii="Arial" w:cs="Arial" w:eastAsia="Arial" w:hAnsi="Arial"/>
          <w:sz w:val="20"/>
          <w:szCs w:val="20"/>
          <w:color w:val="auto"/>
        </w:rPr>
      </w:pPr>
    </w:p>
    <w:p>
      <w:pPr>
        <w:ind w:left="1484" w:hanging="835"/>
        <w:spacing w:after="0"/>
        <w:tabs>
          <w:tab w:leader="none" w:pos="1484" w:val="left"/>
        </w:tabs>
        <w:numPr>
          <w:ilvl w:val="1"/>
          <w:numId w:val="8"/>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the first sentence of Section 4.6. thereof in its entirety to read</w:t>
      </w:r>
    </w:p>
    <w:p>
      <w:pPr>
        <w:spacing w:after="0" w:line="49"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20"/>
          <w:szCs w:val="20"/>
          <w:color w:val="auto"/>
        </w:rPr>
        <w:t>as follows: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(a) a Lender requests compensation pursuant to Section 3.10. or 4.1., and the Requisite Lenders are not also doing the same, or</w:t>
      </w:r>
    </w:p>
    <w:p>
      <w:pPr>
        <w:spacing w:after="0" w:line="39" w:lineRule="exact"/>
        <w:rPr>
          <w:sz w:val="20"/>
          <w:szCs w:val="20"/>
          <w:color w:val="auto"/>
        </w:rPr>
      </w:pPr>
    </w:p>
    <w:p>
      <w:pPr>
        <w:jc w:val="both"/>
        <w:ind w:left="4" w:hanging="4"/>
        <w:spacing w:after="0" w:line="270" w:lineRule="auto"/>
        <w:tabs>
          <w:tab w:leader="none" w:pos="31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obligation of any Lender to Continue, or to Convert Base Rate Loans into, LIBOR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favor of such amendment, modification or waiver or (d) a Lender becomes a Defaulting Lender, then, so long as there does not then exist any Event of Default, the Borrower may demand that such Lender (the “</w:t>
      </w:r>
      <w:r>
        <w:rPr>
          <w:rFonts w:ascii="Arial" w:cs="Arial" w:eastAsia="Arial" w:hAnsi="Arial"/>
          <w:sz w:val="18"/>
          <w:szCs w:val="18"/>
          <w:b w:val="1"/>
          <w:bCs w:val="1"/>
          <w:color w:val="auto"/>
        </w:rPr>
        <w:t>Affected Lender</w:t>
      </w:r>
      <w:r>
        <w:rPr>
          <w:rFonts w:ascii="Arial" w:cs="Arial" w:eastAsia="Arial" w:hAnsi="Arial"/>
          <w:sz w:val="18"/>
          <w:szCs w:val="18"/>
          <w:color w:val="auto"/>
        </w:rPr>
        <w:t>”), and upon such demand the Affected Lender shall promptly, assign its Loan to an Eligible Assignee subject to and in accordance with the provisions of Section 12.6.(b) for a purchase price equal to (x) the principal balance of the Loan then owing to the Affected Lender, plus (y) any accrued but unpaid interest thereon and accrued but unpaid fees owing to the Affected Lender, or any other amount as may be mutually agreed upon by such Affected Lender and Eligible Assignee.</w:t>
      </w:r>
    </w:p>
    <w:p>
      <w:pPr>
        <w:spacing w:after="0" w:line="184" w:lineRule="exact"/>
        <w:rPr>
          <w:rFonts w:ascii="Arial" w:cs="Arial" w:eastAsia="Arial" w:hAnsi="Arial"/>
          <w:sz w:val="18"/>
          <w:szCs w:val="18"/>
          <w:color w:val="auto"/>
        </w:rPr>
      </w:pPr>
    </w:p>
    <w:p>
      <w:pPr>
        <w:ind w:left="1504" w:hanging="855"/>
        <w:spacing w:after="0"/>
        <w:tabs>
          <w:tab w:leader="none" w:pos="1504" w:val="left"/>
        </w:tabs>
        <w:numPr>
          <w:ilvl w:val="1"/>
          <w:numId w:val="9"/>
        </w:numPr>
        <w:rPr>
          <w:rFonts w:ascii="Arial" w:cs="Arial" w:eastAsia="Arial" w:hAnsi="Arial"/>
          <w:sz w:val="17"/>
          <w:szCs w:val="17"/>
          <w:color w:val="auto"/>
        </w:rPr>
      </w:pPr>
      <w:r>
        <w:rPr>
          <w:rFonts w:ascii="Arial" w:cs="Arial" w:eastAsia="Arial" w:hAnsi="Arial"/>
          <w:sz w:val="19"/>
          <w:szCs w:val="19"/>
          <w:color w:val="auto"/>
        </w:rPr>
        <w:t>The Credit Agreement is further amended by deleting the last sentence of Section 7.8. thereof in its entirety.</w:t>
      </w:r>
    </w:p>
    <w:p>
      <w:pPr>
        <w:spacing w:after="0" w:line="254" w:lineRule="exact"/>
        <w:rPr>
          <w:rFonts w:ascii="Arial" w:cs="Arial" w:eastAsia="Arial" w:hAnsi="Arial"/>
          <w:sz w:val="17"/>
          <w:szCs w:val="17"/>
          <w:color w:val="auto"/>
        </w:rPr>
      </w:pPr>
    </w:p>
    <w:p>
      <w:pPr>
        <w:ind w:left="1504" w:hanging="855"/>
        <w:spacing w:after="0"/>
        <w:tabs>
          <w:tab w:leader="none" w:pos="1504" w:val="left"/>
        </w:tabs>
        <w:numPr>
          <w:ilvl w:val="1"/>
          <w:numId w:val="9"/>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8.4.(j) thereof in its entirety as follows:</w:t>
      </w:r>
    </w:p>
    <w:p>
      <w:pPr>
        <w:spacing w:after="0" w:line="229" w:lineRule="exact"/>
        <w:rPr>
          <w:rFonts w:ascii="Arial" w:cs="Arial" w:eastAsia="Arial" w:hAnsi="Arial"/>
          <w:sz w:val="18"/>
          <w:szCs w:val="18"/>
          <w:color w:val="auto"/>
        </w:rPr>
      </w:pPr>
    </w:p>
    <w:p>
      <w:pPr>
        <w:ind w:left="644" w:right="20" w:firstLine="653"/>
        <w:spacing w:after="0" w:line="287" w:lineRule="auto"/>
        <w:tabs>
          <w:tab w:leader="none" w:pos="1699" w:val="left"/>
        </w:tabs>
        <w:numPr>
          <w:ilvl w:val="2"/>
          <w:numId w:val="9"/>
        </w:numPr>
        <w:rPr>
          <w:rFonts w:ascii="Arial" w:cs="Arial" w:eastAsia="Arial" w:hAnsi="Arial"/>
          <w:sz w:val="19"/>
          <w:szCs w:val="19"/>
          <w:color w:val="auto"/>
        </w:rPr>
      </w:pPr>
      <w:r>
        <w:rPr>
          <w:rFonts w:ascii="Arial" w:cs="Arial" w:eastAsia="Arial" w:hAnsi="Arial"/>
          <w:sz w:val="19"/>
          <w:szCs w:val="19"/>
          <w:color w:val="auto"/>
        </w:rPr>
        <w:t>Prompt notice of any order, judgment or decree not covered by insurance in excess of $10,000,000 having been entered against any Loan Party or any other Subsidiary or any of their respective properties or assets;</w:t>
      </w:r>
    </w:p>
    <w:p>
      <w:pPr>
        <w:spacing w:after="0" w:line="166" w:lineRule="exact"/>
        <w:rPr>
          <w:rFonts w:ascii="Arial" w:cs="Arial" w:eastAsia="Arial" w:hAnsi="Arial"/>
          <w:sz w:val="19"/>
          <w:szCs w:val="19"/>
          <w:color w:val="auto"/>
        </w:rPr>
      </w:pPr>
    </w:p>
    <w:p>
      <w:pPr>
        <w:ind w:left="1464" w:hanging="815"/>
        <w:spacing w:after="0"/>
        <w:tabs>
          <w:tab w:leader="none" w:pos="1464" w:val="left"/>
        </w:tabs>
        <w:numPr>
          <w:ilvl w:val="1"/>
          <w:numId w:val="9"/>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9.1.(a) thereof in its entirety as follows:</w:t>
      </w:r>
    </w:p>
    <w:p>
      <w:pPr>
        <w:spacing w:after="0" w:line="229" w:lineRule="exact"/>
        <w:rPr>
          <w:sz w:val="20"/>
          <w:szCs w:val="20"/>
          <w:color w:val="auto"/>
        </w:rPr>
      </w:pPr>
    </w:p>
    <w:p>
      <w:pPr>
        <w:ind w:left="644"/>
        <w:spacing w:after="0"/>
        <w:tabs>
          <w:tab w:leader="none" w:pos="1023"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9"/>
          <w:szCs w:val="19"/>
          <w:color w:val="auto"/>
        </w:rPr>
        <w:t>[Intentionally Omitted].</w:t>
      </w:r>
    </w:p>
    <w:p>
      <w:pPr>
        <w:spacing w:after="0" w:line="229" w:lineRule="exact"/>
        <w:rPr>
          <w:sz w:val="20"/>
          <w:szCs w:val="20"/>
          <w:color w:val="auto"/>
        </w:rPr>
      </w:pPr>
    </w:p>
    <w:p>
      <w:pPr>
        <w:ind w:left="1464" w:hanging="815"/>
        <w:spacing w:after="0"/>
        <w:tabs>
          <w:tab w:leader="none" w:pos="1464" w:val="left"/>
        </w:tabs>
        <w:numPr>
          <w:ilvl w:val="0"/>
          <w:numId w:val="10"/>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9.1.(b) thereof in its entirety as follows:</w:t>
      </w:r>
    </w:p>
    <w:p>
      <w:pPr>
        <w:spacing w:after="0" w:line="229" w:lineRule="exact"/>
        <w:rPr>
          <w:rFonts w:ascii="Arial" w:cs="Arial" w:eastAsia="Arial" w:hAnsi="Arial"/>
          <w:sz w:val="18"/>
          <w:szCs w:val="18"/>
          <w:color w:val="auto"/>
        </w:rPr>
      </w:pPr>
    </w:p>
    <w:p>
      <w:pPr>
        <w:jc w:val="both"/>
        <w:ind w:left="644" w:firstLine="653"/>
        <w:spacing w:after="0" w:line="244" w:lineRule="auto"/>
        <w:tabs>
          <w:tab w:leader="none" w:pos="1757" w:val="left"/>
        </w:tabs>
        <w:numPr>
          <w:ilvl w:val="1"/>
          <w:numId w:val="10"/>
        </w:numPr>
        <w:rPr>
          <w:rFonts w:ascii="Arial" w:cs="Arial" w:eastAsia="Arial" w:hAnsi="Arial"/>
          <w:sz w:val="20"/>
          <w:szCs w:val="20"/>
          <w:color w:val="auto"/>
        </w:rPr>
      </w:pPr>
      <w:r>
        <w:rPr>
          <w:rFonts w:ascii="Arial" w:cs="Arial" w:eastAsia="Arial" w:hAnsi="Arial"/>
          <w:sz w:val="20"/>
          <w:szCs w:val="20"/>
          <w:u w:val="single" w:color="auto"/>
          <w:color w:val="auto"/>
        </w:rPr>
        <w:t>Maximum Leverage Ratio</w:t>
      </w:r>
      <w:r>
        <w:rPr>
          <w:rFonts w:ascii="Arial" w:cs="Arial" w:eastAsia="Arial" w:hAnsi="Arial"/>
          <w:sz w:val="20"/>
          <w:szCs w:val="20"/>
          <w:color w:val="auto"/>
        </w:rPr>
        <w:t xml:space="preserve">. The Borrower shall not permit the ratio of (i) Total Indebtedness to (ii) Total Asset Value to exceed 0.60 to 1.00 at any time; </w:t>
      </w:r>
      <w:r>
        <w:rPr>
          <w:rFonts w:ascii="Arial" w:cs="Arial" w:eastAsia="Arial" w:hAnsi="Arial"/>
          <w:sz w:val="20"/>
          <w:szCs w:val="20"/>
          <w:u w:val="single" w:color="auto"/>
          <w:color w:val="auto"/>
        </w:rPr>
        <w:t>provided, however</w:t>
      </w:r>
      <w:r>
        <w:rPr>
          <w:rFonts w:ascii="Arial" w:cs="Arial" w:eastAsia="Arial" w:hAnsi="Arial"/>
          <w:sz w:val="20"/>
          <w:szCs w:val="20"/>
          <w:color w:val="auto"/>
        </w:rPr>
        <w:t>, that if such ratio is greater than 0.60 to 1.00 but is not greater than 0.65 to 1.00, then the Borrower shall be deemed to be in compliance with this Section 9.1.(b) so long as (a) the Borrower completed a Material Acquisition which resulted in such ratio (after giving effect to such Material Acquisition) exceeding 0.60 to 1.00 at any time during the fiscal quarter in</w:t>
      </w:r>
    </w:p>
    <w:p>
      <w:pPr>
        <w:sectPr>
          <w:pgSz w:w="11900" w:h="16838" w:orient="portrait"/>
          <w:cols w:equalWidth="0" w:num="1">
            <w:col w:w="10764"/>
          </w:cols>
          <w:pgMar w:left="896" w:top="582" w:right="239" w:bottom="1440" w:gutter="0" w:footer="0" w:header="0"/>
        </w:sectPr>
      </w:pPr>
    </w:p>
    <w:bookmarkStart w:id="9" w:name="page10"/>
    <w:bookmarkEnd w:id="9"/>
    <w:p>
      <w:pPr>
        <w:jc w:val="both"/>
        <w:ind w:left="100"/>
        <w:spacing w:after="0" w:line="246" w:lineRule="auto"/>
        <w:rPr>
          <w:sz w:val="20"/>
          <w:szCs w:val="20"/>
          <w:color w:val="auto"/>
        </w:rPr>
      </w:pPr>
      <w:r>
        <w:rPr>
          <w:rFonts w:ascii="Arial" w:cs="Arial" w:eastAsia="Arial" w:hAnsi="Arial"/>
          <w:sz w:val="20"/>
          <w:szCs w:val="20"/>
          <w:color w:val="auto"/>
        </w:rPr>
        <w:t>which such Material Acquisition took place and for any subsequent consecutive fiscal quarters, (b) the Borrower has not maintained compliance with this Section 9.1.(b) in reliance on this proviso for more than four fiscal quarters (whether or not consecutive) during the term of this Agreement and (c) such ratio (after giving effect to such Material Acquisition) is not greater than 0.65 to 1.00 at any time.</w:t>
      </w:r>
    </w:p>
    <w:p>
      <w:pPr>
        <w:spacing w:after="0" w:line="205" w:lineRule="exact"/>
        <w:rPr>
          <w:sz w:val="20"/>
          <w:szCs w:val="20"/>
          <w:color w:val="auto"/>
        </w:rPr>
      </w:pPr>
    </w:p>
    <w:p>
      <w:pPr>
        <w:ind w:left="960" w:hanging="855"/>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9.1.(e) thereof in its entirety as follows:</w:t>
      </w:r>
    </w:p>
    <w:p>
      <w:pPr>
        <w:spacing w:after="0" w:line="229" w:lineRule="exact"/>
        <w:rPr>
          <w:rFonts w:ascii="Arial" w:cs="Arial" w:eastAsia="Arial" w:hAnsi="Arial"/>
          <w:sz w:val="18"/>
          <w:szCs w:val="18"/>
          <w:color w:val="auto"/>
        </w:rPr>
      </w:pPr>
    </w:p>
    <w:p>
      <w:pPr>
        <w:jc w:val="both"/>
        <w:ind w:left="100" w:firstLine="653"/>
        <w:spacing w:after="0" w:line="256" w:lineRule="auto"/>
        <w:tabs>
          <w:tab w:leader="none" w:pos="1161"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Maximum Unencumbered Leverage Ratio</w:t>
      </w:r>
      <w:r>
        <w:rPr>
          <w:rFonts w:ascii="Arial" w:cs="Arial" w:eastAsia="Arial" w:hAnsi="Arial"/>
          <w:sz w:val="19"/>
          <w:szCs w:val="19"/>
          <w:color w:val="auto"/>
        </w:rPr>
        <w:t xml:space="preserve">. The Borrower shall not permit the ratio of (i) Unsecured Indebtedness of the Borrower and its Subsidiaries determined on a consolidated basis to (ii) Unencumbered Asset Value, to exceed 0.60 to 1.00 at any time;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if such ratio is greater than 0.60 to 1.00 but is not greater than 0.65 to 1.00, then the Borrower shall be deemed to be in compliance with this Section 9.1.(e)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9.1.(e) in reliance on this proviso for more than four fiscal quarters (whether or not consecutive) during the term of this Agreement and (c) such ratio (after giving effect to such Material Acquisition) is not greater than 0.65 to 1.00 at any time.</w:t>
      </w:r>
    </w:p>
    <w:p>
      <w:pPr>
        <w:spacing w:after="0" w:line="198" w:lineRule="exact"/>
        <w:rPr>
          <w:rFonts w:ascii="Arial" w:cs="Arial" w:eastAsia="Arial" w:hAnsi="Arial"/>
          <w:sz w:val="19"/>
          <w:szCs w:val="19"/>
          <w:color w:val="auto"/>
        </w:rPr>
      </w:pPr>
    </w:p>
    <w:p>
      <w:pPr>
        <w:ind w:left="920" w:hanging="815"/>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9.1.(f) thereof in its entirety as follows:</w:t>
      </w:r>
    </w:p>
    <w:p>
      <w:pPr>
        <w:spacing w:after="0" w:line="229" w:lineRule="exact"/>
        <w:rPr>
          <w:sz w:val="20"/>
          <w:szCs w:val="20"/>
          <w:color w:val="auto"/>
        </w:rPr>
      </w:pPr>
    </w:p>
    <w:p>
      <w:pPr>
        <w:ind w:left="100"/>
        <w:spacing w:after="0"/>
        <w:tabs>
          <w:tab w:leader="none" w:pos="46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9"/>
          <w:szCs w:val="19"/>
          <w:color w:val="auto"/>
        </w:rPr>
        <w:t>[Intentionally Omitted].</w:t>
      </w:r>
    </w:p>
    <w:p>
      <w:pPr>
        <w:spacing w:after="0" w:line="229" w:lineRule="exact"/>
        <w:rPr>
          <w:sz w:val="20"/>
          <w:szCs w:val="20"/>
          <w:color w:val="auto"/>
        </w:rPr>
      </w:pPr>
    </w:p>
    <w:p>
      <w:pPr>
        <w:ind w:left="1020" w:hanging="9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9.1.(g) thereof in its entirety as follows:</w:t>
      </w:r>
    </w:p>
    <w:p>
      <w:pPr>
        <w:spacing w:after="0" w:line="229"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8"/>
          <w:szCs w:val="18"/>
          <w:color w:val="auto"/>
        </w:rPr>
        <w:t>[Intentionally Omitted].</w:t>
      </w:r>
    </w:p>
    <w:p>
      <w:pPr>
        <w:spacing w:after="0" w:line="229" w:lineRule="exact"/>
        <w:rPr>
          <w:sz w:val="20"/>
          <w:szCs w:val="20"/>
          <w:color w:val="auto"/>
        </w:rPr>
      </w:pPr>
    </w:p>
    <w:p>
      <w:pPr>
        <w:ind w:left="960" w:hanging="855"/>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9.2. thereof in its entirety as follows:</w:t>
      </w:r>
    </w:p>
    <w:p>
      <w:pPr>
        <w:spacing w:after="0" w:line="223" w:lineRule="exact"/>
        <w:rPr>
          <w:sz w:val="20"/>
          <w:szCs w:val="20"/>
          <w:color w:val="auto"/>
        </w:rPr>
      </w:pPr>
    </w:p>
    <w:p>
      <w:pPr>
        <w:ind w:left="100"/>
        <w:spacing w:after="0"/>
        <w:tabs>
          <w:tab w:leader="none" w:pos="1220" w:val="left"/>
        </w:tabs>
        <w:rPr>
          <w:sz w:val="20"/>
          <w:szCs w:val="20"/>
          <w:color w:val="auto"/>
        </w:rPr>
      </w:pPr>
      <w:r>
        <w:rPr>
          <w:rFonts w:ascii="Arial" w:cs="Arial" w:eastAsia="Arial" w:hAnsi="Arial"/>
          <w:sz w:val="20"/>
          <w:szCs w:val="20"/>
          <w:b w:val="1"/>
          <w:bCs w:val="1"/>
          <w:color w:val="auto"/>
        </w:rPr>
        <w:t>Section 9.2.</w:t>
      </w:r>
      <w:r>
        <w:rPr>
          <w:sz w:val="20"/>
          <w:szCs w:val="20"/>
          <w:color w:val="auto"/>
        </w:rPr>
        <w:tab/>
      </w:r>
      <w:r>
        <w:rPr>
          <w:rFonts w:ascii="Arial" w:cs="Arial" w:eastAsia="Arial" w:hAnsi="Arial"/>
          <w:sz w:val="18"/>
          <w:szCs w:val="18"/>
          <w:b w:val="1"/>
          <w:bCs w:val="1"/>
          <w:color w:val="auto"/>
        </w:rPr>
        <w:t>[Intentionally Omitted].</w:t>
      </w:r>
    </w:p>
    <w:p>
      <w:pPr>
        <w:spacing w:after="0" w:line="235" w:lineRule="exact"/>
        <w:rPr>
          <w:sz w:val="20"/>
          <w:szCs w:val="20"/>
          <w:color w:val="auto"/>
        </w:rPr>
      </w:pPr>
    </w:p>
    <w:p>
      <w:pPr>
        <w:ind w:left="960" w:hanging="855"/>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9.3.(b) thereof in its entirety as follows:</w:t>
      </w:r>
    </w:p>
    <w:p>
      <w:pPr>
        <w:spacing w:after="0" w:line="229" w:lineRule="exact"/>
        <w:rPr>
          <w:rFonts w:ascii="Arial" w:cs="Arial" w:eastAsia="Arial" w:hAnsi="Arial"/>
          <w:sz w:val="18"/>
          <w:szCs w:val="18"/>
          <w:color w:val="auto"/>
        </w:rPr>
      </w:pPr>
    </w:p>
    <w:p>
      <w:pPr>
        <w:jc w:val="both"/>
        <w:ind w:left="100" w:firstLine="653"/>
        <w:spacing w:after="0" w:line="269" w:lineRule="auto"/>
        <w:tabs>
          <w:tab w:leader="none" w:pos="119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Borrower shall not, and shall not permit any Subsidiary (other than an Excluded Subsidiary) or other Loan Party to, enter into, assume or otherwise be bound by any Negative Pledge except for (i) a Negative Pledge contained in any agreement (x) evidencing Indebtedness which (A) the Borrower or such Subsidiary may create, incur, assume, or permit or suffer to exist under this Agreement and (B) is secured by a Lien permitted to exist hereunder and (y) which prohibits the creation of any other Lien on only the property securing such Indebtedness as of the date such agreement was entered into or</w:t>
      </w:r>
    </w:p>
    <w:p>
      <w:pPr>
        <w:spacing w:after="0" w:line="3" w:lineRule="exact"/>
        <w:rPr>
          <w:rFonts w:ascii="Arial" w:cs="Arial" w:eastAsia="Arial" w:hAnsi="Arial"/>
          <w:sz w:val="18"/>
          <w:szCs w:val="18"/>
          <w:color w:val="auto"/>
        </w:rPr>
      </w:pPr>
    </w:p>
    <w:p>
      <w:pPr>
        <w:jc w:val="both"/>
        <w:ind w:left="100" w:firstLine="5"/>
        <w:spacing w:after="0" w:line="365" w:lineRule="auto"/>
        <w:tabs>
          <w:tab w:leader="none" w:pos="4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Negative Pledge contained in any agreement that evidences unsecured Indebtedness which contains restrictions on encumbering assets that are substantially similar to, or less restrictive than, those restrictions contained in the Loan Documents.</w:t>
      </w:r>
    </w:p>
    <w:p>
      <w:pPr>
        <w:spacing w:after="0" w:line="113" w:lineRule="exact"/>
        <w:rPr>
          <w:rFonts w:ascii="Arial" w:cs="Arial" w:eastAsia="Arial" w:hAnsi="Arial"/>
          <w:sz w:val="16"/>
          <w:szCs w:val="16"/>
          <w:color w:val="auto"/>
        </w:rPr>
      </w:pPr>
    </w:p>
    <w:p>
      <w:pPr>
        <w:ind w:left="960" w:hanging="855"/>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9.4. thereof in its entirety as follows:</w:t>
      </w:r>
    </w:p>
    <w:p>
      <w:pPr>
        <w:sectPr>
          <w:pgSz w:w="11900" w:h="16838" w:orient="portrait"/>
          <w:cols w:equalWidth="0" w:num="1">
            <w:col w:w="10220"/>
          </w:cols>
          <w:pgMar w:left="1440" w:top="582" w:right="239" w:bottom="1440" w:gutter="0" w:footer="0" w:header="0"/>
        </w:sectPr>
      </w:pPr>
    </w:p>
    <w:bookmarkStart w:id="10" w:name="page11"/>
    <w:bookmarkEnd w:id="10"/>
    <w:p>
      <w:pPr>
        <w:ind w:left="640"/>
        <w:spacing w:after="0"/>
        <w:rPr>
          <w:sz w:val="20"/>
          <w:szCs w:val="20"/>
          <w:color w:val="auto"/>
        </w:rPr>
      </w:pPr>
      <w:r>
        <w:rPr>
          <w:rFonts w:ascii="Arial" w:cs="Arial" w:eastAsia="Arial" w:hAnsi="Arial"/>
          <w:sz w:val="20"/>
          <w:szCs w:val="20"/>
          <w:b w:val="1"/>
          <w:bCs w:val="1"/>
          <w:color w:val="auto"/>
        </w:rPr>
        <w:t>Section 9.4. Restrictions on Intercompany Transfers.</w:t>
      </w:r>
    </w:p>
    <w:p>
      <w:pPr>
        <w:spacing w:after="0" w:line="222" w:lineRule="exact"/>
        <w:rPr>
          <w:sz w:val="20"/>
          <w:szCs w:val="20"/>
          <w:color w:val="auto"/>
        </w:rPr>
      </w:pPr>
    </w:p>
    <w:p>
      <w:pPr>
        <w:jc w:val="both"/>
        <w:ind w:left="640" w:firstLine="648"/>
        <w:spacing w:after="0" w:line="268" w:lineRule="auto"/>
        <w:rPr>
          <w:sz w:val="20"/>
          <w:szCs w:val="20"/>
          <w:color w:val="auto"/>
        </w:rPr>
      </w:pPr>
      <w:r>
        <w:rPr>
          <w:rFonts w:ascii="Arial" w:cs="Arial" w:eastAsia="Arial" w:hAnsi="Arial"/>
          <w:sz w:val="18"/>
          <w:szCs w:val="18"/>
          <w:color w:val="auto"/>
        </w:rPr>
        <w:t>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 (b) 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or in any other agreement (A) evidencing Unsecured Indebtedness that the Borrower, any other Loan Party or any other Subsidiary may create, incur, assume or permit or suffer to exist under this Agreement and (B) containing encumbrances and restrictions imposed in connection with such Unsecured Indebtedness that are either substantially similar to, or less restrictive than, such encumbrances and restrictions set forth in the Loan Documents,</w:t>
      </w:r>
    </w:p>
    <w:p>
      <w:pPr>
        <w:spacing w:after="0" w:line="1" w:lineRule="exact"/>
        <w:rPr>
          <w:sz w:val="20"/>
          <w:szCs w:val="20"/>
          <w:color w:val="auto"/>
        </w:rPr>
      </w:pPr>
    </w:p>
    <w:p>
      <w:pPr>
        <w:jc w:val="both"/>
        <w:ind w:left="640" w:firstLine="5"/>
        <w:spacing w:after="0"/>
        <w:tabs>
          <w:tab w:leader="none" w:pos="937" w:val="left"/>
        </w:tabs>
        <w:numPr>
          <w:ilvl w:val="0"/>
          <w:numId w:val="17"/>
        </w:numPr>
        <w:rPr>
          <w:rFonts w:ascii="Arial" w:cs="Arial" w:eastAsia="Arial" w:hAnsi="Arial"/>
          <w:sz w:val="20"/>
          <w:szCs w:val="20"/>
          <w:color w:val="auto"/>
        </w:rPr>
      </w:pPr>
      <w:r>
        <w:rPr>
          <w:rFonts w:ascii="Arial" w:cs="Arial" w:eastAsia="Arial" w:hAnsi="Arial"/>
          <w:sz w:val="20"/>
          <w:szCs w:val="20"/>
          <w:color w:val="auto"/>
        </w:rPr>
        <w:t>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212" w:lineRule="exact"/>
        <w:rPr>
          <w:sz w:val="20"/>
          <w:szCs w:val="20"/>
          <w:color w:val="auto"/>
        </w:rPr>
      </w:pPr>
    </w:p>
    <w:p>
      <w:pPr>
        <w:ind w:left="1500" w:hanging="855"/>
        <w:spacing w:after="0"/>
        <w:tabs>
          <w:tab w:leader="none" w:pos="1500" w:val="left"/>
        </w:tabs>
        <w:numPr>
          <w:ilvl w:val="0"/>
          <w:numId w:val="18"/>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the second sentence of Section 7.9. thereof in its entirety:</w:t>
      </w:r>
    </w:p>
    <w:p>
      <w:pPr>
        <w:spacing w:after="0" w:line="266" w:lineRule="exact"/>
        <w:rPr>
          <w:sz w:val="20"/>
          <w:szCs w:val="20"/>
          <w:color w:val="auto"/>
        </w:rPr>
      </w:pPr>
    </w:p>
    <w:p>
      <w:pPr>
        <w:jc w:val="both"/>
        <w:ind w:left="640"/>
        <w:spacing w:after="0" w:line="282" w:lineRule="auto"/>
        <w:rPr>
          <w:sz w:val="20"/>
          <w:szCs w:val="20"/>
          <w:color w:val="auto"/>
        </w:rPr>
      </w:pPr>
      <w:r>
        <w:rPr>
          <w:rFonts w:ascii="Arial" w:cs="Arial" w:eastAsia="Arial" w:hAnsi="Arial"/>
          <w:sz w:val="18"/>
          <w:szCs w:val="18"/>
          <w:color w:val="auto"/>
        </w:rPr>
        <w:t>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the failure with which to comply could reasonably be expected to have a Material Adverse Effect.</w:t>
      </w:r>
    </w:p>
    <w:p>
      <w:pPr>
        <w:spacing w:after="0" w:line="175" w:lineRule="exact"/>
        <w:rPr>
          <w:sz w:val="20"/>
          <w:szCs w:val="20"/>
          <w:color w:val="auto"/>
        </w:rPr>
      </w:pPr>
    </w:p>
    <w:p>
      <w:pPr>
        <w:ind w:left="1480" w:hanging="835"/>
        <w:spacing w:after="0"/>
        <w:tabs>
          <w:tab w:leader="none" w:pos="14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The Credit Agreement is further amended by adding the following Section 9.14. immediately after Section 9.13.</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Section 9.14. Use of Proceeds.</w:t>
      </w:r>
    </w:p>
    <w:p>
      <w:pPr>
        <w:spacing w:after="0" w:line="222" w:lineRule="exact"/>
        <w:rPr>
          <w:sz w:val="20"/>
          <w:szCs w:val="20"/>
          <w:color w:val="auto"/>
        </w:rPr>
      </w:pPr>
    </w:p>
    <w:p>
      <w:pPr>
        <w:jc w:val="both"/>
        <w:ind w:left="640" w:firstLine="648"/>
        <w:spacing w:after="0" w:line="233" w:lineRule="exact"/>
        <w:rPr>
          <w:sz w:val="20"/>
          <w:szCs w:val="20"/>
          <w:color w:val="auto"/>
        </w:rPr>
      </w:pPr>
      <w:r>
        <w:rPr>
          <w:rFonts w:ascii="Arial" w:cs="Arial" w:eastAsia="Arial" w:hAnsi="Arial"/>
          <w:sz w:val="18"/>
          <w:szCs w:val="18"/>
          <w:color w:val="auto"/>
        </w:rPr>
        <w:t>The Borrower shall not, and shall not permit any other Loan Party or any other Subsidiary to, use any part of the proceeds of the Loans to (a) purchase or carry, or to reduce or retire or refinance any credit incurred to purchase or carry, any margin stock (within the meaning of Regulation U or Regulation X of the Board of Governors of the Federal Reserve System) or (b) to extend credit to others for the purpose of purchasing or carrying any such margin stock. The Borrower shall not, and shall not permit any other Loan Party or Subsidiary to, use any proceeds of any Loan directly or, to the knowledge of the Borrower, indirectly in any manner which would violate Anti</w:t>
      </w:r>
      <w:r>
        <w:rPr>
          <w:rFonts w:ascii="MS PGothic" w:cs="MS PGothic" w:eastAsia="MS PGothic" w:hAnsi="MS PGothic"/>
          <w:sz w:val="18"/>
          <w:szCs w:val="18"/>
          <w:color w:val="auto"/>
        </w:rPr>
        <w:t>‑</w:t>
      </w:r>
      <w:r>
        <w:rPr>
          <w:rFonts w:ascii="Arial" w:cs="Arial" w:eastAsia="Arial" w:hAnsi="Arial"/>
          <w:sz w:val="18"/>
          <w:szCs w:val="18"/>
          <w:color w:val="auto"/>
        </w:rPr>
        <w:t>Corruption Laws, Anti-Terrorism Laws or applicable Sanctions.</w:t>
      </w:r>
    </w:p>
    <w:p>
      <w:pPr>
        <w:spacing w:after="0" w:line="210" w:lineRule="exact"/>
        <w:rPr>
          <w:sz w:val="20"/>
          <w:szCs w:val="20"/>
          <w:color w:val="auto"/>
        </w:rPr>
      </w:pPr>
    </w:p>
    <w:p>
      <w:pPr>
        <w:ind w:left="1480" w:hanging="835"/>
        <w:spacing w:after="0"/>
        <w:tabs>
          <w:tab w:leader="none" w:pos="1480" w:val="left"/>
        </w:tabs>
        <w:numPr>
          <w:ilvl w:val="0"/>
          <w:numId w:val="20"/>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the introductory clause of Section 10.4. thereof as follows:</w:t>
      </w:r>
    </w:p>
    <w:p>
      <w:pPr>
        <w:spacing w:after="0" w:line="252"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If an Event of Default exists,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w:t>
      </w:r>
    </w:p>
    <w:p>
      <w:pPr>
        <w:sectPr>
          <w:pgSz w:w="11900" w:h="16838" w:orient="portrait"/>
          <w:cols w:equalWidth="0" w:num="1">
            <w:col w:w="10760"/>
          </w:cols>
          <w:pgMar w:left="900" w:top="576" w:right="239" w:bottom="1440" w:gutter="0" w:footer="0" w:header="0"/>
        </w:sectPr>
      </w:pPr>
    </w:p>
    <w:bookmarkStart w:id="11" w:name="page12"/>
    <w:bookmarkEnd w:id="11"/>
    <w:p>
      <w:pPr>
        <w:ind w:left="-540" w:firstLine="645"/>
        <w:spacing w:after="0" w:line="289" w:lineRule="auto"/>
        <w:tabs>
          <w:tab w:leader="none" w:pos="926" w:val="left"/>
        </w:tabs>
        <w:numPr>
          <w:ilvl w:val="0"/>
          <w:numId w:val="21"/>
        </w:numPr>
        <w:rPr>
          <w:rFonts w:ascii="Arial" w:cs="Arial" w:eastAsia="Arial" w:hAnsi="Arial"/>
          <w:sz w:val="18"/>
          <w:szCs w:val="18"/>
          <w:color w:val="auto"/>
        </w:rPr>
      </w:pPr>
      <w:r>
        <w:rPr>
          <w:rFonts w:ascii="Arial" w:cs="Arial" w:eastAsia="Arial" w:hAnsi="Arial"/>
          <w:sz w:val="20"/>
          <w:szCs w:val="20"/>
          <w:color w:val="auto"/>
        </w:rPr>
        <w:t xml:space="preserve">The Credit Agreement is further amended by adding “(a) </w:t>
      </w:r>
      <w:r>
        <w:rPr>
          <w:rFonts w:ascii="Arial" w:cs="Arial" w:eastAsia="Arial" w:hAnsi="Arial"/>
          <w:sz w:val="20"/>
          <w:szCs w:val="20"/>
          <w:u w:val="single" w:color="auto"/>
          <w:color w:val="auto"/>
        </w:rPr>
        <w:t>Generally</w:t>
      </w:r>
      <w:r>
        <w:rPr>
          <w:rFonts w:ascii="Arial" w:cs="Arial" w:eastAsia="Arial" w:hAnsi="Arial"/>
          <w:sz w:val="20"/>
          <w:szCs w:val="20"/>
          <w:color w:val="auto"/>
        </w:rPr>
        <w:t>.” before the first sentence of Section 10.7. thereof and adding the following Section 10.7.(b) immediately after 10.7.(a):</w:t>
      </w:r>
    </w:p>
    <w:p>
      <w:pPr>
        <w:spacing w:after="0" w:line="161" w:lineRule="exact"/>
        <w:rPr>
          <w:rFonts w:ascii="Arial" w:cs="Arial" w:eastAsia="Arial" w:hAnsi="Arial"/>
          <w:sz w:val="18"/>
          <w:szCs w:val="18"/>
          <w:color w:val="auto"/>
        </w:rPr>
      </w:pPr>
    </w:p>
    <w:p>
      <w:pPr>
        <w:jc w:val="both"/>
        <w:ind w:left="100" w:firstLine="653"/>
        <w:spacing w:after="0" w:line="269" w:lineRule="auto"/>
        <w:tabs>
          <w:tab w:leader="none" w:pos="117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Enforcement by Administrative Agent</w:t>
      </w:r>
      <w:r>
        <w:rPr>
          <w:rFonts w:ascii="Arial" w:cs="Arial" w:eastAsia="Arial" w:hAnsi="Arial"/>
          <w:sz w:val="18"/>
          <w:szCs w:val="18"/>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 for the benefit of all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any Specified Derivatives Provider from exercising the rights and remedies that inure to its benefit under any Specified Derivatives Contract, (iii) any Lender from exercising setoff rights in accordance with Section 12.4. (subject to the terms of Section 3.3.), or (iv)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any time there is no Person acting as Administrative Agent hereunder and under the other Loan Documents, then (x) the Requisite Lenders shall have the rights otherwise ascribed to the Administrative Agent pursuant to Article X. and (y) in addition to the matters set forth in clauses (iii) and (iv) of the preceding proviso and subject to Section 3.3., any Lender may, with the consent of the Requisite Lenders, enforce any rights and remedies available to it and as authorized by the Requisite Lenders.</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960" w:hanging="855"/>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11.3. thereof in its entirety as follows: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Section 11.3. Approvals of Lenders.</w:t>
      </w:r>
    </w:p>
    <w:p>
      <w:pPr>
        <w:spacing w:after="0" w:line="222" w:lineRule="exact"/>
        <w:rPr>
          <w:sz w:val="20"/>
          <w:szCs w:val="20"/>
          <w:color w:val="auto"/>
        </w:rPr>
      </w:pPr>
    </w:p>
    <w:p>
      <w:pPr>
        <w:jc w:val="both"/>
        <w:ind w:left="100" w:firstLine="648"/>
        <w:spacing w:after="0" w:line="268" w:lineRule="auto"/>
        <w:rPr>
          <w:sz w:val="20"/>
          <w:szCs w:val="20"/>
          <w:color w:val="auto"/>
        </w:rPr>
      </w:pPr>
      <w:r>
        <w:rPr>
          <w:rFonts w:ascii="Arial" w:cs="Arial" w:eastAsia="Arial" w:hAnsi="Arial"/>
          <w:sz w:val="18"/>
          <w:szCs w:val="18"/>
          <w:color w:val="auto"/>
        </w:rPr>
        <w:t>All communications from the Administrative Agent to any Lender requesting such Lender’s determination, consent or approval (a) shall be given in the form of a written notice to such Lender, (b) shall be accompanied by a description of the matter or issue as to which such determination, approval or consent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(together with a reasonable written explanation of the reasons behind such objection) within ten</w:t>
      </w:r>
    </w:p>
    <w:p>
      <w:pPr>
        <w:spacing w:after="0" w:line="4" w:lineRule="exact"/>
        <w:rPr>
          <w:sz w:val="20"/>
          <w:szCs w:val="20"/>
          <w:color w:val="auto"/>
        </w:rPr>
      </w:pPr>
    </w:p>
    <w:p>
      <w:pPr>
        <w:jc w:val="both"/>
        <w:ind w:left="100" w:firstLine="5"/>
        <w:spacing w:after="0" w:line="241" w:lineRule="auto"/>
        <w:tabs>
          <w:tab w:leader="none" w:pos="51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Business Days (or such lesser or greater period as may be specifically required under the express terms of the Loan Documents) of receipt of such communication, such Lender shall be deemed to have conclusively approved such requested determination, consent or approval. The provisions of this Section shall not apply to any amendment, waiver or consent regarding any of the matters described in Section 12.7.(c).</w:t>
      </w:r>
    </w:p>
    <w:p>
      <w:pPr>
        <w:spacing w:after="0" w:line="208" w:lineRule="exact"/>
        <w:rPr>
          <w:sz w:val="20"/>
          <w:szCs w:val="20"/>
          <w:color w:val="auto"/>
        </w:rPr>
      </w:pPr>
    </w:p>
    <w:p>
      <w:pPr>
        <w:ind w:left="960" w:hanging="855"/>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11.8. thereof in its entirety as follows: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Section 11.8. Successor Administrative Agent.</w:t>
      </w:r>
    </w:p>
    <w:p>
      <w:pPr>
        <w:spacing w:after="0" w:line="222" w:lineRule="exact"/>
        <w:rPr>
          <w:sz w:val="20"/>
          <w:szCs w:val="20"/>
          <w:color w:val="auto"/>
        </w:rPr>
      </w:pPr>
    </w:p>
    <w:p>
      <w:pPr>
        <w:ind w:left="100" w:firstLine="648"/>
        <w:spacing w:after="0" w:line="260" w:lineRule="auto"/>
        <w:rPr>
          <w:sz w:val="20"/>
          <w:szCs w:val="20"/>
          <w:color w:val="auto"/>
        </w:rPr>
      </w:pPr>
      <w:r>
        <w:rPr>
          <w:rFonts w:ascii="Arial" w:cs="Arial" w:eastAsia="Arial" w:hAnsi="Arial"/>
          <w:sz w:val="20"/>
          <w:szCs w:val="20"/>
          <w:color w:val="auto"/>
        </w:rPr>
        <w:t>The Administrative Agent may (i) be removed as administrative agent by all of the Lenders (other than the Lender then acting as Administrative Agent) and the Borrower upon</w:t>
      </w:r>
    </w:p>
    <w:p>
      <w:pPr>
        <w:sectPr>
          <w:pgSz w:w="11900" w:h="16838" w:orient="portrait"/>
          <w:cols w:equalWidth="0" w:num="1">
            <w:col w:w="10220"/>
          </w:cols>
          <w:pgMar w:left="1440" w:top="811" w:right="239" w:bottom="1440" w:gutter="0" w:footer="0" w:header="0"/>
        </w:sectPr>
      </w:pPr>
    </w:p>
    <w:bookmarkStart w:id="12" w:name="page13"/>
    <w:bookmarkEnd w:id="12"/>
    <w:p>
      <w:pPr>
        <w:jc w:val="both"/>
        <w:ind w:left="640"/>
        <w:spacing w:after="0" w:line="267" w:lineRule="auto"/>
        <w:rPr>
          <w:sz w:val="20"/>
          <w:szCs w:val="20"/>
          <w:color w:val="auto"/>
        </w:rPr>
      </w:pPr>
      <w:r>
        <w:rPr>
          <w:rFonts w:ascii="Arial" w:cs="Arial" w:eastAsia="Arial" w:hAnsi="Arial"/>
          <w:sz w:val="18"/>
          <w:szCs w:val="18"/>
          <w:color w:val="auto"/>
        </w:rPr>
        <w:t>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and (ii) 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provided that if the Administrative Agent shall notify the Borrower and the Lenders that no Lender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directly until such time as a successor Administrative Agent has been appointed as provided for above in this Section; provided, further that such Lenders so acting directly shall be and be deemed to be protected by all indemnities and other provisions herein for the benefit and protection of the Administrative Agent as if each such Lender were itself the Administrative Agent.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w:t>
      </w:r>
    </w:p>
    <w:p>
      <w:pPr>
        <w:spacing w:after="0" w:line="208" w:lineRule="exact"/>
        <w:rPr>
          <w:sz w:val="20"/>
          <w:szCs w:val="20"/>
          <w:color w:val="auto"/>
        </w:rPr>
      </w:pPr>
    </w:p>
    <w:p>
      <w:pPr>
        <w:ind w:left="1540" w:hanging="895"/>
        <w:spacing w:after="0"/>
        <w:tabs>
          <w:tab w:leader="none" w:pos="1540" w:val="left"/>
        </w:tabs>
        <w:numPr>
          <w:ilvl w:val="0"/>
          <w:numId w:val="24"/>
        </w:numPr>
        <w:rPr>
          <w:rFonts w:ascii="Arial" w:cs="Arial" w:eastAsia="Arial" w:hAnsi="Arial"/>
          <w:sz w:val="16"/>
          <w:szCs w:val="16"/>
          <w:color w:val="auto"/>
        </w:rPr>
      </w:pPr>
      <w:r>
        <w:rPr>
          <w:rFonts w:ascii="Arial" w:cs="Arial" w:eastAsia="Arial" w:hAnsi="Arial"/>
          <w:sz w:val="18"/>
          <w:szCs w:val="18"/>
          <w:color w:val="auto"/>
        </w:rPr>
        <w:t>The Credit Agreement is further amended by adding the following Section 12.22. immediately after Section 12.21.</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Section 12.22. Acknowledgement and Consent to Bail-In of EEA Financial Institutions.</w:t>
      </w:r>
    </w:p>
    <w:p>
      <w:pPr>
        <w:spacing w:after="0" w:line="222" w:lineRule="exact"/>
        <w:rPr>
          <w:sz w:val="20"/>
          <w:szCs w:val="20"/>
          <w:color w:val="auto"/>
        </w:rPr>
      </w:pPr>
    </w:p>
    <w:p>
      <w:pPr>
        <w:jc w:val="both"/>
        <w:ind w:left="640" w:firstLine="648"/>
        <w:spacing w:after="0" w:line="282"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ectPr>
          <w:pgSz w:w="11900" w:h="16838" w:orient="portrait"/>
          <w:cols w:equalWidth="0" w:num="1">
            <w:col w:w="10760"/>
          </w:cols>
          <w:pgMar w:left="900" w:top="582" w:right="239" w:bottom="1440" w:gutter="0" w:footer="0" w:header="0"/>
        </w:sectPr>
      </w:pPr>
    </w:p>
    <w:bookmarkStart w:id="13" w:name="page14"/>
    <w:bookmarkEnd w:id="13"/>
    <w:p>
      <w:pPr>
        <w:ind w:left="644" w:right="20" w:firstLine="653"/>
        <w:spacing w:after="0" w:line="287" w:lineRule="auto"/>
        <w:tabs>
          <w:tab w:leader="none" w:pos="1854"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52" w:lineRule="exact"/>
        <w:rPr>
          <w:rFonts w:ascii="Arial" w:cs="Arial" w:eastAsia="Arial" w:hAnsi="Arial"/>
          <w:sz w:val="19"/>
          <w:szCs w:val="19"/>
          <w:color w:val="auto"/>
        </w:rPr>
      </w:pPr>
    </w:p>
    <w:p>
      <w:pPr>
        <w:ind w:left="1704" w:hanging="407"/>
        <w:spacing w:after="0"/>
        <w:tabs>
          <w:tab w:leader="none" w:pos="1704"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304" w:hanging="359"/>
        <w:spacing w:after="0"/>
        <w:tabs>
          <w:tab w:leader="none" w:pos="2304" w:val="left"/>
        </w:tabs>
        <w:numPr>
          <w:ilvl w:val="1"/>
          <w:numId w:val="25"/>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1304" w:firstLine="641"/>
        <w:spacing w:after="0" w:line="246" w:lineRule="auto"/>
        <w:tabs>
          <w:tab w:leader="none" w:pos="2428" w:val="left"/>
        </w:tabs>
        <w:numPr>
          <w:ilvl w:val="1"/>
          <w:numId w:val="25"/>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1304" w:firstLine="641"/>
        <w:spacing w:after="0" w:line="260" w:lineRule="auto"/>
        <w:tabs>
          <w:tab w:leader="none" w:pos="2577"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7" w:lineRule="exact"/>
        <w:rPr>
          <w:sz w:val="20"/>
          <w:szCs w:val="20"/>
          <w:color w:val="auto"/>
        </w:rPr>
      </w:pPr>
    </w:p>
    <w:p>
      <w:pPr>
        <w:ind w:left="4" w:firstLine="648"/>
        <w:spacing w:after="0" w:line="26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Conditions Precedent</w:t>
      </w:r>
      <w:r>
        <w:rPr>
          <w:rFonts w:ascii="Arial" w:cs="Arial" w:eastAsia="Arial" w:hAnsi="Arial"/>
          <w:sz w:val="20"/>
          <w:szCs w:val="20"/>
          <w:color w:val="auto"/>
        </w:rPr>
        <w:t>. The effectiveness of this Amendment is subject to receipt by the Administrative Agent of each of the following in form and substance satisfactory to the Administrative Agent:</w:t>
      </w:r>
    </w:p>
    <w:p>
      <w:pPr>
        <w:spacing w:after="0" w:line="177" w:lineRule="exact"/>
        <w:rPr>
          <w:sz w:val="20"/>
          <w:szCs w:val="20"/>
          <w:color w:val="auto"/>
        </w:rPr>
      </w:pPr>
    </w:p>
    <w:p>
      <w:pPr>
        <w:ind w:left="1124" w:hanging="475"/>
        <w:spacing w:after="0"/>
        <w:tabs>
          <w:tab w:leader="none" w:pos="11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counterpart of this Amendment duly executed by the Borrower, the Administrative Agent and each of the Requisite</w:t>
      </w:r>
    </w:p>
    <w:p>
      <w:pPr>
        <w:spacing w:after="0" w:line="38"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Lenders;</w:t>
      </w:r>
    </w:p>
    <w:p>
      <w:pPr>
        <w:spacing w:after="0" w:line="199" w:lineRule="exact"/>
        <w:rPr>
          <w:rFonts w:ascii="Arial" w:cs="Arial" w:eastAsia="Arial" w:hAnsi="Arial"/>
          <w:sz w:val="18"/>
          <w:szCs w:val="18"/>
          <w:color w:val="auto"/>
        </w:rPr>
      </w:pPr>
    </w:p>
    <w:p>
      <w:pPr>
        <w:ind w:left="1084" w:hanging="435"/>
        <w:spacing w:after="0"/>
        <w:tabs>
          <w:tab w:leader="none" w:pos="108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certificate of the Borrower, signed on behalf of the Borrower by a Responsible Officer of the Borrower, certifying that</w:t>
      </w:r>
    </w:p>
    <w:p>
      <w:pPr>
        <w:spacing w:after="0" w:line="38" w:lineRule="exact"/>
        <w:rPr>
          <w:rFonts w:ascii="Arial" w:cs="Arial" w:eastAsia="Arial" w:hAnsi="Arial"/>
          <w:sz w:val="18"/>
          <w:szCs w:val="18"/>
          <w:color w:val="auto"/>
        </w:rPr>
      </w:pPr>
    </w:p>
    <w:p>
      <w:pPr>
        <w:jc w:val="both"/>
        <w:ind w:left="4" w:hanging="4"/>
        <w:spacing w:after="0" w:line="254" w:lineRule="auto"/>
        <w:tabs>
          <w:tab w:leader="none" w:pos="248" w:val="left"/>
        </w:tabs>
        <w:numPr>
          <w:ilvl w:val="0"/>
          <w:numId w:val="27"/>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as of the date hereof nor will exist immediately after giving effect to this Amendment and (ii) the representations and warranties made or deemed made by the Borrower and each other Loan Party in the Loan Documents (including this Amendment) to which any of them is a party,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85" w:lineRule="exact"/>
        <w:rPr>
          <w:rFonts w:ascii="Arial" w:cs="Arial" w:eastAsia="Arial" w:hAnsi="Arial"/>
          <w:sz w:val="19"/>
          <w:szCs w:val="19"/>
          <w:color w:val="auto"/>
        </w:rPr>
      </w:pPr>
    </w:p>
    <w:p>
      <w:pPr>
        <w:ind w:left="4" w:firstLine="645"/>
        <w:spacing w:after="0" w:line="316" w:lineRule="auto"/>
        <w:tabs>
          <w:tab w:leader="none" w:pos="11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evidence that all fees, expenses and reimbursement amounts due and payable to the Administrative Agent and the Arrangers, including without limitation, the reasonable fees and expenses of counsel to the Administrative Agent, have been paid; and</w:t>
      </w:r>
    </w:p>
    <w:p>
      <w:pPr>
        <w:spacing w:after="0" w:line="130" w:lineRule="exact"/>
        <w:rPr>
          <w:rFonts w:ascii="Arial" w:cs="Arial" w:eastAsia="Arial" w:hAnsi="Arial"/>
          <w:sz w:val="18"/>
          <w:szCs w:val="18"/>
          <w:color w:val="auto"/>
        </w:rPr>
      </w:pPr>
    </w:p>
    <w:p>
      <w:pPr>
        <w:ind w:left="4" w:right="20" w:firstLine="645"/>
        <w:spacing w:after="0" w:line="260" w:lineRule="auto"/>
        <w:tabs>
          <w:tab w:leader="none" w:pos="1333" w:val="left"/>
        </w:tabs>
        <w:numPr>
          <w:ilvl w:val="1"/>
          <w:numId w:val="27"/>
        </w:numPr>
        <w:rPr>
          <w:rFonts w:ascii="Arial" w:cs="Arial" w:eastAsia="Arial" w:hAnsi="Arial"/>
          <w:sz w:val="20"/>
          <w:szCs w:val="20"/>
          <w:color w:val="auto"/>
        </w:rPr>
      </w:pPr>
      <w:r>
        <w:rPr>
          <w:rFonts w:ascii="Arial" w:cs="Arial" w:eastAsia="Arial" w:hAnsi="Arial"/>
          <w:sz w:val="20"/>
          <w:szCs w:val="20"/>
          <w:color w:val="auto"/>
        </w:rPr>
        <w:t>such other documents, agreements and instruments as the Administrative Agent, or any Lender through the Administrative Agent, may reasonably request.</w:t>
      </w:r>
    </w:p>
    <w:p>
      <w:pPr>
        <w:spacing w:after="0" w:line="177" w:lineRule="exact"/>
        <w:rPr>
          <w:sz w:val="20"/>
          <w:szCs w:val="20"/>
          <w:color w:val="auto"/>
        </w:rPr>
      </w:pPr>
    </w:p>
    <w:p>
      <w:pPr>
        <w:ind w:left="644"/>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w:t>
      </w:r>
      <w:r>
        <w:rPr>
          <w:rFonts w:ascii="Arial" w:cs="Arial" w:eastAsia="Arial" w:hAnsi="Arial"/>
          <w:sz w:val="19"/>
          <w:szCs w:val="19"/>
          <w:color w:val="auto"/>
        </w:rPr>
        <w:t>. The Borrower represents and warrants to the Administrative Agent and the Lenders that:</w:t>
      </w:r>
    </w:p>
    <w:p>
      <w:pPr>
        <w:spacing w:after="0" w:line="227" w:lineRule="exact"/>
        <w:rPr>
          <w:sz w:val="20"/>
          <w:szCs w:val="20"/>
          <w:color w:val="auto"/>
        </w:rPr>
      </w:pPr>
    </w:p>
    <w:p>
      <w:pPr>
        <w:jc w:val="both"/>
        <w:ind w:left="4" w:firstLine="645"/>
        <w:spacing w:after="0" w:line="259" w:lineRule="auto"/>
        <w:tabs>
          <w:tab w:leader="none" w:pos="110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The Borrower has the right and power, and has taken all necessary action to authorize it, to execute and deliver this Amendment and to perform its obligations hereunder and under the Credit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Credit Agreement, as amended by this Amendment, is a legal, valid and binding obligation of the Borrower, enforceable against the Borrower in accordance with its respective terms, except as the same may be limited</w:t>
      </w:r>
    </w:p>
    <w:p>
      <w:pPr>
        <w:sectPr>
          <w:pgSz w:w="11900" w:h="16838" w:orient="portrait"/>
          <w:cols w:equalWidth="0" w:num="1">
            <w:col w:w="10764"/>
          </w:cols>
          <w:pgMar w:left="896" w:top="582" w:right="239" w:bottom="1440" w:gutter="0" w:footer="0" w:header="0"/>
        </w:sectPr>
      </w:pPr>
    </w:p>
    <w:bookmarkStart w:id="14" w:name="page15"/>
    <w:bookmarkEnd w:id="14"/>
    <w:p>
      <w:pPr>
        <w:jc w:val="both"/>
        <w:spacing w:after="0" w:line="250" w:lineRule="auto"/>
        <w:rPr>
          <w:sz w:val="20"/>
          <w:szCs w:val="20"/>
          <w:color w:val="auto"/>
        </w:rPr>
      </w:pPr>
      <w:r>
        <w:rPr>
          <w:rFonts w:ascii="Arial" w:cs="Arial" w:eastAsia="Arial" w:hAnsi="Arial"/>
          <w:sz w:val="20"/>
          <w:szCs w:val="20"/>
          <w:color w:val="auto"/>
        </w:rPr>
        <w:t>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86" w:lineRule="exact"/>
        <w:rPr>
          <w:sz w:val="20"/>
          <w:szCs w:val="20"/>
          <w:color w:val="auto"/>
        </w:rPr>
      </w:pPr>
    </w:p>
    <w:p>
      <w:pPr>
        <w:ind w:right="20" w:firstLine="645"/>
        <w:spacing w:after="0" w:line="260" w:lineRule="auto"/>
        <w:tabs>
          <w:tab w:leader="none" w:pos="1221"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has occurred and is continuing as of the date hereof nor will exist immediately after giving effect to this Amendment.</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Reaffirmation of Representations</w:t>
      </w:r>
      <w:r>
        <w:rPr>
          <w:rFonts w:ascii="Arial" w:cs="Arial" w:eastAsia="Arial" w:hAnsi="Arial"/>
          <w:sz w:val="19"/>
          <w:szCs w:val="19"/>
          <w:color w:val="auto"/>
        </w:rPr>
        <w:t>. The Borrower hereby repeats and reaffirms all representations and warranties made or deemed made by the Borrower to the Administrative Agent and 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Certain References</w:t>
      </w:r>
      <w:r>
        <w:rPr>
          <w:rFonts w:ascii="Arial" w:cs="Arial" w:eastAsia="Arial" w:hAnsi="Arial"/>
          <w:sz w:val="19"/>
          <w:szCs w:val="19"/>
          <w:color w:val="auto"/>
        </w:rPr>
        <w:t>. Each reference to the Credit Agreement in any of the Loan Documents shall be deemed to be a reference to the Credit Agreement, as amended by this Amendment. This Amendment is a Loan Document.</w:t>
      </w:r>
    </w:p>
    <w:p>
      <w:pPr>
        <w:spacing w:after="0" w:line="1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Benefits</w:t>
      </w:r>
      <w:r>
        <w:rPr>
          <w:rFonts w:ascii="Arial" w:cs="Arial" w:eastAsia="Arial" w:hAnsi="Arial"/>
          <w:sz w:val="20"/>
          <w:szCs w:val="20"/>
          <w:color w:val="auto"/>
        </w:rPr>
        <w:t>. This Amendment shall be binding upon and shall inure to the benefit of the parties hereto and their respective successors and assigns.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LAWS OF THE STATE OF NEW YORK APPLICABLE TO CONTRACTS EXECUTED, AND TO BE FULLY PERFORMED, IN SUCH STATE.</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Effect; Ratification</w:t>
      </w:r>
      <w:r>
        <w:rPr>
          <w:rFonts w:ascii="Arial" w:cs="Arial" w:eastAsia="Arial" w:hAnsi="Arial"/>
          <w:sz w:val="20"/>
          <w:szCs w:val="20"/>
          <w:color w:val="auto"/>
        </w:rPr>
        <w:t>. Except as expressly herein amended, the terms and conditions of the Credit Agreement and the other Loan Documents remain in full force and effect. The amendments contained herein shall be deemed to have prospective application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shall be deemed to be an original and shall be binding upon all parties, their successors and assigns.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Definitions</w:t>
      </w:r>
      <w:r>
        <w:rPr>
          <w:rFonts w:ascii="Arial" w:cs="Arial" w:eastAsia="Arial" w:hAnsi="Arial"/>
          <w:sz w:val="20"/>
          <w:szCs w:val="20"/>
          <w:color w:val="auto"/>
        </w:rPr>
        <w:t>. All capitalized terms not otherwise defined herein are used herein with the respective definitions given them in the Credit Agreement.</w:t>
      </w:r>
    </w:p>
    <w:p>
      <w:pPr>
        <w:spacing w:after="0" w:line="177"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[Signatures on Next Page]</w:t>
      </w:r>
    </w:p>
    <w:p>
      <w:pPr>
        <w:sectPr>
          <w:pgSz w:w="11900" w:h="16838" w:orient="portrait"/>
          <w:cols w:equalWidth="0" w:num="1">
            <w:col w:w="10760"/>
          </w:cols>
          <w:pgMar w:left="900" w:top="582" w:right="239" w:bottom="1440" w:gutter="0" w:footer="0" w:header="0"/>
        </w:sectPr>
      </w:pPr>
    </w:p>
    <w:bookmarkStart w:id="15" w:name="page16"/>
    <w:bookmarkEnd w:id="15"/>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Second Amendment to Credit Agreement to be executed as of the date first above written.</w:t>
      </w:r>
    </w:p>
    <w:p>
      <w:pPr>
        <w:spacing w:after="0" w:line="34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FEDERAL REALTY INVESTMENT TRUST</w:t>
      </w:r>
    </w:p>
    <w:p>
      <w:pPr>
        <w:spacing w:after="0" w:line="387"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/s/ James M. Taylor, Jr.</w:t>
      </w:r>
    </w:p>
    <w:p>
      <w:pPr>
        <w:spacing w:after="0" w:line="23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James M. Taylor, Jr.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Executive Vice President -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11200"/>
          </w:cols>
          <w:pgMar w:left="240" w:top="798" w:right="459" w:bottom="1440" w:gutter="0" w:footer="0" w:header="0"/>
        </w:sectPr>
      </w:pPr>
    </w:p>
    <w:bookmarkStart w:id="16" w:name="page17"/>
    <w:bookmarkEnd w:id="1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Third Amendment to Term Loan Agreement for Federal Realty Investment Trust]</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PNC Bank, National Association, as Administrative Agent and as a Lender</w:t>
      </w:r>
    </w:p>
    <w:p>
      <w:pPr>
        <w:spacing w:after="0" w:line="200" w:lineRule="exact"/>
        <w:rPr>
          <w:sz w:val="20"/>
          <w:szCs w:val="20"/>
          <w:color w:val="auto"/>
        </w:rPr>
      </w:pPr>
    </w:p>
    <w:p>
      <w:pPr>
        <w:spacing w:after="0" w:line="25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Katie Chowdhry</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Katie Chowdhry</w:t>
      </w:r>
    </w:p>
    <w:p>
      <w:pPr>
        <w:ind w:left="2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Third Amendment to Term Loan Agreement for Federal Realty Investment Trust]</w:t>
      </w:r>
    </w:p>
    <w:p>
      <w:pPr>
        <w:sectPr>
          <w:pgSz w:w="11900" w:h="16838" w:orient="portrait"/>
          <w:cols w:equalWidth="0" w:num="1">
            <w:col w:w="9019"/>
          </w:cols>
          <w:pgMar w:left="1440" w:top="81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CAPITAL ONE, N.A., as a Lender</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Barbara A. Heubner</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Barbara A. Heubner</w:t>
      </w:r>
    </w:p>
    <w:p>
      <w:pPr>
        <w:ind w:left="2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810" w:right="1440"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Third Amendment to Term Loan Agreement for Federal Realty Investment Trust]</w:t>
      </w:r>
    </w:p>
    <w:p>
      <w:pPr>
        <w:sectPr>
          <w:pgSz w:w="11900" w:h="16838" w:orient="portrait"/>
          <w:cols w:equalWidth="0" w:num="1">
            <w:col w:w="9019"/>
          </w:cols>
          <w:pgMar w:left="1440" w:top="81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REGIONS BANK, as a Lender</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Kerri L. Raines</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Kerri L. Raines</w:t>
      </w:r>
    </w:p>
    <w:p>
      <w:pPr>
        <w:ind w:left="204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810" w:right="1440"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Third Amendment to Term Loan Agreement for Federal Realty Investment Trust]</w:t>
      </w:r>
    </w:p>
    <w:p>
      <w:pPr>
        <w:sectPr>
          <w:pgSz w:w="11900" w:h="16838" w:orient="portrait"/>
          <w:cols w:equalWidth="0" w:num="1">
            <w:col w:w="9019"/>
          </w:cols>
          <w:pgMar w:left="1440" w:top="81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SUNTRUST BANK, as a Lender</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Danny Stover</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Danny Stover</w:t>
      </w:r>
    </w:p>
    <w:p>
      <w:pPr>
        <w:ind w:left="204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810" w:right="1440"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Third Amendment to Term Loan Agreement for Federal Realty Investment Trust]</w:t>
      </w:r>
    </w:p>
    <w:p>
      <w:pPr>
        <w:sectPr>
          <w:pgSz w:w="11900" w:h="16838" w:orient="portrait"/>
          <w:cols w:equalWidth="0" w:num="1">
            <w:col w:w="9019"/>
          </w:cols>
          <w:pgMar w:left="1440" w:top="81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TD BANK, N.A., as a Lender</w:t>
      </w:r>
    </w:p>
    <w:p>
      <w:pPr>
        <w:spacing w:after="0" w:line="200" w:lineRule="exact"/>
        <w:rPr>
          <w:sz w:val="20"/>
          <w:szCs w:val="20"/>
          <w:color w:val="auto"/>
        </w:rPr>
      </w:pPr>
    </w:p>
    <w:p>
      <w:pPr>
        <w:spacing w:after="0" w:line="25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William M. Brandt, Jr.</w:t>
      </w:r>
    </w:p>
    <w:p>
      <w:pPr>
        <w:spacing w:after="0" w:line="3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William M. Brandt, Jr.</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Title: Vice President</w:t>
      </w:r>
    </w:p>
    <w:sectPr>
      <w:pgSz w:w="11900" w:h="16838" w:orient="portrait"/>
      <w:cols w:equalWidth="0" w:num="1">
        <w:col w:w="9019"/>
      </w:cols>
      <w:pgMar w:left="1440" w:top="8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c"/>
      <w:numFmt w:val="bullet"/>
      <w:start w:val="1"/>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1)"/>
      <w:numFmt w:val="lowerLetter"/>
      <w:start w:val="3"/>
    </w:lvl>
  </w:abstractNum>
  <w:abstractNum w:abstractNumId="3">
    <w:nsid w:val="4E6AFB66"/>
    <w:multiLevelType w:val="hybridMultilevel"/>
    <w:lvl w:ilvl="0">
      <w:lvlJc w:val="left"/>
      <w:lvlText w:val="(%1)"/>
      <w:numFmt w:val="lowerLetter"/>
      <w:start w:val="2"/>
    </w:lvl>
  </w:abstractNum>
  <w:abstractNum w:abstractNumId="4">
    <w:nsid w:val="25E45D32"/>
    <w:multiLevelType w:val="hybridMultilevel"/>
    <w:lvl w:ilvl="0">
      <w:lvlJc w:val="left"/>
      <w:lvlText w:val="(%1)"/>
      <w:numFmt w:val="lowerLetter"/>
      <w:start w:val="2"/>
    </w:lvl>
  </w:abstractNum>
  <w:abstractNum w:abstractNumId="5">
    <w:nsid w:val="519B500D"/>
    <w:multiLevelType w:val="hybridMultilevel"/>
    <w:lvl w:ilvl="0">
      <w:lvlJc w:val="left"/>
      <w:lvlText w:val="(%1)"/>
      <w:numFmt w:val="lowerLetter"/>
      <w:start w:val="3"/>
    </w:lvl>
  </w:abstractNum>
  <w:abstractNum w:abstractNumId="6">
    <w:nsid w:val="431BD7B7"/>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7">
    <w:nsid w:val="3F2DBA31"/>
    <w:multiLevelType w:val="hybridMultilevel"/>
    <w:lvl w:ilvl="0">
      <w:lvlJc w:val="left"/>
      <w:lvlText w:val="(%1)"/>
      <w:numFmt w:val="lowerLetter"/>
      <w:start w:val="4"/>
    </w:lvl>
    <w:lvl w:ilvl="1">
      <w:lvlJc w:val="left"/>
      <w:lvlText w:val="(%2)"/>
      <w:numFmt w:val="lowerLetter"/>
      <w:start w:val="5"/>
    </w:lvl>
    <w:lvl w:ilvl="2">
      <w:lvlJc w:val="left"/>
      <w:lvlText w:val="(%3)"/>
      <w:numFmt w:val="lowerLetter"/>
      <w:start w:val="5"/>
    </w:lvl>
  </w:abstractNum>
  <w:abstractNum w:abstractNumId="8">
    <w:nsid w:val="7C83E458"/>
    <w:multiLevelType w:val="hybridMultilevel"/>
    <w:lvl w:ilvl="0">
      <w:lvlJc w:val="left"/>
      <w:lvlText w:val="(%1)"/>
      <w:numFmt w:val="lowerLetter"/>
      <w:start w:val="2"/>
    </w:lvl>
    <w:lvl w:ilvl="1">
      <w:lvlJc w:val="left"/>
      <w:lvlText w:val="(%2)"/>
      <w:numFmt w:val="lowerLetter"/>
      <w:start w:val="7"/>
    </w:lvl>
    <w:lvl w:ilvl="2">
      <w:lvlJc w:val="left"/>
      <w:lvlText w:val="(%3)"/>
      <w:numFmt w:val="lowerLetter"/>
      <w:start w:val="10"/>
    </w:lvl>
  </w:abstractNum>
  <w:abstractNum w:abstractNumId="9">
    <w:nsid w:val="257130A3"/>
    <w:multiLevelType w:val="hybridMultilevel"/>
    <w:lvl w:ilvl="0">
      <w:lvlJc w:val="left"/>
      <w:lvlText w:val="(%1)"/>
      <w:numFmt w:val="lowerLetter"/>
      <w:start w:val="10"/>
    </w:lvl>
    <w:lvl w:ilvl="1">
      <w:lvlJc w:val="left"/>
      <w:lvlText w:val="(%2)"/>
      <w:numFmt w:val="lowerLetter"/>
      <w:start w:val="2"/>
    </w:lvl>
  </w:abstractNum>
  <w:abstractNum w:abstractNumId="10">
    <w:nsid w:val="62BBD95A"/>
    <w:multiLevelType w:val="hybridMultilevel"/>
    <w:lvl w:ilvl="0">
      <w:lvlJc w:val="left"/>
      <w:lvlText w:val="(%1)"/>
      <w:numFmt w:val="lowerLetter"/>
      <w:start w:val="11"/>
    </w:lvl>
    <w:lvl w:ilvl="1">
      <w:lvlJc w:val="left"/>
      <w:lvlText w:val="(%2)"/>
      <w:numFmt w:val="lowerLetter"/>
      <w:start w:val="5"/>
    </w:lvl>
  </w:abstractNum>
  <w:abstractNum w:abstractNumId="11">
    <w:nsid w:val="436C6125"/>
    <w:multiLevelType w:val="hybridMultilevel"/>
    <w:lvl w:ilvl="0">
      <w:lvlJc w:val="left"/>
      <w:lvlText w:val="(%1)"/>
      <w:numFmt w:val="lowerLetter"/>
      <w:start w:val="13"/>
    </w:lvl>
  </w:abstractNum>
  <w:abstractNum w:abstractNumId="12">
    <w:nsid w:val="628C895D"/>
    <w:multiLevelType w:val="hybridMultilevel"/>
    <w:lvl w:ilvl="0">
      <w:lvlJc w:val="left"/>
      <w:lvlText w:val="(%1)"/>
      <w:numFmt w:val="lowerLetter"/>
      <w:start w:val="14"/>
    </w:lvl>
  </w:abstractNum>
  <w:abstractNum w:abstractNumId="13">
    <w:nsid w:val="333AB105"/>
    <w:multiLevelType w:val="hybridMultilevel"/>
    <w:lvl w:ilvl="0">
      <w:lvlJc w:val="left"/>
      <w:lvlText w:val="(%1)"/>
      <w:numFmt w:val="lowerLetter"/>
      <w:start w:val="15"/>
    </w:lvl>
    <w:lvl w:ilvl="1">
      <w:lvlJc w:val="left"/>
      <w:lvlText w:val="(%2)"/>
      <w:numFmt w:val="lowerLetter"/>
      <w:start w:val="2"/>
    </w:lvl>
  </w:abstractNum>
  <w:abstractNum w:abstractNumId="14">
    <w:nsid w:val="721DA317"/>
    <w:multiLevelType w:val="hybridMultilevel"/>
    <w:lvl w:ilvl="0">
      <w:lvlJc w:val="left"/>
      <w:lvlText w:val="(%1)"/>
      <w:numFmt w:val="lowerLetter"/>
      <w:start w:val="35"/>
    </w:lvl>
    <w:lvl w:ilvl="1">
      <w:lvlJc w:val="left"/>
      <w:lvlText w:val="%2"/>
      <w:numFmt w:val="lowerLetter"/>
      <w:start w:val="1"/>
    </w:lvl>
  </w:abstractNum>
  <w:abstractNum w:abstractNumId="15">
    <w:nsid w:val="2443A858"/>
    <w:multiLevelType w:val="hybridMultilevel"/>
    <w:lvl w:ilvl="0">
      <w:lvlJc w:val="left"/>
      <w:lvlText w:val="(%1)"/>
      <w:numFmt w:val="lowerLetter"/>
      <w:start w:val="16"/>
    </w:lvl>
    <w:lvl w:ilvl="1">
      <w:lvlJc w:val="left"/>
      <w:lvlText w:val="%2"/>
      <w:numFmt w:val="lowerLetter"/>
      <w:start w:val="1"/>
    </w:lvl>
  </w:abstractNum>
  <w:abstractNum w:abstractNumId="16">
    <w:nsid w:val="2D1D5AE9"/>
    <w:multiLevelType w:val="hybridMultilevel"/>
    <w:lvl w:ilvl="0">
      <w:lvlJc w:val="left"/>
      <w:lvlText w:val="(%1)"/>
      <w:numFmt w:val="lowerRoman"/>
      <w:start w:val="2"/>
    </w:lvl>
  </w:abstractNum>
  <w:abstractNum w:abstractNumId="17">
    <w:nsid w:val="6763845E"/>
    <w:multiLevelType w:val="hybridMultilevel"/>
    <w:lvl w:ilvl="0">
      <w:lvlJc w:val="left"/>
      <w:lvlText w:val="(%1)"/>
      <w:numFmt w:val="lowerLetter"/>
      <w:start w:val="17"/>
    </w:lvl>
  </w:abstractNum>
  <w:abstractNum w:abstractNumId="18">
    <w:nsid w:val="75A2A8D4"/>
    <w:multiLevelType w:val="hybridMultilevel"/>
    <w:lvl w:ilvl="0">
      <w:lvlJc w:val="left"/>
      <w:lvlText w:val="(%1)"/>
      <w:numFmt w:val="lowerLetter"/>
      <w:start w:val="18"/>
    </w:lvl>
  </w:abstractNum>
  <w:abstractNum w:abstractNumId="19">
    <w:nsid w:val="8EDBDAB"/>
    <w:multiLevelType w:val="hybridMultilevel"/>
    <w:lvl w:ilvl="0">
      <w:lvlJc w:val="left"/>
      <w:lvlText w:val="(%1)"/>
      <w:numFmt w:val="lowerLetter"/>
      <w:start w:val="19"/>
    </w:lvl>
  </w:abstractNum>
  <w:abstractNum w:abstractNumId="20">
    <w:nsid w:val="79838CB2"/>
    <w:multiLevelType w:val="hybridMultilevel"/>
    <w:lvl w:ilvl="0">
      <w:lvlJc w:val="left"/>
      <w:lvlText w:val="(%1)"/>
      <w:numFmt w:val="lowerLetter"/>
      <w:start w:val="20"/>
    </w:lvl>
    <w:lvl w:ilvl="1">
      <w:lvlJc w:val="left"/>
      <w:lvlText w:val="(%2)"/>
      <w:numFmt w:val="lowerLetter"/>
      <w:start w:val="2"/>
    </w:lvl>
  </w:abstractNum>
  <w:abstractNum w:abstractNumId="21">
    <w:nsid w:val="4353D0CD"/>
    <w:multiLevelType w:val="hybridMultilevel"/>
    <w:lvl w:ilvl="0">
      <w:lvlJc w:val="left"/>
      <w:lvlText w:val="(%1)"/>
      <w:numFmt w:val="decimal"/>
      <w:start w:val="10"/>
    </w:lvl>
  </w:abstractNum>
  <w:abstractNum w:abstractNumId="22">
    <w:nsid w:val="B03E0C6"/>
    <w:multiLevelType w:val="hybridMultilevel"/>
    <w:lvl w:ilvl="0">
      <w:lvlJc w:val="left"/>
      <w:lvlText w:val="(%1)"/>
      <w:numFmt w:val="lowerRoman"/>
      <w:start w:val="5"/>
    </w:lvl>
  </w:abstractNum>
  <w:abstractNum w:abstractNumId="23">
    <w:nsid w:val="189A769B"/>
    <w:multiLevelType w:val="hybridMultilevel"/>
    <w:lvl w:ilvl="0">
      <w:lvlJc w:val="left"/>
      <w:lvlText w:val="(%1)"/>
      <w:numFmt w:val="lowerLetter"/>
      <w:start w:val="23"/>
    </w:lvl>
  </w:abstractNum>
  <w:abstractNum w:abstractNumId="24">
    <w:nsid w:val="54E49EB4"/>
    <w:multiLevelType w:val="hybridMultilevel"/>
    <w:lvl w:ilvl="0">
      <w:lvlJc w:val="left"/>
      <w:lvlText w:val="(%1)"/>
      <w:numFmt w:val="lowerLetter"/>
      <w:start w:val="1"/>
    </w:lvl>
    <w:lvl w:ilvl="1">
      <w:lvlJc w:val="left"/>
      <w:lvlText w:val="(%2)"/>
      <w:numFmt w:val="lowerRoman"/>
      <w:start w:val="1"/>
    </w:lvl>
  </w:abstractNum>
  <w:abstractNum w:abstractNumId="25">
    <w:nsid w:val="71F32454"/>
    <w:multiLevelType w:val="hybridMultilevel"/>
    <w:lvl w:ilvl="0">
      <w:lvlJc w:val="left"/>
      <w:lvlText w:val="%1"/>
      <w:numFmt w:val="lowerLetter"/>
      <w:start w:val="1"/>
    </w:lvl>
    <w:lvl w:ilvl="1">
      <w:lvlJc w:val="left"/>
      <w:lvlText w:val="(%2)"/>
      <w:numFmt w:val="lowerLetter"/>
      <w:start w:val="1"/>
    </w:lvl>
  </w:abstractNum>
  <w:abstractNum w:abstractNumId="26">
    <w:nsid w:val="2CA88611"/>
    <w:multiLevelType w:val="hybridMultilevel"/>
    <w:lvl w:ilvl="0">
      <w:lvlJc w:val="left"/>
      <w:lvlText w:val="(%1)"/>
      <w:numFmt w:val="lowerLetter"/>
      <w:start w:val="9"/>
    </w:lvl>
    <w:lvl w:ilvl="1">
      <w:lvlJc w:val="left"/>
      <w:lvlText w:val="(%2)"/>
      <w:numFmt w:val="lowerLetter"/>
      <w:start w:val="3"/>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2019-12-05T05:59:04Z</dcterms:created>
  <dcterms:modified xsi:type="dcterms:W3CDTF">2019-12-05T05:59:04Z</dcterms:modified>
</cp:coreProperties>
</file>