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the Section 13 or 15(d) of the Securities Exchange Act of 1934</w:t>
      </w:r>
    </w:p>
    <w:p>
      <w:pPr>
        <w:spacing w:after="0" w:line="18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2005</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1" w:lineRule="exact"/>
        <w:rPr>
          <w:sz w:val="24"/>
          <w:szCs w:val="24"/>
          <w:color w:val="auto"/>
        </w:rPr>
      </w:pPr>
    </w:p>
    <w:p>
      <w:pPr>
        <w:ind w:left="580"/>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-8890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213360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320" w:type="dxa"/>
            <w:vAlign w:val="bottom"/>
            <w:gridSpan w:val="5"/>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100" w:type="dxa"/>
            <w:vAlign w:val="bottom"/>
          </w:tcPr>
          <w:p>
            <w:pPr>
              <w:jc w:val="right"/>
              <w:ind w:right="2241"/>
              <w:spacing w:after="0"/>
              <w:rPr>
                <w:sz w:val="20"/>
                <w:szCs w:val="20"/>
                <w:color w:val="auto"/>
              </w:rPr>
            </w:pPr>
            <w:r>
              <w:rPr>
                <w:rFonts w:ascii="Times New Roman" w:cs="Times New Roman" w:eastAsia="Times New Roman" w:hAnsi="Times New Roman"/>
                <w:sz w:val="18"/>
                <w:szCs w:val="18"/>
                <w:b w:val="1"/>
                <w:bCs w:val="1"/>
                <w:color w:val="auto"/>
              </w:rPr>
              <w:t>52-0782497</w:t>
            </w:r>
          </w:p>
        </w:tc>
      </w:tr>
      <w:tr>
        <w:trPr>
          <w:trHeight w:val="178"/>
        </w:trPr>
        <w:tc>
          <w:tcPr>
            <w:tcW w:w="7320" w:type="dxa"/>
            <w:vAlign w:val="bottom"/>
            <w:gridSpan w:val="5"/>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5"/>
              </w:rPr>
              <w:t>(State of Organization)</w:t>
            </w:r>
          </w:p>
        </w:tc>
        <w:tc>
          <w:tcPr>
            <w:tcW w:w="4100" w:type="dxa"/>
            <w:vAlign w:val="bottom"/>
          </w:tcPr>
          <w:p>
            <w:pPr>
              <w:jc w:val="center"/>
              <w:ind w:right="1301"/>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551"/>
        </w:trPr>
        <w:tc>
          <w:tcPr>
            <w:tcW w:w="732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7"/>
              </w:rPr>
              <w:t>1626 East Jefferson Street, Rockville, Maryland</w:t>
            </w:r>
          </w:p>
        </w:tc>
        <w:tc>
          <w:tcPr>
            <w:tcW w:w="4100" w:type="dxa"/>
            <w:vAlign w:val="bottom"/>
          </w:tcPr>
          <w:p>
            <w:pPr>
              <w:jc w:val="right"/>
              <w:ind w:right="2441"/>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7320" w:type="dxa"/>
            <w:vAlign w:val="bottom"/>
            <w:gridSpan w:val="5"/>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4100" w:type="dxa"/>
            <w:vAlign w:val="bottom"/>
          </w:tcPr>
          <w:p>
            <w:pPr>
              <w:jc w:val="center"/>
              <w:ind w:right="1281"/>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6700" w:type="dxa"/>
            <w:vAlign w:val="bottom"/>
            <w:gridSpan w:val="4"/>
          </w:tcPr>
          <w:p>
            <w:pPr>
              <w:jc w:val="center"/>
              <w:ind w:left="4638"/>
              <w:spacing w:after="0"/>
              <w:rPr>
                <w:sz w:val="20"/>
                <w:szCs w:val="20"/>
                <w:color w:val="auto"/>
              </w:rPr>
            </w:pPr>
            <w:r>
              <w:rPr>
                <w:rFonts w:ascii="Times New Roman" w:cs="Times New Roman" w:eastAsia="Times New Roman" w:hAnsi="Times New Roman"/>
                <w:sz w:val="18"/>
                <w:szCs w:val="18"/>
                <w:b w:val="1"/>
                <w:bCs w:val="1"/>
                <w:color w:val="auto"/>
                <w:w w:val="97"/>
              </w:rPr>
              <w:t>(301) 998-8100</w:t>
            </w:r>
          </w:p>
        </w:tc>
        <w:tc>
          <w:tcPr>
            <w:tcW w:w="6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78"/>
        </w:trPr>
        <w:tc>
          <w:tcPr>
            <w:tcW w:w="7320" w:type="dxa"/>
            <w:vAlign w:val="bottom"/>
            <w:gridSpan w:val="5"/>
          </w:tcPr>
          <w:p>
            <w:pPr>
              <w:jc w:val="center"/>
              <w:ind w:left="4018"/>
              <w:spacing w:after="0"/>
              <w:rPr>
                <w:sz w:val="20"/>
                <w:szCs w:val="20"/>
                <w:color w:val="auto"/>
              </w:rPr>
            </w:pPr>
            <w:r>
              <w:rPr>
                <w:rFonts w:ascii="Times New Roman" w:cs="Times New Roman" w:eastAsia="Times New Roman" w:hAnsi="Times New Roman"/>
                <w:sz w:val="14"/>
                <w:szCs w:val="14"/>
                <w:b w:val="1"/>
                <w:bCs w:val="1"/>
                <w:color w:val="auto"/>
                <w:w w:val="95"/>
              </w:rPr>
              <w:t>(Registrant’s Telephone Number, Including Area Code)</w:t>
            </w:r>
          </w:p>
        </w:tc>
        <w:tc>
          <w:tcPr>
            <w:tcW w:w="4100" w:type="dxa"/>
            <w:vAlign w:val="bottom"/>
          </w:tcPr>
          <w:p>
            <w:pPr>
              <w:spacing w:after="0"/>
              <w:rPr>
                <w:sz w:val="15"/>
                <w:szCs w:val="15"/>
                <w:color w:val="auto"/>
              </w:rPr>
            </w:pPr>
          </w:p>
        </w:tc>
      </w:tr>
      <w:tr>
        <w:trPr>
          <w:trHeight w:val="298"/>
        </w:trPr>
        <w:tc>
          <w:tcPr>
            <w:tcW w:w="4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gridSpan w:val="2"/>
          </w:tcPr>
          <w:p>
            <w:pPr>
              <w:spacing w:after="0"/>
              <w:rPr>
                <w:sz w:val="24"/>
                <w:szCs w:val="24"/>
                <w:color w:val="auto"/>
              </w:rPr>
            </w:pPr>
          </w:p>
        </w:tc>
      </w:tr>
      <w:tr>
        <w:trPr>
          <w:trHeight w:val="370"/>
        </w:trPr>
        <w:tc>
          <w:tcPr>
            <w:tcW w:w="114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r>
      <w:tr>
        <w:trPr>
          <w:trHeight w:val="373"/>
        </w:trPr>
        <w:tc>
          <w:tcPr>
            <w:tcW w:w="7320" w:type="dxa"/>
            <w:vAlign w:val="bottom"/>
            <w:gridSpan w:val="5"/>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4100" w:type="dxa"/>
            <w:vAlign w:val="bottom"/>
          </w:tcPr>
          <w:p>
            <w:pPr>
              <w:jc w:val="center"/>
              <w:ind w:right="1301"/>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187"/>
        </w:trPr>
        <w:tc>
          <w:tcPr>
            <w:tcW w:w="5720" w:type="dxa"/>
            <w:vAlign w:val="bottom"/>
            <w:tcBorders>
              <w:top w:val="single" w:sz="8" w:color="auto"/>
            </w:tcBorders>
            <w:gridSpan w:val="2"/>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Common Shares of Beneficial Interest, $.01 par value</w:t>
            </w:r>
          </w:p>
        </w:tc>
        <w:tc>
          <w:tcPr>
            <w:tcW w:w="2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tcPr>
          <w:p>
            <w:pPr>
              <w:jc w:val="center"/>
              <w:ind w:right="1281"/>
              <w:spacing w:after="0" w:line="187" w:lineRule="exact"/>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216"/>
        </w:trPr>
        <w:tc>
          <w:tcPr>
            <w:tcW w:w="7320" w:type="dxa"/>
            <w:vAlign w:val="bottom"/>
            <w:gridSpan w:val="5"/>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7"/>
              </w:rPr>
              <w:t>per share, with associated Common Share Purchase</w:t>
            </w:r>
          </w:p>
        </w:tc>
        <w:tc>
          <w:tcPr>
            <w:tcW w:w="4100" w:type="dxa"/>
            <w:vAlign w:val="bottom"/>
          </w:tcPr>
          <w:p>
            <w:pPr>
              <w:spacing w:after="0"/>
              <w:rPr>
                <w:sz w:val="18"/>
                <w:szCs w:val="18"/>
                <w:color w:val="auto"/>
              </w:rPr>
            </w:pPr>
          </w:p>
        </w:tc>
      </w:tr>
      <w:tr>
        <w:trPr>
          <w:trHeight w:val="230"/>
        </w:trPr>
        <w:tc>
          <w:tcPr>
            <w:tcW w:w="7320" w:type="dxa"/>
            <w:vAlign w:val="bottom"/>
            <w:gridSpan w:val="5"/>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5"/>
              </w:rPr>
              <w:t>Rights</w:t>
            </w:r>
          </w:p>
        </w:tc>
        <w:tc>
          <w:tcPr>
            <w:tcW w:w="4100" w:type="dxa"/>
            <w:vAlign w:val="bottom"/>
          </w:tcPr>
          <w:p>
            <w:pPr>
              <w:spacing w:after="0"/>
              <w:rPr>
                <w:sz w:val="19"/>
                <w:szCs w:val="19"/>
                <w:color w:val="auto"/>
              </w:rPr>
            </w:pPr>
          </w:p>
        </w:tc>
      </w:tr>
      <w:tr>
        <w:trPr>
          <w:trHeight w:val="216"/>
        </w:trPr>
        <w:tc>
          <w:tcPr>
            <w:tcW w:w="732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7"/>
              </w:rPr>
              <w:t>8.5% Series B Cumulative Redeemable Preferred</w:t>
            </w:r>
          </w:p>
        </w:tc>
        <w:tc>
          <w:tcPr>
            <w:tcW w:w="410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216"/>
        </w:trPr>
        <w:tc>
          <w:tcPr>
            <w:tcW w:w="732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7"/>
              </w:rPr>
              <w:t>Shares of Beneficial Interest, par value $.01 per</w:t>
            </w:r>
          </w:p>
        </w:tc>
        <w:tc>
          <w:tcPr>
            <w:tcW w:w="4100" w:type="dxa"/>
            <w:vAlign w:val="bottom"/>
          </w:tcPr>
          <w:p>
            <w:pPr>
              <w:spacing w:after="0"/>
              <w:rPr>
                <w:sz w:val="18"/>
                <w:szCs w:val="18"/>
                <w:color w:val="auto"/>
              </w:rPr>
            </w:pPr>
          </w:p>
        </w:tc>
      </w:tr>
      <w:tr>
        <w:trPr>
          <w:trHeight w:val="230"/>
        </w:trPr>
        <w:tc>
          <w:tcPr>
            <w:tcW w:w="732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7"/>
              </w:rPr>
              <w:t>share, (Liquidation Preference $25.00 per share)</w:t>
            </w:r>
          </w:p>
        </w:tc>
        <w:tc>
          <w:tcPr>
            <w:tcW w:w="4100" w:type="dxa"/>
            <w:vAlign w:val="bottom"/>
          </w:tcPr>
          <w:p>
            <w:pPr>
              <w:spacing w:after="0"/>
              <w:rPr>
                <w:sz w:val="20"/>
                <w:szCs w:val="20"/>
                <w:color w:val="auto"/>
              </w:rPr>
            </w:pPr>
          </w:p>
        </w:tc>
      </w:tr>
    </w:tbl>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474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66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64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390"/>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Yes</w:t>
            </w:r>
          </w:p>
        </w:tc>
        <w:tc>
          <w:tcPr>
            <w:tcW w:w="64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 xml:space="preserve"> No</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right="14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30" w:lineRule="exact"/>
        <w:rPr>
          <w:sz w:val="24"/>
          <w:szCs w:val="24"/>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60" w:hanging="252"/>
        <w:spacing w:after="0" w:line="207" w:lineRule="exact"/>
        <w:tabs>
          <w:tab w:leader="none" w:pos="2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9"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or a non-accelerated filer. See definition of “accelerated filer and large accelerated filer” in Rule 12b-2 of the Exchange Act. (Check one):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p>
      <w:pPr>
        <w:sectPr>
          <w:pgSz w:w="11900" w:h="16838" w:orient="portrait"/>
          <w:cols w:equalWidth="0" w:num="1">
            <w:col w:w="11420"/>
          </w:cols>
          <w:pgMar w:left="240" w:top="349" w:right="239" w:bottom="370" w:gutter="0" w:footer="0" w:header="0"/>
        </w:sectPr>
      </w:pP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71" w:lineRule="exact"/>
        <w:rPr>
          <w:sz w:val="24"/>
          <w:szCs w:val="24"/>
          <w:color w:val="auto"/>
        </w:rPr>
      </w:pPr>
    </w:p>
    <w:p>
      <w:pPr>
        <w:sectPr>
          <w:pgSz w:w="11900" w:h="16838" w:orient="portrait"/>
          <w:cols w:equalWidth="0" w:num="5">
            <w:col w:w="7300" w:space="220"/>
            <w:col w:w="160" w:space="80"/>
            <w:col w:w="260" w:space="180"/>
            <w:col w:w="160" w:space="80"/>
            <w:col w:w="2980"/>
          </w:cols>
          <w:pgMar w:left="240" w:top="349" w:right="239" w:bottom="370" w:gutter="0" w:footer="0" w:header="0"/>
          <w:type w:val="continuous"/>
        </w:sect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Registrant’s common shares held by non-affiliates of the Registrant, based upon the closing sales price of the Registrant’s common shares on June 30, 2005 was $3.1 billion.</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Registrant’s common shares outstanding on February 27, 2006 was 53,012,350.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9" w:right="239" w:bottom="370" w:gutter="0" w:footer="0" w:header="0"/>
          <w:type w:val="continuous"/>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DOCUMENTS INCORPORATED BY REFERENCE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 the Securities and Exchange Commission for Registrants 2006 annual meeting of shareholders to be held in May 2006 will be incorporated by reference into Part III hereof.</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Federal Realty Investment Trust is filing this Form 10-K/A to correct a typographical error on the cover page of our Form 10-K for the year ended December 31, 2005. Our cover page should have shown that we had 53,012,350 common shares outstanding on February 27, 2006, not on March 27, 2006.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exception of the forgoing correction, our Form 10-K for the year ended December 31, 2005 has not otherwise been updated.</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240" w:top="272"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this 9th day of March, 2006.</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ind w:left="6860"/>
        <w:spacing w:after="0"/>
        <w:tabs>
          <w:tab w:leader="none" w:pos="8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4"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Larry E. Finger, Executive Vice President</w:t>
      </w:r>
    </w:p>
    <w:p>
      <w:pPr>
        <w:spacing w:after="0" w:line="5"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And Chief Financial Officer</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60"/>
      </w:cols>
      <w:pgMar w:left="240" w:top="27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1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2019-12-13T00:53:29Z</dcterms:created>
  <dcterms:modified xsi:type="dcterms:W3CDTF">2019-12-13T00:53:29Z</dcterms:modified>
</cp:coreProperties>
</file>